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E5670" w14:textId="77777777" w:rsidR="00BC1364" w:rsidRPr="00707064" w:rsidRDefault="00C67DD2" w:rsidP="00BF3E7C">
      <w:pPr>
        <w:jc w:val="center"/>
        <w:rPr>
          <w:highlight w:val="yellow"/>
        </w:rPr>
      </w:pPr>
      <w:r>
        <w:rPr>
          <w:noProof/>
        </w:rPr>
        <w:drawing>
          <wp:inline distT="0" distB="0" distL="0" distR="0" wp14:anchorId="1205BDE2" wp14:editId="0152317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386D2D1" w14:textId="77777777" w:rsidR="00BC1364" w:rsidRPr="00F715D1" w:rsidRDefault="00BF479B" w:rsidP="004C41BD">
      <w:pPr>
        <w:pStyle w:val="Title"/>
      </w:pPr>
      <w:r w:rsidRPr="00F715D1">
        <w:t>Public Summary Document</w:t>
      </w:r>
    </w:p>
    <w:p w14:paraId="56526461" w14:textId="77777777" w:rsidR="00BC1364" w:rsidRPr="00F715D1" w:rsidRDefault="00BC1364" w:rsidP="004C41BD">
      <w:pPr>
        <w:pStyle w:val="Subtitle"/>
      </w:pPr>
      <w:r w:rsidRPr="00F715D1">
        <w:t xml:space="preserve">Application No. </w:t>
      </w:r>
      <w:r w:rsidR="0022043C" w:rsidRPr="00625EC8">
        <w:t xml:space="preserve">1600 – Genetic testing for </w:t>
      </w:r>
      <w:r w:rsidR="0022043C">
        <w:t xml:space="preserve">heritable </w:t>
      </w:r>
      <w:r w:rsidR="0022043C" w:rsidRPr="00625EC8">
        <w:t>kidney disease (other than Alport syndrome)</w:t>
      </w:r>
    </w:p>
    <w:p w14:paraId="31E1CFE1" w14:textId="7DA20ACD" w:rsidR="00BC1364" w:rsidRPr="00CE2699" w:rsidRDefault="00B35595" w:rsidP="00412CB3">
      <w:pPr>
        <w:tabs>
          <w:tab w:val="left" w:pos="3544"/>
        </w:tabs>
        <w:rPr>
          <w:rFonts w:ascii="Arial" w:hAnsi="Arial" w:cs="Arial"/>
          <w:b/>
        </w:rPr>
      </w:pPr>
      <w:r w:rsidRPr="00CE2699">
        <w:rPr>
          <w:rFonts w:ascii="Arial" w:hAnsi="Arial" w:cs="Arial"/>
          <w:b/>
        </w:rPr>
        <w:t>Applicant</w:t>
      </w:r>
      <w:r w:rsidR="008D1722" w:rsidRPr="00CE2699">
        <w:rPr>
          <w:rFonts w:ascii="Arial" w:hAnsi="Arial" w:cs="Arial"/>
          <w:b/>
        </w:rPr>
        <w:t>:</w:t>
      </w:r>
      <w:r w:rsidR="008D1722" w:rsidRPr="00CE2699">
        <w:rPr>
          <w:rFonts w:ascii="Arial" w:hAnsi="Arial" w:cs="Arial"/>
          <w:b/>
        </w:rPr>
        <w:tab/>
      </w:r>
      <w:r w:rsidR="0022043C" w:rsidRPr="00CE2699">
        <w:rPr>
          <w:rFonts w:ascii="Arial" w:hAnsi="Arial" w:cs="Arial"/>
          <w:b/>
        </w:rPr>
        <w:t xml:space="preserve">Professor Judith </w:t>
      </w:r>
      <w:proofErr w:type="spellStart"/>
      <w:r w:rsidR="0022043C" w:rsidRPr="00CE2699">
        <w:rPr>
          <w:rFonts w:ascii="Arial" w:hAnsi="Arial" w:cs="Arial"/>
          <w:b/>
        </w:rPr>
        <w:t>Savige</w:t>
      </w:r>
      <w:proofErr w:type="spellEnd"/>
    </w:p>
    <w:p w14:paraId="4895E2CE" w14:textId="2CCC07A0" w:rsidR="00103042" w:rsidRDefault="00BC1364" w:rsidP="00103042">
      <w:pPr>
        <w:tabs>
          <w:tab w:val="left" w:pos="3544"/>
        </w:tabs>
        <w:spacing w:after="0"/>
        <w:rPr>
          <w:rFonts w:ascii="Arial" w:hAnsi="Arial" w:cs="Arial"/>
          <w:b/>
        </w:rPr>
      </w:pPr>
      <w:r w:rsidRPr="00CE2699">
        <w:rPr>
          <w:rFonts w:ascii="Arial" w:hAnsi="Arial" w:cs="Arial"/>
          <w:b/>
        </w:rPr>
        <w:t>Date of MSAC consideration:</w:t>
      </w:r>
      <w:r w:rsidR="00103042">
        <w:rPr>
          <w:rFonts w:ascii="Arial" w:hAnsi="Arial" w:cs="Arial"/>
          <w:b/>
        </w:rPr>
        <w:tab/>
      </w:r>
      <w:r w:rsidR="00103042" w:rsidRPr="00CE2699">
        <w:rPr>
          <w:rFonts w:ascii="Arial" w:hAnsi="Arial" w:cs="Arial"/>
          <w:b/>
        </w:rPr>
        <w:t>MSAC 8</w:t>
      </w:r>
      <w:r w:rsidR="00103042">
        <w:rPr>
          <w:rFonts w:ascii="Arial" w:hAnsi="Arial" w:cs="Arial"/>
          <w:b/>
        </w:rPr>
        <w:t>2</w:t>
      </w:r>
      <w:r w:rsidR="00103042" w:rsidRPr="00103042">
        <w:rPr>
          <w:rFonts w:ascii="Arial" w:hAnsi="Arial" w:cs="Arial"/>
          <w:b/>
          <w:vertAlign w:val="superscript"/>
        </w:rPr>
        <w:t>nd</w:t>
      </w:r>
      <w:r w:rsidR="00103042">
        <w:rPr>
          <w:rFonts w:ascii="Arial" w:hAnsi="Arial" w:cs="Arial"/>
          <w:b/>
        </w:rPr>
        <w:t xml:space="preserve"> </w:t>
      </w:r>
      <w:r w:rsidR="00103042" w:rsidRPr="00CE2699">
        <w:rPr>
          <w:rFonts w:ascii="Arial" w:hAnsi="Arial" w:cs="Arial"/>
          <w:b/>
        </w:rPr>
        <w:t xml:space="preserve">Meeting, </w:t>
      </w:r>
      <w:r w:rsidR="00103042">
        <w:rPr>
          <w:rFonts w:ascii="Arial" w:hAnsi="Arial" w:cs="Arial"/>
          <w:b/>
        </w:rPr>
        <w:t>29-30 July</w:t>
      </w:r>
      <w:r w:rsidR="00103042" w:rsidRPr="00CE2699">
        <w:rPr>
          <w:rFonts w:ascii="Arial" w:hAnsi="Arial" w:cs="Arial"/>
          <w:b/>
        </w:rPr>
        <w:t xml:space="preserve"> 2021</w:t>
      </w:r>
    </w:p>
    <w:p w14:paraId="3EF0C122" w14:textId="7C8CC484" w:rsidR="00BC1364" w:rsidRPr="00CE2699" w:rsidRDefault="00412CB3" w:rsidP="00412CB3">
      <w:pPr>
        <w:tabs>
          <w:tab w:val="left" w:pos="3544"/>
        </w:tabs>
        <w:rPr>
          <w:rFonts w:ascii="Arial" w:hAnsi="Arial" w:cs="Arial"/>
          <w:b/>
        </w:rPr>
      </w:pPr>
      <w:r>
        <w:rPr>
          <w:rFonts w:ascii="Arial" w:hAnsi="Arial" w:cs="Arial"/>
          <w:b/>
        </w:rPr>
        <w:tab/>
      </w:r>
      <w:r>
        <w:rPr>
          <w:rFonts w:ascii="Arial" w:hAnsi="Arial" w:cs="Arial"/>
          <w:b/>
        </w:rPr>
        <w:tab/>
      </w:r>
      <w:r>
        <w:rPr>
          <w:rFonts w:ascii="Arial" w:hAnsi="Arial" w:cs="Arial"/>
          <w:b/>
        </w:rPr>
        <w:tab/>
      </w:r>
      <w:r w:rsidR="004A4D40" w:rsidRPr="00CE2699">
        <w:rPr>
          <w:rFonts w:ascii="Arial" w:hAnsi="Arial" w:cs="Arial"/>
          <w:b/>
        </w:rPr>
        <w:t>MSAC 81</w:t>
      </w:r>
      <w:r w:rsidR="004A4D40" w:rsidRPr="00CE2699">
        <w:rPr>
          <w:rFonts w:ascii="Arial" w:hAnsi="Arial" w:cs="Arial"/>
          <w:b/>
          <w:vertAlign w:val="superscript"/>
        </w:rPr>
        <w:t>st</w:t>
      </w:r>
      <w:r w:rsidR="004A4D40" w:rsidRPr="00CE2699">
        <w:rPr>
          <w:rFonts w:ascii="Arial" w:hAnsi="Arial" w:cs="Arial"/>
          <w:b/>
        </w:rPr>
        <w:t xml:space="preserve"> Meeting, 31 March – 1 April 2021</w:t>
      </w:r>
    </w:p>
    <w:p w14:paraId="352DF963" w14:textId="77777777" w:rsidR="0041184F" w:rsidRPr="00B03EAB" w:rsidRDefault="006A0D97" w:rsidP="004C41BD">
      <w:pPr>
        <w:rPr>
          <w:color w:val="0000FF"/>
          <w:u w:val="single"/>
        </w:rPr>
      </w:pPr>
      <w:r w:rsidRPr="00F715D1">
        <w:t>Context for decision: MSAC makes its advice in accordance wit</w:t>
      </w:r>
      <w:r w:rsidR="00F715D1">
        <w:t>h its Terms of Reference,</w:t>
      </w:r>
      <w:r w:rsidRPr="00F715D1">
        <w:t xml:space="preserve"> </w:t>
      </w:r>
      <w:hyperlink r:id="rId9" w:tooltip="Link to Medical Services Advisory Committee website" w:history="1">
        <w:r w:rsidR="00F715D1" w:rsidRPr="00F715D1">
          <w:rPr>
            <w:rStyle w:val="Hyperlink"/>
          </w:rPr>
          <w:t>visit the MSAC website</w:t>
        </w:r>
      </w:hyperlink>
    </w:p>
    <w:p w14:paraId="3FC5221B" w14:textId="77777777" w:rsidR="003D7F29" w:rsidRPr="00F715D1" w:rsidRDefault="003D7F29" w:rsidP="004C41BD">
      <w:pPr>
        <w:pStyle w:val="Heading1"/>
      </w:pPr>
      <w:r w:rsidRPr="00F715D1">
        <w:t>Purpose of application</w:t>
      </w:r>
      <w:r w:rsidR="00822C7E" w:rsidRPr="00F715D1">
        <w:t xml:space="preserve"> </w:t>
      </w:r>
    </w:p>
    <w:p w14:paraId="08BA492B" w14:textId="3486EC0E" w:rsidR="00DF489D" w:rsidRDefault="00795780" w:rsidP="004C41BD">
      <w:r w:rsidRPr="00795780">
        <w:t xml:space="preserve">An application requesting MBS listing of genetic testing for </w:t>
      </w:r>
      <w:r w:rsidR="00E73400">
        <w:t xml:space="preserve">heritable </w:t>
      </w:r>
      <w:r w:rsidRPr="00795780">
        <w:t xml:space="preserve">kidney disease (other than Alport syndrome) was received from Professor Judith </w:t>
      </w:r>
      <w:proofErr w:type="spellStart"/>
      <w:r w:rsidRPr="00795780">
        <w:t>Savige</w:t>
      </w:r>
      <w:proofErr w:type="spellEnd"/>
      <w:r w:rsidRPr="00795780">
        <w:t xml:space="preserve"> by the Department of Health. PASC recommended this application follow the clinical utility card (CUC) format, which is designed for use in MSAC applications related to genetic testing for germline variants.</w:t>
      </w:r>
    </w:p>
    <w:p w14:paraId="371A9B85" w14:textId="0FD4C3BB" w:rsidR="00D26640" w:rsidRPr="00F420BB" w:rsidRDefault="00D26640" w:rsidP="004C41BD">
      <w:r>
        <w:t xml:space="preserve">After this application had been supported by MSAC, correspondence from </w:t>
      </w:r>
      <w:proofErr w:type="spellStart"/>
      <w:r>
        <w:t>KidGen</w:t>
      </w:r>
      <w:proofErr w:type="spellEnd"/>
      <w:r>
        <w:t xml:space="preserve"> was received by the Department proposing revisions to the fee and/or descriptors for items AAAA1 and AAAA2.</w:t>
      </w:r>
    </w:p>
    <w:p w14:paraId="6D95A48D" w14:textId="77777777" w:rsidR="00E977EE" w:rsidRPr="00F715D1" w:rsidRDefault="00E977EE" w:rsidP="004C41BD">
      <w:pPr>
        <w:pStyle w:val="Heading1"/>
      </w:pPr>
      <w:r w:rsidRPr="00F715D1">
        <w:t>MSAC’s advice to the Minister</w:t>
      </w:r>
    </w:p>
    <w:p w14:paraId="2479F466" w14:textId="7FB39E77" w:rsidR="0066222B" w:rsidRPr="0066222B" w:rsidRDefault="0066222B" w:rsidP="0066222B">
      <w:pPr>
        <w:pStyle w:val="Heading2"/>
        <w:rPr>
          <w:i/>
          <w:iCs/>
        </w:rPr>
      </w:pPr>
      <w:r>
        <w:rPr>
          <w:i/>
          <w:iCs/>
        </w:rPr>
        <w:t>March-April 2021 MSAC consideration</w:t>
      </w:r>
    </w:p>
    <w:p w14:paraId="4228FDC5" w14:textId="550E665E" w:rsidR="004B1ED3" w:rsidRDefault="00FE2D99" w:rsidP="004B1ED3">
      <w:pPr>
        <w:pStyle w:val="Default"/>
        <w:spacing w:after="240"/>
        <w:rPr>
          <w:szCs w:val="20"/>
        </w:rPr>
      </w:pPr>
      <w:r w:rsidRPr="001342D1">
        <w:rPr>
          <w:szCs w:val="20"/>
        </w:rPr>
        <w:t xml:space="preserve">After considering the strength of the available evidence in relation to comparative safety, </w:t>
      </w:r>
      <w:r>
        <w:rPr>
          <w:szCs w:val="20"/>
        </w:rPr>
        <w:t>clinical effectiveness and cost-</w:t>
      </w:r>
      <w:r w:rsidRPr="001342D1">
        <w:rPr>
          <w:szCs w:val="20"/>
        </w:rPr>
        <w:t xml:space="preserve">effectiveness, </w:t>
      </w:r>
      <w:r w:rsidRPr="00F901EB">
        <w:rPr>
          <w:szCs w:val="20"/>
        </w:rPr>
        <w:t>MSAC supported the creation of Medicare Benefits Schedule (MBS) items for genetic testing for heritable kidney disease other than Alport syndrome in affected individuals, cascade testing in biological relatives, testing to enable reproductive decision</w:t>
      </w:r>
      <w:r>
        <w:rPr>
          <w:szCs w:val="20"/>
        </w:rPr>
        <w:t xml:space="preserve"> </w:t>
      </w:r>
      <w:r w:rsidRPr="00F901EB">
        <w:rPr>
          <w:szCs w:val="20"/>
        </w:rPr>
        <w:t xml:space="preserve">making </w:t>
      </w:r>
      <w:r w:rsidR="004B1ED3">
        <w:rPr>
          <w:szCs w:val="20"/>
        </w:rPr>
        <w:t>(</w:t>
      </w:r>
      <w:r w:rsidRPr="00F901EB">
        <w:rPr>
          <w:szCs w:val="20"/>
        </w:rPr>
        <w:t>for recessively inherited variants</w:t>
      </w:r>
      <w:r w:rsidR="004B1ED3">
        <w:rPr>
          <w:szCs w:val="20"/>
        </w:rPr>
        <w:t>:</w:t>
      </w:r>
      <w:r w:rsidRPr="00F901EB">
        <w:rPr>
          <w:szCs w:val="20"/>
        </w:rPr>
        <w:t xml:space="preserve"> cascade testing </w:t>
      </w:r>
      <w:r>
        <w:rPr>
          <w:szCs w:val="20"/>
        </w:rPr>
        <w:t xml:space="preserve">for </w:t>
      </w:r>
      <w:r w:rsidRPr="00F901EB">
        <w:rPr>
          <w:szCs w:val="20"/>
        </w:rPr>
        <w:t xml:space="preserve">reproductive partners and potentially affected </w:t>
      </w:r>
      <w:proofErr w:type="spellStart"/>
      <w:r w:rsidRPr="00F901EB">
        <w:rPr>
          <w:szCs w:val="20"/>
        </w:rPr>
        <w:t>fetuses</w:t>
      </w:r>
      <w:proofErr w:type="spellEnd"/>
      <w:r w:rsidR="004B1ED3">
        <w:rPr>
          <w:szCs w:val="20"/>
        </w:rPr>
        <w:t>), and data reanalysis</w:t>
      </w:r>
      <w:r w:rsidRPr="00F901EB">
        <w:rPr>
          <w:szCs w:val="20"/>
        </w:rPr>
        <w:t xml:space="preserve">. MSAC accepted that there is a clinical need for this </w:t>
      </w:r>
      <w:proofErr w:type="gramStart"/>
      <w:r w:rsidRPr="00F901EB">
        <w:rPr>
          <w:szCs w:val="20"/>
        </w:rPr>
        <w:t>testing, and</w:t>
      </w:r>
      <w:proofErr w:type="gramEnd"/>
      <w:r w:rsidRPr="00F901EB">
        <w:rPr>
          <w:szCs w:val="20"/>
        </w:rPr>
        <w:t xml:space="preserve"> considered that this testing has clear value for first-degree relatives and reproductive planning</w:t>
      </w:r>
      <w:r>
        <w:rPr>
          <w:szCs w:val="20"/>
        </w:rPr>
        <w:t>.</w:t>
      </w:r>
      <w:r w:rsidRPr="00F901EB">
        <w:rPr>
          <w:szCs w:val="20"/>
        </w:rPr>
        <w:t xml:space="preserve"> </w:t>
      </w:r>
      <w:r>
        <w:rPr>
          <w:szCs w:val="20"/>
        </w:rPr>
        <w:t>T</w:t>
      </w:r>
      <w:r w:rsidRPr="00F901EB">
        <w:rPr>
          <w:szCs w:val="20"/>
        </w:rPr>
        <w:t xml:space="preserve">he cost-effectiveness is likely to be </w:t>
      </w:r>
      <w:proofErr w:type="gramStart"/>
      <w:r w:rsidRPr="00F901EB">
        <w:rPr>
          <w:szCs w:val="20"/>
        </w:rPr>
        <w:t>similar to</w:t>
      </w:r>
      <w:proofErr w:type="gramEnd"/>
      <w:r w:rsidRPr="00F901EB">
        <w:rPr>
          <w:szCs w:val="20"/>
        </w:rPr>
        <w:t xml:space="preserve"> that </w:t>
      </w:r>
      <w:r>
        <w:rPr>
          <w:szCs w:val="20"/>
        </w:rPr>
        <w:t>of</w:t>
      </w:r>
      <w:r w:rsidRPr="00F901EB">
        <w:rPr>
          <w:szCs w:val="20"/>
        </w:rPr>
        <w:t xml:space="preserve"> comparable genetic tests, and there is a relatively low financial impact to the MBS and low risk of leakage. MSAC requested that the Department revise the item descriptor structure and wording, remove the requirement for consultation with a clinical geneticist, and revise the proposed fees in line with existing items. MSAC foreshadowed a future move towards genericised MBS items for cascade testing in biological relatives, cascade reproductive genetic testing, and data re-analysis.</w:t>
      </w:r>
    </w:p>
    <w:p w14:paraId="039B7355" w14:textId="4A42C701" w:rsidR="00FE2D99" w:rsidRDefault="004B1ED3" w:rsidP="00AA47EC">
      <w:pPr>
        <w:pStyle w:val="Default"/>
        <w:spacing w:after="240"/>
        <w:rPr>
          <w:szCs w:val="20"/>
        </w:rPr>
      </w:pPr>
      <w:r>
        <w:rPr>
          <w:szCs w:val="20"/>
        </w:rPr>
        <w:lastRenderedPageBreak/>
        <w:t>Draft item descriptors are provided in section 6 of this document, though MSAC noted that they require restructuring and revision.</w:t>
      </w:r>
    </w:p>
    <w:p w14:paraId="72FB667B" w14:textId="57FA9969" w:rsidR="0066222B" w:rsidRPr="0066222B" w:rsidRDefault="0066222B" w:rsidP="0066222B">
      <w:pPr>
        <w:pStyle w:val="Heading2"/>
        <w:rPr>
          <w:i/>
          <w:iCs/>
        </w:rPr>
      </w:pPr>
      <w:r>
        <w:rPr>
          <w:i/>
          <w:iCs/>
        </w:rPr>
        <w:t>July 2021 MSAC consideration</w:t>
      </w:r>
    </w:p>
    <w:p w14:paraId="78AAB044" w14:textId="379255F1" w:rsidR="0066222B" w:rsidRDefault="0066222B" w:rsidP="0066222B">
      <w:r w:rsidRPr="000062F4">
        <w:t xml:space="preserve">After considering the strength of the available evidence in relation to comparative safety, clinical effectiveness and cost-effectiveness, MSAC did not support increasing its previously advised fee for items “AAAA1” and “AAAA2” for genetic testing for inheritable kidney disease other than Alport syndrome, advising that the previously supported fee for </w:t>
      </w:r>
      <w:r>
        <w:t>the Medicare Benefits Schedule (</w:t>
      </w:r>
      <w:r w:rsidRPr="000062F4">
        <w:t>MBS</w:t>
      </w:r>
      <w:r>
        <w:t>)</w:t>
      </w:r>
      <w:r w:rsidRPr="000062F4">
        <w:t xml:space="preserve"> item 73358 was appropriate for these tests. MSAC advised that the item descriptors for both these items should be amended to be for “whole exome or whole genome sequencing”, based on the appropriateness of the two test methods for this genetic testing, the current lack of universal access to whole genome sequencing, and consistency with existing MBS items.</w:t>
      </w:r>
    </w:p>
    <w:tbl>
      <w:tblPr>
        <w:tblStyle w:val="TableGrid"/>
        <w:tblW w:w="0" w:type="auto"/>
        <w:tblLook w:val="04A0" w:firstRow="1" w:lastRow="0" w:firstColumn="1" w:lastColumn="0" w:noHBand="0" w:noVBand="1"/>
      </w:tblPr>
      <w:tblGrid>
        <w:gridCol w:w="9016"/>
      </w:tblGrid>
      <w:tr w:rsidR="00412CB3" w14:paraId="46888BA6" w14:textId="77777777" w:rsidTr="00412CB3">
        <w:trPr>
          <w:tblHeader/>
        </w:trPr>
        <w:tc>
          <w:tcPr>
            <w:tcW w:w="9016" w:type="dxa"/>
          </w:tcPr>
          <w:p w14:paraId="4DB226D5" w14:textId="2DA3DA2C" w:rsidR="00412CB3" w:rsidRDefault="00412CB3" w:rsidP="00412CB3">
            <w:pPr>
              <w:pStyle w:val="BoxName"/>
              <w:keepNext w:val="0"/>
              <w:pBdr>
                <w:top w:val="none" w:sz="0" w:space="0" w:color="auto"/>
                <w:left w:val="none" w:sz="0" w:space="0" w:color="auto"/>
                <w:bottom w:val="none" w:sz="0" w:space="0" w:color="auto"/>
                <w:right w:val="none" w:sz="0" w:space="0" w:color="auto"/>
              </w:pBdr>
            </w:pPr>
            <w:r w:rsidRPr="0048077C">
              <w:t>Consumer summary</w:t>
            </w:r>
          </w:p>
        </w:tc>
      </w:tr>
      <w:tr w:rsidR="00412CB3" w14:paraId="78C0B4E2" w14:textId="77777777" w:rsidTr="00412CB3">
        <w:tc>
          <w:tcPr>
            <w:tcW w:w="9016" w:type="dxa"/>
          </w:tcPr>
          <w:p w14:paraId="1F7831E5" w14:textId="77777777" w:rsidR="00412CB3" w:rsidRDefault="00412CB3" w:rsidP="00412CB3">
            <w:r w:rsidRPr="00E14D69">
              <w:t xml:space="preserve">Professor Judith </w:t>
            </w:r>
            <w:proofErr w:type="spellStart"/>
            <w:r w:rsidRPr="00E14D69">
              <w:t>Savige</w:t>
            </w:r>
            <w:proofErr w:type="spellEnd"/>
            <w:r>
              <w:t xml:space="preserve"> applied for public funding via the Medicare Benefits Schedule (MBS) for genetic testing for certain kidney diseases. </w:t>
            </w:r>
            <w:r w:rsidRPr="00892E6D">
              <w:t xml:space="preserve">These problems can </w:t>
            </w:r>
            <w:r>
              <w:t>lead to decreased kidney function over time</w:t>
            </w:r>
            <w:r w:rsidRPr="00892E6D">
              <w:t>,</w:t>
            </w:r>
            <w:r>
              <w:t xml:space="preserve"> worsening</w:t>
            </w:r>
            <w:r w:rsidRPr="00892E6D">
              <w:t xml:space="preserve"> until the person </w:t>
            </w:r>
            <w:r>
              <w:t xml:space="preserve">develops kidney failure and </w:t>
            </w:r>
            <w:r w:rsidRPr="00892E6D">
              <w:t>need</w:t>
            </w:r>
            <w:r>
              <w:t>s</w:t>
            </w:r>
            <w:r w:rsidRPr="00892E6D">
              <w:t xml:space="preserve"> dialysis or</w:t>
            </w:r>
            <w:r>
              <w:t xml:space="preserve"> a kidney transplant to stay alive. There are already MBS items for testing for the kidney disease Alport syndrome – this application proposed testing for other kidney diseases that can be inherited.</w:t>
            </w:r>
          </w:p>
          <w:p w14:paraId="611EDC15" w14:textId="77777777" w:rsidR="00412CB3" w:rsidRDefault="00412CB3" w:rsidP="00412CB3">
            <w:r>
              <w:t>Genetic testing involves taking a blood sample from people who are likely to have heritable</w:t>
            </w:r>
            <w:r w:rsidRPr="00D472CC">
              <w:t xml:space="preserve"> kidney disease</w:t>
            </w:r>
            <w:r>
              <w:t xml:space="preserve"> and sending it to a laboratory to test whether they have genetic variants associated with kidney disease. If someone is found to have a genetic variant associated with kidney disease, their first-degree relatives (parents, children, </w:t>
            </w:r>
            <w:proofErr w:type="gramStart"/>
            <w:r>
              <w:t>brothers</w:t>
            </w:r>
            <w:proofErr w:type="gramEnd"/>
            <w:r>
              <w:t xml:space="preserve"> and sisters) may also be recommended to get tested, even if they do not have symptoms. This is called cascade testing. Cascade testing allows people to make more informed health and family planning decisions. This will help their relatives to be diagnosed earlier so they can start treatment to delay disease progression. If a family member does not have a mutation, they do not have to have regular long-term monitoring for the disease. Cascade testing would also allow avoiding transplanting a kidney from a relative who turns out to also have kidney disease.</w:t>
            </w:r>
          </w:p>
          <w:p w14:paraId="77EDECD0" w14:textId="77777777" w:rsidR="00412CB3" w:rsidRDefault="00412CB3" w:rsidP="00412CB3">
            <w:r w:rsidRPr="007B5ABD">
              <w:t xml:space="preserve">People </w:t>
            </w:r>
            <w:r>
              <w:t>whose genetic makeup includes</w:t>
            </w:r>
            <w:r w:rsidRPr="007B5ABD">
              <w:t xml:space="preserve"> </w:t>
            </w:r>
            <w:proofErr w:type="gramStart"/>
            <w:r>
              <w:t>particular</w:t>
            </w:r>
            <w:r w:rsidRPr="007B5ABD">
              <w:t xml:space="preserve"> gene</w:t>
            </w:r>
            <w:proofErr w:type="gramEnd"/>
            <w:r w:rsidRPr="007B5ABD">
              <w:t xml:space="preserve"> variants</w:t>
            </w:r>
            <w:r>
              <w:t>, and</w:t>
            </w:r>
            <w:r w:rsidRPr="007B5ABD">
              <w:t xml:space="preserve"> who are planning to have children</w:t>
            </w:r>
            <w:r>
              <w:t>,</w:t>
            </w:r>
            <w:r w:rsidRPr="007B5ABD">
              <w:t xml:space="preserve"> will be advised to</w:t>
            </w:r>
            <w:r>
              <w:t xml:space="preserve"> </w:t>
            </w:r>
            <w:r w:rsidRPr="007B5ABD">
              <w:t>consider testing</w:t>
            </w:r>
            <w:r>
              <w:t xml:space="preserve"> for the same variant </w:t>
            </w:r>
            <w:r w:rsidRPr="007B5ABD">
              <w:t>for their reproductive partner too. The need for this testing depends on the</w:t>
            </w:r>
            <w:r>
              <w:t xml:space="preserve"> </w:t>
            </w:r>
            <w:r w:rsidRPr="007B5ABD">
              <w:t>type of gene and how it is inherited.</w:t>
            </w:r>
          </w:p>
          <w:p w14:paraId="7DA2E9EF" w14:textId="77777777" w:rsidR="00412CB3" w:rsidRPr="00AB41A1" w:rsidRDefault="00412CB3" w:rsidP="00412CB3">
            <w:pPr>
              <w:pStyle w:val="Default"/>
              <w:spacing w:after="240"/>
              <w:rPr>
                <w:color w:val="auto"/>
              </w:rPr>
            </w:pPr>
            <w:r w:rsidRPr="007B5ABD">
              <w:rPr>
                <w:color w:val="auto"/>
              </w:rPr>
              <w:t xml:space="preserve">New genes are often being </w:t>
            </w:r>
            <w:proofErr w:type="gramStart"/>
            <w:r w:rsidRPr="007B5ABD">
              <w:rPr>
                <w:color w:val="auto"/>
              </w:rPr>
              <w:t>discovered, and</w:t>
            </w:r>
            <w:proofErr w:type="gramEnd"/>
            <w:r w:rsidRPr="007B5ABD">
              <w:rPr>
                <w:color w:val="auto"/>
              </w:rPr>
              <w:t xml:space="preserve"> may be added in the future to the group of</w:t>
            </w:r>
            <w:r>
              <w:rPr>
                <w:color w:val="auto"/>
              </w:rPr>
              <w:t xml:space="preserve"> </w:t>
            </w:r>
            <w:r w:rsidRPr="007B5ABD">
              <w:rPr>
                <w:color w:val="auto"/>
              </w:rPr>
              <w:t>genes tested. Pathology laboratories can</w:t>
            </w:r>
            <w:r>
              <w:rPr>
                <w:color w:val="auto"/>
              </w:rPr>
              <w:t xml:space="preserve"> sequence the patient’s whole gen</w:t>
            </w:r>
            <w:r w:rsidRPr="007B5ABD">
              <w:rPr>
                <w:color w:val="auto"/>
              </w:rPr>
              <w:t>ome (all of a</w:t>
            </w:r>
            <w:r>
              <w:rPr>
                <w:color w:val="auto"/>
              </w:rPr>
              <w:t xml:space="preserve"> </w:t>
            </w:r>
            <w:r w:rsidRPr="007B5ABD">
              <w:rPr>
                <w:color w:val="auto"/>
              </w:rPr>
              <w:t>person’s genetic makeup</w:t>
            </w:r>
            <w:proofErr w:type="gramStart"/>
            <w:r w:rsidRPr="007B5ABD">
              <w:rPr>
                <w:color w:val="auto"/>
              </w:rPr>
              <w:t>), and</w:t>
            </w:r>
            <w:proofErr w:type="gramEnd"/>
            <w:r w:rsidRPr="007B5ABD">
              <w:rPr>
                <w:color w:val="auto"/>
              </w:rPr>
              <w:t xml:space="preserve"> reanalyse the same data later as new genes are identified.</w:t>
            </w:r>
          </w:p>
          <w:p w14:paraId="6DF5781F" w14:textId="77777777" w:rsidR="00412CB3" w:rsidRDefault="00412CB3" w:rsidP="00412CB3">
            <w:r>
              <w:t>MSAC acknowledged that there is a clinical need for this genetic testing, as it is already a standard part of care in many places. Having this genetic testing on the MBS helps to ensure equity of access to testing for everyone.</w:t>
            </w:r>
          </w:p>
          <w:p w14:paraId="7D0E38AA" w14:textId="77777777" w:rsidR="00412CB3" w:rsidRDefault="00412CB3" w:rsidP="00412CB3">
            <w:r>
              <w:t xml:space="preserve">MSAC supported the </w:t>
            </w:r>
            <w:proofErr w:type="gramStart"/>
            <w:r>
              <w:t>application, but</w:t>
            </w:r>
            <w:proofErr w:type="gramEnd"/>
            <w:r>
              <w:t xml:space="preserve"> noted some issues with the fees and the way the MBS items are worded remain to be resolved.</w:t>
            </w:r>
          </w:p>
          <w:p w14:paraId="25A0D842" w14:textId="77777777" w:rsidR="00412CB3" w:rsidRDefault="00412CB3" w:rsidP="00412CB3">
            <w:pPr>
              <w:pStyle w:val="BoxName"/>
              <w:keepNext w:val="0"/>
              <w:pBdr>
                <w:top w:val="none" w:sz="0" w:space="0" w:color="auto"/>
                <w:left w:val="none" w:sz="0" w:space="0" w:color="auto"/>
                <w:bottom w:val="none" w:sz="0" w:space="0" w:color="auto"/>
                <w:right w:val="none" w:sz="0" w:space="0" w:color="auto"/>
              </w:pBdr>
              <w:spacing w:before="360"/>
              <w:ind w:left="1077" w:hanging="1077"/>
            </w:pPr>
            <w:r>
              <w:t>MSAC’s recommendation to the Commonwealth Health Minister</w:t>
            </w:r>
          </w:p>
          <w:p w14:paraId="7F624A13" w14:textId="26951141" w:rsidR="00412CB3" w:rsidRDefault="00412CB3" w:rsidP="00412CB3">
            <w:r>
              <w:t>MSAC recommended that genetic testing of heritable kidney diseases other than Alport syndrome be listed on the MBS. MSAC noted there was a clinical need for this testing, and considered it to be safe and effective, has clear value to consumers, is probably good value for money, and is not expected to cost a lot to the MBS. MSAC also noted the benefits of this testing for helping people make reproductive decisions. MSAC asked the Department to make some changes to the wording and the fees before listing these tests on the MBS.</w:t>
            </w:r>
          </w:p>
        </w:tc>
      </w:tr>
    </w:tbl>
    <w:p w14:paraId="507C29D2" w14:textId="56C2A0B0" w:rsidR="00550354" w:rsidRPr="00F715D1" w:rsidRDefault="00550354" w:rsidP="00412CB3">
      <w:pPr>
        <w:pStyle w:val="Heading1"/>
        <w:keepNext w:val="0"/>
        <w:keepLines w:val="0"/>
      </w:pPr>
      <w:r w:rsidRPr="00F715D1">
        <w:t xml:space="preserve">Summary of consideration and rationale for MSAC’s advice </w:t>
      </w:r>
    </w:p>
    <w:p w14:paraId="74328BA2" w14:textId="77777777" w:rsidR="0066222B" w:rsidRPr="0066222B" w:rsidRDefault="0066222B" w:rsidP="00412CB3">
      <w:pPr>
        <w:pStyle w:val="Heading2"/>
        <w:rPr>
          <w:i/>
          <w:iCs/>
        </w:rPr>
      </w:pPr>
      <w:r>
        <w:rPr>
          <w:i/>
          <w:iCs/>
        </w:rPr>
        <w:t>March-April 2021 MSAC consideration</w:t>
      </w:r>
    </w:p>
    <w:p w14:paraId="787CF23A" w14:textId="3A0F19F0" w:rsidR="00FE2D99" w:rsidRDefault="00FE2D99" w:rsidP="00412CB3">
      <w:r>
        <w:t>MSAC noted the application request</w:t>
      </w:r>
      <w:r w:rsidR="00895345">
        <w:t>ed</w:t>
      </w:r>
      <w:r>
        <w:t xml:space="preserve"> </w:t>
      </w:r>
      <w:r w:rsidRPr="00835AC5">
        <w:t xml:space="preserve">MBS items for genetic testing for </w:t>
      </w:r>
      <w:r w:rsidRPr="00F44C62">
        <w:t>heritable</w:t>
      </w:r>
      <w:r w:rsidRPr="00835AC5">
        <w:t xml:space="preserve"> kidney disease other than Alport syndrome in affected individuals, cascade testing in biological relatives, and </w:t>
      </w:r>
      <w:r w:rsidR="00895345">
        <w:t xml:space="preserve">cascade </w:t>
      </w:r>
      <w:r w:rsidRPr="00835AC5">
        <w:t>testing to enable reproductive decision</w:t>
      </w:r>
      <w:r w:rsidR="00176275">
        <w:t>-</w:t>
      </w:r>
      <w:r w:rsidRPr="00835AC5">
        <w:t>making</w:t>
      </w:r>
      <w:r>
        <w:t xml:space="preserve">. </w:t>
      </w:r>
    </w:p>
    <w:p w14:paraId="6C658D7C" w14:textId="653AF9BE" w:rsidR="00FE2D99" w:rsidRDefault="00FE2D99" w:rsidP="00412CB3">
      <w:pPr>
        <w:pStyle w:val="NormalBeforeBullet"/>
        <w:keepNext w:val="0"/>
      </w:pPr>
      <w:r>
        <w:t xml:space="preserve">MSAC noted the five proposed populations </w:t>
      </w:r>
      <w:r w:rsidR="00777582">
        <w:t>and their associated proposed tests</w:t>
      </w:r>
      <w:r>
        <w:t>:</w:t>
      </w:r>
    </w:p>
    <w:p w14:paraId="0EF1B5FA" w14:textId="429D5C08" w:rsidR="00FE2D99" w:rsidRPr="00D472CC" w:rsidRDefault="00FE2D99" w:rsidP="00412CB3">
      <w:pPr>
        <w:pStyle w:val="Bullet"/>
      </w:pPr>
      <w:r w:rsidRPr="00D472CC">
        <w:t xml:space="preserve">Population 1 (age agnostic): </w:t>
      </w:r>
      <w:r>
        <w:t>Whole-genome sequencing (</w:t>
      </w:r>
      <w:r w:rsidRPr="00D472CC">
        <w:t>WGS</w:t>
      </w:r>
      <w:r>
        <w:t>)</w:t>
      </w:r>
      <w:r w:rsidRPr="00D472CC">
        <w:t xml:space="preserve"> for germline gene variants in ≥1 </w:t>
      </w:r>
      <w:proofErr w:type="gramStart"/>
      <w:r w:rsidRPr="00D472CC">
        <w:t>genes</w:t>
      </w:r>
      <w:proofErr w:type="gramEnd"/>
      <w:r w:rsidRPr="00D472CC">
        <w:t xml:space="preserve"> causative for </w:t>
      </w:r>
      <w:r w:rsidR="00F43DCB">
        <w:t>heritable</w:t>
      </w:r>
      <w:r w:rsidR="00F43DCB" w:rsidRPr="00D472CC">
        <w:t xml:space="preserve"> </w:t>
      </w:r>
      <w:r w:rsidR="00777582">
        <w:t>autosomal dominant poly</w:t>
      </w:r>
      <w:r w:rsidRPr="00D472CC">
        <w:t xml:space="preserve">cystic kidney </w:t>
      </w:r>
      <w:r>
        <w:t>disease</w:t>
      </w:r>
      <w:r w:rsidR="00777582">
        <w:t xml:space="preserve"> (ADPKD)</w:t>
      </w:r>
      <w:r w:rsidRPr="00D472CC">
        <w:t xml:space="preserve"> </w:t>
      </w:r>
      <w:r>
        <w:t xml:space="preserve">– fee </w:t>
      </w:r>
      <w:r w:rsidRPr="00D472CC">
        <w:t>$2,400</w:t>
      </w:r>
    </w:p>
    <w:p w14:paraId="69DEE8E5" w14:textId="29E086D5" w:rsidR="00FE2D99" w:rsidRPr="00D472CC" w:rsidRDefault="00FE2D99" w:rsidP="00412CB3">
      <w:pPr>
        <w:pStyle w:val="Bullet"/>
      </w:pPr>
      <w:r w:rsidRPr="00D472CC">
        <w:t xml:space="preserve">Population 2 (children): WGS for germline gene variants in ≥1 </w:t>
      </w:r>
      <w:proofErr w:type="gramStart"/>
      <w:r w:rsidRPr="00D472CC">
        <w:t>genes</w:t>
      </w:r>
      <w:proofErr w:type="gramEnd"/>
      <w:r w:rsidRPr="00D472CC">
        <w:t xml:space="preserve"> causative for </w:t>
      </w:r>
      <w:r w:rsidR="00F43DCB">
        <w:t>heritable</w:t>
      </w:r>
      <w:r w:rsidR="00F43DCB" w:rsidRPr="00D472CC">
        <w:t xml:space="preserve"> </w:t>
      </w:r>
      <w:r w:rsidRPr="00D472CC">
        <w:t>chronic kidney disease in children</w:t>
      </w:r>
      <w:r w:rsidR="00777582">
        <w:t xml:space="preserve"> aged under 18</w:t>
      </w:r>
      <w:r>
        <w:t xml:space="preserve"> –</w:t>
      </w:r>
      <w:r w:rsidRPr="00D472CC">
        <w:t xml:space="preserve"> </w:t>
      </w:r>
      <w:r>
        <w:t xml:space="preserve">fee </w:t>
      </w:r>
      <w:r w:rsidRPr="00D472CC">
        <w:t>$2,400</w:t>
      </w:r>
    </w:p>
    <w:p w14:paraId="2799986C" w14:textId="25A170BF" w:rsidR="00FE2D99" w:rsidRPr="00D472CC" w:rsidRDefault="00FE2D99" w:rsidP="00412CB3">
      <w:pPr>
        <w:pStyle w:val="Bullet"/>
      </w:pPr>
      <w:r w:rsidRPr="00D472CC">
        <w:t>Population 3: Genetic testing in first</w:t>
      </w:r>
      <w:r>
        <w:t>-</w:t>
      </w:r>
      <w:r w:rsidRPr="00D472CC">
        <w:t xml:space="preserve">degree relatives of index cases for familial germline gene variants identified in ≥1 </w:t>
      </w:r>
      <w:proofErr w:type="gramStart"/>
      <w:r w:rsidRPr="00D472CC">
        <w:t>genes</w:t>
      </w:r>
      <w:proofErr w:type="gramEnd"/>
      <w:r w:rsidRPr="00D472CC">
        <w:t xml:space="preserve"> causative for </w:t>
      </w:r>
      <w:r w:rsidR="00F43DCB">
        <w:t>heritable</w:t>
      </w:r>
      <w:r w:rsidR="00F43DCB" w:rsidRPr="00D472CC">
        <w:t xml:space="preserve"> </w:t>
      </w:r>
      <w:r w:rsidRPr="00D472CC">
        <w:t>kidney disease</w:t>
      </w:r>
      <w:r>
        <w:t xml:space="preserve"> – fee</w:t>
      </w:r>
      <w:r w:rsidRPr="00D472CC">
        <w:t xml:space="preserve"> $400</w:t>
      </w:r>
    </w:p>
    <w:p w14:paraId="4A792B0B" w14:textId="657A68CD" w:rsidR="00FE2D99" w:rsidRPr="00D472CC" w:rsidRDefault="00FE2D99" w:rsidP="00FE2D99">
      <w:pPr>
        <w:pStyle w:val="Bullet"/>
      </w:pPr>
      <w:r w:rsidRPr="00D472CC">
        <w:t xml:space="preserve">Population 4: Genetic testing </w:t>
      </w:r>
      <w:r w:rsidR="00777582">
        <w:t xml:space="preserve">in reproductive partners, </w:t>
      </w:r>
      <w:r w:rsidRPr="00D472CC">
        <w:t>for reproductive decision making</w:t>
      </w:r>
      <w:r>
        <w:t xml:space="preserve"> – fee</w:t>
      </w:r>
      <w:r w:rsidRPr="00D472CC">
        <w:t xml:space="preserve"> $500</w:t>
      </w:r>
    </w:p>
    <w:p w14:paraId="25752D99" w14:textId="1233D02B" w:rsidR="00FE2D99" w:rsidRDefault="00FE2D99" w:rsidP="00FE2D99">
      <w:pPr>
        <w:pStyle w:val="BulletLast"/>
      </w:pPr>
      <w:r w:rsidRPr="00D472CC">
        <w:t xml:space="preserve">Population 5: Genetic testing for determining </w:t>
      </w:r>
      <w:r w:rsidR="00777582">
        <w:t xml:space="preserve">familial </w:t>
      </w:r>
      <w:r w:rsidRPr="00D472CC">
        <w:t>variant</w:t>
      </w:r>
      <w:r>
        <w:t>(</w:t>
      </w:r>
      <w:r w:rsidRPr="00D472CC">
        <w:t>s</w:t>
      </w:r>
      <w:r>
        <w:t>)</w:t>
      </w:r>
      <w:r w:rsidRPr="00D472CC">
        <w:t xml:space="preserve"> in a </w:t>
      </w:r>
      <w:proofErr w:type="spellStart"/>
      <w:r w:rsidRPr="00D472CC">
        <w:t>fetus</w:t>
      </w:r>
      <w:proofErr w:type="spellEnd"/>
      <w:r w:rsidRPr="00D472CC">
        <w:t xml:space="preserve"> </w:t>
      </w:r>
      <w:r>
        <w:t xml:space="preserve">– fee </w:t>
      </w:r>
      <w:r w:rsidRPr="00D472CC">
        <w:t>$500</w:t>
      </w:r>
      <w:r>
        <w:t>.</w:t>
      </w:r>
    </w:p>
    <w:p w14:paraId="1B630FF0" w14:textId="71C711D7" w:rsidR="00FE2D99" w:rsidRDefault="00FE2D99" w:rsidP="00FE2D99">
      <w:r>
        <w:t xml:space="preserve">MSAC noted that genetic testing for heritable kidney diseases was currently widespread clinical practice and part of standard of care, </w:t>
      </w:r>
      <w:r w:rsidR="00777582">
        <w:t>and that this</w:t>
      </w:r>
      <w:r>
        <w:t xml:space="preserve"> was noted in the </w:t>
      </w:r>
      <w:r w:rsidR="00777582">
        <w:t xml:space="preserve">applicant’s </w:t>
      </w:r>
      <w:r>
        <w:t>pre</w:t>
      </w:r>
      <w:r w:rsidR="000B757E">
        <w:noBreakHyphen/>
      </w:r>
      <w:r>
        <w:t>MSAC response. This application thus addresses equity of access.</w:t>
      </w:r>
    </w:p>
    <w:p w14:paraId="42673D5C" w14:textId="302415F5" w:rsidR="00FE2D99" w:rsidRDefault="00FE2D99" w:rsidP="00FE2D99">
      <w:r>
        <w:t xml:space="preserve">MSAC </w:t>
      </w:r>
      <w:r w:rsidR="00777582">
        <w:t>considered</w:t>
      </w:r>
      <w:r>
        <w:t xml:space="preserve"> that genetic testing provides </w:t>
      </w:r>
      <w:r w:rsidR="00552888">
        <w:t xml:space="preserve">certainty of diagnosis and </w:t>
      </w:r>
      <w:r>
        <w:t xml:space="preserve">additional prognostic information, which may lead to change in therapy to avoid early onset renal failure and help </w:t>
      </w:r>
      <w:r w:rsidR="00777582">
        <w:t>guide the</w:t>
      </w:r>
      <w:r>
        <w:t xml:space="preserve"> manage</w:t>
      </w:r>
      <w:r w:rsidR="00777582">
        <w:t>ment of</w:t>
      </w:r>
      <w:r>
        <w:t xml:space="preserve"> extra</w:t>
      </w:r>
      <w:r w:rsidR="00777582">
        <w:t>-</w:t>
      </w:r>
      <w:r>
        <w:t xml:space="preserve">renal complications. Genetic testing also helps to avoid renal biopsies and non-beneficial interventions. For </w:t>
      </w:r>
      <w:r w:rsidR="00836390">
        <w:t>relatives</w:t>
      </w:r>
      <w:r>
        <w:t xml:space="preserve"> who test negative</w:t>
      </w:r>
      <w:r w:rsidR="00836390">
        <w:t xml:space="preserve"> for the familial variant</w:t>
      </w:r>
      <w:r>
        <w:t xml:space="preserve">, testing </w:t>
      </w:r>
      <w:r w:rsidR="00836390">
        <w:t>may obviate the need for</w:t>
      </w:r>
      <w:r>
        <w:t xml:space="preserve"> unnecessary clinical appointments and investigative tests</w:t>
      </w:r>
      <w:r w:rsidR="00836390">
        <w:t xml:space="preserve"> and disease monitoring</w:t>
      </w:r>
      <w:r>
        <w:t xml:space="preserve">. MSAC also noted that testing would </w:t>
      </w:r>
      <w:r w:rsidR="00552888">
        <w:t>enable</w:t>
      </w:r>
      <w:r>
        <w:t xml:space="preserve"> </w:t>
      </w:r>
      <w:r w:rsidR="00836390">
        <w:t xml:space="preserve">the </w:t>
      </w:r>
      <w:r>
        <w:t>avoid</w:t>
      </w:r>
      <w:r w:rsidR="00836390">
        <w:t>ance</w:t>
      </w:r>
      <w:r>
        <w:t xml:space="preserve"> </w:t>
      </w:r>
      <w:r w:rsidR="00836390">
        <w:t xml:space="preserve">of </w:t>
      </w:r>
      <w:r>
        <w:t>inadvertent renal transplants from affected relatives. Finally, MSAC accepted that genetic testing p</w:t>
      </w:r>
      <w:r w:rsidRPr="00D472CC">
        <w:t>rovides information</w:t>
      </w:r>
      <w:r>
        <w:t xml:space="preserve"> to families</w:t>
      </w:r>
      <w:r w:rsidRPr="00D472CC">
        <w:t xml:space="preserve"> to inform reproductive decision making</w:t>
      </w:r>
      <w:r>
        <w:t>.</w:t>
      </w:r>
    </w:p>
    <w:p w14:paraId="0DA9BDBA" w14:textId="736B1F42" w:rsidR="00FE2D99" w:rsidRDefault="00FE2D99" w:rsidP="00FE2D99">
      <w:r>
        <w:t xml:space="preserve">MSAC accepted that the clinical claims are plausible and probable, but noted the uncertainty that remains after evaluating the limited clinical trial data, due to the high risk of bias in trials looking at analytical validity, diagnostic yield, clinical validity, prognosis and predictive validity. MSAC noted that no evidence was identified to ascertain clinical utility and therapeutic effectiveness. The </w:t>
      </w:r>
      <w:r w:rsidR="00836390">
        <w:t xml:space="preserve">overall </w:t>
      </w:r>
      <w:r>
        <w:t>diagnostic yield was identified to be at least 20%, which MSAC considered acceptable.</w:t>
      </w:r>
    </w:p>
    <w:p w14:paraId="309A8F2F" w14:textId="219BEF3F" w:rsidR="00FE2D99" w:rsidRDefault="00FE2D99" w:rsidP="00552888">
      <w:pPr>
        <w:pStyle w:val="NormalBeforeBullet"/>
      </w:pPr>
      <w:r>
        <w:t xml:space="preserve">MSAC considered the proposed fees to be </w:t>
      </w:r>
      <w:proofErr w:type="gramStart"/>
      <w:r>
        <w:t>high, and</w:t>
      </w:r>
      <w:proofErr w:type="gramEnd"/>
      <w:r>
        <w:t xml:space="preserve"> recommended altering the fees in line with </w:t>
      </w:r>
      <w:r w:rsidR="00552888">
        <w:t>comparable existing and supported MBS items, such as a fee of $500 for the data reanalysis item.</w:t>
      </w:r>
    </w:p>
    <w:p w14:paraId="3473CCD3" w14:textId="377F065E" w:rsidR="00FE2D99" w:rsidRDefault="00FE2D99" w:rsidP="00FE2D99">
      <w:r>
        <w:t>MSAC considered that the MBS item descriptor should be agnostic</w:t>
      </w:r>
      <w:r w:rsidR="00552888">
        <w:t xml:space="preserve"> with respect to test methodology</w:t>
      </w:r>
      <w:r>
        <w:t xml:space="preserve">, as laboratories may choose to </w:t>
      </w:r>
      <w:r w:rsidR="00836390">
        <w:t>perform</w:t>
      </w:r>
      <w:r>
        <w:t xml:space="preserve"> WGS, whole-exome sequencing</w:t>
      </w:r>
      <w:r w:rsidR="00552888">
        <w:t>,</w:t>
      </w:r>
      <w:r>
        <w:t xml:space="preserve"> or </w:t>
      </w:r>
      <w:r w:rsidR="00552888">
        <w:t xml:space="preserve">conventional </w:t>
      </w:r>
      <w:r w:rsidR="00836390">
        <w:t xml:space="preserve">gene </w:t>
      </w:r>
      <w:r w:rsidR="00552888">
        <w:t>panels</w:t>
      </w:r>
      <w:r>
        <w:t>.</w:t>
      </w:r>
    </w:p>
    <w:p w14:paraId="598590D2" w14:textId="4864A97B" w:rsidR="00FE2D99" w:rsidRDefault="00FE2D99" w:rsidP="00FE2D99">
      <w:r>
        <w:t xml:space="preserve">MSAC </w:t>
      </w:r>
      <w:r w:rsidR="00552888">
        <w:t>noted</w:t>
      </w:r>
      <w:r>
        <w:t xml:space="preserve"> that the descriptor wording </w:t>
      </w:r>
      <w:r w:rsidR="00552888">
        <w:t>for item AAAA</w:t>
      </w:r>
      <w:r w:rsidR="00C15B07">
        <w:t>2</w:t>
      </w:r>
      <w:r w:rsidR="00552888">
        <w:t xml:space="preserve"> </w:t>
      </w:r>
      <w:r w:rsidR="00C15B07">
        <w:t xml:space="preserve">should be </w:t>
      </w:r>
      <w:r>
        <w:t xml:space="preserve">agnostic </w:t>
      </w:r>
      <w:r w:rsidR="00C15B07">
        <w:t xml:space="preserve">with respect to </w:t>
      </w:r>
      <w:r>
        <w:t>age</w:t>
      </w:r>
      <w:r w:rsidR="00552888">
        <w:t>, and it advised that this is appropriate because,</w:t>
      </w:r>
      <w:r>
        <w:t xml:space="preserve"> for example, </w:t>
      </w:r>
      <w:r w:rsidR="00A41CA4">
        <w:t>adults with “</w:t>
      </w:r>
      <w:r>
        <w:t>childhood</w:t>
      </w:r>
      <w:r w:rsidR="00A41CA4">
        <w:t>-type” non-cystic</w:t>
      </w:r>
      <w:r>
        <w:t xml:space="preserve"> kidney diseases </w:t>
      </w:r>
      <w:r w:rsidR="00A41CA4">
        <w:t xml:space="preserve">should </w:t>
      </w:r>
      <w:r>
        <w:t>still</w:t>
      </w:r>
      <w:r w:rsidR="00A41CA4">
        <w:t xml:space="preserve"> be</w:t>
      </w:r>
      <w:r>
        <w:t xml:space="preserve"> eligible for testing if the disease manifested in </w:t>
      </w:r>
      <w:r w:rsidR="00A41CA4">
        <w:t>adult</w:t>
      </w:r>
      <w:r>
        <w:t xml:space="preserve">hood. MSAC noted that although populations 1 and 2 were split for the economic evaluation, it </w:t>
      </w:r>
      <w:r w:rsidR="00C17349">
        <w:t>was not</w:t>
      </w:r>
      <w:r>
        <w:t xml:space="preserve"> necessary to </w:t>
      </w:r>
      <w:r w:rsidR="00C17349">
        <w:t xml:space="preserve">retain this </w:t>
      </w:r>
      <w:r>
        <w:t xml:space="preserve">split </w:t>
      </w:r>
      <w:r w:rsidR="00836390">
        <w:t>for</w:t>
      </w:r>
      <w:r>
        <w:t xml:space="preserve"> two MBS items. MSAC advised the Department to consider the wording in the item descriptor</w:t>
      </w:r>
      <w:r w:rsidR="00552888">
        <w:t>s</w:t>
      </w:r>
      <w:r>
        <w:t xml:space="preserve"> for heritable cardiomyopathies (Application 1599) when finalising the descriptors for these items. MSAC </w:t>
      </w:r>
      <w:r w:rsidR="00552888">
        <w:t>also supported an</w:t>
      </w:r>
      <w:r>
        <w:t xml:space="preserve"> </w:t>
      </w:r>
      <w:r>
        <w:lastRenderedPageBreak/>
        <w:t>MBS item for reproductive decision</w:t>
      </w:r>
      <w:r w:rsidR="00E07AAC">
        <w:t>-</w:t>
      </w:r>
      <w:r>
        <w:t>making</w:t>
      </w:r>
      <w:r w:rsidR="00E07AAC">
        <w:t>, noting that this would be appropriate where a recessively inherited variant has been identified in the proband, and that the test should sequence the whole gene in the reproductive partner</w:t>
      </w:r>
      <w:r>
        <w:t xml:space="preserve">. MSAC considered </w:t>
      </w:r>
      <w:r w:rsidR="00642728">
        <w:t xml:space="preserve">that </w:t>
      </w:r>
      <w:r>
        <w:t xml:space="preserve">merging these </w:t>
      </w:r>
      <w:r w:rsidR="00642728">
        <w:t xml:space="preserve">new </w:t>
      </w:r>
      <w:r>
        <w:t xml:space="preserve">MBS items with the items for Alport syndrome to be </w:t>
      </w:r>
      <w:proofErr w:type="gramStart"/>
      <w:r>
        <w:t>problematic</w:t>
      </w:r>
      <w:r w:rsidR="00E07AAC">
        <w:t>,</w:t>
      </w:r>
      <w:r>
        <w:t xml:space="preserve"> and</w:t>
      </w:r>
      <w:proofErr w:type="gramEnd"/>
      <w:r>
        <w:t xml:space="preserve"> recommended that they stay separate.</w:t>
      </w:r>
      <w:r w:rsidR="00627B6A">
        <w:t xml:space="preserve"> MSAC </w:t>
      </w:r>
      <w:r w:rsidR="007C7507">
        <w:t>revised</w:t>
      </w:r>
      <w:r w:rsidR="00627B6A">
        <w:t xml:space="preserve"> the fee for reproductive partner testing item DDDD from $500 to $1200, noting that while this </w:t>
      </w:r>
      <w:r w:rsidR="00627B6A">
        <w:rPr>
          <w:color w:val="000000"/>
        </w:rPr>
        <w:t xml:space="preserve">is higher than the fee for the existing cystic fibrosis reproductive partner testing item </w:t>
      </w:r>
      <w:r w:rsidR="00627B6A" w:rsidRPr="00D05397">
        <w:rPr>
          <w:color w:val="000000"/>
        </w:rPr>
        <w:t xml:space="preserve">(MBS item </w:t>
      </w:r>
      <w:hyperlink r:id="rId10" w:history="1">
        <w:r w:rsidR="00627B6A" w:rsidRPr="00D05397">
          <w:rPr>
            <w:rStyle w:val="Hyperlink"/>
          </w:rPr>
          <w:t>73349</w:t>
        </w:r>
      </w:hyperlink>
      <w:r w:rsidR="00627B6A" w:rsidRPr="00D05397">
        <w:rPr>
          <w:color w:val="000000"/>
        </w:rPr>
        <w:t>)</w:t>
      </w:r>
      <w:r w:rsidR="00627B6A">
        <w:rPr>
          <w:color w:val="000000"/>
        </w:rPr>
        <w:t xml:space="preserve">, $1,200 was </w:t>
      </w:r>
      <w:r w:rsidR="007C7507">
        <w:rPr>
          <w:color w:val="000000"/>
        </w:rPr>
        <w:t xml:space="preserve">appropriate due to the greater complexity of single gene sequencing required here compared to that for the cystic fibrosis gene, </w:t>
      </w:r>
      <w:r w:rsidR="007C7507">
        <w:rPr>
          <w:i/>
          <w:color w:val="000000"/>
        </w:rPr>
        <w:t>CFTR</w:t>
      </w:r>
      <w:r w:rsidR="007C7507">
        <w:rPr>
          <w:color w:val="000000"/>
        </w:rPr>
        <w:t>.</w:t>
      </w:r>
    </w:p>
    <w:p w14:paraId="74119DC8" w14:textId="469EFAEC" w:rsidR="00FE2D99" w:rsidRDefault="00FE2D99" w:rsidP="00FE2D99">
      <w:r>
        <w:t xml:space="preserve">MSAC recommended </w:t>
      </w:r>
      <w:r w:rsidRPr="00F901EB">
        <w:t>remov</w:t>
      </w:r>
      <w:r>
        <w:t>ing</w:t>
      </w:r>
      <w:r w:rsidRPr="00F901EB">
        <w:t xml:space="preserve"> the requirement for consultation with a clinical geneticist</w:t>
      </w:r>
      <w:r>
        <w:t xml:space="preserve">, as the patient consent process helps to manage this. </w:t>
      </w:r>
      <w:r w:rsidR="00E07AAC">
        <w:t>MSAC noted the importance of the involvement of multidisciplinary teams.</w:t>
      </w:r>
    </w:p>
    <w:p w14:paraId="62DEE529" w14:textId="0050F8B8" w:rsidR="00FE2D99" w:rsidRDefault="00FE2D99" w:rsidP="00FE2D99">
      <w:r>
        <w:t xml:space="preserve">MSAC noted the complex economic evaluation was </w:t>
      </w:r>
      <w:r w:rsidR="00D118DF">
        <w:t xml:space="preserve">largely </w:t>
      </w:r>
      <w:r>
        <w:t>uninformative for decision</w:t>
      </w:r>
      <w:r w:rsidR="00C17349">
        <w:t>-</w:t>
      </w:r>
      <w:r>
        <w:t>making</w:t>
      </w:r>
      <w:r w:rsidR="00D118DF">
        <w:t xml:space="preserve"> as MSAC </w:t>
      </w:r>
      <w:r>
        <w:t>considered</w:t>
      </w:r>
      <w:r w:rsidR="00D118DF">
        <w:t xml:space="preserve"> the estimate of</w:t>
      </w:r>
      <w:r>
        <w:t xml:space="preserve"> ‘cost per informed reproductive decision’ to be highly uncertain and difficult to interpret, </w:t>
      </w:r>
      <w:r w:rsidR="003A451B">
        <w:t xml:space="preserve">given that </w:t>
      </w:r>
      <w:r>
        <w:t>it relies on assumptions about patient behaviour</w:t>
      </w:r>
      <w:r w:rsidR="00642728">
        <w:t xml:space="preserve"> and the population risk for each disease varies</w:t>
      </w:r>
      <w:r>
        <w:t xml:space="preserve">. MSAC considered the ‘cost per measure of diagnostic yield’, </w:t>
      </w:r>
      <w:r w:rsidR="00C17349">
        <w:t>estimated to be approximately</w:t>
      </w:r>
      <w:r>
        <w:t xml:space="preserve"> $3,243 </w:t>
      </w:r>
      <w:r w:rsidR="00C17349">
        <w:t xml:space="preserve">per identified variant </w:t>
      </w:r>
      <w:r>
        <w:t xml:space="preserve">for </w:t>
      </w:r>
      <w:r w:rsidR="00C356C4">
        <w:t>population 1 (all ages)</w:t>
      </w:r>
      <w:r>
        <w:t xml:space="preserve"> and $19,200 for </w:t>
      </w:r>
      <w:r w:rsidR="00C356C4">
        <w:t>population 2 (</w:t>
      </w:r>
      <w:r>
        <w:t>children</w:t>
      </w:r>
      <w:r w:rsidR="003A451B">
        <w:t>; assuming a weighted average distribution of the defined disease subtypes</w:t>
      </w:r>
      <w:r w:rsidR="00C356C4">
        <w:t>)</w:t>
      </w:r>
      <w:r w:rsidR="00072F4C">
        <w:t xml:space="preserve">. </w:t>
      </w:r>
      <w:r>
        <w:t xml:space="preserve">MSAC accepted </w:t>
      </w:r>
      <w:r w:rsidR="003A451B">
        <w:t xml:space="preserve">that </w:t>
      </w:r>
      <w:r w:rsidR="00072F4C">
        <w:t xml:space="preserve">these estimates </w:t>
      </w:r>
      <w:r w:rsidR="003A451B">
        <w:t>were</w:t>
      </w:r>
      <w:r>
        <w:t xml:space="preserve"> cost-effective compared with </w:t>
      </w:r>
      <w:r w:rsidR="00D93697">
        <w:t xml:space="preserve">either </w:t>
      </w:r>
      <w:r w:rsidR="00C17349">
        <w:t>the cost per</w:t>
      </w:r>
      <w:r w:rsidR="00567C55" w:rsidRPr="00567C55">
        <w:t xml:space="preserve"> </w:t>
      </w:r>
      <w:r w:rsidR="00567C55">
        <w:t xml:space="preserve">identified </w:t>
      </w:r>
      <w:r w:rsidR="001C07FF">
        <w:t xml:space="preserve">pathogenic </w:t>
      </w:r>
      <w:r w:rsidR="00D93697">
        <w:t xml:space="preserve">gene </w:t>
      </w:r>
      <w:r w:rsidR="00C17349">
        <w:t>variant</w:t>
      </w:r>
      <w:r w:rsidR="00EC4304">
        <w:t xml:space="preserve"> or chromosomal aberration as </w:t>
      </w:r>
      <w:r w:rsidR="00567C55">
        <w:t xml:space="preserve">described </w:t>
      </w:r>
      <w:r w:rsidR="00C17349">
        <w:t xml:space="preserve">in </w:t>
      </w:r>
      <w:r>
        <w:t xml:space="preserve">other </w:t>
      </w:r>
      <w:r w:rsidR="00E07AAC">
        <w:t xml:space="preserve">previously supported </w:t>
      </w:r>
      <w:r>
        <w:t>genetic testing</w:t>
      </w:r>
      <w:r w:rsidR="00E07AAC">
        <w:t xml:space="preserve"> applications</w:t>
      </w:r>
      <w:r>
        <w:t xml:space="preserve">. MSAC considered the total financial impact to the MBS to be </w:t>
      </w:r>
      <w:r w:rsidR="003A451B">
        <w:t xml:space="preserve">relatively </w:t>
      </w:r>
      <w:r>
        <w:t>small ($3.33–$3.50 million</w:t>
      </w:r>
      <w:r w:rsidR="00072F4C">
        <w:t xml:space="preserve"> per year</w:t>
      </w:r>
      <w:r>
        <w:t xml:space="preserve">), based on </w:t>
      </w:r>
      <w:r w:rsidR="00642728">
        <w:t xml:space="preserve">test </w:t>
      </w:r>
      <w:r>
        <w:t>fees of $2,400 and $400</w:t>
      </w:r>
      <w:r w:rsidR="00C17349">
        <w:t>, though noted some uncertainty remained around the expected utilisation</w:t>
      </w:r>
      <w:r w:rsidR="00A177B2">
        <w:t>,</w:t>
      </w:r>
      <w:r w:rsidR="00642728">
        <w:t xml:space="preserve"> which should be reviewed once implemented</w:t>
      </w:r>
      <w:r>
        <w:t>.</w:t>
      </w:r>
    </w:p>
    <w:p w14:paraId="1C0A3821" w14:textId="6E1037FB" w:rsidR="00FE2D99" w:rsidRDefault="00FE2D99" w:rsidP="00FE2D99">
      <w:r>
        <w:t xml:space="preserve">MSAC noted possible cost </w:t>
      </w:r>
      <w:r w:rsidR="00C17349">
        <w:t>offsets</w:t>
      </w:r>
      <w:r>
        <w:t xml:space="preserve"> from avoiding </w:t>
      </w:r>
      <w:r w:rsidR="00C17349">
        <w:t xml:space="preserve">a proportion of </w:t>
      </w:r>
      <w:r>
        <w:t>ultrasound monitoring in patients who test negative.</w:t>
      </w:r>
    </w:p>
    <w:p w14:paraId="76D2669E" w14:textId="3E33B78E" w:rsidR="00550354" w:rsidRDefault="00FE2D99" w:rsidP="004C41BD">
      <w:r>
        <w:t xml:space="preserve">MSAC considered the </w:t>
      </w:r>
      <w:proofErr w:type="spellStart"/>
      <w:r>
        <w:t>KidGen</w:t>
      </w:r>
      <w:proofErr w:type="spellEnd"/>
      <w:r>
        <w:t xml:space="preserve"> data to be </w:t>
      </w:r>
      <w:r w:rsidR="00C17349">
        <w:t xml:space="preserve">highly </w:t>
      </w:r>
      <w:r>
        <w:t xml:space="preserve">valuable, as extensive genetic testing has already been done </w:t>
      </w:r>
      <w:r w:rsidR="00C17349">
        <w:t xml:space="preserve">in Australia </w:t>
      </w:r>
      <w:r>
        <w:t xml:space="preserve">as part of </w:t>
      </w:r>
      <w:r w:rsidR="000B757E">
        <w:t xml:space="preserve">this </w:t>
      </w:r>
      <w:r w:rsidR="00C356C4">
        <w:t>research</w:t>
      </w:r>
      <w:r>
        <w:t xml:space="preserve">. MSAC noted that diagnostic yield improves when a multidisciplinary team </w:t>
      </w:r>
      <w:r w:rsidR="00C356C4">
        <w:t xml:space="preserve">(MDT) </w:t>
      </w:r>
      <w:r>
        <w:t>is involved in the patient’s care</w:t>
      </w:r>
      <w:r w:rsidR="00C356C4">
        <w:rPr>
          <w:rStyle w:val="FootnoteReference"/>
        </w:rPr>
        <w:footnoteReference w:id="1"/>
      </w:r>
      <w:r w:rsidR="00C356C4" w:rsidRPr="00C356C4">
        <w:rPr>
          <w:vertAlign w:val="superscript"/>
        </w:rPr>
        <w:t>,</w:t>
      </w:r>
      <w:r w:rsidR="00C356C4">
        <w:rPr>
          <w:rStyle w:val="FootnoteReference"/>
        </w:rPr>
        <w:footnoteReference w:id="2"/>
      </w:r>
      <w:r>
        <w:t xml:space="preserve">, and </w:t>
      </w:r>
      <w:proofErr w:type="spellStart"/>
      <w:r>
        <w:t>KidGen</w:t>
      </w:r>
      <w:proofErr w:type="spellEnd"/>
      <w:r>
        <w:t xml:space="preserve"> has established 19 MDTs around Australia.</w:t>
      </w:r>
    </w:p>
    <w:p w14:paraId="576CE7B7" w14:textId="77777777" w:rsidR="0066222B" w:rsidRPr="0066222B" w:rsidRDefault="0066222B" w:rsidP="0066222B">
      <w:pPr>
        <w:pStyle w:val="Heading2"/>
        <w:rPr>
          <w:i/>
          <w:iCs/>
        </w:rPr>
      </w:pPr>
      <w:r>
        <w:rPr>
          <w:i/>
          <w:iCs/>
        </w:rPr>
        <w:t>July 2021 MSAC consideration</w:t>
      </w:r>
    </w:p>
    <w:p w14:paraId="22EB63B5" w14:textId="77777777" w:rsidR="0066222B" w:rsidRDefault="0066222B" w:rsidP="0066222B">
      <w:r>
        <w:t xml:space="preserve">MSAC noted this discussion related to application </w:t>
      </w:r>
      <w:r w:rsidRPr="003A47AE">
        <w:t>1600 – Genetic testing for heritable kidney disease (other than Alport syndrome)</w:t>
      </w:r>
      <w:r>
        <w:t>. MSAC recalled it had supported MBS funding for this testing at its 81</w:t>
      </w:r>
      <w:r w:rsidRPr="006578B4">
        <w:rPr>
          <w:vertAlign w:val="superscript"/>
        </w:rPr>
        <w:t>st</w:t>
      </w:r>
      <w:r w:rsidRPr="003A47AE">
        <w:t xml:space="preserve"> </w:t>
      </w:r>
      <w:r>
        <w:t xml:space="preserve">meeting in March/April 2021. MSAC recalled that both supported item descriptors were for whole genome sequencing (WGS) and analysis at a fee of $2100. MSAC noted the correspondence from </w:t>
      </w:r>
      <w:proofErr w:type="spellStart"/>
      <w:r>
        <w:t>KidGen</w:t>
      </w:r>
      <w:proofErr w:type="spellEnd"/>
      <w:r>
        <w:t xml:space="preserve">, which proposed that the supported fee of $2100 was too low and would lead to out-of-pocket costs for patients. </w:t>
      </w:r>
      <w:proofErr w:type="spellStart"/>
      <w:r>
        <w:t>KidGen</w:t>
      </w:r>
      <w:proofErr w:type="spellEnd"/>
      <w:r>
        <w:t xml:space="preserve"> proposed two options:</w:t>
      </w:r>
    </w:p>
    <w:p w14:paraId="3B5CD83E" w14:textId="77777777" w:rsidR="0066222B" w:rsidRDefault="0066222B" w:rsidP="0066222B">
      <w:pPr>
        <w:pStyle w:val="ListParagraph"/>
        <w:numPr>
          <w:ilvl w:val="0"/>
          <w:numId w:val="16"/>
        </w:numPr>
        <w:tabs>
          <w:tab w:val="clear" w:pos="720"/>
          <w:tab w:val="clear" w:pos="1140"/>
        </w:tabs>
      </w:pPr>
      <w:r>
        <w:t>Maintain the wording of AAAA1 and AAAA2 as being “whole genome sequencing” but raise the fee from $2100 to $2400​; or</w:t>
      </w:r>
    </w:p>
    <w:p w14:paraId="73E092EB" w14:textId="77777777" w:rsidR="0066222B" w:rsidRDefault="0066222B" w:rsidP="0066222B">
      <w:pPr>
        <w:pStyle w:val="ListParagraph"/>
        <w:numPr>
          <w:ilvl w:val="0"/>
          <w:numId w:val="16"/>
        </w:numPr>
        <w:tabs>
          <w:tab w:val="clear" w:pos="720"/>
          <w:tab w:val="clear" w:pos="1140"/>
        </w:tabs>
      </w:pPr>
      <w:r>
        <w:lastRenderedPageBreak/>
        <w:t>Maintain the wording of AAAA1 as being “whole genome sequencing” but raise the fee from $2100 to $2400, and​ amend the wording of AAAA2 to be “whole exome or genome sequencing” and preserve the fee as $2100.</w:t>
      </w:r>
    </w:p>
    <w:p w14:paraId="09713DC1" w14:textId="77777777" w:rsidR="0066222B" w:rsidRDefault="0066222B" w:rsidP="0066222B">
      <w:r>
        <w:t xml:space="preserve">MSAC noted that the greatest permissible gap is currently $84.70. </w:t>
      </w:r>
    </w:p>
    <w:p w14:paraId="585ADCAB" w14:textId="77777777" w:rsidR="0066222B" w:rsidRDefault="0066222B" w:rsidP="0066222B">
      <w:r>
        <w:t xml:space="preserve">MSAC noted that a fee of $2400 would not be consistent with the most similar MBS item, </w:t>
      </w:r>
      <w:hyperlink r:id="rId11" w:history="1">
        <w:r w:rsidRPr="00EB72F7">
          <w:rPr>
            <w:rStyle w:val="Hyperlink"/>
          </w:rPr>
          <w:t>73358</w:t>
        </w:r>
      </w:hyperlink>
      <w:r>
        <w:t>, for whole exome or genome sequencing and analysis with a fee of $2100.</w:t>
      </w:r>
      <w:r w:rsidRPr="00113E5C">
        <w:t xml:space="preserve"> </w:t>
      </w:r>
      <w:r>
        <w:t xml:space="preserve">MSAC also noted that costs at the VCGS laboratories used by </w:t>
      </w:r>
      <w:proofErr w:type="spellStart"/>
      <w:r>
        <w:t>KidGen</w:t>
      </w:r>
      <w:proofErr w:type="spellEnd"/>
      <w:r>
        <w:t xml:space="preserve"> are often significantly higher than testing costs at other public pathology laboratories. MSAC advised that a fee increase was therefore not appropriate.</w:t>
      </w:r>
    </w:p>
    <w:p w14:paraId="30D077DF" w14:textId="77777777" w:rsidR="0066222B" w:rsidRDefault="0066222B" w:rsidP="0066222B">
      <w:r>
        <w:t>MSAC considered that allowing laboratories to perform WES would not result in an inferior analysis compared to WGS for these disorders. MSAC noted that very few laboratories are accredited to perform WGS currently, and so considered that also supporting whole exome sequencing (WES) will increase patients’ equity of access.</w:t>
      </w:r>
    </w:p>
    <w:p w14:paraId="61158F50" w14:textId="0E442D02" w:rsidR="0066222B" w:rsidRPr="0066222B" w:rsidRDefault="0066222B" w:rsidP="004C41BD">
      <w:r>
        <w:t xml:space="preserve">MSAC advised the descriptors should be altered to permit either WGS or WES for both items AAAA1 and </w:t>
      </w:r>
      <w:proofErr w:type="gramStart"/>
      <w:r>
        <w:t>AAAA2, and</w:t>
      </w:r>
      <w:proofErr w:type="gramEnd"/>
      <w:r>
        <w:t xml:space="preserve"> retain the $2100 fee for both. MSAC considered that this change would allow accredited testing to be done by more laboratories, increasing equitable access while still providing an appropriate test.</w:t>
      </w:r>
    </w:p>
    <w:p w14:paraId="00B7A9C6" w14:textId="77777777" w:rsidR="00BC1364" w:rsidRPr="00F715D1" w:rsidRDefault="00BC1364" w:rsidP="004C41BD">
      <w:pPr>
        <w:pStyle w:val="Heading1"/>
      </w:pPr>
      <w:r w:rsidRPr="00F715D1">
        <w:t>Background</w:t>
      </w:r>
    </w:p>
    <w:p w14:paraId="20F8B379" w14:textId="77777777" w:rsidR="002C5E92" w:rsidRPr="00B435D6" w:rsidRDefault="002C5E92" w:rsidP="004C41BD">
      <w:r w:rsidRPr="00B435D6">
        <w:t>This is</w:t>
      </w:r>
      <w:r>
        <w:t xml:space="preserve"> the first submission for genetic testing for heritable kidney disease other than Alport syndrome. It was considered by PASC in December 2019 and April 2020.</w:t>
      </w:r>
    </w:p>
    <w:p w14:paraId="0009F8B0" w14:textId="77777777" w:rsidR="002C5E92" w:rsidRPr="002C5E92" w:rsidRDefault="002C5E92" w:rsidP="004C41BD">
      <w:pPr>
        <w:rPr>
          <w:szCs w:val="20"/>
        </w:rPr>
      </w:pPr>
      <w:r w:rsidRPr="00B435D6">
        <w:t xml:space="preserve">A related application is </w:t>
      </w:r>
      <w:r>
        <w:t xml:space="preserve">previous </w:t>
      </w:r>
      <w:hyperlink r:id="rId12" w:history="1">
        <w:r w:rsidR="0008746D">
          <w:rPr>
            <w:rStyle w:val="Hyperlink"/>
          </w:rPr>
          <w:t>MSAC A</w:t>
        </w:r>
        <w:r w:rsidRPr="00C95714">
          <w:rPr>
            <w:rStyle w:val="Hyperlink"/>
          </w:rPr>
          <w:t>pplication 1449</w:t>
        </w:r>
      </w:hyperlink>
      <w:r>
        <w:t xml:space="preserve"> – </w:t>
      </w:r>
      <w:r w:rsidRPr="00B435D6">
        <w:t xml:space="preserve">genetic testing for </w:t>
      </w:r>
      <w:r>
        <w:t>Alport syndrome, which was supported by MSAC in March 2018 on the basis of acceptable clinical safety and effectiveness and low risk of leakage. MSAC considered that genetic diagnoses would reduce the number of renal biopsies and provide prognostic information</w:t>
      </w:r>
      <w:r>
        <w:rPr>
          <w:rStyle w:val="FootnoteReference"/>
        </w:rPr>
        <w:footnoteReference w:id="3"/>
      </w:r>
      <w:r>
        <w:t xml:space="preserve">. This recommendation was </w:t>
      </w:r>
      <w:r w:rsidRPr="00EB2BAE">
        <w:t>implemented as</w:t>
      </w:r>
      <w:r>
        <w:t xml:space="preserve"> two</w:t>
      </w:r>
      <w:r w:rsidRPr="00EB2BAE">
        <w:t xml:space="preserve"> MBS item</w:t>
      </w:r>
      <w:r>
        <w:t>s listed on 1 May 2019: MBS item</w:t>
      </w:r>
      <w:r w:rsidRPr="00EB2BAE">
        <w:t xml:space="preserve"> </w:t>
      </w:r>
      <w:hyperlink r:id="rId13" w:history="1">
        <w:r w:rsidRPr="00E11F67">
          <w:rPr>
            <w:rStyle w:val="Hyperlink"/>
          </w:rPr>
          <w:t>73298</w:t>
        </w:r>
      </w:hyperlink>
      <w:r w:rsidRPr="00EB2BAE">
        <w:t xml:space="preserve"> for </w:t>
      </w:r>
      <w:r>
        <w:t>the sequencing</w:t>
      </w:r>
      <w:r w:rsidRPr="00EB2BAE">
        <w:t xml:space="preserve"> of </w:t>
      </w:r>
      <w:r>
        <w:t xml:space="preserve">genetic </w:t>
      </w:r>
      <w:r w:rsidRPr="00EB2BAE">
        <w:t xml:space="preserve">variants in </w:t>
      </w:r>
      <w:r w:rsidRPr="00EB2BAE">
        <w:rPr>
          <w:i/>
        </w:rPr>
        <w:t>COL4A3, COL4A4</w:t>
      </w:r>
      <w:r w:rsidRPr="00EB2BAE">
        <w:t xml:space="preserve"> and </w:t>
      </w:r>
      <w:r w:rsidRPr="00EB2BAE">
        <w:rPr>
          <w:i/>
        </w:rPr>
        <w:t>COL4A5</w:t>
      </w:r>
      <w:r w:rsidRPr="00EB2BAE">
        <w:t xml:space="preserve"> for </w:t>
      </w:r>
      <w:r>
        <w:t xml:space="preserve">the </w:t>
      </w:r>
      <w:r w:rsidRPr="00EB2BAE">
        <w:t xml:space="preserve">diagnosis of Alport syndrome, and </w:t>
      </w:r>
      <w:r>
        <w:t xml:space="preserve">MBS item </w:t>
      </w:r>
      <w:hyperlink r:id="rId14" w:history="1">
        <w:r w:rsidRPr="00E11F67">
          <w:rPr>
            <w:rStyle w:val="Hyperlink"/>
          </w:rPr>
          <w:t>73299</w:t>
        </w:r>
      </w:hyperlink>
      <w:r w:rsidRPr="00EB2BAE">
        <w:t xml:space="preserve"> for family member </w:t>
      </w:r>
      <w:r>
        <w:t xml:space="preserve">cascade </w:t>
      </w:r>
      <w:r w:rsidRPr="00EB2BAE">
        <w:t>testing in the same three genes.</w:t>
      </w:r>
    </w:p>
    <w:p w14:paraId="19961ABF" w14:textId="77777777" w:rsidR="00BC1364" w:rsidRPr="00F715D1" w:rsidRDefault="00BC1364" w:rsidP="004C41BD">
      <w:pPr>
        <w:pStyle w:val="Heading1"/>
      </w:pPr>
      <w:r w:rsidRPr="00F715D1">
        <w:t>Prerequisites to implementation of any funding advice</w:t>
      </w:r>
    </w:p>
    <w:p w14:paraId="2E8CBFF5" w14:textId="17FAEE82" w:rsidR="002C5E92" w:rsidRPr="002C5E92" w:rsidRDefault="002C5E92" w:rsidP="004C41BD">
      <w:r w:rsidRPr="002C5E92">
        <w:t xml:space="preserve">Pathology laboratories must participate in an External Quality Assurance Program (EQAP) and obtain National Association of Testing Authorities (NATA) accreditation to offer MBS-funded genetic testing services in Australia. The National Pathology Accreditation Advisory Council (NPAAC) stated that an EQAP is available through RCPA QAP Pty Ltd. </w:t>
      </w:r>
      <w:r w:rsidR="004C41BD" w:rsidRPr="004F4246">
        <w:t>The RCPA</w:t>
      </w:r>
      <w:r w:rsidR="004C41BD">
        <w:t xml:space="preserve"> </w:t>
      </w:r>
      <w:r w:rsidR="004C41BD" w:rsidRPr="004F4246">
        <w:t xml:space="preserve">QAP </w:t>
      </w:r>
      <w:r w:rsidR="00FF0664">
        <w:t xml:space="preserve">stated </w:t>
      </w:r>
      <w:r w:rsidR="004C41BD" w:rsidRPr="004F4246">
        <w:t xml:space="preserve">that </w:t>
      </w:r>
      <w:r w:rsidR="004C41BD">
        <w:t>it is considering a</w:t>
      </w:r>
      <w:r w:rsidR="004C41BD" w:rsidRPr="005D0294">
        <w:t xml:space="preserve"> proposal to develop </w:t>
      </w:r>
      <w:r w:rsidR="004C41BD">
        <w:t>an EQA for NGS</w:t>
      </w:r>
      <w:r w:rsidR="004C41BD" w:rsidRPr="005D0294">
        <w:t xml:space="preserve"> panel testing</w:t>
      </w:r>
      <w:r w:rsidR="004C41BD">
        <w:t xml:space="preserve"> for kidney diseases. Existing EQAs</w:t>
      </w:r>
      <w:r w:rsidR="004C41BD" w:rsidRPr="004C41BD">
        <w:t xml:space="preserve"> </w:t>
      </w:r>
      <w:r w:rsidR="004C41BD">
        <w:t>are available</w:t>
      </w:r>
      <w:r w:rsidR="004C41BD" w:rsidRPr="004C41BD">
        <w:t xml:space="preserve"> </w:t>
      </w:r>
      <w:r w:rsidR="004C41BD">
        <w:t>for</w:t>
      </w:r>
      <w:r w:rsidR="004C41BD" w:rsidRPr="004C41BD">
        <w:t xml:space="preserve"> </w:t>
      </w:r>
      <w:r w:rsidR="00D57119">
        <w:t>a</w:t>
      </w:r>
      <w:r w:rsidR="00D57119" w:rsidRPr="00BE76EC">
        <w:t xml:space="preserve">utosomal dominant polycystic kidney disease </w:t>
      </w:r>
      <w:r w:rsidR="00D57119">
        <w:t>(</w:t>
      </w:r>
      <w:r w:rsidR="004C41BD">
        <w:t>ADPKD</w:t>
      </w:r>
      <w:r w:rsidR="00D57119">
        <w:t>)</w:t>
      </w:r>
      <w:r w:rsidR="004C41BD" w:rsidRPr="004C41BD">
        <w:t xml:space="preserve"> targeting only the </w:t>
      </w:r>
      <w:r w:rsidR="004C41BD" w:rsidRPr="004C41BD">
        <w:rPr>
          <w:i/>
        </w:rPr>
        <w:t>PKD1</w:t>
      </w:r>
      <w:r w:rsidR="004C41BD" w:rsidRPr="004C41BD">
        <w:t xml:space="preserve"> and </w:t>
      </w:r>
      <w:r w:rsidR="004C41BD" w:rsidRPr="004C41BD">
        <w:rPr>
          <w:i/>
        </w:rPr>
        <w:t>PKD2</w:t>
      </w:r>
      <w:r w:rsidR="004C41BD" w:rsidRPr="004C41BD">
        <w:t xml:space="preserve"> genes</w:t>
      </w:r>
      <w:r w:rsidR="004C41BD">
        <w:t>,</w:t>
      </w:r>
      <w:r w:rsidR="004C41BD" w:rsidRPr="004C41BD">
        <w:t xml:space="preserve"> not </w:t>
      </w:r>
      <w:r w:rsidR="004C41BD">
        <w:t xml:space="preserve">for </w:t>
      </w:r>
      <w:r w:rsidR="004C41BD" w:rsidRPr="004C41BD">
        <w:t>whole genome sequencing</w:t>
      </w:r>
      <w:r w:rsidR="00FF0664">
        <w:t xml:space="preserve"> as in this application</w:t>
      </w:r>
      <w:r w:rsidR="004C41BD" w:rsidRPr="004C41BD">
        <w:t>.</w:t>
      </w:r>
    </w:p>
    <w:p w14:paraId="68ACEA15" w14:textId="77777777" w:rsidR="00BC1364" w:rsidRPr="002C5E92" w:rsidRDefault="002C5E92" w:rsidP="004C41BD">
      <w:r w:rsidRPr="002C5E92">
        <w:lastRenderedPageBreak/>
        <w:t xml:space="preserve">NPAAC also noted that this </w:t>
      </w:r>
      <w:r w:rsidRPr="004C41BD">
        <w:t>testing</w:t>
      </w:r>
      <w:r w:rsidRPr="002C5E92">
        <w:t xml:space="preserve"> is already established in a public sector laboratory in Australia.</w:t>
      </w:r>
    </w:p>
    <w:p w14:paraId="4C9D1001" w14:textId="77777777" w:rsidR="00BC1364" w:rsidRPr="00F715D1" w:rsidRDefault="00BC1364" w:rsidP="004C41BD">
      <w:pPr>
        <w:pStyle w:val="Heading1"/>
      </w:pPr>
      <w:r w:rsidRPr="00F715D1">
        <w:t>Proposal for public funding</w:t>
      </w:r>
    </w:p>
    <w:p w14:paraId="407BD12D" w14:textId="77777777" w:rsidR="004C41BD" w:rsidRDefault="004C41BD" w:rsidP="004C41BD">
      <w:r>
        <w:t xml:space="preserve">The DCAR proposed two MBS items for affected individual testing: in patients with cystic kidney disease (population 1; </w:t>
      </w:r>
      <w:fldSimple w:instr=" REF _Ref58332754 ">
        <w:r>
          <w:t xml:space="preserve">Table </w:t>
        </w:r>
        <w:r>
          <w:rPr>
            <w:noProof/>
          </w:rPr>
          <w:t>1</w:t>
        </w:r>
      </w:fldSimple>
      <w:r>
        <w:t xml:space="preserve">) and in children aged under 18 years with chronic kidney disease other than cystic kidney disease or Alport syndrome (population 2; </w:t>
      </w:r>
      <w:fldSimple w:instr=" REF _Ref58332758 ">
        <w:r>
          <w:t xml:space="preserve">Table </w:t>
        </w:r>
        <w:r>
          <w:rPr>
            <w:noProof/>
          </w:rPr>
          <w:t>2</w:t>
        </w:r>
      </w:fldSimple>
      <w:r>
        <w:t>). The DCAR also proposed MBS items for data re-analysis (</w:t>
      </w:r>
      <w:fldSimple w:instr=" REF _Ref61009261 ">
        <w:r>
          <w:t xml:space="preserve">Table </w:t>
        </w:r>
        <w:r>
          <w:rPr>
            <w:noProof/>
          </w:rPr>
          <w:t>3</w:t>
        </w:r>
      </w:fldSimple>
      <w:r>
        <w:t xml:space="preserve">), and cascade testing (population 3; </w:t>
      </w:r>
      <w:fldSimple w:instr=" REF _Ref61009266 ">
        <w:r>
          <w:t xml:space="preserve">Table </w:t>
        </w:r>
        <w:r>
          <w:rPr>
            <w:noProof/>
          </w:rPr>
          <w:t>4</w:t>
        </w:r>
      </w:fldSimple>
      <w:r>
        <w:t>).</w:t>
      </w:r>
    </w:p>
    <w:p w14:paraId="2B2AF488" w14:textId="29F3C612" w:rsidR="00412CB3" w:rsidRPr="00412CB3" w:rsidRDefault="00303C89" w:rsidP="00412CB3">
      <w:r>
        <w:t>MSAC advised that the fees for these items should be align with the fees for comparable existing items.</w:t>
      </w:r>
      <w:r w:rsidR="00236033">
        <w:t xml:space="preserve"> MSAC noted that the descriptor for item EEEE would only cover </w:t>
      </w:r>
      <w:proofErr w:type="spellStart"/>
      <w:r w:rsidR="00236033">
        <w:t>fetal</w:t>
      </w:r>
      <w:proofErr w:type="spellEnd"/>
      <w:r w:rsidR="00236033">
        <w:t xml:space="preserve"> testing based on the parents’ genotypes, and advised that item descriptor AAAA will </w:t>
      </w:r>
      <w:r w:rsidR="004E27C2">
        <w:t xml:space="preserve">therefore </w:t>
      </w:r>
      <w:r w:rsidR="00236033">
        <w:t xml:space="preserve">have to be altered </w:t>
      </w:r>
      <w:r w:rsidR="00D93E2F">
        <w:t xml:space="preserve">during implantation </w:t>
      </w:r>
      <w:r w:rsidR="004E27C2">
        <w:t>from that shown below</w:t>
      </w:r>
      <w:r w:rsidR="00D93E2F">
        <w:t>,</w:t>
      </w:r>
      <w:r w:rsidR="004E27C2">
        <w:t xml:space="preserve"> </w:t>
      </w:r>
      <w:r w:rsidR="00236033">
        <w:t xml:space="preserve">to encompass </w:t>
      </w:r>
      <w:proofErr w:type="spellStart"/>
      <w:r w:rsidR="00236033">
        <w:t>fetal</w:t>
      </w:r>
      <w:proofErr w:type="spellEnd"/>
      <w:r w:rsidR="00236033">
        <w:t xml:space="preserve"> testing based on indications such as ultrasound indicating a</w:t>
      </w:r>
      <w:r w:rsidR="004E27C2">
        <w:t xml:space="preserve"> renal</w:t>
      </w:r>
      <w:r w:rsidR="00236033">
        <w:t xml:space="preserve"> a</w:t>
      </w:r>
      <w:r w:rsidR="004E27C2">
        <w:t>b</w:t>
      </w:r>
      <w:r w:rsidR="00236033">
        <w:t>no</w:t>
      </w:r>
      <w:r w:rsidR="004E27C2">
        <w:t>r</w:t>
      </w:r>
      <w:r w:rsidR="00236033">
        <w:t>mal</w:t>
      </w:r>
      <w:r w:rsidR="004E27C2">
        <w:t>it</w:t>
      </w:r>
      <w:r w:rsidR="00236033">
        <w:t>y</w:t>
      </w:r>
      <w:r w:rsidR="004E27C2">
        <w:t xml:space="preserve"> such as those seen in </w:t>
      </w:r>
      <w:proofErr w:type="spellStart"/>
      <w:r w:rsidR="004E27C2">
        <w:t>fetuses</w:t>
      </w:r>
      <w:proofErr w:type="spellEnd"/>
      <w:r w:rsidR="004E27C2">
        <w:t xml:space="preserve"> with CAKUT</w:t>
      </w:r>
      <w:r w:rsidR="00236033">
        <w:t>.</w:t>
      </w:r>
      <w:bookmarkStart w:id="0" w:name="_Ref58332754"/>
      <w:r w:rsidR="00412CB3">
        <w:br w:type="page"/>
      </w:r>
    </w:p>
    <w:p w14:paraId="5420CA48" w14:textId="7110C38D" w:rsidR="004C41BD" w:rsidRDefault="004C41BD" w:rsidP="004C41BD">
      <w:pPr>
        <w:pStyle w:val="Caption"/>
      </w:pPr>
      <w:r>
        <w:t xml:space="preserve">Table </w:t>
      </w:r>
      <w:fldSimple w:instr=" SEQ Table \* ARABIC ">
        <w:r w:rsidR="00627B6A">
          <w:rPr>
            <w:noProof/>
          </w:rPr>
          <w:t>1</w:t>
        </w:r>
      </w:fldSimple>
      <w:bookmarkEnd w:id="0"/>
      <w:r>
        <w:t xml:space="preserve"> </w:t>
      </w:r>
      <w:r>
        <w:tab/>
      </w:r>
      <w:r w:rsidRPr="00D05718">
        <w:t xml:space="preserve">Proposed </w:t>
      </w:r>
      <w:r>
        <w:t xml:space="preserve">item </w:t>
      </w:r>
      <w:r w:rsidRPr="00D05718">
        <w:t>descriptor, genetic testing for the purpose of diagnosis (testing of the affected individual)</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5"/>
      </w:tblGrid>
      <w:tr w:rsidR="004C41BD" w:rsidRPr="00D05718" w14:paraId="616B4AED" w14:textId="77777777" w:rsidTr="005E3F29">
        <w:trPr>
          <w:tblHeader/>
        </w:trPr>
        <w:tc>
          <w:tcPr>
            <w:tcW w:w="8885" w:type="dxa"/>
            <w:hideMark/>
          </w:tcPr>
          <w:p w14:paraId="08FCFF41" w14:textId="77777777" w:rsidR="004C41BD" w:rsidRDefault="004C41BD" w:rsidP="00E1141B">
            <w:pPr>
              <w:keepNext/>
              <w:spacing w:before="40" w:after="40"/>
              <w:jc w:val="right"/>
              <w:rPr>
                <w:rFonts w:ascii="Arial Narrow" w:hAnsi="Arial Narrow" w:cs="Tahoma"/>
                <w:sz w:val="20"/>
              </w:rPr>
            </w:pPr>
            <w:r w:rsidRPr="00D05718">
              <w:rPr>
                <w:rFonts w:ascii="Arial Narrow" w:hAnsi="Arial Narrow" w:cs="Tahoma"/>
                <w:sz w:val="20"/>
              </w:rPr>
              <w:t xml:space="preserve">Category 6 </w:t>
            </w:r>
            <w:proofErr w:type="gramStart"/>
            <w:r w:rsidRPr="00D05718">
              <w:rPr>
                <w:rFonts w:ascii="Arial Narrow" w:hAnsi="Arial Narrow" w:cs="Tahoma"/>
                <w:sz w:val="20"/>
              </w:rPr>
              <w:t>–  PATHOLOGY</w:t>
            </w:r>
            <w:proofErr w:type="gramEnd"/>
            <w:r w:rsidRPr="00D05718">
              <w:rPr>
                <w:rFonts w:ascii="Arial Narrow" w:hAnsi="Arial Narrow" w:cs="Tahoma"/>
                <w:sz w:val="20"/>
              </w:rPr>
              <w:t xml:space="preserve"> SERVICES </w:t>
            </w:r>
          </w:p>
          <w:p w14:paraId="6CD924F2" w14:textId="77777777" w:rsidR="004C41BD" w:rsidRPr="00D05718" w:rsidRDefault="004C41BD" w:rsidP="00E1141B">
            <w:pPr>
              <w:keepNext/>
              <w:spacing w:before="40" w:after="40"/>
              <w:jc w:val="right"/>
              <w:rPr>
                <w:rFonts w:ascii="Arial Narrow" w:hAnsi="Arial Narrow" w:cs="Tahoma"/>
                <w:sz w:val="20"/>
              </w:rPr>
            </w:pPr>
            <w:r w:rsidRPr="00D05718">
              <w:rPr>
                <w:rFonts w:ascii="Arial Narrow" w:hAnsi="Arial Narrow" w:cs="Tahoma"/>
                <w:sz w:val="20"/>
              </w:rPr>
              <w:t>Group P7 – GENETICS</w:t>
            </w:r>
          </w:p>
        </w:tc>
      </w:tr>
      <w:tr w:rsidR="004C41BD" w:rsidRPr="00D05718" w14:paraId="1726F58C" w14:textId="77777777" w:rsidTr="005E3F29">
        <w:tc>
          <w:tcPr>
            <w:tcW w:w="8885" w:type="dxa"/>
            <w:hideMark/>
          </w:tcPr>
          <w:p w14:paraId="6C265F67" w14:textId="77777777" w:rsidR="004C41BD" w:rsidRPr="00D05718" w:rsidRDefault="004C41BD" w:rsidP="00E1141B">
            <w:pPr>
              <w:spacing w:before="40" w:after="40"/>
              <w:rPr>
                <w:rFonts w:ascii="Arial Narrow" w:hAnsi="Arial Narrow" w:cs="Tahoma"/>
                <w:sz w:val="20"/>
              </w:rPr>
            </w:pPr>
            <w:r w:rsidRPr="00D05718">
              <w:rPr>
                <w:rFonts w:ascii="Arial Narrow" w:hAnsi="Arial Narrow" w:cs="Tahoma"/>
                <w:sz w:val="20"/>
              </w:rPr>
              <w:t>Item AAAA1</w:t>
            </w:r>
          </w:p>
        </w:tc>
      </w:tr>
      <w:tr w:rsidR="004C41BD" w:rsidRPr="00D05718" w14:paraId="7F3DDAD0" w14:textId="77777777" w:rsidTr="005E3F29">
        <w:tc>
          <w:tcPr>
            <w:tcW w:w="8885" w:type="dxa"/>
          </w:tcPr>
          <w:p w14:paraId="4CA6AA8A" w14:textId="5720547A" w:rsidR="004C41BD" w:rsidRPr="00D05718" w:rsidRDefault="004C41BD" w:rsidP="00E1141B">
            <w:pPr>
              <w:spacing w:before="40" w:after="40"/>
              <w:rPr>
                <w:rFonts w:ascii="Arial Narrow" w:hAnsi="Arial Narrow" w:cs="Tahoma"/>
                <w:sz w:val="20"/>
              </w:rPr>
            </w:pPr>
            <w:r w:rsidRPr="00D05718">
              <w:rPr>
                <w:rFonts w:ascii="Arial Narrow" w:hAnsi="Arial Narrow" w:cs="Tahoma"/>
                <w:sz w:val="20"/>
              </w:rPr>
              <w:t xml:space="preserve">Characterisation, by whole genome sequencing and analysis, of germline variants in one or more of the genes implicated in </w:t>
            </w:r>
            <w:r w:rsidRPr="00733947">
              <w:rPr>
                <w:rFonts w:ascii="Arial Narrow" w:hAnsi="Arial Narrow" w:cs="Tahoma"/>
                <w:sz w:val="20"/>
              </w:rPr>
              <w:t>herit</w:t>
            </w:r>
            <w:r w:rsidR="00733947">
              <w:rPr>
                <w:rFonts w:ascii="Arial Narrow" w:hAnsi="Arial Narrow" w:cs="Tahoma"/>
                <w:sz w:val="20"/>
              </w:rPr>
              <w:t>abl</w:t>
            </w:r>
            <w:r w:rsidRPr="00733947">
              <w:rPr>
                <w:rFonts w:ascii="Arial Narrow" w:hAnsi="Arial Narrow" w:cs="Tahoma"/>
                <w:sz w:val="20"/>
              </w:rPr>
              <w:t>e</w:t>
            </w:r>
            <w:r w:rsidRPr="00D05718">
              <w:rPr>
                <w:rFonts w:ascii="Arial Narrow" w:hAnsi="Arial Narrow" w:cs="Tahoma"/>
                <w:sz w:val="20"/>
              </w:rPr>
              <w:t xml:space="preserve"> cystic kidney disease, if:</w:t>
            </w:r>
          </w:p>
          <w:p w14:paraId="30E95031" w14:textId="77777777" w:rsidR="004C41BD" w:rsidRPr="00D05718" w:rsidRDefault="004C41BD" w:rsidP="0008746D">
            <w:pPr>
              <w:numPr>
                <w:ilvl w:val="0"/>
                <w:numId w:val="3"/>
              </w:numPr>
              <w:tabs>
                <w:tab w:val="clear" w:pos="720"/>
                <w:tab w:val="clear" w:pos="1140"/>
              </w:tabs>
              <w:spacing w:before="40" w:after="40" w:line="312" w:lineRule="auto"/>
              <w:rPr>
                <w:rFonts w:ascii="Arial Narrow" w:hAnsi="Arial Narrow" w:cs="Tahoma"/>
                <w:sz w:val="20"/>
              </w:rPr>
            </w:pPr>
            <w:r w:rsidRPr="00D05718">
              <w:rPr>
                <w:rFonts w:ascii="Arial Narrow" w:hAnsi="Arial Narrow" w:cs="Tahoma"/>
                <w:sz w:val="20"/>
              </w:rPr>
              <w:t>The characterisation is:</w:t>
            </w:r>
          </w:p>
          <w:p w14:paraId="01B63C66" w14:textId="77777777" w:rsidR="004C41BD" w:rsidRPr="00D05718" w:rsidRDefault="004C41BD" w:rsidP="00E1141B">
            <w:pPr>
              <w:spacing w:before="40" w:after="40"/>
              <w:ind w:left="720"/>
              <w:rPr>
                <w:rFonts w:ascii="Arial Narrow" w:hAnsi="Arial Narrow" w:cs="Tahoma"/>
                <w:sz w:val="20"/>
              </w:rPr>
            </w:pPr>
            <w:r w:rsidRPr="00D05718">
              <w:rPr>
                <w:rFonts w:ascii="Arial Narrow" w:hAnsi="Arial Narrow" w:cs="Tahoma"/>
                <w:sz w:val="20"/>
              </w:rPr>
              <w:t>(</w:t>
            </w:r>
            <w:proofErr w:type="spellStart"/>
            <w:r w:rsidRPr="00D05718">
              <w:rPr>
                <w:rFonts w:ascii="Arial Narrow" w:hAnsi="Arial Narrow" w:cs="Tahoma"/>
                <w:sz w:val="20"/>
              </w:rPr>
              <w:t>i</w:t>
            </w:r>
            <w:proofErr w:type="spellEnd"/>
            <w:r w:rsidRPr="00D05718">
              <w:rPr>
                <w:rFonts w:ascii="Arial Narrow" w:hAnsi="Arial Narrow" w:cs="Tahoma"/>
                <w:sz w:val="20"/>
              </w:rPr>
              <w:t>) requested by a consultant physician practising as a clinical geneticist; or</w:t>
            </w:r>
          </w:p>
          <w:p w14:paraId="4737CB4D" w14:textId="77777777" w:rsidR="004C41BD" w:rsidRPr="00D05718" w:rsidRDefault="004C41BD" w:rsidP="00E1141B">
            <w:pPr>
              <w:spacing w:before="40" w:after="40"/>
              <w:ind w:left="720"/>
              <w:rPr>
                <w:rFonts w:ascii="Arial Narrow" w:hAnsi="Arial Narrow" w:cs="Tahoma"/>
                <w:sz w:val="20"/>
              </w:rPr>
            </w:pPr>
            <w:r w:rsidRPr="00D05718">
              <w:rPr>
                <w:rFonts w:ascii="Arial Narrow" w:hAnsi="Arial Narrow" w:cs="Tahoma"/>
                <w:sz w:val="20"/>
              </w:rPr>
              <w:t>(ii) requested by a consultant physician practising as a specialist nephrologist</w:t>
            </w:r>
            <w:r w:rsidRPr="00176275">
              <w:rPr>
                <w:rFonts w:ascii="Arial Narrow" w:hAnsi="Arial Narrow" w:cs="Tahoma"/>
                <w:i/>
                <w:strike/>
                <w:sz w:val="20"/>
              </w:rPr>
              <w:t>, following consultation with a clinical geneticist</w:t>
            </w:r>
            <w:r w:rsidRPr="00D05718">
              <w:rPr>
                <w:rFonts w:ascii="Arial Narrow" w:hAnsi="Arial Narrow" w:cs="Tahoma"/>
                <w:sz w:val="20"/>
              </w:rPr>
              <w:t>; and</w:t>
            </w:r>
          </w:p>
          <w:p w14:paraId="2552CC9D" w14:textId="28010FDB" w:rsidR="004C41BD" w:rsidRPr="00FE495C" w:rsidRDefault="004C41BD" w:rsidP="00E1141B">
            <w:pPr>
              <w:numPr>
                <w:ilvl w:val="0"/>
                <w:numId w:val="3"/>
              </w:numPr>
              <w:tabs>
                <w:tab w:val="clear" w:pos="720"/>
                <w:tab w:val="clear" w:pos="1140"/>
              </w:tabs>
              <w:spacing w:before="40" w:after="40" w:line="312" w:lineRule="auto"/>
              <w:rPr>
                <w:rFonts w:ascii="Arial Narrow" w:hAnsi="Arial Narrow" w:cs="Tahoma"/>
                <w:sz w:val="20"/>
              </w:rPr>
            </w:pPr>
            <w:r w:rsidRPr="00D05718">
              <w:rPr>
                <w:rFonts w:ascii="Arial Narrow" w:hAnsi="Arial Narrow" w:cs="Tahoma"/>
                <w:sz w:val="20"/>
              </w:rPr>
              <w:t>The patient has a renal abnormality and is strongly suspected of having a monogenic condition.</w:t>
            </w:r>
          </w:p>
          <w:p w14:paraId="7480760E" w14:textId="77777777" w:rsidR="004C41BD" w:rsidRPr="001840B3" w:rsidRDefault="004C41BD" w:rsidP="00FE495C">
            <w:pPr>
              <w:spacing w:before="240" w:after="40"/>
              <w:rPr>
                <w:rFonts w:ascii="Arial Narrow" w:hAnsi="Arial Narrow" w:cs="Tahoma"/>
                <w:i/>
                <w:sz w:val="20"/>
              </w:rPr>
            </w:pPr>
            <w:r w:rsidRPr="001840B3">
              <w:rPr>
                <w:rFonts w:ascii="Arial Narrow" w:hAnsi="Arial Narrow" w:cs="Tahoma"/>
                <w:i/>
                <w:sz w:val="20"/>
              </w:rPr>
              <w:t>Applicable once per lifetime.</w:t>
            </w:r>
          </w:p>
        </w:tc>
      </w:tr>
      <w:tr w:rsidR="004C41BD" w:rsidRPr="00D05718" w14:paraId="3EC10978" w14:textId="77777777" w:rsidTr="005E3F29">
        <w:tc>
          <w:tcPr>
            <w:tcW w:w="8885" w:type="dxa"/>
            <w:hideMark/>
          </w:tcPr>
          <w:p w14:paraId="030054C7" w14:textId="77777777" w:rsidR="004C41BD" w:rsidRPr="00D05718" w:rsidRDefault="004C41BD" w:rsidP="00FF0664">
            <w:pPr>
              <w:spacing w:before="40" w:after="40"/>
              <w:rPr>
                <w:rFonts w:ascii="Arial Narrow" w:hAnsi="Arial Narrow" w:cs="Tahoma"/>
                <w:sz w:val="20"/>
              </w:rPr>
            </w:pPr>
            <w:r w:rsidRPr="00D05718">
              <w:rPr>
                <w:rFonts w:ascii="Arial Narrow" w:hAnsi="Arial Narrow" w:cs="Tahoma"/>
                <w:sz w:val="20"/>
              </w:rPr>
              <w:t xml:space="preserve">Fee:  </w:t>
            </w:r>
            <w:r w:rsidRPr="00176275">
              <w:rPr>
                <w:rFonts w:ascii="Arial Narrow" w:hAnsi="Arial Narrow" w:cs="Tahoma"/>
                <w:b/>
                <w:strike/>
                <w:sz w:val="20"/>
              </w:rPr>
              <w:t>$2,400.00</w:t>
            </w:r>
            <w:r w:rsidR="00FF0664">
              <w:rPr>
                <w:rFonts w:ascii="Arial Narrow" w:hAnsi="Arial Narrow" w:cs="Tahoma"/>
                <w:b/>
                <w:sz w:val="20"/>
              </w:rPr>
              <w:t xml:space="preserve"> </w:t>
            </w:r>
            <w:r w:rsidR="00FF0664" w:rsidRPr="00176275">
              <w:rPr>
                <w:rFonts w:ascii="Arial Narrow" w:hAnsi="Arial Narrow" w:cs="Tahoma"/>
                <w:b/>
                <w:i/>
                <w:sz w:val="20"/>
              </w:rPr>
              <w:t>$2,100.00</w:t>
            </w:r>
            <w:r w:rsidRPr="00D05718">
              <w:rPr>
                <w:rFonts w:ascii="Arial Narrow" w:hAnsi="Arial Narrow" w:cs="Tahoma"/>
                <w:b/>
                <w:sz w:val="20"/>
              </w:rPr>
              <w:t xml:space="preserve">   </w:t>
            </w:r>
            <w:r w:rsidRPr="00176275">
              <w:rPr>
                <w:rFonts w:ascii="Arial Narrow" w:hAnsi="Arial Narrow" w:cs="Tahoma"/>
                <w:sz w:val="20"/>
              </w:rPr>
              <w:t xml:space="preserve">     </w:t>
            </w:r>
            <w:r w:rsidRPr="00D05718">
              <w:rPr>
                <w:rFonts w:ascii="Arial Narrow" w:hAnsi="Arial Narrow" w:cs="Tahoma"/>
                <w:sz w:val="20"/>
              </w:rPr>
              <w:t xml:space="preserve">Benefit: 75% = </w:t>
            </w:r>
            <w:r w:rsidRPr="00176275">
              <w:rPr>
                <w:rFonts w:ascii="Arial Narrow" w:hAnsi="Arial Narrow" w:cs="Tahoma"/>
                <w:b/>
                <w:strike/>
                <w:sz w:val="20"/>
              </w:rPr>
              <w:t>$1,800.00</w:t>
            </w:r>
            <w:r w:rsidR="00FF0664">
              <w:rPr>
                <w:rFonts w:ascii="Arial Narrow" w:hAnsi="Arial Narrow" w:cs="Tahoma"/>
                <w:b/>
                <w:sz w:val="20"/>
              </w:rPr>
              <w:t xml:space="preserve"> </w:t>
            </w:r>
            <w:r w:rsidR="00FF0664" w:rsidRPr="00176275">
              <w:rPr>
                <w:rFonts w:ascii="Arial Narrow" w:hAnsi="Arial Narrow" w:cs="Tahoma"/>
                <w:b/>
                <w:i/>
                <w:sz w:val="20"/>
              </w:rPr>
              <w:t>$1,575.00</w:t>
            </w:r>
            <w:r w:rsidRPr="00D05718">
              <w:rPr>
                <w:rFonts w:ascii="Arial Narrow" w:hAnsi="Arial Narrow" w:cs="Tahoma"/>
                <w:b/>
                <w:sz w:val="20"/>
              </w:rPr>
              <w:t xml:space="preserve">        </w:t>
            </w:r>
            <w:r w:rsidRPr="00D05718">
              <w:rPr>
                <w:rFonts w:ascii="Arial Narrow" w:hAnsi="Arial Narrow" w:cs="Tahoma"/>
                <w:sz w:val="20"/>
              </w:rPr>
              <w:t xml:space="preserve">85% = </w:t>
            </w:r>
            <w:r w:rsidRPr="00176275">
              <w:rPr>
                <w:rFonts w:ascii="Arial Narrow" w:hAnsi="Arial Narrow" w:cs="Tahoma"/>
                <w:b/>
                <w:strike/>
                <w:sz w:val="20"/>
              </w:rPr>
              <w:t>$2,040.00</w:t>
            </w:r>
            <w:r w:rsidR="00FF0664">
              <w:rPr>
                <w:rFonts w:ascii="Arial Narrow" w:hAnsi="Arial Narrow" w:cs="Tahoma"/>
                <w:b/>
                <w:sz w:val="20"/>
              </w:rPr>
              <w:t xml:space="preserve"> </w:t>
            </w:r>
            <w:r w:rsidR="00FF0664" w:rsidRPr="00176275">
              <w:rPr>
                <w:rFonts w:ascii="Arial Narrow" w:hAnsi="Arial Narrow" w:cs="Tahoma"/>
                <w:b/>
                <w:i/>
                <w:sz w:val="20"/>
              </w:rPr>
              <w:t>$1,785.00</w:t>
            </w:r>
          </w:p>
        </w:tc>
      </w:tr>
    </w:tbl>
    <w:p w14:paraId="0E951CC3" w14:textId="109CB244" w:rsidR="004C41BD" w:rsidRDefault="004C41BD" w:rsidP="004C41BD">
      <w:pPr>
        <w:pStyle w:val="Tablenotes1"/>
      </w:pPr>
      <w:r>
        <w:t xml:space="preserve">Source: DCAR Table 1, with </w:t>
      </w:r>
      <w:r w:rsidR="00303C89">
        <w:t xml:space="preserve">changes </w:t>
      </w:r>
      <w:r>
        <w:t>made by the Department</w:t>
      </w:r>
      <w:r w:rsidR="00FF0664">
        <w:t xml:space="preserve"> and MSAC</w:t>
      </w:r>
      <w:r>
        <w:t xml:space="preserve"> (in italics)</w:t>
      </w:r>
    </w:p>
    <w:p w14:paraId="097D18FE" w14:textId="624C1930" w:rsidR="004C41BD" w:rsidRDefault="004C41BD" w:rsidP="004C41BD">
      <w:pPr>
        <w:pStyle w:val="Caption"/>
      </w:pPr>
      <w:bookmarkStart w:id="1" w:name="_Ref58332758"/>
      <w:r>
        <w:t xml:space="preserve">Table </w:t>
      </w:r>
      <w:fldSimple w:instr=" SEQ Table \* ARABIC ">
        <w:r w:rsidR="00627B6A">
          <w:rPr>
            <w:noProof/>
          </w:rPr>
          <w:t>2</w:t>
        </w:r>
      </w:fldSimple>
      <w:bookmarkEnd w:id="1"/>
      <w:r>
        <w:t xml:space="preserve"> </w:t>
      </w:r>
      <w:r>
        <w:tab/>
      </w:r>
      <w:r w:rsidRPr="00D05718">
        <w:rPr>
          <w:rFonts w:cs="Tahoma"/>
          <w:szCs w:val="22"/>
        </w:rPr>
        <w:t xml:space="preserve">Proposed </w:t>
      </w:r>
      <w:r>
        <w:t xml:space="preserve">item </w:t>
      </w:r>
      <w:r w:rsidRPr="00D05718">
        <w:rPr>
          <w:rFonts w:cs="Tahoma"/>
          <w:szCs w:val="22"/>
        </w:rPr>
        <w:t>descriptor, genetic testing for the purpose of diagnosis (testing of the affected individual)</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5"/>
      </w:tblGrid>
      <w:tr w:rsidR="004C41BD" w:rsidRPr="00D05718" w14:paraId="350FCF02" w14:textId="77777777" w:rsidTr="005E3F29">
        <w:trPr>
          <w:tblHeader/>
        </w:trPr>
        <w:tc>
          <w:tcPr>
            <w:tcW w:w="8885" w:type="dxa"/>
            <w:hideMark/>
          </w:tcPr>
          <w:p w14:paraId="1F348BF0" w14:textId="77777777" w:rsidR="004C41BD" w:rsidRDefault="004C41BD" w:rsidP="00E1141B">
            <w:pPr>
              <w:keepNext/>
              <w:spacing w:before="40" w:after="40"/>
              <w:jc w:val="right"/>
              <w:rPr>
                <w:rFonts w:ascii="Arial Narrow" w:hAnsi="Arial Narrow" w:cs="Tahoma"/>
                <w:sz w:val="20"/>
              </w:rPr>
            </w:pPr>
            <w:r w:rsidRPr="00D05718">
              <w:rPr>
                <w:rFonts w:ascii="Arial Narrow" w:hAnsi="Arial Narrow" w:cs="Tahoma"/>
                <w:sz w:val="20"/>
              </w:rPr>
              <w:t xml:space="preserve">Category 6 </w:t>
            </w:r>
            <w:proofErr w:type="gramStart"/>
            <w:r w:rsidRPr="00D05718">
              <w:rPr>
                <w:rFonts w:ascii="Arial Narrow" w:hAnsi="Arial Narrow" w:cs="Tahoma"/>
                <w:sz w:val="20"/>
              </w:rPr>
              <w:t>–  PATHOLOGY</w:t>
            </w:r>
            <w:proofErr w:type="gramEnd"/>
            <w:r w:rsidRPr="00D05718">
              <w:rPr>
                <w:rFonts w:ascii="Arial Narrow" w:hAnsi="Arial Narrow" w:cs="Tahoma"/>
                <w:sz w:val="20"/>
              </w:rPr>
              <w:t xml:space="preserve"> SERVICES </w:t>
            </w:r>
          </w:p>
          <w:p w14:paraId="3DE92A7D" w14:textId="77777777" w:rsidR="004C41BD" w:rsidRPr="00D05718" w:rsidRDefault="004C41BD" w:rsidP="00E1141B">
            <w:pPr>
              <w:keepNext/>
              <w:spacing w:before="40" w:after="40"/>
              <w:jc w:val="right"/>
              <w:rPr>
                <w:rFonts w:ascii="Arial Narrow" w:hAnsi="Arial Narrow" w:cs="Tahoma"/>
                <w:sz w:val="20"/>
              </w:rPr>
            </w:pPr>
            <w:r w:rsidRPr="00D05718">
              <w:rPr>
                <w:rFonts w:ascii="Arial Narrow" w:hAnsi="Arial Narrow" w:cs="Tahoma"/>
                <w:sz w:val="20"/>
              </w:rPr>
              <w:t>Group P7 – GENETICS</w:t>
            </w:r>
          </w:p>
        </w:tc>
      </w:tr>
      <w:tr w:rsidR="004C41BD" w:rsidRPr="00D05718" w14:paraId="27AD4E27" w14:textId="77777777" w:rsidTr="005E3F29">
        <w:tc>
          <w:tcPr>
            <w:tcW w:w="8885" w:type="dxa"/>
            <w:hideMark/>
          </w:tcPr>
          <w:p w14:paraId="3A855226" w14:textId="77777777" w:rsidR="004C41BD" w:rsidRPr="00D05718" w:rsidRDefault="004C41BD" w:rsidP="00E1141B">
            <w:pPr>
              <w:spacing w:before="40" w:after="40"/>
              <w:rPr>
                <w:rFonts w:ascii="Arial Narrow" w:hAnsi="Arial Narrow" w:cs="Tahoma"/>
                <w:sz w:val="20"/>
              </w:rPr>
            </w:pPr>
            <w:r w:rsidRPr="00D05718">
              <w:rPr>
                <w:rFonts w:ascii="Arial Narrow" w:hAnsi="Arial Narrow" w:cs="Tahoma"/>
                <w:sz w:val="20"/>
              </w:rPr>
              <w:t>Item AAAA2</w:t>
            </w:r>
          </w:p>
        </w:tc>
      </w:tr>
      <w:tr w:rsidR="004C41BD" w:rsidRPr="00D05718" w14:paraId="19A79C79" w14:textId="77777777" w:rsidTr="005E3F29">
        <w:tc>
          <w:tcPr>
            <w:tcW w:w="8885" w:type="dxa"/>
          </w:tcPr>
          <w:p w14:paraId="3E9BF98C" w14:textId="07A8FB00" w:rsidR="004C41BD" w:rsidRPr="00D05718" w:rsidRDefault="004C41BD" w:rsidP="00E1141B">
            <w:pPr>
              <w:spacing w:before="40" w:after="40"/>
              <w:rPr>
                <w:rFonts w:ascii="Arial Narrow" w:hAnsi="Arial Narrow" w:cs="Tahoma"/>
                <w:sz w:val="20"/>
              </w:rPr>
            </w:pPr>
            <w:r w:rsidRPr="00D05718">
              <w:rPr>
                <w:rFonts w:ascii="Arial Narrow" w:hAnsi="Arial Narrow" w:cs="Tahoma"/>
                <w:sz w:val="20"/>
              </w:rPr>
              <w:t xml:space="preserve">Characterisation, by whole genome sequencing and analysis, of germline variants in one or more of the genes implicated in </w:t>
            </w:r>
            <w:r w:rsidRPr="00733947">
              <w:rPr>
                <w:rFonts w:ascii="Arial Narrow" w:hAnsi="Arial Narrow" w:cs="Tahoma"/>
                <w:sz w:val="20"/>
              </w:rPr>
              <w:t>herit</w:t>
            </w:r>
            <w:r w:rsidR="00733947">
              <w:rPr>
                <w:rFonts w:ascii="Arial Narrow" w:hAnsi="Arial Narrow" w:cs="Tahoma"/>
                <w:sz w:val="20"/>
              </w:rPr>
              <w:t>abl</w:t>
            </w:r>
            <w:r w:rsidRPr="00733947">
              <w:rPr>
                <w:rFonts w:ascii="Arial Narrow" w:hAnsi="Arial Narrow" w:cs="Tahoma"/>
                <w:sz w:val="20"/>
              </w:rPr>
              <w:t xml:space="preserve">e </w:t>
            </w:r>
            <w:r w:rsidRPr="00D05718">
              <w:rPr>
                <w:rFonts w:ascii="Arial Narrow" w:hAnsi="Arial Narrow" w:cs="Tahoma"/>
                <w:sz w:val="20"/>
              </w:rPr>
              <w:t>kidney disease, if:</w:t>
            </w:r>
          </w:p>
          <w:p w14:paraId="00C13F5D" w14:textId="77777777" w:rsidR="004C41BD" w:rsidRPr="00D05718" w:rsidRDefault="004C41BD" w:rsidP="0008746D">
            <w:pPr>
              <w:numPr>
                <w:ilvl w:val="0"/>
                <w:numId w:val="4"/>
              </w:numPr>
              <w:tabs>
                <w:tab w:val="clear" w:pos="720"/>
                <w:tab w:val="clear" w:pos="1140"/>
              </w:tabs>
              <w:spacing w:before="40" w:after="40" w:line="312" w:lineRule="auto"/>
              <w:rPr>
                <w:rFonts w:ascii="Arial Narrow" w:hAnsi="Arial Narrow" w:cs="Tahoma"/>
                <w:sz w:val="20"/>
              </w:rPr>
            </w:pPr>
            <w:r w:rsidRPr="00D05718">
              <w:rPr>
                <w:rFonts w:ascii="Arial Narrow" w:hAnsi="Arial Narrow" w:cs="Tahoma"/>
                <w:sz w:val="20"/>
              </w:rPr>
              <w:t>The characterisation is:</w:t>
            </w:r>
          </w:p>
          <w:p w14:paraId="10A87B8D" w14:textId="77777777" w:rsidR="004C41BD" w:rsidRPr="00D05718" w:rsidRDefault="004C41BD" w:rsidP="00E1141B">
            <w:pPr>
              <w:spacing w:before="40" w:after="40"/>
              <w:ind w:left="720"/>
              <w:rPr>
                <w:rFonts w:ascii="Arial Narrow" w:hAnsi="Arial Narrow" w:cs="Tahoma"/>
                <w:sz w:val="20"/>
              </w:rPr>
            </w:pPr>
            <w:r w:rsidRPr="00D05718">
              <w:rPr>
                <w:rFonts w:ascii="Arial Narrow" w:hAnsi="Arial Narrow" w:cs="Tahoma"/>
                <w:sz w:val="20"/>
              </w:rPr>
              <w:t>(</w:t>
            </w:r>
            <w:proofErr w:type="spellStart"/>
            <w:r w:rsidRPr="00D05718">
              <w:rPr>
                <w:rFonts w:ascii="Arial Narrow" w:hAnsi="Arial Narrow" w:cs="Tahoma"/>
                <w:sz w:val="20"/>
              </w:rPr>
              <w:t>i</w:t>
            </w:r>
            <w:proofErr w:type="spellEnd"/>
            <w:r w:rsidRPr="00D05718">
              <w:rPr>
                <w:rFonts w:ascii="Arial Narrow" w:hAnsi="Arial Narrow" w:cs="Tahoma"/>
                <w:sz w:val="20"/>
              </w:rPr>
              <w:t>) requested by a consultant physician practising as a clinical geneticist; or</w:t>
            </w:r>
          </w:p>
          <w:p w14:paraId="2A987C82" w14:textId="77777777" w:rsidR="004C41BD" w:rsidRPr="00D05718" w:rsidRDefault="004C41BD" w:rsidP="00E1141B">
            <w:pPr>
              <w:spacing w:before="40" w:after="40"/>
              <w:ind w:left="720"/>
              <w:rPr>
                <w:rFonts w:ascii="Arial Narrow" w:hAnsi="Arial Narrow" w:cs="Tahoma"/>
                <w:sz w:val="20"/>
              </w:rPr>
            </w:pPr>
            <w:r w:rsidRPr="00D05718">
              <w:rPr>
                <w:rFonts w:ascii="Arial Narrow" w:hAnsi="Arial Narrow" w:cs="Tahoma"/>
                <w:sz w:val="20"/>
              </w:rPr>
              <w:t>(ii) requested by a consultant physician practising as a specialist nephrologist</w:t>
            </w:r>
            <w:r w:rsidRPr="00176275">
              <w:rPr>
                <w:rFonts w:ascii="Arial Narrow" w:hAnsi="Arial Narrow" w:cs="Tahoma"/>
                <w:i/>
                <w:strike/>
                <w:sz w:val="20"/>
              </w:rPr>
              <w:t>, following consultation with a clinical geneticist</w:t>
            </w:r>
            <w:r w:rsidRPr="00D05718">
              <w:rPr>
                <w:rFonts w:ascii="Arial Narrow" w:hAnsi="Arial Narrow" w:cs="Tahoma"/>
                <w:sz w:val="20"/>
              </w:rPr>
              <w:t>; and</w:t>
            </w:r>
          </w:p>
          <w:p w14:paraId="49ADA210" w14:textId="63688384" w:rsidR="004C41BD" w:rsidRPr="00FE495C" w:rsidRDefault="004C41BD" w:rsidP="00E1141B">
            <w:pPr>
              <w:numPr>
                <w:ilvl w:val="0"/>
                <w:numId w:val="4"/>
              </w:numPr>
              <w:tabs>
                <w:tab w:val="clear" w:pos="720"/>
                <w:tab w:val="clear" w:pos="1140"/>
              </w:tabs>
              <w:spacing w:before="40" w:after="40" w:line="312" w:lineRule="auto"/>
              <w:rPr>
                <w:rFonts w:ascii="Arial Narrow" w:hAnsi="Arial Narrow" w:cs="Tahoma"/>
                <w:sz w:val="20"/>
              </w:rPr>
            </w:pPr>
            <w:r w:rsidRPr="00D05718">
              <w:rPr>
                <w:rFonts w:ascii="Arial Narrow" w:hAnsi="Arial Narrow" w:cs="Tahoma"/>
                <w:sz w:val="20"/>
              </w:rPr>
              <w:t>The patient</w:t>
            </w:r>
            <w:r w:rsidR="00094964">
              <w:rPr>
                <w:rFonts w:ascii="Arial Narrow" w:hAnsi="Arial Narrow" w:cs="Tahoma"/>
                <w:sz w:val="20"/>
              </w:rPr>
              <w:t xml:space="preserve"> </w:t>
            </w:r>
            <w:r w:rsidR="000171CD" w:rsidRPr="00DD1979">
              <w:rPr>
                <w:rFonts w:ascii="Arial Narrow" w:hAnsi="Arial Narrow" w:cs="Tahoma"/>
                <w:i/>
                <w:sz w:val="20"/>
              </w:rPr>
              <w:t>has</w:t>
            </w:r>
            <w:r w:rsidRPr="00DD1979">
              <w:rPr>
                <w:rFonts w:ascii="Arial Narrow" w:hAnsi="Arial Narrow" w:cs="Tahoma"/>
                <w:i/>
                <w:sz w:val="20"/>
              </w:rPr>
              <w:t xml:space="preserve"> </w:t>
            </w:r>
            <w:r w:rsidRPr="00DD1979">
              <w:rPr>
                <w:rFonts w:ascii="Arial Narrow" w:hAnsi="Arial Narrow" w:cs="Tahoma"/>
                <w:i/>
                <w:strike/>
                <w:sz w:val="20"/>
              </w:rPr>
              <w:t>is aged under 18 years with</w:t>
            </w:r>
            <w:r w:rsidRPr="00D05718">
              <w:rPr>
                <w:rFonts w:ascii="Arial Narrow" w:hAnsi="Arial Narrow" w:cs="Tahoma"/>
                <w:sz w:val="20"/>
              </w:rPr>
              <w:t xml:space="preserve"> chronic kidney disease (other than cystic disease or Alport syndrome) and is strongly suspected of having a monogenic condition.</w:t>
            </w:r>
          </w:p>
          <w:p w14:paraId="252F10E3" w14:textId="77777777" w:rsidR="004C41BD" w:rsidRPr="001840B3" w:rsidRDefault="004C41BD" w:rsidP="00FE495C">
            <w:pPr>
              <w:spacing w:before="240" w:after="40"/>
              <w:rPr>
                <w:rFonts w:ascii="Arial Narrow" w:hAnsi="Arial Narrow" w:cs="Tahoma"/>
                <w:i/>
                <w:sz w:val="20"/>
              </w:rPr>
            </w:pPr>
            <w:r w:rsidRPr="001840B3">
              <w:rPr>
                <w:rFonts w:ascii="Arial Narrow" w:hAnsi="Arial Narrow" w:cs="Tahoma"/>
                <w:i/>
                <w:sz w:val="20"/>
              </w:rPr>
              <w:t>Applicable once per lifetime.</w:t>
            </w:r>
          </w:p>
        </w:tc>
      </w:tr>
      <w:tr w:rsidR="004C41BD" w:rsidRPr="00D05718" w14:paraId="52E78C23" w14:textId="77777777" w:rsidTr="005E3F29">
        <w:tc>
          <w:tcPr>
            <w:tcW w:w="8885" w:type="dxa"/>
            <w:hideMark/>
          </w:tcPr>
          <w:p w14:paraId="4E2A96C9" w14:textId="77777777" w:rsidR="004C41BD" w:rsidRPr="00D05718" w:rsidRDefault="004C41BD" w:rsidP="00E1141B">
            <w:pPr>
              <w:spacing w:before="40" w:after="40"/>
              <w:rPr>
                <w:rFonts w:ascii="Arial Narrow" w:hAnsi="Arial Narrow" w:cs="Tahoma"/>
                <w:sz w:val="20"/>
              </w:rPr>
            </w:pPr>
            <w:r w:rsidRPr="00D05718">
              <w:rPr>
                <w:rFonts w:ascii="Arial Narrow" w:hAnsi="Arial Narrow" w:cs="Tahoma"/>
                <w:sz w:val="20"/>
              </w:rPr>
              <w:t xml:space="preserve">Fee:  </w:t>
            </w:r>
            <w:r w:rsidRPr="00176275">
              <w:rPr>
                <w:rFonts w:ascii="Arial Narrow" w:hAnsi="Arial Narrow" w:cs="Tahoma"/>
                <w:b/>
                <w:strike/>
                <w:sz w:val="20"/>
              </w:rPr>
              <w:t>$2,400.00</w:t>
            </w:r>
            <w:r w:rsidR="00303C89">
              <w:rPr>
                <w:rFonts w:ascii="Arial Narrow" w:hAnsi="Arial Narrow" w:cs="Tahoma"/>
                <w:b/>
                <w:sz w:val="20"/>
              </w:rPr>
              <w:t xml:space="preserve"> </w:t>
            </w:r>
            <w:r w:rsidR="00303C89" w:rsidRPr="00176275">
              <w:rPr>
                <w:rFonts w:ascii="Arial Narrow" w:hAnsi="Arial Narrow" w:cs="Tahoma"/>
                <w:b/>
                <w:i/>
                <w:sz w:val="20"/>
              </w:rPr>
              <w:t>$2,100.00</w:t>
            </w:r>
            <w:r w:rsidRPr="00D05718">
              <w:rPr>
                <w:rFonts w:ascii="Arial Narrow" w:hAnsi="Arial Narrow" w:cs="Tahoma"/>
                <w:b/>
                <w:sz w:val="20"/>
              </w:rPr>
              <w:t xml:space="preserve">        </w:t>
            </w:r>
            <w:r w:rsidRPr="00D05718">
              <w:rPr>
                <w:rFonts w:ascii="Arial Narrow" w:hAnsi="Arial Narrow" w:cs="Tahoma"/>
                <w:sz w:val="20"/>
              </w:rPr>
              <w:t xml:space="preserve">Benefit: 75% = </w:t>
            </w:r>
            <w:r w:rsidRPr="00176275">
              <w:rPr>
                <w:rFonts w:ascii="Arial Narrow" w:hAnsi="Arial Narrow" w:cs="Tahoma"/>
                <w:b/>
                <w:strike/>
                <w:sz w:val="20"/>
              </w:rPr>
              <w:t>$</w:t>
            </w:r>
            <w:proofErr w:type="gramStart"/>
            <w:r w:rsidRPr="00176275">
              <w:rPr>
                <w:rFonts w:ascii="Arial Narrow" w:hAnsi="Arial Narrow" w:cs="Tahoma"/>
                <w:b/>
                <w:strike/>
                <w:sz w:val="20"/>
              </w:rPr>
              <w:t>1,800.00</w:t>
            </w:r>
            <w:r w:rsidRPr="00303C89">
              <w:rPr>
                <w:rFonts w:ascii="Arial Narrow" w:hAnsi="Arial Narrow" w:cs="Tahoma"/>
                <w:b/>
                <w:sz w:val="20"/>
              </w:rPr>
              <w:t xml:space="preserve"> </w:t>
            </w:r>
            <w:r w:rsidR="00303C89" w:rsidRPr="00303C89">
              <w:rPr>
                <w:rFonts w:ascii="Arial Narrow" w:hAnsi="Arial Narrow" w:cs="Tahoma"/>
                <w:b/>
                <w:sz w:val="20"/>
              </w:rPr>
              <w:t xml:space="preserve"> </w:t>
            </w:r>
            <w:r w:rsidR="00303C89" w:rsidRPr="00176275">
              <w:rPr>
                <w:rFonts w:ascii="Arial Narrow" w:hAnsi="Arial Narrow" w:cs="Tahoma"/>
                <w:b/>
                <w:i/>
                <w:sz w:val="20"/>
              </w:rPr>
              <w:t>$</w:t>
            </w:r>
            <w:proofErr w:type="gramEnd"/>
            <w:r w:rsidR="00303C89" w:rsidRPr="00176275">
              <w:rPr>
                <w:rFonts w:ascii="Arial Narrow" w:hAnsi="Arial Narrow" w:cs="Tahoma"/>
                <w:b/>
                <w:i/>
                <w:sz w:val="20"/>
              </w:rPr>
              <w:t>1,575.00</w:t>
            </w:r>
            <w:r w:rsidRPr="00D05718">
              <w:rPr>
                <w:rFonts w:ascii="Arial Narrow" w:hAnsi="Arial Narrow" w:cs="Tahoma"/>
                <w:sz w:val="20"/>
              </w:rPr>
              <w:t xml:space="preserve">       85% = </w:t>
            </w:r>
            <w:r w:rsidRPr="00176275">
              <w:rPr>
                <w:rFonts w:ascii="Arial Narrow" w:hAnsi="Arial Narrow" w:cs="Tahoma"/>
                <w:b/>
                <w:strike/>
                <w:sz w:val="20"/>
              </w:rPr>
              <w:t>$2,040.00</w:t>
            </w:r>
            <w:r w:rsidR="00303C89">
              <w:rPr>
                <w:rFonts w:ascii="Arial Narrow" w:hAnsi="Arial Narrow" w:cs="Tahoma"/>
                <w:b/>
                <w:sz w:val="20"/>
              </w:rPr>
              <w:t xml:space="preserve"> </w:t>
            </w:r>
            <w:r w:rsidR="00303C89" w:rsidRPr="00176275">
              <w:rPr>
                <w:rFonts w:ascii="Arial Narrow" w:hAnsi="Arial Narrow" w:cs="Tahoma"/>
                <w:b/>
                <w:i/>
                <w:sz w:val="20"/>
              </w:rPr>
              <w:t>$1,785.00</w:t>
            </w:r>
          </w:p>
        </w:tc>
      </w:tr>
    </w:tbl>
    <w:p w14:paraId="17F802DE" w14:textId="666FA7A7" w:rsidR="004C41BD" w:rsidRDefault="004C41BD" w:rsidP="004C41BD">
      <w:pPr>
        <w:pStyle w:val="Tablenotes1"/>
      </w:pPr>
      <w:r>
        <w:t xml:space="preserve">Source: DCAR Table 2, with </w:t>
      </w:r>
      <w:r w:rsidR="00303C89">
        <w:t xml:space="preserve">changes </w:t>
      </w:r>
      <w:r>
        <w:t>made by the Department</w:t>
      </w:r>
      <w:r w:rsidR="00303C89">
        <w:t xml:space="preserve"> and MSAC</w:t>
      </w:r>
      <w:r>
        <w:t xml:space="preserve"> (in italics)</w:t>
      </w:r>
    </w:p>
    <w:p w14:paraId="2092C48F" w14:textId="77777777" w:rsidR="004C41BD" w:rsidRDefault="004C41BD" w:rsidP="004C41BD">
      <w:r>
        <w:lastRenderedPageBreak/>
        <w:t xml:space="preserve">In the pre-ESC response, the applicant stated that funding testing in children but not adults for the same disease would create inequity. </w:t>
      </w:r>
      <w:r w:rsidRPr="005A3528">
        <w:t xml:space="preserve">All causes of </w:t>
      </w:r>
      <w:r>
        <w:t xml:space="preserve">heritable </w:t>
      </w:r>
      <w:r w:rsidRPr="005A3528">
        <w:t>kidney disease that present in childhood may also present for the first time in adults</w:t>
      </w:r>
      <w:r>
        <w:rPr>
          <w:rStyle w:val="FootnoteReference"/>
        </w:rPr>
        <w:footnoteReference w:id="4"/>
      </w:r>
      <w:r w:rsidRPr="005A3528">
        <w:t>. Sometimes the diagnosis is overlooked in childhood</w:t>
      </w:r>
      <w:r>
        <w:t>,</w:t>
      </w:r>
      <w:r w:rsidRPr="005A3528">
        <w:t xml:space="preserve"> but more often this is adult-onset disease. </w:t>
      </w:r>
      <w:r>
        <w:t>Genetic diagnoses made in childhood are usually autosomal recessive variants, whereas those made in adulthood are more likely to be autosomal dominant variants.</w:t>
      </w:r>
    </w:p>
    <w:p w14:paraId="398B677C" w14:textId="77777777" w:rsidR="004C41BD" w:rsidRDefault="004C41BD" w:rsidP="004C41BD">
      <w:r>
        <w:t xml:space="preserve">In the pre-ESC response, the applicant raised concerns about the proposed testing methodology being WGS, when WES is used more often and cheaper. The applicant stated that WES detects 90-95% of genetic variants, and that WGS is only needed for patients suspected to have ADPKD. In the ratified PICO, PASC had earlier noted that the test-agnostic approach could potentially result in suboptimal testing in certain patient groups. PASC advised that a targeted panel / WES is inadequate for patients with ADPKD, and they represent the largest patient subgroup. Based on feedback from </w:t>
      </w:r>
      <w:proofErr w:type="spellStart"/>
      <w:r>
        <w:t>KidGen</w:t>
      </w:r>
      <w:proofErr w:type="spellEnd"/>
      <w:r>
        <w:t xml:space="preserve"> following the April 2020 PASC meeting, PASC stated that the appropriate test methodology for populations 1 and 2 is WGS. The rejoinder responded that the number of studies assessing WGS alone was small, though technological advances mean the cost of WGS is reducing, and adoption of WGS technologies offers increasing efficiency.</w:t>
      </w:r>
    </w:p>
    <w:p w14:paraId="340DC91A" w14:textId="2E437724" w:rsidR="004C41BD" w:rsidRDefault="004C41BD" w:rsidP="004C41BD">
      <w:r>
        <w:t xml:space="preserve">In the pre-ESC response, the applicant stated that the only laboratory currently performing WGS is </w:t>
      </w:r>
      <w:r w:rsidRPr="003C4CBD">
        <w:t xml:space="preserve">Royal Children’s Hospital/Victorian Clinical Genetics Service/Murdoch Children’s Research institute in Melbourne. </w:t>
      </w:r>
      <w:r>
        <w:t>The rejoinder responded that a</w:t>
      </w:r>
      <w:r w:rsidRPr="003C4CBD">
        <w:t xml:space="preserve"> search of the NATA website</w:t>
      </w:r>
      <w:r w:rsidRPr="009A08EC">
        <w:rPr>
          <w:rStyle w:val="FootnoteReference"/>
        </w:rPr>
        <w:footnoteReference w:id="5"/>
      </w:r>
      <w:r w:rsidRPr="003C4CBD">
        <w:t xml:space="preserve"> on 27 January 2021 indicated two additional laboratories in Melbourne (Australian Genome Research Facility and Peter Doherty Institute) and two laboratories in Sydney (</w:t>
      </w:r>
      <w:proofErr w:type="spellStart"/>
      <w:r w:rsidRPr="003C4CBD">
        <w:t>Garvan</w:t>
      </w:r>
      <w:proofErr w:type="spellEnd"/>
      <w:r w:rsidRPr="003C4CBD">
        <w:t xml:space="preserve"> Inst</w:t>
      </w:r>
      <w:r>
        <w:t>itute and NSW Health Pathology)</w:t>
      </w:r>
      <w:r w:rsidRPr="003C4CBD">
        <w:t>. There are 15 sites across Australia accredited to perform WES or NGS.</w:t>
      </w:r>
      <w:r w:rsidR="00DA636E">
        <w:t xml:space="preserve"> In the pre-MSAC response, the applicant stated that genetic testing for heritable kidney disease is widely available in Europe.</w:t>
      </w:r>
    </w:p>
    <w:p w14:paraId="0FE8C81C" w14:textId="2FDAED65" w:rsidR="004C41BD" w:rsidRDefault="004C41BD" w:rsidP="004C41BD">
      <w:pPr>
        <w:pStyle w:val="Caption"/>
      </w:pPr>
      <w:bookmarkStart w:id="2" w:name="_Ref61009261"/>
      <w:r>
        <w:t xml:space="preserve">Table </w:t>
      </w:r>
      <w:fldSimple w:instr=" SEQ Table \* ARABIC ">
        <w:r w:rsidR="00627B6A">
          <w:rPr>
            <w:noProof/>
          </w:rPr>
          <w:t>3</w:t>
        </w:r>
      </w:fldSimple>
      <w:bookmarkEnd w:id="2"/>
      <w:r w:rsidRPr="00045E5B">
        <w:t xml:space="preserve"> </w:t>
      </w:r>
      <w:r>
        <w:tab/>
        <w:t>Proposed item descriptor, data re-interrogation (testing of the affected individual)</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5"/>
      </w:tblGrid>
      <w:tr w:rsidR="004C41BD" w:rsidRPr="00D05718" w14:paraId="5B71135E" w14:textId="77777777" w:rsidTr="005E3F29">
        <w:trPr>
          <w:tblHeader/>
        </w:trPr>
        <w:tc>
          <w:tcPr>
            <w:tcW w:w="8885" w:type="dxa"/>
            <w:hideMark/>
          </w:tcPr>
          <w:p w14:paraId="70518F98" w14:textId="77777777" w:rsidR="004C41BD" w:rsidRDefault="004C41BD" w:rsidP="00E1141B">
            <w:pPr>
              <w:keepNext/>
              <w:spacing w:before="40" w:after="40"/>
              <w:jc w:val="right"/>
              <w:rPr>
                <w:rFonts w:ascii="Arial Narrow" w:hAnsi="Arial Narrow" w:cs="Tahoma"/>
                <w:sz w:val="20"/>
              </w:rPr>
            </w:pPr>
            <w:r w:rsidRPr="00D05718">
              <w:rPr>
                <w:rFonts w:ascii="Arial Narrow" w:hAnsi="Arial Narrow" w:cs="Tahoma"/>
                <w:sz w:val="20"/>
              </w:rPr>
              <w:t xml:space="preserve">Category 6 </w:t>
            </w:r>
            <w:proofErr w:type="gramStart"/>
            <w:r w:rsidRPr="00D05718">
              <w:rPr>
                <w:rFonts w:ascii="Arial Narrow" w:hAnsi="Arial Narrow" w:cs="Tahoma"/>
                <w:sz w:val="20"/>
              </w:rPr>
              <w:t>–  PATHOLOGY</w:t>
            </w:r>
            <w:proofErr w:type="gramEnd"/>
            <w:r w:rsidRPr="00D05718">
              <w:rPr>
                <w:rFonts w:ascii="Arial Narrow" w:hAnsi="Arial Narrow" w:cs="Tahoma"/>
                <w:sz w:val="20"/>
              </w:rPr>
              <w:t xml:space="preserve"> SERVICES </w:t>
            </w:r>
          </w:p>
          <w:p w14:paraId="03FEA79E" w14:textId="77777777" w:rsidR="004C41BD" w:rsidRPr="00D05718" w:rsidRDefault="004C41BD" w:rsidP="00E1141B">
            <w:pPr>
              <w:keepNext/>
              <w:spacing w:before="40" w:after="40"/>
              <w:jc w:val="right"/>
              <w:rPr>
                <w:rFonts w:ascii="Arial Narrow" w:hAnsi="Arial Narrow" w:cs="Tahoma"/>
                <w:sz w:val="20"/>
              </w:rPr>
            </w:pPr>
            <w:r w:rsidRPr="00D05718">
              <w:rPr>
                <w:rFonts w:ascii="Arial Narrow" w:hAnsi="Arial Narrow" w:cs="Tahoma"/>
                <w:sz w:val="20"/>
              </w:rPr>
              <w:t>Group P7 – GENETICS</w:t>
            </w:r>
          </w:p>
        </w:tc>
      </w:tr>
      <w:tr w:rsidR="004C41BD" w14:paraId="66FC9CD0" w14:textId="77777777" w:rsidTr="005E3F29">
        <w:tc>
          <w:tcPr>
            <w:tcW w:w="8885" w:type="dxa"/>
            <w:hideMark/>
          </w:tcPr>
          <w:p w14:paraId="1C00D51E" w14:textId="77777777" w:rsidR="004C41BD" w:rsidRDefault="004C41BD" w:rsidP="00E1141B">
            <w:pPr>
              <w:pStyle w:val="Tabletext"/>
              <w:keepNext/>
            </w:pPr>
            <w:r>
              <w:t>Item BBBB</w:t>
            </w:r>
          </w:p>
        </w:tc>
      </w:tr>
      <w:tr w:rsidR="004C41BD" w14:paraId="3FDA0098" w14:textId="77777777" w:rsidTr="005E3F29">
        <w:tc>
          <w:tcPr>
            <w:tcW w:w="8885" w:type="dxa"/>
          </w:tcPr>
          <w:p w14:paraId="463A4179" w14:textId="2951ABFA" w:rsidR="004C41BD" w:rsidRPr="006658B9" w:rsidRDefault="004C41BD" w:rsidP="00E1141B">
            <w:pPr>
              <w:pStyle w:val="Tabletext"/>
              <w:keepNext/>
            </w:pPr>
            <w:r w:rsidRPr="006658B9">
              <w:t>Re-analysis of genetic data obtained under item AAAA1 or AAAA2, for characterisation of previously unreported germline gene variants related to the clinical phenotype, as requested by a consultant physician practising as a clinical geneticist or a consultant physician practising as a specialist paediatrician</w:t>
            </w:r>
            <w:r w:rsidRPr="00176275">
              <w:rPr>
                <w:i/>
                <w:strike/>
              </w:rPr>
              <w:t>, following consultation with a clinical geneticist</w:t>
            </w:r>
            <w:r w:rsidRPr="006658B9">
              <w:t>, for a patient with a strong clinical suspicion of a monogenic condition.</w:t>
            </w:r>
          </w:p>
          <w:p w14:paraId="43EE9606" w14:textId="77777777" w:rsidR="004C41BD" w:rsidRPr="006658B9" w:rsidRDefault="004C41BD" w:rsidP="00FE495C">
            <w:pPr>
              <w:pStyle w:val="Tabletext"/>
              <w:keepNext/>
              <w:spacing w:before="240"/>
            </w:pPr>
            <w:r w:rsidRPr="006658B9">
              <w:t xml:space="preserve">Performed no more than twice per patient. </w:t>
            </w:r>
          </w:p>
          <w:p w14:paraId="32FE4091" w14:textId="77777777" w:rsidR="004C41BD" w:rsidRPr="006658B9" w:rsidRDefault="004C41BD" w:rsidP="00E1141B">
            <w:pPr>
              <w:pStyle w:val="Tabletext"/>
              <w:keepNext/>
            </w:pPr>
            <w:r w:rsidRPr="006658B9">
              <w:t>Performed at an interval of not less than 18 months following AAAA1 or AAAA2.</w:t>
            </w:r>
          </w:p>
          <w:p w14:paraId="17520016" w14:textId="56526215" w:rsidR="004C41BD" w:rsidRPr="006658B9" w:rsidRDefault="004C41BD" w:rsidP="00E1141B">
            <w:pPr>
              <w:pStyle w:val="Tabletext"/>
              <w:keepNext/>
            </w:pPr>
            <w:r w:rsidRPr="006658B9">
              <w:t>If repeated, must be at an interval of not less than 18 months from previous BBBB</w:t>
            </w:r>
          </w:p>
        </w:tc>
      </w:tr>
      <w:tr w:rsidR="004C41BD" w14:paraId="5241EE74" w14:textId="77777777" w:rsidTr="005E3F29">
        <w:tc>
          <w:tcPr>
            <w:tcW w:w="8885" w:type="dxa"/>
            <w:hideMark/>
          </w:tcPr>
          <w:p w14:paraId="29558E54" w14:textId="73D76018" w:rsidR="004C41BD" w:rsidRPr="006658B9" w:rsidRDefault="004C41BD" w:rsidP="00E1141B">
            <w:pPr>
              <w:pStyle w:val="Tabletext"/>
              <w:keepNext/>
            </w:pPr>
            <w:r w:rsidRPr="006658B9">
              <w:t xml:space="preserve">Fee:  </w:t>
            </w:r>
            <w:r w:rsidRPr="00176275">
              <w:rPr>
                <w:b/>
                <w:strike/>
              </w:rPr>
              <w:t>$576.</w:t>
            </w:r>
            <w:proofErr w:type="gramStart"/>
            <w:r w:rsidRPr="00176275">
              <w:rPr>
                <w:b/>
                <w:strike/>
              </w:rPr>
              <w:t>00</w:t>
            </w:r>
            <w:r>
              <w:t xml:space="preserve"> </w:t>
            </w:r>
            <w:r w:rsidR="00303C89" w:rsidRPr="00303C89">
              <w:rPr>
                <w:b/>
              </w:rPr>
              <w:t xml:space="preserve"> </w:t>
            </w:r>
            <w:r w:rsidR="00303C89" w:rsidRPr="00176275">
              <w:rPr>
                <w:b/>
                <w:i/>
              </w:rPr>
              <w:t>$</w:t>
            </w:r>
            <w:proofErr w:type="gramEnd"/>
            <w:r w:rsidR="00303C89" w:rsidRPr="00176275">
              <w:rPr>
                <w:b/>
                <w:i/>
              </w:rPr>
              <w:t>500.00</w:t>
            </w:r>
            <w:r w:rsidR="00FE495C">
              <w:rPr>
                <w:b/>
              </w:rPr>
              <w:t xml:space="preserve">   </w:t>
            </w:r>
            <w:r w:rsidRPr="006658B9">
              <w:t xml:space="preserve">Benefit: 75% </w:t>
            </w:r>
            <w:r w:rsidRPr="00176275">
              <w:rPr>
                <w:strike/>
              </w:rPr>
              <w:t xml:space="preserve">= </w:t>
            </w:r>
            <w:r w:rsidRPr="00176275">
              <w:rPr>
                <w:b/>
                <w:strike/>
              </w:rPr>
              <w:t>$432.00</w:t>
            </w:r>
            <w:r w:rsidR="00303C89">
              <w:rPr>
                <w:b/>
              </w:rPr>
              <w:t xml:space="preserve"> </w:t>
            </w:r>
            <w:r w:rsidR="00303C89" w:rsidRPr="00176275">
              <w:rPr>
                <w:b/>
                <w:i/>
              </w:rPr>
              <w:t>$375.00</w:t>
            </w:r>
            <w:r w:rsidR="00FE495C">
              <w:t xml:space="preserve">   </w:t>
            </w:r>
            <w:r w:rsidRPr="006658B9">
              <w:t xml:space="preserve">85% = </w:t>
            </w:r>
            <w:r w:rsidRPr="00176275">
              <w:rPr>
                <w:b/>
                <w:strike/>
              </w:rPr>
              <w:t>$489.60</w:t>
            </w:r>
            <w:r w:rsidR="00303C89">
              <w:rPr>
                <w:b/>
              </w:rPr>
              <w:t xml:space="preserve"> </w:t>
            </w:r>
            <w:r w:rsidR="00303C89" w:rsidRPr="00176275">
              <w:rPr>
                <w:b/>
                <w:i/>
              </w:rPr>
              <w:t>$425.00</w:t>
            </w:r>
          </w:p>
        </w:tc>
      </w:tr>
    </w:tbl>
    <w:p w14:paraId="4665ABFC" w14:textId="20B9E35B" w:rsidR="004C41BD" w:rsidRDefault="004C41BD" w:rsidP="004C41BD">
      <w:pPr>
        <w:pStyle w:val="Tablenotes1"/>
      </w:pPr>
      <w:r>
        <w:t>Source: DCAR, Table 3</w:t>
      </w:r>
      <w:r w:rsidR="00303C89">
        <w:t>, with changes made by MSAC (</w:t>
      </w:r>
      <w:r w:rsidR="00EC3BD3">
        <w:t xml:space="preserve">in </w:t>
      </w:r>
      <w:r w:rsidR="00303C89">
        <w:t>italics)</w:t>
      </w:r>
    </w:p>
    <w:p w14:paraId="4583C634" w14:textId="3280823E" w:rsidR="004C41BD" w:rsidRDefault="004C41BD" w:rsidP="004C41BD">
      <w:pPr>
        <w:pStyle w:val="Caption"/>
      </w:pPr>
      <w:bookmarkStart w:id="3" w:name="_Ref61009266"/>
      <w:r>
        <w:lastRenderedPageBreak/>
        <w:t xml:space="preserve">Table </w:t>
      </w:r>
      <w:fldSimple w:instr=" SEQ Table \* ARABIC ">
        <w:r w:rsidR="00627B6A">
          <w:rPr>
            <w:noProof/>
          </w:rPr>
          <w:t>4</w:t>
        </w:r>
      </w:fldSimple>
      <w:bookmarkEnd w:id="3"/>
      <w:r w:rsidRPr="00045E5B">
        <w:t xml:space="preserve"> </w:t>
      </w:r>
      <w:r>
        <w:tab/>
        <w:t xml:space="preserve">Proposed item descriptor, cascade testing of </w:t>
      </w:r>
      <w:proofErr w:type="gramStart"/>
      <w:r>
        <w:t>first degree</w:t>
      </w:r>
      <w:proofErr w:type="gramEnd"/>
      <w:r>
        <w:t xml:space="preserve"> relatives</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5"/>
      </w:tblGrid>
      <w:tr w:rsidR="004C41BD" w:rsidRPr="00D05718" w14:paraId="36934C19" w14:textId="77777777" w:rsidTr="005E3F29">
        <w:trPr>
          <w:tblHeader/>
        </w:trPr>
        <w:tc>
          <w:tcPr>
            <w:tcW w:w="8885" w:type="dxa"/>
            <w:hideMark/>
          </w:tcPr>
          <w:p w14:paraId="6B5782B1" w14:textId="77777777" w:rsidR="004C41BD" w:rsidRDefault="004C41BD" w:rsidP="00E1141B">
            <w:pPr>
              <w:keepNext/>
              <w:spacing w:before="40" w:after="40"/>
              <w:jc w:val="right"/>
              <w:rPr>
                <w:rFonts w:ascii="Arial Narrow" w:hAnsi="Arial Narrow" w:cs="Tahoma"/>
                <w:sz w:val="20"/>
              </w:rPr>
            </w:pPr>
            <w:r w:rsidRPr="00D05718">
              <w:rPr>
                <w:rFonts w:ascii="Arial Narrow" w:hAnsi="Arial Narrow" w:cs="Tahoma"/>
                <w:sz w:val="20"/>
              </w:rPr>
              <w:t xml:space="preserve">Category 6 </w:t>
            </w:r>
            <w:proofErr w:type="gramStart"/>
            <w:r w:rsidRPr="00D05718">
              <w:rPr>
                <w:rFonts w:ascii="Arial Narrow" w:hAnsi="Arial Narrow" w:cs="Tahoma"/>
                <w:sz w:val="20"/>
              </w:rPr>
              <w:t>–  PATHOLOGY</w:t>
            </w:r>
            <w:proofErr w:type="gramEnd"/>
            <w:r w:rsidRPr="00D05718">
              <w:rPr>
                <w:rFonts w:ascii="Arial Narrow" w:hAnsi="Arial Narrow" w:cs="Tahoma"/>
                <w:sz w:val="20"/>
              </w:rPr>
              <w:t xml:space="preserve"> SERVICES </w:t>
            </w:r>
          </w:p>
          <w:p w14:paraId="173DBD49" w14:textId="77777777" w:rsidR="004C41BD" w:rsidRPr="00D05718" w:rsidRDefault="004C41BD" w:rsidP="00E1141B">
            <w:pPr>
              <w:keepNext/>
              <w:spacing w:before="40" w:after="40"/>
              <w:jc w:val="right"/>
              <w:rPr>
                <w:rFonts w:ascii="Arial Narrow" w:hAnsi="Arial Narrow" w:cs="Tahoma"/>
                <w:sz w:val="20"/>
              </w:rPr>
            </w:pPr>
            <w:r w:rsidRPr="00D05718">
              <w:rPr>
                <w:rFonts w:ascii="Arial Narrow" w:hAnsi="Arial Narrow" w:cs="Tahoma"/>
                <w:sz w:val="20"/>
              </w:rPr>
              <w:t>Group P7 – GENETICS</w:t>
            </w:r>
          </w:p>
        </w:tc>
      </w:tr>
      <w:tr w:rsidR="004C41BD" w14:paraId="31484D67" w14:textId="77777777" w:rsidTr="005E3F29">
        <w:tc>
          <w:tcPr>
            <w:tcW w:w="8885" w:type="dxa"/>
            <w:hideMark/>
          </w:tcPr>
          <w:p w14:paraId="4BDB25DC" w14:textId="77777777" w:rsidR="004C41BD" w:rsidRDefault="004C41BD" w:rsidP="00E1141B">
            <w:pPr>
              <w:pStyle w:val="Tabletext"/>
            </w:pPr>
            <w:r>
              <w:t>Item CCCC</w:t>
            </w:r>
          </w:p>
        </w:tc>
      </w:tr>
      <w:tr w:rsidR="004C41BD" w14:paraId="1A8C1440" w14:textId="77777777" w:rsidTr="005E3F29">
        <w:tc>
          <w:tcPr>
            <w:tcW w:w="8885" w:type="dxa"/>
            <w:hideMark/>
          </w:tcPr>
          <w:p w14:paraId="2A66AB75" w14:textId="352D844B" w:rsidR="004C41BD" w:rsidRDefault="004C41BD" w:rsidP="00E1141B">
            <w:pPr>
              <w:pStyle w:val="Tabletext"/>
            </w:pPr>
            <w:r>
              <w:t>Request by a clinical geneticist, or requested by a specialist or consultant physician providing professional genetic counselling services, for detection of a single gene variant in a first degree relative of a patient with a known monogenic cause of kidney disease where previous genetic testing under item AAAA1, AAAA2, or BBBB has identified the causative variant.</w:t>
            </w:r>
          </w:p>
          <w:p w14:paraId="1E46BB4C" w14:textId="6AB7C192" w:rsidR="004C41BD" w:rsidRPr="00FE495C" w:rsidRDefault="004C41BD" w:rsidP="00FE495C">
            <w:pPr>
              <w:pStyle w:val="Tabletext"/>
              <w:spacing w:before="240"/>
              <w:rPr>
                <w:i/>
                <w:u w:color="FF0000"/>
              </w:rPr>
            </w:pPr>
            <w:r w:rsidRPr="001840B3">
              <w:rPr>
                <w:i/>
              </w:rPr>
              <w:t>Applicable once per variant per lifetime.</w:t>
            </w:r>
          </w:p>
        </w:tc>
      </w:tr>
      <w:tr w:rsidR="004C41BD" w14:paraId="70A9BF7B" w14:textId="77777777" w:rsidTr="005E3F29">
        <w:tc>
          <w:tcPr>
            <w:tcW w:w="8885" w:type="dxa"/>
            <w:hideMark/>
          </w:tcPr>
          <w:p w14:paraId="0AF1933A" w14:textId="15B48674" w:rsidR="004C41BD" w:rsidRDefault="004C41BD" w:rsidP="00E1141B">
            <w:pPr>
              <w:pStyle w:val="Tabletext"/>
            </w:pPr>
            <w:r>
              <w:t xml:space="preserve">Fee:  </w:t>
            </w:r>
            <w:r w:rsidRPr="00045E5B">
              <w:rPr>
                <w:b/>
              </w:rPr>
              <w:t>$400.00</w:t>
            </w:r>
            <w:r w:rsidR="00FE495C">
              <w:t xml:space="preserve">   </w:t>
            </w:r>
            <w:r>
              <w:t xml:space="preserve">Benefit: 75% = </w:t>
            </w:r>
            <w:r w:rsidRPr="00045E5B">
              <w:rPr>
                <w:b/>
              </w:rPr>
              <w:t>$300.00</w:t>
            </w:r>
            <w:r w:rsidR="00FE495C">
              <w:t xml:space="preserve">   </w:t>
            </w:r>
            <w:r>
              <w:t xml:space="preserve">85% = </w:t>
            </w:r>
            <w:r w:rsidRPr="00045E5B">
              <w:rPr>
                <w:b/>
              </w:rPr>
              <w:t>$340.00</w:t>
            </w:r>
          </w:p>
        </w:tc>
      </w:tr>
    </w:tbl>
    <w:p w14:paraId="3B23C05A" w14:textId="77777777" w:rsidR="004C41BD" w:rsidRDefault="004C41BD" w:rsidP="004C41BD">
      <w:pPr>
        <w:pStyle w:val="Tablenotes1"/>
      </w:pPr>
      <w:r>
        <w:t>Source: DCAR Table 4, with additions made by the Department (in italics)</w:t>
      </w:r>
    </w:p>
    <w:p w14:paraId="65972179" w14:textId="77777777" w:rsidR="004C41BD" w:rsidRDefault="004C41BD" w:rsidP="004C41BD">
      <w:r>
        <w:t>The DCAR noted that a</w:t>
      </w:r>
      <w:r w:rsidRPr="00D77AAB">
        <w:t xml:space="preserve">lthough PASC raised the question of reproductive partner testing for recessive conditions, no MBS item was proposed for </w:t>
      </w:r>
      <w:r>
        <w:t>reproductive partner testing</w:t>
      </w:r>
      <w:r w:rsidRPr="00D77AAB">
        <w:t xml:space="preserve"> in the ratified PICO.</w:t>
      </w:r>
      <w:r>
        <w:t xml:space="preserve"> It was therefore not included in the DCAR. In the pre-ESC response, the applicant commented that patients’ major reason for genetic testing is to have children who do not inherit the disease. In </w:t>
      </w:r>
      <w:proofErr w:type="gramStart"/>
      <w:r>
        <w:t>general</w:t>
      </w:r>
      <w:proofErr w:type="gramEnd"/>
      <w:r>
        <w:t xml:space="preserve"> they use PGT prior to IVF, for which the genetic variant needs to be known.</w:t>
      </w:r>
    </w:p>
    <w:p w14:paraId="31234F4D" w14:textId="08027104" w:rsidR="00FE495C" w:rsidRPr="00FE495C" w:rsidRDefault="004C41BD" w:rsidP="00FE495C">
      <w:r>
        <w:t xml:space="preserve">At the Department’s request, MBS items for reproductive partner testing (population 4; </w:t>
      </w:r>
      <w:fldSimple w:instr=" REF _Ref64887580 ">
        <w:r>
          <w:t xml:space="preserve">Table </w:t>
        </w:r>
        <w:r>
          <w:rPr>
            <w:noProof/>
          </w:rPr>
          <w:t>5</w:t>
        </w:r>
      </w:fldSimple>
      <w:r>
        <w:t xml:space="preserve">) and </w:t>
      </w:r>
      <w:proofErr w:type="spellStart"/>
      <w:r>
        <w:t>fetal</w:t>
      </w:r>
      <w:proofErr w:type="spellEnd"/>
      <w:r>
        <w:t xml:space="preserve"> testing (population 5; </w:t>
      </w:r>
      <w:fldSimple w:instr=" REF _Ref64887586 ">
        <w:r>
          <w:t xml:space="preserve">Table </w:t>
        </w:r>
        <w:r>
          <w:rPr>
            <w:noProof/>
          </w:rPr>
          <w:t>6</w:t>
        </w:r>
      </w:fldSimple>
      <w:r>
        <w:t>) were added in the rejoinder.</w:t>
      </w:r>
      <w:bookmarkStart w:id="4" w:name="_Ref64887580"/>
    </w:p>
    <w:p w14:paraId="0677C77B" w14:textId="196775EA" w:rsidR="004C41BD" w:rsidRDefault="004C41BD" w:rsidP="004C41BD">
      <w:pPr>
        <w:pStyle w:val="Caption"/>
        <w:jc w:val="left"/>
      </w:pPr>
      <w:r>
        <w:lastRenderedPageBreak/>
        <w:t xml:space="preserve">Table </w:t>
      </w:r>
      <w:fldSimple w:instr=" SEQ Table \* ARABIC ">
        <w:r w:rsidR="00627B6A">
          <w:rPr>
            <w:noProof/>
          </w:rPr>
          <w:t>5</w:t>
        </w:r>
      </w:fldSimple>
      <w:bookmarkEnd w:id="4"/>
      <w:r>
        <w:t xml:space="preserve"> </w:t>
      </w:r>
      <w:r>
        <w:tab/>
        <w:t>Proposed</w:t>
      </w:r>
      <w:r w:rsidRPr="00CC394D">
        <w:t xml:space="preserve"> </w:t>
      </w:r>
      <w:r w:rsidRPr="00183E4D">
        <w:t>descriptor</w:t>
      </w:r>
      <w:r>
        <w:t>, g</w:t>
      </w:r>
      <w:r w:rsidRPr="008E7AE8">
        <w:t xml:space="preserve">enetic testing for the purpose of </w:t>
      </w:r>
      <w:r>
        <w:t>reproductive decision making</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8"/>
      </w:tblGrid>
      <w:tr w:rsidR="004C41BD" w:rsidRPr="00D05718" w14:paraId="317F0012" w14:textId="77777777" w:rsidTr="005E3F29">
        <w:trPr>
          <w:tblHeader/>
        </w:trPr>
        <w:tc>
          <w:tcPr>
            <w:tcW w:w="8888" w:type="dxa"/>
            <w:hideMark/>
          </w:tcPr>
          <w:p w14:paraId="3C2C71F5" w14:textId="77777777" w:rsidR="004C41BD" w:rsidRDefault="004C41BD" w:rsidP="00E1141B">
            <w:pPr>
              <w:keepNext/>
              <w:spacing w:before="40" w:after="40"/>
              <w:jc w:val="right"/>
              <w:rPr>
                <w:rFonts w:ascii="Arial Narrow" w:hAnsi="Arial Narrow" w:cs="Tahoma"/>
                <w:sz w:val="20"/>
              </w:rPr>
            </w:pPr>
            <w:r w:rsidRPr="00D05718">
              <w:rPr>
                <w:rFonts w:ascii="Arial Narrow" w:hAnsi="Arial Narrow" w:cs="Tahoma"/>
                <w:sz w:val="20"/>
              </w:rPr>
              <w:t xml:space="preserve">Category 6 </w:t>
            </w:r>
            <w:proofErr w:type="gramStart"/>
            <w:r w:rsidRPr="00D05718">
              <w:rPr>
                <w:rFonts w:ascii="Arial Narrow" w:hAnsi="Arial Narrow" w:cs="Tahoma"/>
                <w:sz w:val="20"/>
              </w:rPr>
              <w:t>–  PATHOLOGY</w:t>
            </w:r>
            <w:proofErr w:type="gramEnd"/>
            <w:r w:rsidRPr="00D05718">
              <w:rPr>
                <w:rFonts w:ascii="Arial Narrow" w:hAnsi="Arial Narrow" w:cs="Tahoma"/>
                <w:sz w:val="20"/>
              </w:rPr>
              <w:t xml:space="preserve"> SERVICES </w:t>
            </w:r>
          </w:p>
          <w:p w14:paraId="101C874B" w14:textId="77777777" w:rsidR="004C41BD" w:rsidRPr="00D05718" w:rsidRDefault="004C41BD" w:rsidP="00E1141B">
            <w:pPr>
              <w:keepNext/>
              <w:spacing w:before="40" w:after="40"/>
              <w:jc w:val="right"/>
              <w:rPr>
                <w:rFonts w:ascii="Arial Narrow" w:hAnsi="Arial Narrow" w:cs="Tahoma"/>
                <w:sz w:val="20"/>
              </w:rPr>
            </w:pPr>
            <w:r w:rsidRPr="00D05718">
              <w:rPr>
                <w:rFonts w:ascii="Arial Narrow" w:hAnsi="Arial Narrow" w:cs="Tahoma"/>
                <w:sz w:val="20"/>
              </w:rPr>
              <w:t>Group P7 – GENETICS</w:t>
            </w:r>
          </w:p>
        </w:tc>
      </w:tr>
      <w:tr w:rsidR="004C41BD" w:rsidRPr="009A08EC" w14:paraId="5A5AC3C9" w14:textId="77777777" w:rsidTr="005E3F29">
        <w:tc>
          <w:tcPr>
            <w:tcW w:w="8888" w:type="dxa"/>
          </w:tcPr>
          <w:p w14:paraId="70327260" w14:textId="77777777" w:rsidR="004C41BD" w:rsidRPr="009A08EC" w:rsidRDefault="004C41BD" w:rsidP="00E1141B">
            <w:pPr>
              <w:pStyle w:val="Tabletext"/>
            </w:pPr>
            <w:r w:rsidRPr="009A08EC">
              <w:t>Item DDDD</w:t>
            </w:r>
          </w:p>
        </w:tc>
      </w:tr>
      <w:tr w:rsidR="004C41BD" w:rsidRPr="009A08EC" w14:paraId="5E16F91C" w14:textId="77777777" w:rsidTr="005E3F29">
        <w:tc>
          <w:tcPr>
            <w:tcW w:w="8888" w:type="dxa"/>
          </w:tcPr>
          <w:p w14:paraId="6715DA0C" w14:textId="5B83B167" w:rsidR="004C41BD" w:rsidRPr="009A08EC" w:rsidRDefault="004C41BD" w:rsidP="00E1141B">
            <w:pPr>
              <w:pStyle w:val="Tabletext"/>
            </w:pPr>
            <w:r w:rsidRPr="009A08EC">
              <w:t xml:space="preserve">Detection of variants of a single gene known to cause </w:t>
            </w:r>
            <w:r w:rsidRPr="00733947">
              <w:t>herit</w:t>
            </w:r>
            <w:r w:rsidR="00733947">
              <w:t>abl</w:t>
            </w:r>
            <w:r w:rsidRPr="00733947">
              <w:t>e</w:t>
            </w:r>
            <w:r w:rsidRPr="009A08EC">
              <w:t xml:space="preserve"> kidney disease for the purpose of reproductive decision making, if:</w:t>
            </w:r>
          </w:p>
          <w:p w14:paraId="4C5AEB01" w14:textId="77777777" w:rsidR="004C41BD" w:rsidRPr="009A08EC" w:rsidRDefault="004C41BD" w:rsidP="0008746D">
            <w:pPr>
              <w:pStyle w:val="Tabletext"/>
              <w:numPr>
                <w:ilvl w:val="0"/>
                <w:numId w:val="5"/>
              </w:numPr>
            </w:pPr>
            <w:r w:rsidRPr="009A08EC">
              <w:t>The detection is:</w:t>
            </w:r>
          </w:p>
          <w:p w14:paraId="56F66DBD" w14:textId="77777777" w:rsidR="004C41BD" w:rsidRPr="009A08EC" w:rsidRDefault="004C41BD" w:rsidP="00E1141B">
            <w:pPr>
              <w:pStyle w:val="Tabletext"/>
              <w:ind w:left="720"/>
            </w:pPr>
            <w:r w:rsidRPr="009A08EC">
              <w:t>(</w:t>
            </w:r>
            <w:proofErr w:type="spellStart"/>
            <w:r w:rsidRPr="009A08EC">
              <w:t>i</w:t>
            </w:r>
            <w:proofErr w:type="spellEnd"/>
            <w:r w:rsidRPr="009A08EC">
              <w:t>) requested by a consultant physician practising as a clinical geneticist; or</w:t>
            </w:r>
          </w:p>
          <w:p w14:paraId="46DCC679" w14:textId="77777777" w:rsidR="004C41BD" w:rsidRPr="009A08EC" w:rsidRDefault="004C41BD" w:rsidP="00E1141B">
            <w:pPr>
              <w:pStyle w:val="Tabletext"/>
              <w:ind w:left="720"/>
            </w:pPr>
            <w:r w:rsidRPr="009A08EC">
              <w:t xml:space="preserve">(ii) requested by a consultant physician practising as a specialist nephrologist, </w:t>
            </w:r>
            <w:r w:rsidRPr="00176275">
              <w:rPr>
                <w:i/>
                <w:strike/>
              </w:rPr>
              <w:t>following consultation with a clinical geneticist</w:t>
            </w:r>
            <w:r w:rsidRPr="009A08EC">
              <w:t>; and</w:t>
            </w:r>
          </w:p>
          <w:p w14:paraId="1EB6EF7E" w14:textId="77777777" w:rsidR="004C41BD" w:rsidRPr="009A08EC" w:rsidRDefault="004C41BD" w:rsidP="0008746D">
            <w:pPr>
              <w:pStyle w:val="Tabletext"/>
              <w:numPr>
                <w:ilvl w:val="0"/>
                <w:numId w:val="5"/>
              </w:numPr>
            </w:pPr>
            <w:r w:rsidRPr="009A08EC">
              <w:t xml:space="preserve">The patient: </w:t>
            </w:r>
          </w:p>
          <w:p w14:paraId="6B0E7EF3" w14:textId="4F1FFBC7" w:rsidR="004C41BD" w:rsidRPr="009A08EC" w:rsidRDefault="004C41BD" w:rsidP="00E1141B">
            <w:pPr>
              <w:pStyle w:val="Tabletext"/>
              <w:ind w:left="720"/>
            </w:pPr>
            <w:r w:rsidRPr="009A08EC">
              <w:t>(</w:t>
            </w:r>
            <w:proofErr w:type="spellStart"/>
            <w:r w:rsidRPr="009A08EC">
              <w:t>i</w:t>
            </w:r>
            <w:proofErr w:type="spellEnd"/>
            <w:r w:rsidRPr="009A08EC">
              <w:t xml:space="preserve">) is the reproductive partner of an individual known to be a carrier of pathogenic variant/s causative of </w:t>
            </w:r>
            <w:r w:rsidRPr="00733947">
              <w:t>herit</w:t>
            </w:r>
            <w:r w:rsidR="00733947">
              <w:t>abl</w:t>
            </w:r>
            <w:r w:rsidRPr="00733947">
              <w:t>e</w:t>
            </w:r>
            <w:r w:rsidRPr="009A08EC">
              <w:t xml:space="preserve"> kidney disease</w:t>
            </w:r>
            <w:r w:rsidR="007A0404">
              <w:t xml:space="preserve"> that has a</w:t>
            </w:r>
            <w:r w:rsidR="00033974">
              <w:t xml:space="preserve"> </w:t>
            </w:r>
            <w:r w:rsidR="007A0404">
              <w:t>recessive mode of inheritance</w:t>
            </w:r>
            <w:r w:rsidRPr="009A08EC">
              <w:t>; and</w:t>
            </w:r>
          </w:p>
          <w:p w14:paraId="262929BD" w14:textId="77777777" w:rsidR="004C41BD" w:rsidRPr="009A08EC" w:rsidRDefault="004C41BD" w:rsidP="00E1141B">
            <w:pPr>
              <w:pStyle w:val="Tabletext"/>
              <w:ind w:left="720"/>
            </w:pPr>
            <w:r w:rsidRPr="009A08EC">
              <w:t>(ii) a service to which item AAAA1, AAAA2, BBBB or CCCC applies has identified the causative gene for the patient’s reproductive partner</w:t>
            </w:r>
          </w:p>
          <w:p w14:paraId="1432FC13" w14:textId="77777777" w:rsidR="004C41BD" w:rsidRPr="009A08EC" w:rsidRDefault="004C41BD" w:rsidP="0008746D">
            <w:pPr>
              <w:pStyle w:val="Tabletext"/>
              <w:numPr>
                <w:ilvl w:val="0"/>
                <w:numId w:val="5"/>
              </w:numPr>
            </w:pPr>
            <w:r w:rsidRPr="009A08EC">
              <w:t>The test methodology has:</w:t>
            </w:r>
          </w:p>
          <w:p w14:paraId="41AE7DA5" w14:textId="2A1CEFBF" w:rsidR="004C41BD" w:rsidRPr="009A08EC" w:rsidRDefault="004C41BD" w:rsidP="00FE495C">
            <w:pPr>
              <w:pStyle w:val="Tabletext"/>
              <w:ind w:left="720"/>
            </w:pPr>
            <w:r w:rsidRPr="009A08EC">
              <w:t>(</w:t>
            </w:r>
            <w:proofErr w:type="spellStart"/>
            <w:r w:rsidRPr="009A08EC">
              <w:t>i</w:t>
            </w:r>
            <w:proofErr w:type="spellEnd"/>
            <w:r w:rsidRPr="009A08EC">
              <w:t>) sufficient diagnostic range and sensitivity to detect at least 95% of pathogenic variant/s likely to be present in the patient.</w:t>
            </w:r>
          </w:p>
        </w:tc>
      </w:tr>
      <w:tr w:rsidR="004C41BD" w:rsidRPr="009A08EC" w14:paraId="17B0E190" w14:textId="77777777" w:rsidTr="005E3F29">
        <w:tc>
          <w:tcPr>
            <w:tcW w:w="8888" w:type="dxa"/>
          </w:tcPr>
          <w:p w14:paraId="325F93AB" w14:textId="0BD99C33" w:rsidR="004C41BD" w:rsidRPr="009A08EC" w:rsidRDefault="004C41BD" w:rsidP="00E1141B">
            <w:pPr>
              <w:pStyle w:val="Tabletext"/>
            </w:pPr>
            <w:r w:rsidRPr="009A08EC">
              <w:t xml:space="preserve">Fee:  </w:t>
            </w:r>
            <w:r w:rsidRPr="00D02A26">
              <w:rPr>
                <w:b/>
                <w:i/>
                <w:strike/>
              </w:rPr>
              <w:t>$500.00</w:t>
            </w:r>
            <w:r w:rsidR="00627B6A" w:rsidRPr="00D02A26">
              <w:rPr>
                <w:b/>
                <w:i/>
              </w:rPr>
              <w:t xml:space="preserve"> $1200.00</w:t>
            </w:r>
          </w:p>
        </w:tc>
      </w:tr>
      <w:tr w:rsidR="004C41BD" w:rsidRPr="009A08EC" w14:paraId="1D881B26" w14:textId="77777777" w:rsidTr="005E3F29">
        <w:tc>
          <w:tcPr>
            <w:tcW w:w="8888" w:type="dxa"/>
          </w:tcPr>
          <w:p w14:paraId="77CA0E00" w14:textId="5271608C" w:rsidR="004C41BD" w:rsidRPr="009A08EC" w:rsidRDefault="004C41BD" w:rsidP="00627B6A">
            <w:pPr>
              <w:pStyle w:val="Tabletext"/>
            </w:pPr>
            <w:r w:rsidRPr="009A08EC">
              <w:t xml:space="preserve">Benefit: 75% = </w:t>
            </w:r>
            <w:r w:rsidRPr="00D02A26">
              <w:rPr>
                <w:b/>
                <w:i/>
                <w:strike/>
              </w:rPr>
              <w:t>$375.00</w:t>
            </w:r>
            <w:r w:rsidR="007C7507">
              <w:rPr>
                <w:b/>
                <w:i/>
              </w:rPr>
              <w:t xml:space="preserve"> $900.00</w:t>
            </w:r>
            <w:r w:rsidR="00FE495C">
              <w:rPr>
                <w:b/>
              </w:rPr>
              <w:t xml:space="preserve">   </w:t>
            </w:r>
            <w:r w:rsidRPr="009A08EC">
              <w:t xml:space="preserve">85% = </w:t>
            </w:r>
            <w:r w:rsidRPr="00D02A26">
              <w:rPr>
                <w:b/>
                <w:i/>
                <w:strike/>
              </w:rPr>
              <w:t>$425.00</w:t>
            </w:r>
            <w:r w:rsidR="007C7507">
              <w:rPr>
                <w:b/>
                <w:i/>
              </w:rPr>
              <w:t xml:space="preserve"> $1020.00</w:t>
            </w:r>
          </w:p>
        </w:tc>
      </w:tr>
    </w:tbl>
    <w:p w14:paraId="0986521B" w14:textId="4735E8C8" w:rsidR="004C41BD" w:rsidRDefault="004C41BD" w:rsidP="004C41BD">
      <w:pPr>
        <w:pStyle w:val="Tablenotes1"/>
      </w:pPr>
      <w:r>
        <w:t>Source: Rejoinder Table R1</w:t>
      </w:r>
      <w:r w:rsidR="008509D0">
        <w:t>, with changes made by MSAC</w:t>
      </w:r>
      <w:r w:rsidR="00EC3BD3">
        <w:t xml:space="preserve"> (in italics)</w:t>
      </w:r>
      <w:r>
        <w:t>.</w:t>
      </w:r>
    </w:p>
    <w:p w14:paraId="01088C5C" w14:textId="6F5EDCCD" w:rsidR="004C41BD" w:rsidRDefault="004C41BD" w:rsidP="004C41BD">
      <w:pPr>
        <w:pStyle w:val="Caption"/>
        <w:jc w:val="left"/>
      </w:pPr>
      <w:bookmarkStart w:id="5" w:name="_Ref64887586"/>
      <w:r>
        <w:t xml:space="preserve">Table </w:t>
      </w:r>
      <w:fldSimple w:instr=" SEQ Table \* ARABIC ">
        <w:r w:rsidR="00627B6A">
          <w:rPr>
            <w:noProof/>
          </w:rPr>
          <w:t>6</w:t>
        </w:r>
      </w:fldSimple>
      <w:bookmarkEnd w:id="5"/>
      <w:r>
        <w:t xml:space="preserve"> </w:t>
      </w:r>
      <w:r>
        <w:tab/>
        <w:t xml:space="preserve">Proposed </w:t>
      </w:r>
      <w:r w:rsidRPr="00183E4D">
        <w:t>descriptor</w:t>
      </w:r>
      <w:r>
        <w:t>, g</w:t>
      </w:r>
      <w:r w:rsidRPr="008E7AE8">
        <w:t xml:space="preserve">enetic testing for the purpose of </w:t>
      </w:r>
      <w:r>
        <w:t xml:space="preserve">determining variant/s in a </w:t>
      </w:r>
      <w:proofErr w:type="spellStart"/>
      <w:r>
        <w:t>fetus</w:t>
      </w:r>
      <w:proofErr w:type="spellEnd"/>
      <w:r>
        <w:t xml:space="preserve"> where one or both parents are carriers</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8"/>
      </w:tblGrid>
      <w:tr w:rsidR="004C41BD" w:rsidRPr="00D05718" w14:paraId="20FCD5CE" w14:textId="77777777" w:rsidTr="005E3F29">
        <w:trPr>
          <w:tblHeader/>
        </w:trPr>
        <w:tc>
          <w:tcPr>
            <w:tcW w:w="8888" w:type="dxa"/>
            <w:hideMark/>
          </w:tcPr>
          <w:p w14:paraId="3FFD61E4" w14:textId="77777777" w:rsidR="004C41BD" w:rsidRDefault="004C41BD" w:rsidP="00E1141B">
            <w:pPr>
              <w:keepNext/>
              <w:spacing w:before="40" w:after="40"/>
              <w:jc w:val="right"/>
              <w:rPr>
                <w:rFonts w:ascii="Arial Narrow" w:hAnsi="Arial Narrow" w:cs="Tahoma"/>
                <w:sz w:val="20"/>
              </w:rPr>
            </w:pPr>
            <w:r w:rsidRPr="00D05718">
              <w:rPr>
                <w:rFonts w:ascii="Arial Narrow" w:hAnsi="Arial Narrow" w:cs="Tahoma"/>
                <w:sz w:val="20"/>
              </w:rPr>
              <w:t xml:space="preserve">Category 6 </w:t>
            </w:r>
            <w:proofErr w:type="gramStart"/>
            <w:r w:rsidRPr="00D05718">
              <w:rPr>
                <w:rFonts w:ascii="Arial Narrow" w:hAnsi="Arial Narrow" w:cs="Tahoma"/>
                <w:sz w:val="20"/>
              </w:rPr>
              <w:t>–  PATHOLOGY</w:t>
            </w:r>
            <w:proofErr w:type="gramEnd"/>
            <w:r w:rsidRPr="00D05718">
              <w:rPr>
                <w:rFonts w:ascii="Arial Narrow" w:hAnsi="Arial Narrow" w:cs="Tahoma"/>
                <w:sz w:val="20"/>
              </w:rPr>
              <w:t xml:space="preserve"> SERVICES </w:t>
            </w:r>
          </w:p>
          <w:p w14:paraId="76A131B5" w14:textId="77777777" w:rsidR="004C41BD" w:rsidRPr="00D05718" w:rsidRDefault="004C41BD" w:rsidP="00E1141B">
            <w:pPr>
              <w:keepNext/>
              <w:spacing w:before="40" w:after="40"/>
              <w:jc w:val="right"/>
              <w:rPr>
                <w:rFonts w:ascii="Arial Narrow" w:hAnsi="Arial Narrow" w:cs="Tahoma"/>
                <w:sz w:val="20"/>
              </w:rPr>
            </w:pPr>
            <w:r w:rsidRPr="00D05718">
              <w:rPr>
                <w:rFonts w:ascii="Arial Narrow" w:hAnsi="Arial Narrow" w:cs="Tahoma"/>
                <w:sz w:val="20"/>
              </w:rPr>
              <w:t>Group P7 – GENETICS</w:t>
            </w:r>
          </w:p>
        </w:tc>
      </w:tr>
      <w:tr w:rsidR="004C41BD" w:rsidRPr="009A08EC" w14:paraId="702E69C3" w14:textId="77777777" w:rsidTr="005E3F29">
        <w:tc>
          <w:tcPr>
            <w:tcW w:w="8888" w:type="dxa"/>
          </w:tcPr>
          <w:p w14:paraId="1EA30CCA" w14:textId="77777777" w:rsidR="004C41BD" w:rsidRPr="009A08EC" w:rsidRDefault="004C41BD" w:rsidP="00E1141B">
            <w:pPr>
              <w:pStyle w:val="Tabletext"/>
            </w:pPr>
            <w:r w:rsidRPr="009A08EC">
              <w:t>Item EEEE</w:t>
            </w:r>
          </w:p>
        </w:tc>
      </w:tr>
      <w:tr w:rsidR="004C41BD" w:rsidRPr="009A08EC" w14:paraId="1A68BFE8" w14:textId="77777777" w:rsidTr="005E3F29">
        <w:tc>
          <w:tcPr>
            <w:tcW w:w="8888" w:type="dxa"/>
          </w:tcPr>
          <w:p w14:paraId="3F9C4983" w14:textId="53DE127C" w:rsidR="004C41BD" w:rsidRPr="009A08EC" w:rsidRDefault="004C41BD" w:rsidP="00E1141B">
            <w:pPr>
              <w:pStyle w:val="Tabletext"/>
            </w:pPr>
            <w:r w:rsidRPr="009A08EC">
              <w:t>Testing of a pregnant patient, where one or both prospective parents are known to be affected by or carriers of known pathogenic variant/s causative of herit</w:t>
            </w:r>
            <w:r w:rsidR="00733947">
              <w:t>abl</w:t>
            </w:r>
            <w:r w:rsidRPr="009A08EC">
              <w:t>e kidney disease, for the purpose of determining whether monogeni</w:t>
            </w:r>
            <w:r>
              <w:t xml:space="preserve">c variants are present in the </w:t>
            </w:r>
            <w:proofErr w:type="spellStart"/>
            <w:r>
              <w:t>f</w:t>
            </w:r>
            <w:r w:rsidRPr="009A08EC">
              <w:t>etus</w:t>
            </w:r>
            <w:proofErr w:type="spellEnd"/>
            <w:r w:rsidRPr="009A08EC">
              <w:t>, if:</w:t>
            </w:r>
          </w:p>
          <w:p w14:paraId="69BD012D" w14:textId="77777777" w:rsidR="004C41BD" w:rsidRPr="009A08EC" w:rsidRDefault="004C41BD" w:rsidP="0008746D">
            <w:pPr>
              <w:pStyle w:val="Tabletext"/>
              <w:numPr>
                <w:ilvl w:val="0"/>
                <w:numId w:val="6"/>
              </w:numPr>
            </w:pPr>
            <w:r w:rsidRPr="009A08EC">
              <w:t>The detection is:</w:t>
            </w:r>
          </w:p>
          <w:p w14:paraId="12E30C58" w14:textId="77777777" w:rsidR="004C41BD" w:rsidRPr="009A08EC" w:rsidRDefault="004C41BD" w:rsidP="00E1141B">
            <w:pPr>
              <w:pStyle w:val="Tabletext"/>
              <w:ind w:left="720"/>
            </w:pPr>
            <w:r w:rsidRPr="009A08EC">
              <w:t>(</w:t>
            </w:r>
            <w:proofErr w:type="spellStart"/>
            <w:r w:rsidRPr="009A08EC">
              <w:t>i</w:t>
            </w:r>
            <w:proofErr w:type="spellEnd"/>
            <w:r w:rsidRPr="009A08EC">
              <w:t>) requested by a consultant physician practising as a clinical geneticist; or</w:t>
            </w:r>
          </w:p>
          <w:p w14:paraId="2B5D3C26" w14:textId="77777777" w:rsidR="004C41BD" w:rsidRPr="009A08EC" w:rsidRDefault="004C41BD" w:rsidP="00E1141B">
            <w:pPr>
              <w:pStyle w:val="Tabletext"/>
              <w:ind w:left="720"/>
            </w:pPr>
            <w:r w:rsidRPr="009A08EC">
              <w:t>(ii) requested by a consultant physician practising as a specialist nephrologist</w:t>
            </w:r>
            <w:r w:rsidRPr="00176275">
              <w:rPr>
                <w:i/>
                <w:strike/>
              </w:rPr>
              <w:t>, following consultation with a clinical geneticist</w:t>
            </w:r>
            <w:r w:rsidRPr="009A08EC">
              <w:t>; and</w:t>
            </w:r>
          </w:p>
          <w:p w14:paraId="55D65431" w14:textId="463FA5F4" w:rsidR="004C41BD" w:rsidRPr="009A08EC" w:rsidRDefault="004C41BD" w:rsidP="00E1141B">
            <w:pPr>
              <w:pStyle w:val="Tabletext"/>
              <w:numPr>
                <w:ilvl w:val="0"/>
                <w:numId w:val="6"/>
              </w:numPr>
            </w:pPr>
            <w:r>
              <w:t xml:space="preserve">The </w:t>
            </w:r>
            <w:proofErr w:type="spellStart"/>
            <w:r>
              <w:t>f</w:t>
            </w:r>
            <w:r w:rsidRPr="009A08EC">
              <w:t>etus</w:t>
            </w:r>
            <w:proofErr w:type="spellEnd"/>
            <w:r w:rsidRPr="009A08EC">
              <w:t xml:space="preserve"> is at 25% or more risk of inheriting a monogenic variant known to cause kidney disease.</w:t>
            </w:r>
          </w:p>
        </w:tc>
      </w:tr>
      <w:tr w:rsidR="004C41BD" w:rsidRPr="009A08EC" w14:paraId="1D2FE9AA" w14:textId="77777777" w:rsidTr="005E3F29">
        <w:tc>
          <w:tcPr>
            <w:tcW w:w="8888" w:type="dxa"/>
          </w:tcPr>
          <w:p w14:paraId="3F96F488" w14:textId="77777777" w:rsidR="004C41BD" w:rsidRPr="009A08EC" w:rsidRDefault="004C41BD" w:rsidP="00E1141B">
            <w:pPr>
              <w:pStyle w:val="Tabletext"/>
            </w:pPr>
            <w:r w:rsidRPr="009A08EC">
              <w:t xml:space="preserve">Fee:  </w:t>
            </w:r>
            <w:r w:rsidRPr="009A08EC">
              <w:rPr>
                <w:b/>
              </w:rPr>
              <w:t>$400.00</w:t>
            </w:r>
          </w:p>
        </w:tc>
      </w:tr>
      <w:tr w:rsidR="004C41BD" w:rsidRPr="009A08EC" w14:paraId="4378D724" w14:textId="77777777" w:rsidTr="005E3F29">
        <w:tc>
          <w:tcPr>
            <w:tcW w:w="8888" w:type="dxa"/>
          </w:tcPr>
          <w:p w14:paraId="5223D395" w14:textId="324DA199" w:rsidR="004C41BD" w:rsidRPr="009A08EC" w:rsidRDefault="004C41BD" w:rsidP="00E1141B">
            <w:pPr>
              <w:pStyle w:val="Tabletext"/>
            </w:pPr>
            <w:r w:rsidRPr="009A08EC">
              <w:t xml:space="preserve">Benefit: 75% = </w:t>
            </w:r>
            <w:r w:rsidR="00FE495C">
              <w:rPr>
                <w:b/>
              </w:rPr>
              <w:t xml:space="preserve">$300.00  </w:t>
            </w:r>
            <w:r w:rsidRPr="009A08EC">
              <w:rPr>
                <w:b/>
              </w:rPr>
              <w:t xml:space="preserve"> </w:t>
            </w:r>
            <w:r w:rsidRPr="009A08EC">
              <w:t xml:space="preserve">85% = </w:t>
            </w:r>
            <w:r w:rsidRPr="009A08EC">
              <w:rPr>
                <w:b/>
              </w:rPr>
              <w:t>$340.00</w:t>
            </w:r>
          </w:p>
        </w:tc>
      </w:tr>
    </w:tbl>
    <w:p w14:paraId="0DE25C05" w14:textId="01C503EE" w:rsidR="004C41BD" w:rsidRPr="00CC394D" w:rsidRDefault="004C41BD" w:rsidP="004C41BD">
      <w:pPr>
        <w:pStyle w:val="Tablenotes1"/>
      </w:pPr>
      <w:r>
        <w:t>Source: Rejoinder Table R2</w:t>
      </w:r>
      <w:r w:rsidR="008509D0">
        <w:t>, with changes made by MSAC</w:t>
      </w:r>
      <w:r w:rsidR="00EC3BD3">
        <w:t xml:space="preserve"> (in italics)</w:t>
      </w:r>
      <w:r>
        <w:t>.</w:t>
      </w:r>
    </w:p>
    <w:p w14:paraId="77AAD6FE" w14:textId="7006D30B" w:rsidR="00412CB3" w:rsidRDefault="00627B6A" w:rsidP="00412CB3">
      <w:r>
        <w:t xml:space="preserve">MSAC revised the fee for reproductive partner testing item DDDD from $500 to $1200, noting that while this </w:t>
      </w:r>
      <w:r>
        <w:rPr>
          <w:color w:val="000000"/>
        </w:rPr>
        <w:t xml:space="preserve">is higher than the fee for the existing cystic fibrosis reproductive partner testing item </w:t>
      </w:r>
      <w:r w:rsidRPr="00D05397">
        <w:rPr>
          <w:color w:val="000000"/>
        </w:rPr>
        <w:t xml:space="preserve">(MBS item </w:t>
      </w:r>
      <w:hyperlink r:id="rId15" w:history="1">
        <w:r w:rsidRPr="00D05397">
          <w:rPr>
            <w:rStyle w:val="Hyperlink"/>
          </w:rPr>
          <w:t>73349</w:t>
        </w:r>
      </w:hyperlink>
      <w:r w:rsidRPr="00D05397">
        <w:rPr>
          <w:color w:val="000000"/>
        </w:rPr>
        <w:t>)</w:t>
      </w:r>
      <w:r>
        <w:rPr>
          <w:color w:val="000000"/>
        </w:rPr>
        <w:t xml:space="preserve">, $1,200 was </w:t>
      </w:r>
      <w:r w:rsidR="007C7507">
        <w:rPr>
          <w:color w:val="000000"/>
        </w:rPr>
        <w:t xml:space="preserve">appropriate due to the greater complexity of single gene sequencing required here compared to that for the cystic fibrosis gene, </w:t>
      </w:r>
      <w:r w:rsidR="007C7507">
        <w:rPr>
          <w:i/>
          <w:color w:val="000000"/>
        </w:rPr>
        <w:t>CFTR</w:t>
      </w:r>
      <w:r w:rsidR="007C7507">
        <w:rPr>
          <w:color w:val="000000"/>
        </w:rPr>
        <w:t>.</w:t>
      </w:r>
      <w:r w:rsidR="00412CB3">
        <w:br w:type="page"/>
      </w:r>
    </w:p>
    <w:p w14:paraId="3FF0DA6C" w14:textId="58C0CDFA" w:rsidR="004C41BD" w:rsidRDefault="004C41BD" w:rsidP="004C41BD">
      <w:r>
        <w:t>The Department also suggested the addition of the following practice note to the descriptors for items AAAA1, AAAA2, and CCCC:</w:t>
      </w:r>
    </w:p>
    <w:p w14:paraId="15F83A54" w14:textId="77777777" w:rsidR="00BC1364" w:rsidRPr="004C41BD" w:rsidRDefault="004C41BD" w:rsidP="004C41BD">
      <w:pPr>
        <w:rPr>
          <w:b/>
        </w:rPr>
      </w:pPr>
      <w:r w:rsidRPr="00DE3941">
        <w:rPr>
          <w:rFonts w:ascii="Arial Narrow" w:hAnsi="Arial Narrow"/>
          <w:sz w:val="20"/>
        </w:rPr>
        <w:t>*PN.0.23 Prior to ordering these tests the ordering practitioner should ensure the patient (or approximate proxy) has given informed consent. Testing should only be performed after genetic counselling. Appropriate genetic counselling should be provided to the patient either by the specialist treating practitioner, a genetic counselling service or a clinical geneticist on referral. Further counselling may be necessary upon receipt of the test results.</w:t>
      </w:r>
    </w:p>
    <w:p w14:paraId="6EE25ADD" w14:textId="77777777" w:rsidR="00BC1364" w:rsidRPr="00F715D1" w:rsidRDefault="00BC1364" w:rsidP="004C41BD">
      <w:pPr>
        <w:pStyle w:val="Heading1"/>
      </w:pPr>
      <w:r w:rsidRPr="00F715D1">
        <w:lastRenderedPageBreak/>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7CC4D2E2" w14:textId="77777777" w:rsidR="004C41BD" w:rsidRPr="008F07BB" w:rsidRDefault="004C41BD" w:rsidP="004C41BD">
      <w:r w:rsidRPr="00571A5C">
        <w:t>Public consultation feedback and/or consu</w:t>
      </w:r>
      <w:r>
        <w:t>mer comments were received</w:t>
      </w:r>
      <w:r w:rsidRPr="00571A5C">
        <w:t xml:space="preserve"> from</w:t>
      </w:r>
      <w:r>
        <w:t xml:space="preserve"> seven individuals, one renal healthcare professional organisation, and one</w:t>
      </w:r>
      <w:r w:rsidRPr="00571A5C">
        <w:t xml:space="preserve"> </w:t>
      </w:r>
      <w:r>
        <w:t>patient advocacy organisation. Targeted consultation feedback was received from two genomics organisations and one individual (research clinician). Consumer feedback highlighted the burden of living with heritable kidney disease.</w:t>
      </w:r>
    </w:p>
    <w:p w14:paraId="25DB1905" w14:textId="77777777" w:rsidR="004C41BD" w:rsidRDefault="004C41BD" w:rsidP="004C41BD">
      <w:r>
        <w:t xml:space="preserve">Overall, consultation feedback strongly supported public funding for genetic testing for heritable kidney disorders. The main benefits of funding the proposed service </w:t>
      </w:r>
      <w:proofErr w:type="gramStart"/>
      <w:r>
        <w:t>are</w:t>
      </w:r>
      <w:proofErr w:type="gramEnd"/>
      <w:r>
        <w:t>:</w:t>
      </w:r>
    </w:p>
    <w:p w14:paraId="615BA477" w14:textId="77777777" w:rsidR="004C41BD" w:rsidRDefault="004C41BD" w:rsidP="0008746D">
      <w:pPr>
        <w:pStyle w:val="ListParagraph"/>
        <w:numPr>
          <w:ilvl w:val="0"/>
          <w:numId w:val="7"/>
        </w:numPr>
        <w:tabs>
          <w:tab w:val="clear" w:pos="720"/>
          <w:tab w:val="clear" w:pos="1140"/>
        </w:tabs>
        <w:spacing w:after="0"/>
      </w:pPr>
      <w:r>
        <w:t xml:space="preserve">Equitable access to testing by all consumers – at present provision of testing is highly variable across Australia and largely dependent on which tests </w:t>
      </w:r>
      <w:proofErr w:type="gramStart"/>
      <w:r>
        <w:t>are able to</w:t>
      </w:r>
      <w:proofErr w:type="gramEnd"/>
      <w:r>
        <w:t xml:space="preserve"> be funded in particular states/territories or services.</w:t>
      </w:r>
    </w:p>
    <w:p w14:paraId="13C1464B" w14:textId="77777777" w:rsidR="004C41BD" w:rsidRDefault="004C41BD" w:rsidP="0008746D">
      <w:pPr>
        <w:pStyle w:val="ListParagraph"/>
        <w:numPr>
          <w:ilvl w:val="0"/>
          <w:numId w:val="7"/>
        </w:numPr>
        <w:tabs>
          <w:tab w:val="clear" w:pos="720"/>
          <w:tab w:val="clear" w:pos="1140"/>
        </w:tabs>
        <w:spacing w:after="0"/>
      </w:pPr>
      <w:r>
        <w:t>Sustainable funding leading to ongoing access to testing.</w:t>
      </w:r>
    </w:p>
    <w:p w14:paraId="78B275A6" w14:textId="77777777" w:rsidR="004C41BD" w:rsidRDefault="004C41BD" w:rsidP="0008746D">
      <w:pPr>
        <w:pStyle w:val="ListParagraph"/>
        <w:numPr>
          <w:ilvl w:val="0"/>
          <w:numId w:val="7"/>
        </w:numPr>
        <w:tabs>
          <w:tab w:val="clear" w:pos="720"/>
          <w:tab w:val="clear" w:pos="1140"/>
        </w:tabs>
        <w:spacing w:after="0"/>
      </w:pPr>
      <w:r>
        <w:t>More certainty in diagnosis and prognosis.</w:t>
      </w:r>
    </w:p>
    <w:p w14:paraId="7158494D" w14:textId="77777777" w:rsidR="004C41BD" w:rsidRDefault="004C41BD" w:rsidP="0008746D">
      <w:pPr>
        <w:pStyle w:val="ListParagraph"/>
        <w:numPr>
          <w:ilvl w:val="0"/>
          <w:numId w:val="7"/>
        </w:numPr>
        <w:tabs>
          <w:tab w:val="clear" w:pos="720"/>
          <w:tab w:val="clear" w:pos="1140"/>
        </w:tabs>
        <w:spacing w:after="0"/>
      </w:pPr>
      <w:r>
        <w:t xml:space="preserve">Potentially providing a diagnosis in people with atypical </w:t>
      </w:r>
      <w:proofErr w:type="gramStart"/>
      <w:r>
        <w:t>presentation, and</w:t>
      </w:r>
      <w:proofErr w:type="gramEnd"/>
      <w:r>
        <w:t xml:space="preserve"> permitting a diagnosis before adulthood in patients with ADPKD. Shortening the diagnostic odyssey.</w:t>
      </w:r>
    </w:p>
    <w:p w14:paraId="630113AB" w14:textId="77777777" w:rsidR="004C41BD" w:rsidRDefault="004C41BD" w:rsidP="0008746D">
      <w:pPr>
        <w:pStyle w:val="ListParagraph"/>
        <w:numPr>
          <w:ilvl w:val="0"/>
          <w:numId w:val="7"/>
        </w:numPr>
        <w:tabs>
          <w:tab w:val="clear" w:pos="720"/>
          <w:tab w:val="clear" w:pos="1140"/>
        </w:tabs>
        <w:spacing w:after="0"/>
      </w:pPr>
      <w:r>
        <w:t>Earlier access to treatment.</w:t>
      </w:r>
    </w:p>
    <w:p w14:paraId="3B5C7B56" w14:textId="77777777" w:rsidR="004C41BD" w:rsidRDefault="004C41BD" w:rsidP="0008746D">
      <w:pPr>
        <w:pStyle w:val="ListParagraph"/>
        <w:numPr>
          <w:ilvl w:val="0"/>
          <w:numId w:val="7"/>
        </w:numPr>
        <w:tabs>
          <w:tab w:val="clear" w:pos="720"/>
          <w:tab w:val="clear" w:pos="1140"/>
        </w:tabs>
        <w:spacing w:after="0"/>
      </w:pPr>
      <w:r>
        <w:t xml:space="preserve">Better guided clinical management. May reduce the use of expensive, </w:t>
      </w:r>
      <w:proofErr w:type="gramStart"/>
      <w:r>
        <w:t>risky</w:t>
      </w:r>
      <w:proofErr w:type="gramEnd"/>
      <w:r>
        <w:t xml:space="preserve"> and invasive diagnostic investigations such as renal biopsy.</w:t>
      </w:r>
    </w:p>
    <w:p w14:paraId="65F46184" w14:textId="77777777" w:rsidR="004C41BD" w:rsidRDefault="004C41BD" w:rsidP="0008746D">
      <w:pPr>
        <w:pStyle w:val="ListParagraph"/>
        <w:numPr>
          <w:ilvl w:val="0"/>
          <w:numId w:val="7"/>
        </w:numPr>
        <w:tabs>
          <w:tab w:val="clear" w:pos="720"/>
          <w:tab w:val="clear" w:pos="1140"/>
        </w:tabs>
        <w:spacing w:after="0"/>
      </w:pPr>
      <w:r>
        <w:t>Receiving a negative result from cascade testing provide great relief, for example to individuals from families with many affected members, who grow up fearing kidney disease may descend on them as they get older.</w:t>
      </w:r>
    </w:p>
    <w:p w14:paraId="6B4DE589" w14:textId="77777777" w:rsidR="004C41BD" w:rsidRDefault="004C41BD" w:rsidP="0008746D">
      <w:pPr>
        <w:pStyle w:val="ListParagraph"/>
        <w:numPr>
          <w:ilvl w:val="0"/>
          <w:numId w:val="7"/>
        </w:numPr>
        <w:tabs>
          <w:tab w:val="clear" w:pos="720"/>
          <w:tab w:val="clear" w:pos="1140"/>
        </w:tabs>
        <w:spacing w:after="0"/>
      </w:pPr>
      <w:r>
        <w:t>Value of knowing: consumers with kidney disease described feeling that having this disease gave them no control over their lives. A genetic diagnosis would provide knowledge and empowerment to assist affected people in their lifestyle choices.</w:t>
      </w:r>
    </w:p>
    <w:p w14:paraId="266B97C8" w14:textId="77777777" w:rsidR="004C41BD" w:rsidRDefault="004C41BD" w:rsidP="0008746D">
      <w:pPr>
        <w:pStyle w:val="ListParagraph"/>
        <w:numPr>
          <w:ilvl w:val="0"/>
          <w:numId w:val="7"/>
        </w:numPr>
        <w:tabs>
          <w:tab w:val="clear" w:pos="720"/>
          <w:tab w:val="clear" w:pos="1140"/>
        </w:tabs>
        <w:spacing w:after="0"/>
      </w:pPr>
      <w:r>
        <w:t>Avoiding monitoring in genotype negative family members.</w:t>
      </w:r>
    </w:p>
    <w:p w14:paraId="08AA936D" w14:textId="77777777" w:rsidR="004C41BD" w:rsidRDefault="004C41BD" w:rsidP="0008746D">
      <w:pPr>
        <w:pStyle w:val="ListParagraph"/>
        <w:numPr>
          <w:ilvl w:val="0"/>
          <w:numId w:val="7"/>
        </w:numPr>
        <w:tabs>
          <w:tab w:val="clear" w:pos="720"/>
          <w:tab w:val="clear" w:pos="1140"/>
        </w:tabs>
        <w:spacing w:after="0"/>
      </w:pPr>
      <w:r>
        <w:t>Informing family planning decisions, including publicly funded pre-implantation genetic diagnosis where this is required. Consumer comments noted wanting to start a family but without passing the disease they suffer from on to future generations.</w:t>
      </w:r>
    </w:p>
    <w:p w14:paraId="2AF696A4" w14:textId="627051A8" w:rsidR="004C41BD" w:rsidRDefault="004C41BD" w:rsidP="004C41BD">
      <w:pPr>
        <w:pStyle w:val="ListParagraph"/>
        <w:numPr>
          <w:ilvl w:val="0"/>
          <w:numId w:val="7"/>
        </w:numPr>
        <w:tabs>
          <w:tab w:val="clear" w:pos="720"/>
          <w:tab w:val="clear" w:pos="1140"/>
        </w:tabs>
        <w:spacing w:after="0"/>
      </w:pPr>
      <w:r>
        <w:t>Enabling the identification of appropriate living kidney donors for transplantation.</w:t>
      </w:r>
    </w:p>
    <w:p w14:paraId="50FDD084" w14:textId="77777777" w:rsidR="004C41BD" w:rsidRDefault="004C41BD" w:rsidP="00FE495C">
      <w:pPr>
        <w:spacing w:before="240"/>
      </w:pPr>
      <w:r>
        <w:t>The potential disadvantages of funding the proposed testing would be:</w:t>
      </w:r>
    </w:p>
    <w:p w14:paraId="343547F9" w14:textId="77777777" w:rsidR="004C41BD" w:rsidRDefault="004C41BD" w:rsidP="0008746D">
      <w:pPr>
        <w:pStyle w:val="ListParagraph"/>
        <w:numPr>
          <w:ilvl w:val="0"/>
          <w:numId w:val="8"/>
        </w:numPr>
        <w:tabs>
          <w:tab w:val="clear" w:pos="720"/>
          <w:tab w:val="clear" w:pos="1140"/>
        </w:tabs>
        <w:spacing w:after="0"/>
      </w:pPr>
      <w:r>
        <w:t xml:space="preserve">No disadvantage – doing genetic testing will not leave the patient worse off, because even if no genetic diagnosis is </w:t>
      </w:r>
      <w:proofErr w:type="gramStart"/>
      <w:r>
        <w:t>made</w:t>
      </w:r>
      <w:proofErr w:type="gramEnd"/>
      <w:r>
        <w:t xml:space="preserve"> they would still receive care as their clinical presentation indicated.</w:t>
      </w:r>
    </w:p>
    <w:p w14:paraId="7B16E422" w14:textId="77777777" w:rsidR="004C41BD" w:rsidRDefault="004C41BD" w:rsidP="0008746D">
      <w:pPr>
        <w:pStyle w:val="ListParagraph"/>
        <w:numPr>
          <w:ilvl w:val="0"/>
          <w:numId w:val="8"/>
        </w:numPr>
        <w:tabs>
          <w:tab w:val="clear" w:pos="720"/>
          <w:tab w:val="clear" w:pos="1140"/>
        </w:tabs>
        <w:spacing w:after="0"/>
      </w:pPr>
      <w:r>
        <w:t>Families may not wish to know the outcomes of genetic tests or be offered tests.</w:t>
      </w:r>
    </w:p>
    <w:p w14:paraId="383AF3E6" w14:textId="77777777" w:rsidR="004C41BD" w:rsidRPr="008B09F7" w:rsidRDefault="004C41BD" w:rsidP="0008746D">
      <w:pPr>
        <w:pStyle w:val="ListParagraph"/>
        <w:numPr>
          <w:ilvl w:val="0"/>
          <w:numId w:val="8"/>
        </w:numPr>
        <w:tabs>
          <w:tab w:val="clear" w:pos="720"/>
          <w:tab w:val="clear" w:pos="1140"/>
        </w:tabs>
        <w:spacing w:after="0"/>
      </w:pPr>
      <w:r>
        <w:t>The family risks would be the same for this test as for genetic tests for any other condition.</w:t>
      </w:r>
    </w:p>
    <w:p w14:paraId="48AB88A9" w14:textId="77777777" w:rsidR="004C41BD" w:rsidRPr="008B09F7" w:rsidRDefault="004C41BD" w:rsidP="0008746D">
      <w:pPr>
        <w:pStyle w:val="ListParagraph"/>
        <w:numPr>
          <w:ilvl w:val="0"/>
          <w:numId w:val="8"/>
        </w:numPr>
        <w:tabs>
          <w:tab w:val="clear" w:pos="720"/>
          <w:tab w:val="clear" w:pos="1140"/>
        </w:tabs>
        <w:spacing w:after="0"/>
      </w:pPr>
      <w:r>
        <w:t>Potential impacts on income protection insurance.</w:t>
      </w:r>
    </w:p>
    <w:p w14:paraId="77A68785" w14:textId="77777777" w:rsidR="004C41BD" w:rsidRDefault="004C41BD" w:rsidP="0008746D">
      <w:pPr>
        <w:pStyle w:val="ListParagraph"/>
        <w:numPr>
          <w:ilvl w:val="0"/>
          <w:numId w:val="8"/>
        </w:numPr>
        <w:tabs>
          <w:tab w:val="clear" w:pos="720"/>
          <w:tab w:val="clear" w:pos="1140"/>
        </w:tabs>
        <w:spacing w:after="0"/>
      </w:pPr>
      <w:r>
        <w:t>Uncertainty over who owns patients’ genetic data, and who can access it – access by insurers would need to be prevented.</w:t>
      </w:r>
    </w:p>
    <w:p w14:paraId="733B5310" w14:textId="203E4B56" w:rsidR="004C41BD" w:rsidRDefault="004C41BD" w:rsidP="00FE495C">
      <w:pPr>
        <w:spacing w:before="240"/>
      </w:pPr>
      <w:r>
        <w:t xml:space="preserve">One patient advocacy organisation conducted a member survey to assess support for MSAC application </w:t>
      </w:r>
      <w:proofErr w:type="gramStart"/>
      <w:r>
        <w:t>1600, and</w:t>
      </w:r>
      <w:proofErr w:type="gramEnd"/>
      <w:r>
        <w:t xml:space="preserve"> found strong support for MBS funding this genetic testing. This included support for genetic testing for family planning purposes, with 82% of patient </w:t>
      </w:r>
      <w:r>
        <w:lastRenderedPageBreak/>
        <w:t>respondents and 89% of family member respondents saying they would use genetic testing for family planning.</w:t>
      </w:r>
    </w:p>
    <w:p w14:paraId="45EE9089" w14:textId="77777777" w:rsidR="004C41BD" w:rsidRDefault="004C41BD" w:rsidP="004C41BD">
      <w:r>
        <w:t>Consumers and organisations also made other points about technical aspects of this application in consultation. Main points were:</w:t>
      </w:r>
    </w:p>
    <w:p w14:paraId="6C2BBE32" w14:textId="77777777" w:rsidR="004C41BD" w:rsidRDefault="004C41BD" w:rsidP="0008746D">
      <w:pPr>
        <w:pStyle w:val="ListParagraph"/>
        <w:numPr>
          <w:ilvl w:val="0"/>
          <w:numId w:val="9"/>
        </w:numPr>
        <w:tabs>
          <w:tab w:val="clear" w:pos="720"/>
          <w:tab w:val="clear" w:pos="1140"/>
        </w:tabs>
        <w:spacing w:after="0"/>
      </w:pPr>
      <w:r>
        <w:t>There was very strong and widespread support for genetic counselling being provided prior to testing.</w:t>
      </w:r>
    </w:p>
    <w:p w14:paraId="652C699D" w14:textId="77777777" w:rsidR="004C41BD" w:rsidRDefault="004C41BD" w:rsidP="0008746D">
      <w:pPr>
        <w:pStyle w:val="ListParagraph"/>
        <w:numPr>
          <w:ilvl w:val="1"/>
          <w:numId w:val="9"/>
        </w:numPr>
        <w:tabs>
          <w:tab w:val="clear" w:pos="720"/>
          <w:tab w:val="clear" w:pos="1140"/>
        </w:tabs>
        <w:spacing w:after="0"/>
      </w:pPr>
      <w:r>
        <w:t>If a nephrologist</w:t>
      </w:r>
      <w:r w:rsidRPr="0023205B">
        <w:t xml:space="preserve"> </w:t>
      </w:r>
      <w:r>
        <w:t>was not</w:t>
      </w:r>
      <w:r w:rsidRPr="0023205B">
        <w:t xml:space="preserve"> comfortable in delivering gen</w:t>
      </w:r>
      <w:r>
        <w:t>etic testing and results follow-</w:t>
      </w:r>
      <w:r w:rsidRPr="0023205B">
        <w:t>up</w:t>
      </w:r>
      <w:r>
        <w:t xml:space="preserve">, then </w:t>
      </w:r>
      <w:r w:rsidRPr="0023205B">
        <w:t>ref</w:t>
      </w:r>
      <w:r>
        <w:t>erral to a clinical geneticist sh</w:t>
      </w:r>
      <w:r w:rsidRPr="0023205B">
        <w:t>ould occur</w:t>
      </w:r>
      <w:r>
        <w:t xml:space="preserve"> –</w:t>
      </w:r>
      <w:r w:rsidRPr="0023205B">
        <w:t xml:space="preserve"> </w:t>
      </w:r>
      <w:r>
        <w:t xml:space="preserve">therefore it would be important for </w:t>
      </w:r>
      <w:r w:rsidRPr="0023205B">
        <w:t>clinical geneticist</w:t>
      </w:r>
      <w:r>
        <w:t>s</w:t>
      </w:r>
      <w:r w:rsidRPr="0023205B">
        <w:t xml:space="preserve"> to </w:t>
      </w:r>
      <w:r>
        <w:t xml:space="preserve">also </w:t>
      </w:r>
      <w:r w:rsidRPr="0023205B">
        <w:t>be</w:t>
      </w:r>
      <w:r>
        <w:t xml:space="preserve"> able to order tests</w:t>
      </w:r>
      <w:r w:rsidRPr="0023205B">
        <w:t xml:space="preserve"> for </w:t>
      </w:r>
      <w:r>
        <w:t>affected individuals</w:t>
      </w:r>
      <w:r w:rsidRPr="0023205B">
        <w:t>.</w:t>
      </w:r>
      <w:r>
        <w:t xml:space="preserve"> </w:t>
      </w:r>
    </w:p>
    <w:p w14:paraId="73DCAA23" w14:textId="77777777" w:rsidR="004C41BD" w:rsidRDefault="004C41BD" w:rsidP="0008746D">
      <w:pPr>
        <w:pStyle w:val="ListParagraph"/>
        <w:numPr>
          <w:ilvl w:val="1"/>
          <w:numId w:val="9"/>
        </w:numPr>
        <w:tabs>
          <w:tab w:val="clear" w:pos="720"/>
          <w:tab w:val="clear" w:pos="1140"/>
        </w:tabs>
        <w:spacing w:after="0"/>
      </w:pPr>
      <w:r>
        <w:t>One genomics organisation already provides genomics education for renal clinicians, ensuring clinicians would be knowledgeable on when to test and what to do with the results.</w:t>
      </w:r>
    </w:p>
    <w:p w14:paraId="7377F573" w14:textId="77777777" w:rsidR="004C41BD" w:rsidRPr="008B09F7" w:rsidRDefault="004C41BD" w:rsidP="0008746D">
      <w:pPr>
        <w:pStyle w:val="ListParagraph"/>
        <w:numPr>
          <w:ilvl w:val="0"/>
          <w:numId w:val="9"/>
        </w:numPr>
        <w:tabs>
          <w:tab w:val="clear" w:pos="720"/>
          <w:tab w:val="clear" w:pos="1140"/>
        </w:tabs>
        <w:spacing w:after="0"/>
      </w:pPr>
      <w:r>
        <w:t>The MBS item should be technology agnostic but include exome sequencing at minimum, so that analysis can be expanded if no genetic diagnosis is found in the initial virtual panel. Using a static panel would preclude further investigation.</w:t>
      </w:r>
    </w:p>
    <w:p w14:paraId="5C103CFA" w14:textId="77777777" w:rsidR="004C41BD" w:rsidRPr="00E110DD" w:rsidRDefault="004C41BD" w:rsidP="0008746D">
      <w:pPr>
        <w:pStyle w:val="ListParagraph"/>
        <w:numPr>
          <w:ilvl w:val="0"/>
          <w:numId w:val="9"/>
        </w:numPr>
        <w:tabs>
          <w:tab w:val="clear" w:pos="720"/>
          <w:tab w:val="clear" w:pos="1140"/>
        </w:tabs>
        <w:spacing w:after="0"/>
      </w:pPr>
      <w:r>
        <w:t>Genome sequencing is the required testing method for ADPKD, which makes up approximately half the caseload for adult renal genetics clinics, due to the challenges of multiple pseudogenes.</w:t>
      </w:r>
    </w:p>
    <w:p w14:paraId="76003AED" w14:textId="77777777" w:rsidR="004C41BD" w:rsidRPr="008B09F7" w:rsidRDefault="004C41BD" w:rsidP="0008746D">
      <w:pPr>
        <w:pStyle w:val="ListParagraph"/>
        <w:numPr>
          <w:ilvl w:val="0"/>
          <w:numId w:val="9"/>
        </w:numPr>
        <w:tabs>
          <w:tab w:val="clear" w:pos="720"/>
          <w:tab w:val="clear" w:pos="1140"/>
        </w:tabs>
        <w:spacing w:after="0"/>
      </w:pPr>
      <w:r>
        <w:t>T</w:t>
      </w:r>
      <w:r w:rsidRPr="008B09F7">
        <w:t xml:space="preserve">he term “inherited” kidney disease </w:t>
      </w:r>
      <w:r>
        <w:t xml:space="preserve">(as originally proposed by the applicant) </w:t>
      </w:r>
      <w:r w:rsidRPr="008B09F7">
        <w:t xml:space="preserve">may be inappropriate as some genetic kidney disease is caused by </w:t>
      </w:r>
      <w:r w:rsidRPr="00FA3252">
        <w:rPr>
          <w:i/>
        </w:rPr>
        <w:t>de novo</w:t>
      </w:r>
      <w:r w:rsidRPr="008B09F7">
        <w:t xml:space="preserve"> variants.</w:t>
      </w:r>
    </w:p>
    <w:p w14:paraId="01E19CD3" w14:textId="77777777" w:rsidR="00BC1364" w:rsidRPr="00F72715" w:rsidRDefault="004C41BD" w:rsidP="0008746D">
      <w:pPr>
        <w:pStyle w:val="ListParagraph"/>
        <w:numPr>
          <w:ilvl w:val="0"/>
          <w:numId w:val="9"/>
        </w:numPr>
      </w:pPr>
      <w:r w:rsidRPr="00E110DD">
        <w:t xml:space="preserve">It may be possible to increase diagnostic yield </w:t>
      </w:r>
      <w:r>
        <w:t>through</w:t>
      </w:r>
      <w:r w:rsidRPr="00E110DD">
        <w:t xml:space="preserve"> multidisciplinary team review. </w:t>
      </w:r>
      <w:r>
        <w:t>T</w:t>
      </w:r>
      <w:r w:rsidRPr="00E110DD">
        <w:t>he diagnostic yield of genomic sequencing in an unselected cohort of patients was just under 10%</w:t>
      </w:r>
      <w:r>
        <w:rPr>
          <w:rStyle w:val="FootnoteReference"/>
        </w:rPr>
        <w:footnoteReference w:id="6"/>
      </w:r>
      <w:r w:rsidRPr="00E110DD">
        <w:t>,</w:t>
      </w:r>
      <w:r>
        <w:t xml:space="preserve"> yet</w:t>
      </w:r>
      <w:r w:rsidRPr="00E110DD">
        <w:t xml:space="preserve"> utilising patient review by a multidisciplinary team (nephrologist, geneticist and genetic counsellor) to pragmatically select the cohort for testing raised the diagnostic yield to 39%</w:t>
      </w:r>
      <w:r>
        <w:rPr>
          <w:rStyle w:val="FootnoteReference"/>
        </w:rPr>
        <w:footnoteReference w:id="7"/>
      </w:r>
      <w:r w:rsidRPr="00E110DD">
        <w:t xml:space="preserve">. This multidisciplinary clinic model was also preferred by patients, according to a survey of 221 patients. </w:t>
      </w:r>
      <w:r>
        <w:t>G</w:t>
      </w:r>
      <w:r w:rsidRPr="00E110DD">
        <w:t xml:space="preserve">enomic testing </w:t>
      </w:r>
      <w:r>
        <w:t xml:space="preserve">could be restricted </w:t>
      </w:r>
      <w:r w:rsidRPr="00E110DD">
        <w:t xml:space="preserve">to clinicians </w:t>
      </w:r>
      <w:r>
        <w:t>in</w:t>
      </w:r>
      <w:r w:rsidRPr="00E110DD">
        <w:t xml:space="preserve"> a multidisciplinary clinic, rather than based on disease phenotypes.</w:t>
      </w:r>
      <w:r w:rsidR="00BC1364" w:rsidRPr="00F72715">
        <w:t xml:space="preserve"> </w:t>
      </w:r>
    </w:p>
    <w:p w14:paraId="4749EE8B" w14:textId="77777777" w:rsidR="00BC1364" w:rsidRPr="00F715D1" w:rsidRDefault="00BC1364" w:rsidP="004C41BD">
      <w:pPr>
        <w:pStyle w:val="Heading1"/>
      </w:pPr>
      <w:r w:rsidRPr="00F715D1">
        <w:t>Proposed intervention’s place in clinical management</w:t>
      </w:r>
    </w:p>
    <w:p w14:paraId="7A51248F" w14:textId="77777777" w:rsidR="00CF4E81" w:rsidRDefault="00CF4E81" w:rsidP="002C5532">
      <w:pPr>
        <w:pStyle w:val="Heading2"/>
      </w:pPr>
      <w:r w:rsidRPr="004C41BD">
        <w:t>Description of Proposed Intervention</w:t>
      </w:r>
    </w:p>
    <w:p w14:paraId="536AB8B1" w14:textId="075E903A" w:rsidR="00FE495C" w:rsidRPr="00FE495C" w:rsidRDefault="004C41BD" w:rsidP="00FE495C">
      <w:r>
        <w:t>The PICO Advisory Sub-Committee (PASC) advised that the appropriate intervention was whole genome sequencing (WGS), to be used in addition to current investigative tests in affected individuals. Cascade testing, in first degree relatives of index patients, is proposed to be agnostic with respect to testing methodology. The Department-contracted assessment report (DCAR) additionally proposed an MBS item for subsequent data re-interrogation</w:t>
      </w:r>
      <w:r w:rsidR="00412CB3">
        <w:t>.</w:t>
      </w:r>
    </w:p>
    <w:p w14:paraId="5FCD485D" w14:textId="2AF9FCF9" w:rsidR="00CF4E81" w:rsidRPr="00CF4E81" w:rsidRDefault="00CF4E81" w:rsidP="002C5532">
      <w:pPr>
        <w:pStyle w:val="Heading2"/>
      </w:pPr>
      <w:r w:rsidRPr="00CF4E81">
        <w:lastRenderedPageBreak/>
        <w:t>Description of Medical Condition(s)</w:t>
      </w:r>
    </w:p>
    <w:p w14:paraId="615E0E52" w14:textId="77777777" w:rsidR="004C41BD" w:rsidRDefault="004C41BD" w:rsidP="004C41BD">
      <w:r>
        <w:t>The DCAR stated that chronic kidney disease is defined as abnormalities of kidney structure or function, present for more than three months, with implications for health</w:t>
      </w:r>
      <w:r>
        <w:rPr>
          <w:rStyle w:val="FootnoteReference"/>
        </w:rPr>
        <w:footnoteReference w:id="8"/>
      </w:r>
      <w:r>
        <w:t xml:space="preserve">. There are five stages of kidney disease: the early stages (1 and 2) are usually asymptomatic, the middle stages (3 and 4) are often symptomatic from the primary kidney disease (but can have secondary signs and symptoms) as kidney function slows and </w:t>
      </w:r>
      <w:r w:rsidRPr="00D277B1">
        <w:t>the amount of urea and creatinine in the blood increases, and end stage kidney disease (ESKD, stage</w:t>
      </w:r>
      <w:r>
        <w:t xml:space="preserve"> 5) where a patient requires dialysis or a kidney transplant to stay alive</w:t>
      </w:r>
      <w:r>
        <w:rPr>
          <w:rStyle w:val="FootnoteReference"/>
        </w:rPr>
        <w:footnoteReference w:id="9"/>
      </w:r>
      <w:r>
        <w:t>.</w:t>
      </w:r>
    </w:p>
    <w:p w14:paraId="70584743" w14:textId="77777777" w:rsidR="004C41BD" w:rsidRDefault="004C41BD" w:rsidP="004C41BD">
      <w:r>
        <w:t>Approximately 30% of chronic kidney disease can currently be attributed to a heritable monogenic cause, where a single gene variant is known to be causal</w:t>
      </w:r>
      <w:r>
        <w:rPr>
          <w:rStyle w:val="FootnoteReference"/>
        </w:rPr>
        <w:footnoteReference w:id="10"/>
      </w:r>
      <w:r>
        <w:t xml:space="preserve">. Three modes of inheritance are recognised: X-linked dominant, autosomal recessive and autosomal dominant. The incidence of </w:t>
      </w:r>
      <w:r w:rsidRPr="00FA3252">
        <w:rPr>
          <w:i/>
        </w:rPr>
        <w:t>de novo</w:t>
      </w:r>
      <w:r>
        <w:t xml:space="preserve"> variants (which occur after fertilisation) varies by disease </w:t>
      </w:r>
      <w:proofErr w:type="gramStart"/>
      <w:r>
        <w:t>type, and</w:t>
      </w:r>
      <w:proofErr w:type="gramEnd"/>
      <w:r>
        <w:t xml:space="preserve"> will have an impact on the extent of cascade testing required. </w:t>
      </w:r>
      <w:r w:rsidRPr="00844B46">
        <w:t xml:space="preserve">The </w:t>
      </w:r>
      <w:r w:rsidRPr="00FA3252">
        <w:rPr>
          <w:i/>
        </w:rPr>
        <w:t>de novo</w:t>
      </w:r>
      <w:r w:rsidRPr="00844B46">
        <w:t xml:space="preserve"> variant rate is </w:t>
      </w:r>
      <w:r>
        <w:t>approximately</w:t>
      </w:r>
      <w:r w:rsidRPr="00844B46">
        <w:t xml:space="preserve"> 10%, which means that parents and siblings are not affected, but offspring of the affected individual may be, depending on the anticipated mode of inheritance.</w:t>
      </w:r>
    </w:p>
    <w:p w14:paraId="05B2CFA0" w14:textId="430DF0BB" w:rsidR="004C41BD" w:rsidRDefault="004C41BD" w:rsidP="004C41BD">
      <w:r>
        <w:t>PASC advised that the seven populations initially proposed by the applicant (including one cascade testing population) could be simplified to two populations of patients with chronic kidney disease plus a cascade testing population</w:t>
      </w:r>
      <w:r w:rsidR="004A5292">
        <w:t xml:space="preserve">, and </w:t>
      </w:r>
      <w:r w:rsidR="000311B0">
        <w:t xml:space="preserve">for completeness </w:t>
      </w:r>
      <w:r w:rsidR="004A5292">
        <w:t xml:space="preserve">the Department requested the addition of reproductive partner and </w:t>
      </w:r>
      <w:proofErr w:type="spellStart"/>
      <w:r w:rsidR="004A5292">
        <w:t>fetal</w:t>
      </w:r>
      <w:proofErr w:type="spellEnd"/>
      <w:r w:rsidR="004A5292">
        <w:t xml:space="preserve"> testing populations</w:t>
      </w:r>
      <w:r>
        <w:t>:</w:t>
      </w:r>
    </w:p>
    <w:p w14:paraId="37D3F163" w14:textId="77777777" w:rsidR="004C41BD" w:rsidRDefault="004C41BD" w:rsidP="0008746D">
      <w:pPr>
        <w:pStyle w:val="ListParagraph"/>
        <w:numPr>
          <w:ilvl w:val="0"/>
          <w:numId w:val="10"/>
        </w:numPr>
        <w:tabs>
          <w:tab w:val="clear" w:pos="720"/>
          <w:tab w:val="clear" w:pos="1140"/>
        </w:tabs>
        <w:spacing w:after="0"/>
      </w:pPr>
      <w:r>
        <w:t>Population 1: Patients with autosomal dominant polycystic kidney disease (ADPKD)</w:t>
      </w:r>
    </w:p>
    <w:p w14:paraId="58E028A6" w14:textId="77777777" w:rsidR="004C41BD" w:rsidRDefault="004C41BD" w:rsidP="0008746D">
      <w:pPr>
        <w:pStyle w:val="ListParagraph"/>
        <w:numPr>
          <w:ilvl w:val="0"/>
          <w:numId w:val="10"/>
        </w:numPr>
        <w:tabs>
          <w:tab w:val="clear" w:pos="720"/>
          <w:tab w:val="clear" w:pos="1140"/>
        </w:tabs>
        <w:spacing w:after="0"/>
      </w:pPr>
      <w:r>
        <w:t>Population 2: Children aged under 18 years with chronic kidney disease (excluding Alport syndrome and cystic disease). Comprising four subpopulations:</w:t>
      </w:r>
    </w:p>
    <w:p w14:paraId="2A843F4C" w14:textId="77777777" w:rsidR="004C41BD" w:rsidRDefault="004C41BD" w:rsidP="0008746D">
      <w:pPr>
        <w:pStyle w:val="ListParagraph"/>
        <w:numPr>
          <w:ilvl w:val="1"/>
          <w:numId w:val="10"/>
        </w:numPr>
        <w:spacing w:after="0"/>
      </w:pPr>
      <w:r>
        <w:t>C</w:t>
      </w:r>
      <w:r w:rsidRPr="00633FD4">
        <w:t>ongenital anomalies of the kidney and urinary tract</w:t>
      </w:r>
      <w:r>
        <w:t xml:space="preserve"> (CAKUT)</w:t>
      </w:r>
    </w:p>
    <w:p w14:paraId="2E7D1C07" w14:textId="77777777" w:rsidR="004C41BD" w:rsidRDefault="004C41BD" w:rsidP="0008746D">
      <w:pPr>
        <w:pStyle w:val="ListParagraph"/>
        <w:numPr>
          <w:ilvl w:val="1"/>
          <w:numId w:val="10"/>
        </w:numPr>
        <w:spacing w:after="0"/>
      </w:pPr>
      <w:r>
        <w:t>Glomerular diseases</w:t>
      </w:r>
    </w:p>
    <w:p w14:paraId="10A91515" w14:textId="77777777" w:rsidR="004C41BD" w:rsidRDefault="004C41BD" w:rsidP="0008746D">
      <w:pPr>
        <w:pStyle w:val="ListParagraph"/>
        <w:numPr>
          <w:ilvl w:val="1"/>
          <w:numId w:val="10"/>
        </w:numPr>
        <w:spacing w:after="0"/>
      </w:pPr>
      <w:r>
        <w:t>Complement diseases</w:t>
      </w:r>
    </w:p>
    <w:p w14:paraId="419A869E" w14:textId="77777777" w:rsidR="004C41BD" w:rsidRPr="00633FD4" w:rsidRDefault="004C41BD" w:rsidP="0008746D">
      <w:pPr>
        <w:pStyle w:val="ListParagraph"/>
        <w:numPr>
          <w:ilvl w:val="1"/>
          <w:numId w:val="10"/>
        </w:numPr>
        <w:spacing w:after="0"/>
      </w:pPr>
      <w:r>
        <w:t>Tubular diseases</w:t>
      </w:r>
    </w:p>
    <w:p w14:paraId="602B39E2" w14:textId="77777777" w:rsidR="004C41BD" w:rsidRDefault="004C41BD" w:rsidP="0008746D">
      <w:pPr>
        <w:pStyle w:val="ListParagraph"/>
        <w:numPr>
          <w:ilvl w:val="0"/>
          <w:numId w:val="10"/>
        </w:numPr>
        <w:tabs>
          <w:tab w:val="clear" w:pos="720"/>
          <w:tab w:val="clear" w:pos="1140"/>
        </w:tabs>
        <w:spacing w:after="0"/>
      </w:pPr>
      <w:r>
        <w:t>Population 3: First degree relatives of index cases in populations 1 and 2</w:t>
      </w:r>
    </w:p>
    <w:p w14:paraId="75586ED0" w14:textId="77777777" w:rsidR="004A5292" w:rsidRDefault="004A5292" w:rsidP="0008746D">
      <w:pPr>
        <w:pStyle w:val="ListParagraph"/>
        <w:numPr>
          <w:ilvl w:val="0"/>
          <w:numId w:val="10"/>
        </w:numPr>
        <w:tabs>
          <w:tab w:val="clear" w:pos="720"/>
          <w:tab w:val="clear" w:pos="1140"/>
        </w:tabs>
        <w:spacing w:after="0"/>
      </w:pPr>
      <w:r>
        <w:t>Population 4: Reproductive partners of probands with recessively inherited variants</w:t>
      </w:r>
    </w:p>
    <w:p w14:paraId="5CA007FD" w14:textId="77777777" w:rsidR="004A5292" w:rsidRPr="00EB3B0A" w:rsidRDefault="004A5292" w:rsidP="0008746D">
      <w:pPr>
        <w:pStyle w:val="ListParagraph"/>
        <w:numPr>
          <w:ilvl w:val="0"/>
          <w:numId w:val="10"/>
        </w:numPr>
        <w:tabs>
          <w:tab w:val="clear" w:pos="720"/>
          <w:tab w:val="clear" w:pos="1140"/>
        </w:tabs>
        <w:spacing w:after="0"/>
      </w:pPr>
      <w:r>
        <w:t xml:space="preserve">Population 5: </w:t>
      </w:r>
      <w:proofErr w:type="spellStart"/>
      <w:r>
        <w:t>Fetal</w:t>
      </w:r>
      <w:proofErr w:type="spellEnd"/>
      <w:r>
        <w:t xml:space="preserve"> testing population</w:t>
      </w:r>
    </w:p>
    <w:p w14:paraId="1F1D5940" w14:textId="2FDAD99C" w:rsidR="00CF4E81" w:rsidRDefault="004C41BD" w:rsidP="00FE495C">
      <w:pPr>
        <w:spacing w:before="240"/>
      </w:pPr>
      <w:r>
        <w:t xml:space="preserve">The distribution of patients eligible for WGS as part of population 2 within the four major disease sub-types was based on Australian data provided by </w:t>
      </w:r>
      <w:proofErr w:type="spellStart"/>
      <w:r>
        <w:t>KidGen</w:t>
      </w:r>
      <w:proofErr w:type="spellEnd"/>
      <w:r>
        <w:t>.</w:t>
      </w:r>
    </w:p>
    <w:p w14:paraId="43F5A892" w14:textId="77777777" w:rsidR="00CF4E81" w:rsidRDefault="00E1141B" w:rsidP="002C5532">
      <w:pPr>
        <w:pStyle w:val="Heading2"/>
      </w:pPr>
      <w:r>
        <w:t>C</w:t>
      </w:r>
      <w:r w:rsidR="00CF4E81" w:rsidRPr="004C41BD">
        <w:t>linical management algorithm</w:t>
      </w:r>
    </w:p>
    <w:p w14:paraId="2E488F4F" w14:textId="51CFB1B3" w:rsidR="00E1141B" w:rsidRDefault="00E1141B" w:rsidP="009B0F69">
      <w:pPr>
        <w:rPr>
          <w:rFonts w:ascii="Arial Narrow" w:hAnsi="Arial Narrow" w:cs="Arial"/>
          <w:b/>
          <w:bCs/>
          <w:iCs/>
          <w:sz w:val="20"/>
          <w:lang w:eastAsia="en-US"/>
        </w:rPr>
      </w:pPr>
      <w:r>
        <w:t>Genetic testing is proposed to be conducted in addition to existing testing. The current (</w:t>
      </w:r>
      <w:fldSimple w:instr=" REF _Ref61010730 ">
        <w:r>
          <w:t xml:space="preserve">Figure </w:t>
        </w:r>
        <w:r>
          <w:rPr>
            <w:noProof/>
          </w:rPr>
          <w:t>1</w:t>
        </w:r>
      </w:fldSimple>
      <w:r>
        <w:t>) and proposed (</w:t>
      </w:r>
      <w:fldSimple w:instr=" REF _Ref61010735 ">
        <w:r>
          <w:t xml:space="preserve">Figure </w:t>
        </w:r>
        <w:r>
          <w:rPr>
            <w:noProof/>
          </w:rPr>
          <w:t>2</w:t>
        </w:r>
      </w:fldSimple>
      <w:r>
        <w:t>) clinical management algorithms for cystic kidney disease represent populations 1 and 3 in the DCAR’s analysis. The current (</w:t>
      </w:r>
      <w:fldSimple w:instr=" REF _Ref61010741 ">
        <w:r>
          <w:t xml:space="preserve">Figure </w:t>
        </w:r>
        <w:r>
          <w:rPr>
            <w:noProof/>
          </w:rPr>
          <w:t>3</w:t>
        </w:r>
      </w:fldSimple>
      <w:r>
        <w:t>) and proposed (</w:t>
      </w:r>
      <w:fldSimple w:instr=" REF _Ref61010745 ">
        <w:r>
          <w:t xml:space="preserve">Figure </w:t>
        </w:r>
        <w:r>
          <w:rPr>
            <w:noProof/>
          </w:rPr>
          <w:t>4</w:t>
        </w:r>
      </w:fldSimple>
      <w:r>
        <w:t>) clinical management algorithms for children aged under 18 years with chronic kidney disease excluding Alport syndrome and cystic disease represent populations 2 and 3 in the DCAR’s analysis.</w:t>
      </w:r>
      <w:bookmarkStart w:id="6" w:name="_Ref379455005"/>
      <w:bookmarkStart w:id="7" w:name="_Ref379454995"/>
    </w:p>
    <w:bookmarkEnd w:id="6"/>
    <w:bookmarkEnd w:id="7"/>
    <w:p w14:paraId="30AE9E98" w14:textId="77777777" w:rsidR="00E1141B" w:rsidRDefault="00E1141B" w:rsidP="00E1141B">
      <w:pPr>
        <w:keepNext/>
        <w:jc w:val="both"/>
      </w:pPr>
      <w:r>
        <w:rPr>
          <w:noProof/>
        </w:rPr>
        <w:lastRenderedPageBreak/>
        <w:drawing>
          <wp:inline distT="0" distB="0" distL="0" distR="0" wp14:anchorId="493F6137" wp14:editId="625CF197">
            <wp:extent cx="5684278" cy="6648450"/>
            <wp:effectExtent l="0" t="0" r="0" b="0"/>
            <wp:docPr id="6" name="Picture 6" descr="Current clinical management algorithm for cystic kidne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0753" cy="6679416"/>
                    </a:xfrm>
                    <a:prstGeom prst="rect">
                      <a:avLst/>
                    </a:prstGeom>
                  </pic:spPr>
                </pic:pic>
              </a:graphicData>
            </a:graphic>
          </wp:inline>
        </w:drawing>
      </w:r>
    </w:p>
    <w:p w14:paraId="3606FF57" w14:textId="77777777" w:rsidR="00E1141B" w:rsidRDefault="00E1141B" w:rsidP="00E1141B">
      <w:pPr>
        <w:pStyle w:val="Caption"/>
      </w:pPr>
      <w:bookmarkStart w:id="8" w:name="_Ref61010730"/>
      <w:r>
        <w:t xml:space="preserve">Figure </w:t>
      </w:r>
      <w:fldSimple w:instr=" SEQ Figure \* ARABIC ">
        <w:r>
          <w:rPr>
            <w:noProof/>
          </w:rPr>
          <w:t>1</w:t>
        </w:r>
      </w:fldSimple>
      <w:bookmarkEnd w:id="8"/>
      <w:r>
        <w:tab/>
        <w:t>Current c</w:t>
      </w:r>
      <w:r w:rsidRPr="00183E4D">
        <w:t>linical management algorithm for</w:t>
      </w:r>
      <w:r>
        <w:t xml:space="preserve"> cystic kidney disease</w:t>
      </w:r>
    </w:p>
    <w:p w14:paraId="457E8971" w14:textId="77777777" w:rsidR="00E1141B" w:rsidRPr="00ED3C75" w:rsidRDefault="00E1141B" w:rsidP="00FE495C">
      <w:pPr>
        <w:pStyle w:val="Tablenotes"/>
      </w:pPr>
      <w:r w:rsidRPr="00B475E8">
        <w:t>The term ESRF is used here to describe end stage kidney disease (ESKD)</w:t>
      </w:r>
      <w:r w:rsidRPr="00B475E8">
        <w:br/>
      </w:r>
      <w:r>
        <w:t xml:space="preserve">Abbreviations: CT = computed </w:t>
      </w:r>
      <w:r w:rsidRPr="002177A4">
        <w:t>tomography; ESRF</w:t>
      </w:r>
      <w:r>
        <w:t xml:space="preserve"> = End Stage Renal Failure; US = ultrasound</w:t>
      </w:r>
      <w:r>
        <w:br/>
        <w:t xml:space="preserve">Notes: * an oral glucose tolerance test for diabetes may be conducted to detect diabetes caused by </w:t>
      </w:r>
      <w:r w:rsidRPr="00B83416">
        <w:rPr>
          <w:i/>
        </w:rPr>
        <w:t>HNF1B</w:t>
      </w:r>
      <w:r>
        <w:t xml:space="preserve"> related disease; ** Renal biopsy is only required for definitive diagnosis of autosomal dominant tubulointerstitial kidney disease (including MCKD and </w:t>
      </w:r>
      <w:r w:rsidRPr="00B83416">
        <w:rPr>
          <w:i/>
        </w:rPr>
        <w:t>HNF1B</w:t>
      </w:r>
      <w:r>
        <w:t>-related disease)</w:t>
      </w:r>
    </w:p>
    <w:p w14:paraId="137CD203" w14:textId="19AF49B9" w:rsidR="00E1141B" w:rsidRPr="00FE495C" w:rsidRDefault="00E1141B" w:rsidP="00FE495C">
      <w:pPr>
        <w:pStyle w:val="Tablenotes"/>
      </w:pPr>
      <w:bookmarkStart w:id="9" w:name="_Ref45205808"/>
      <w:r>
        <w:t>Source: DCAR Figure 1, from Ratified PICO</w:t>
      </w:r>
      <w:r w:rsidRPr="00B475E8">
        <w:t xml:space="preserve"> </w:t>
      </w:r>
      <w:r>
        <w:t xml:space="preserve">Figure 2. </w:t>
      </w:r>
      <w:r>
        <w:br w:type="page"/>
      </w:r>
    </w:p>
    <w:bookmarkEnd w:id="9"/>
    <w:p w14:paraId="369173F0" w14:textId="77777777" w:rsidR="00E1141B" w:rsidRDefault="00E1141B" w:rsidP="00E1141B">
      <w:r>
        <w:rPr>
          <w:noProof/>
        </w:rPr>
        <w:lastRenderedPageBreak/>
        <w:drawing>
          <wp:inline distT="0" distB="0" distL="0" distR="0" wp14:anchorId="4029D338" wp14:editId="4049AF95">
            <wp:extent cx="5663417" cy="7858125"/>
            <wp:effectExtent l="0" t="0" r="0" b="0"/>
            <wp:docPr id="11" name="Picture 11" descr="Proposed clinical management algorithm for cystic kidne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7562" cy="7877752"/>
                    </a:xfrm>
                    <a:prstGeom prst="rect">
                      <a:avLst/>
                    </a:prstGeom>
                  </pic:spPr>
                </pic:pic>
              </a:graphicData>
            </a:graphic>
          </wp:inline>
        </w:drawing>
      </w:r>
    </w:p>
    <w:p w14:paraId="05199688" w14:textId="77777777" w:rsidR="00E1141B" w:rsidRPr="00ED3C75" w:rsidRDefault="00E1141B" w:rsidP="00E1141B">
      <w:pPr>
        <w:pStyle w:val="Caption"/>
        <w:jc w:val="left"/>
      </w:pPr>
      <w:bookmarkStart w:id="10" w:name="_Ref61010735"/>
      <w:r>
        <w:t xml:space="preserve">Figure </w:t>
      </w:r>
      <w:fldSimple w:instr=" SEQ Figure \* ARABIC ">
        <w:r>
          <w:rPr>
            <w:noProof/>
          </w:rPr>
          <w:t>2</w:t>
        </w:r>
      </w:fldSimple>
      <w:bookmarkEnd w:id="10"/>
      <w:r>
        <w:tab/>
        <w:t>Proposed c</w:t>
      </w:r>
      <w:r w:rsidRPr="00183E4D">
        <w:t>linical management algorithm for</w:t>
      </w:r>
      <w:r>
        <w:t xml:space="preserve"> cystic kidney disease</w:t>
      </w:r>
    </w:p>
    <w:p w14:paraId="41B098CD" w14:textId="77777777" w:rsidR="00E1141B" w:rsidRDefault="00E1141B" w:rsidP="00FE495C">
      <w:pPr>
        <w:pStyle w:val="Tablenotes"/>
        <w:rPr>
          <w:b/>
          <w:bCs/>
          <w:iCs/>
          <w:sz w:val="20"/>
        </w:rPr>
      </w:pPr>
      <w:r w:rsidRPr="00B475E8">
        <w:t>The term ESRF is used here to describe end stage kidney disease (ESKD)</w:t>
      </w:r>
      <w:r w:rsidRPr="00B475E8">
        <w:br/>
      </w:r>
      <w:r w:rsidRPr="002177A4">
        <w:t>Abbreviations: CT = computed tomography; ESRF = End Stage Renal Failure; US = ultrasound</w:t>
      </w:r>
      <w:r w:rsidRPr="00365897">
        <w:br/>
        <w:t xml:space="preserve">Notes: * an oral glucose tolerance test for diabetes may be conducted to detect diabetes caused by </w:t>
      </w:r>
      <w:r w:rsidRPr="00B83416">
        <w:rPr>
          <w:i/>
        </w:rPr>
        <w:t>HNF1B</w:t>
      </w:r>
      <w:r w:rsidRPr="00365897">
        <w:t xml:space="preserve"> related disease; ** Renal biopsy is only required for definitive diagnosis of autosomal dominant tubulointerstitial kidney disease (including MCKD and </w:t>
      </w:r>
      <w:r w:rsidRPr="00B83416">
        <w:rPr>
          <w:i/>
        </w:rPr>
        <w:t>HNF1B</w:t>
      </w:r>
      <w:r w:rsidRPr="00365897">
        <w:t xml:space="preserve">-related disease) </w:t>
      </w:r>
      <w:bookmarkStart w:id="11" w:name="_Ref45205829"/>
      <w:r>
        <w:t>Source: DCAR Figure 2, from Ratified PICO Figure 3.</w:t>
      </w:r>
      <w:r>
        <w:br w:type="page"/>
      </w:r>
    </w:p>
    <w:bookmarkEnd w:id="11"/>
    <w:p w14:paraId="2EE2CF8F" w14:textId="77777777" w:rsidR="00E1141B" w:rsidRDefault="00E1141B" w:rsidP="00E1141B">
      <w:pPr>
        <w:keepNext/>
      </w:pPr>
      <w:r>
        <w:rPr>
          <w:noProof/>
        </w:rPr>
        <w:lastRenderedPageBreak/>
        <w:drawing>
          <wp:inline distT="0" distB="0" distL="0" distR="0" wp14:anchorId="457246B5" wp14:editId="15E6321F">
            <wp:extent cx="5755572" cy="4514850"/>
            <wp:effectExtent l="0" t="0" r="0" b="0"/>
            <wp:docPr id="3" name="Picture 3" descr="Current clinical management algorithm for chronic kidney (renal) disease in children aged under 18 years (excluding Alport syndrome &amp; cystic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71046" cy="4526988"/>
                    </a:xfrm>
                    <a:prstGeom prst="rect">
                      <a:avLst/>
                    </a:prstGeom>
                  </pic:spPr>
                </pic:pic>
              </a:graphicData>
            </a:graphic>
          </wp:inline>
        </w:drawing>
      </w:r>
    </w:p>
    <w:p w14:paraId="4E4167AE" w14:textId="77777777" w:rsidR="00E1141B" w:rsidRDefault="00E1141B" w:rsidP="00E1141B">
      <w:pPr>
        <w:pStyle w:val="Caption"/>
        <w:jc w:val="left"/>
      </w:pPr>
      <w:bookmarkStart w:id="12" w:name="_Ref61010741"/>
      <w:r>
        <w:t xml:space="preserve">Figure </w:t>
      </w:r>
      <w:fldSimple w:instr=" SEQ Figure \* ARABIC ">
        <w:r>
          <w:rPr>
            <w:noProof/>
          </w:rPr>
          <w:t>3</w:t>
        </w:r>
      </w:fldSimple>
      <w:bookmarkEnd w:id="12"/>
      <w:r>
        <w:tab/>
      </w:r>
      <w:r w:rsidRPr="00183E4D">
        <w:t>C</w:t>
      </w:r>
      <w:r>
        <w:t>urrent c</w:t>
      </w:r>
      <w:r w:rsidRPr="00183E4D">
        <w:t>linical management algorithm for</w:t>
      </w:r>
      <w:r>
        <w:t xml:space="preserve"> </w:t>
      </w:r>
      <w:r w:rsidRPr="00365897">
        <w:t>chronic kidney (renal) disease in children aged under 18 years (excluding Alport syndrome &amp; cystic disease)</w:t>
      </w:r>
    </w:p>
    <w:p w14:paraId="3E336A08" w14:textId="77777777" w:rsidR="00E1141B" w:rsidRDefault="00E1141B" w:rsidP="00FE495C">
      <w:pPr>
        <w:pStyle w:val="Tablenotes"/>
      </w:pPr>
      <w:r w:rsidRPr="00B475E8">
        <w:t>The term ESRF is used here to describe end stage kidney disease (ESKD)</w:t>
      </w:r>
      <w:r w:rsidRPr="00B475E8">
        <w:br/>
      </w:r>
      <w:r w:rsidRPr="002177A4">
        <w:t>Abbreviations: ESRF = End Stage Renal Failure</w:t>
      </w:r>
    </w:p>
    <w:p w14:paraId="68DC8DD6" w14:textId="27CED3A7" w:rsidR="00E1141B" w:rsidRPr="00FE495C" w:rsidRDefault="00E1141B" w:rsidP="00FE495C">
      <w:pPr>
        <w:pStyle w:val="Tablenotes"/>
      </w:pPr>
      <w:r>
        <w:t>Source: DCAR Figure 3, from Ratified PICO Figure 4.</w:t>
      </w:r>
      <w:bookmarkStart w:id="13" w:name="_Ref45205848"/>
      <w:r>
        <w:br w:type="page"/>
      </w:r>
    </w:p>
    <w:bookmarkEnd w:id="13"/>
    <w:p w14:paraId="703A4C84" w14:textId="77777777" w:rsidR="00E1141B" w:rsidRDefault="00E1141B" w:rsidP="00E1141B">
      <w:pPr>
        <w:keepNext/>
      </w:pPr>
      <w:r>
        <w:rPr>
          <w:noProof/>
        </w:rPr>
        <w:lastRenderedPageBreak/>
        <w:drawing>
          <wp:inline distT="0" distB="0" distL="0" distR="0" wp14:anchorId="046AF663" wp14:editId="664B9563">
            <wp:extent cx="5731510" cy="6243955"/>
            <wp:effectExtent l="0" t="0" r="2540" b="4445"/>
            <wp:docPr id="5" name="Picture 5" descr="Proposed clinical management algorithm for chronic kidney (renal) disease in children aged under 18 years (excluding Alport syndrome &amp; cystic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6243955"/>
                    </a:xfrm>
                    <a:prstGeom prst="rect">
                      <a:avLst/>
                    </a:prstGeom>
                  </pic:spPr>
                </pic:pic>
              </a:graphicData>
            </a:graphic>
          </wp:inline>
        </w:drawing>
      </w:r>
    </w:p>
    <w:p w14:paraId="079654E0" w14:textId="77777777" w:rsidR="00E1141B" w:rsidRDefault="00E1141B" w:rsidP="00E1141B">
      <w:pPr>
        <w:pStyle w:val="Caption"/>
        <w:jc w:val="left"/>
      </w:pPr>
      <w:bookmarkStart w:id="14" w:name="_Ref61010745"/>
      <w:r>
        <w:t xml:space="preserve">Figure </w:t>
      </w:r>
      <w:fldSimple w:instr=" SEQ Figure \* ARABIC ">
        <w:r>
          <w:rPr>
            <w:noProof/>
          </w:rPr>
          <w:t>4</w:t>
        </w:r>
      </w:fldSimple>
      <w:bookmarkEnd w:id="14"/>
      <w:r>
        <w:tab/>
        <w:t>Proposed c</w:t>
      </w:r>
      <w:r w:rsidRPr="00183E4D">
        <w:t>linical management algorithm for</w:t>
      </w:r>
      <w:r>
        <w:t xml:space="preserve"> </w:t>
      </w:r>
      <w:r w:rsidRPr="00365897">
        <w:t>chronic kidney (renal) disease in children aged under 18 years (excluding Alport syndrome &amp; cystic disease)</w:t>
      </w:r>
    </w:p>
    <w:p w14:paraId="2D42BEA9" w14:textId="77777777" w:rsidR="00E1141B" w:rsidRDefault="00E1141B" w:rsidP="00FE495C">
      <w:pPr>
        <w:pStyle w:val="Tablenotes"/>
      </w:pPr>
      <w:r w:rsidRPr="00045E5B">
        <w:t>The term ESRF is used here to describe end stage kidney disease (ESKD)</w:t>
      </w:r>
      <w:r w:rsidRPr="00045E5B">
        <w:br/>
      </w:r>
      <w:r w:rsidRPr="002177A4">
        <w:t>Abbreviations: ESKD = End Stage Renal Failure.</w:t>
      </w:r>
      <w:r w:rsidRPr="00045E5B">
        <w:t xml:space="preserve"> </w:t>
      </w:r>
    </w:p>
    <w:p w14:paraId="442BA671" w14:textId="4AD0BF0A" w:rsidR="002C5532" w:rsidRPr="00365897" w:rsidRDefault="00E1141B" w:rsidP="00FE495C">
      <w:pPr>
        <w:pStyle w:val="Tablenotes"/>
      </w:pPr>
      <w:r>
        <w:t>Source: DCAR Figure 4, from Ratified PICO Figure 5.</w:t>
      </w:r>
    </w:p>
    <w:p w14:paraId="34CAF0E9" w14:textId="77777777" w:rsidR="00E1141B" w:rsidRDefault="00E1141B" w:rsidP="00E1141B">
      <w:pPr>
        <w:rPr>
          <w:iCs/>
        </w:rPr>
      </w:pPr>
      <w:r>
        <w:t xml:space="preserve">The DCAR stated that </w:t>
      </w:r>
      <w:r>
        <w:rPr>
          <w:iCs/>
        </w:rPr>
        <w:t>t</w:t>
      </w:r>
      <w:r w:rsidRPr="004A6B66">
        <w:rPr>
          <w:iCs/>
        </w:rPr>
        <w:t>he addition of genetic testing in the clinical management algorithm for affected individuals is simple and may reduce the time taken to reach a definitive diagnosis and commence optimal medical therapy. This would increase health care resource utilisation in the short term, which may be partially offset by reduced renal biopsy, repeat imaging, and pathology tests associated with the ‘diagnostic odyssey’. A timely diagnosis and initiation of optimal medical therapy should delay the onset of renal failure and the costs associated with end stage kidney disease.</w:t>
      </w:r>
    </w:p>
    <w:p w14:paraId="6888DC5B" w14:textId="77777777" w:rsidR="00E1141B" w:rsidRPr="00E1141B" w:rsidRDefault="00E1141B" w:rsidP="00E1141B">
      <w:r w:rsidRPr="004A6B66">
        <w:lastRenderedPageBreak/>
        <w:t xml:space="preserve">Once a definitive diagnosis is made for the affected individual through genetic testing (populations 1 and 2), their first-degree relatives may also be screened for the disease (cascade testing, population 3). A positive test result enables earlier monitoring and treatment of currently asymptomatic individuals and ensures that disease carriers do not act as kidney donors for the index patient. A negative test result removes the need for monitoring in ‘at risk’ individuals. Targeted genetic and reproductive counselling can be provided, </w:t>
      </w:r>
      <w:r w:rsidRPr="004A6B66">
        <w:rPr>
          <w:iCs/>
        </w:rPr>
        <w:t xml:space="preserve">including prenatal diagnosis, </w:t>
      </w:r>
      <w:r w:rsidRPr="004A6B66">
        <w:rPr>
          <w:i/>
        </w:rPr>
        <w:t>in vitro</w:t>
      </w:r>
      <w:r w:rsidRPr="004A6B66">
        <w:rPr>
          <w:iCs/>
        </w:rPr>
        <w:t xml:space="preserve"> fertilization (IVF) and pre-implantation genetic diagnosis.</w:t>
      </w:r>
    </w:p>
    <w:p w14:paraId="657A745C" w14:textId="77777777" w:rsidR="00BC1364" w:rsidRPr="00F715D1" w:rsidRDefault="00BC1364" w:rsidP="004C41BD">
      <w:pPr>
        <w:pStyle w:val="Heading1"/>
      </w:pPr>
      <w:r w:rsidRPr="00F715D1">
        <w:t xml:space="preserve">Comparator </w:t>
      </w:r>
    </w:p>
    <w:p w14:paraId="25CEDD71" w14:textId="5A716FB0" w:rsidR="004C41BD" w:rsidRPr="00D40FCA" w:rsidRDefault="004C41BD" w:rsidP="004C41BD">
      <w:r>
        <w:t xml:space="preserve">The DCAR stated that the </w:t>
      </w:r>
      <w:r w:rsidRPr="00D40FCA">
        <w:t>agreed comparator is ‘no genetic testing for herit</w:t>
      </w:r>
      <w:r w:rsidR="00F43DCB">
        <w:t>abl</w:t>
      </w:r>
      <w:r w:rsidRPr="00D40FCA">
        <w:t>e kidney disease’, with diagnosis reliant on clinical criteria and (non-genetic) laboratory investigations, and previous medical and family history. PASC advised that non-genetic laboratory investigations co</w:t>
      </w:r>
      <w:r>
        <w:t>uld include diagnostic imaging.</w:t>
      </w:r>
    </w:p>
    <w:p w14:paraId="0C1200BC" w14:textId="77777777" w:rsidR="00DB5833" w:rsidRPr="00F72715" w:rsidRDefault="004C41BD" w:rsidP="004C41BD">
      <w:r w:rsidRPr="00D40FCA">
        <w:t xml:space="preserve">Genetic testing is intended to be used as an adjunct diagnostic tool to clinical examination, family history, diagnostic pathology, and renal imaging. If </w:t>
      </w:r>
      <w:r>
        <w:t>heritable</w:t>
      </w:r>
      <w:r w:rsidRPr="00D40FCA">
        <w:t xml:space="preserve"> kidney disease is suspected but cannot be categorically determined phenotypically, the affected individual would b</w:t>
      </w:r>
      <w:r>
        <w:t>e referred for genetic testing.</w:t>
      </w:r>
    </w:p>
    <w:p w14:paraId="29B2E71E" w14:textId="77777777" w:rsidR="00BC1364" w:rsidRPr="00F715D1" w:rsidRDefault="00BC1364" w:rsidP="004C41BD">
      <w:pPr>
        <w:pStyle w:val="Heading1"/>
      </w:pPr>
      <w:r w:rsidRPr="00F715D1">
        <w:t>Comparative safety</w:t>
      </w:r>
    </w:p>
    <w:p w14:paraId="4F5933ED" w14:textId="77777777" w:rsidR="00DB5833" w:rsidRPr="005A4362" w:rsidRDefault="004C41BD" w:rsidP="004C41BD">
      <w:r>
        <w:t xml:space="preserve">The DCAR stated that </w:t>
      </w:r>
      <w:r w:rsidRPr="006F2441">
        <w:t xml:space="preserve">genetic testing is only indicated for patients who cannot be definitively diagnosed phenotypically. </w:t>
      </w:r>
      <w:r>
        <w:t>I</w:t>
      </w:r>
      <w:r w:rsidRPr="006F2441">
        <w:t xml:space="preserve">t is possible for harm to be caused by genetic testing through genetic misdiagnosis, missed diagnosis, or incidental findings. It is possible for harm to be caused by </w:t>
      </w:r>
      <w:r>
        <w:t xml:space="preserve">the comparator, </w:t>
      </w:r>
      <w:r w:rsidRPr="006F2441">
        <w:t>‘no genetic testing’</w:t>
      </w:r>
      <w:r>
        <w:t>,</w:t>
      </w:r>
      <w:r w:rsidRPr="006F2441">
        <w:t xml:space="preserve"> through adverse events associated with inappropriate therapeutic interventions.</w:t>
      </w:r>
      <w:r w:rsidR="00DB5833" w:rsidRPr="005A4362">
        <w:t xml:space="preserve"> </w:t>
      </w:r>
    </w:p>
    <w:p w14:paraId="2C29F69F" w14:textId="77777777" w:rsidR="00BC1364" w:rsidRPr="00F715D1" w:rsidRDefault="00BC1364" w:rsidP="004C41BD">
      <w:pPr>
        <w:pStyle w:val="Heading1"/>
      </w:pPr>
      <w:r w:rsidRPr="00F715D1">
        <w:t>Comparative effectiveness</w:t>
      </w:r>
    </w:p>
    <w:p w14:paraId="60E6FE56" w14:textId="77777777" w:rsidR="0008746D" w:rsidRPr="002C5532" w:rsidRDefault="0008746D" w:rsidP="002C5532">
      <w:pPr>
        <w:pStyle w:val="Heading2"/>
      </w:pPr>
      <w:r w:rsidRPr="002C5532">
        <w:t>Clinical claim</w:t>
      </w:r>
    </w:p>
    <w:p w14:paraId="18B81B83" w14:textId="77777777" w:rsidR="0008746D" w:rsidRDefault="0008746D" w:rsidP="0008746D">
      <w:r>
        <w:t xml:space="preserve">The clinical claim is that, relative to no genetic testing, WGS-based genetic testing for heritable kidney disease other than Alport syndrome shows superior safety and effectiveness in terms of disease diagnosis and change in clinical management of patients. </w:t>
      </w:r>
    </w:p>
    <w:p w14:paraId="6A042423" w14:textId="77777777" w:rsidR="0008746D" w:rsidRDefault="0008746D" w:rsidP="002C5532">
      <w:pPr>
        <w:pStyle w:val="Heading2"/>
      </w:pPr>
      <w:r>
        <w:t>Characteristics of the evidence base</w:t>
      </w:r>
    </w:p>
    <w:p w14:paraId="4DAAD51D" w14:textId="0D4ED1A3" w:rsidR="0008746D" w:rsidRPr="00FE495C" w:rsidRDefault="0008746D" w:rsidP="00FE495C">
      <w:r>
        <w:t>Due to the lack of direct clinical trial evidence, a linked evidence approach was adopted for all three populations. The quality of the included evidence was low. No randomised clinical trials or large-scale prospective longitudinal studies could be retrieved. The study design was mostly retrospective with an inherently high risk of bias (</w:t>
      </w:r>
      <w:fldSimple w:instr=" REF _Ref61355915 ">
        <w:r>
          <w:t xml:space="preserve">Table </w:t>
        </w:r>
        <w:r>
          <w:rPr>
            <w:noProof/>
          </w:rPr>
          <w:t>7</w:t>
        </w:r>
      </w:fldSimple>
      <w:r>
        <w:t>).</w:t>
      </w:r>
    </w:p>
    <w:p w14:paraId="2DBE8823" w14:textId="31614A83" w:rsidR="0008746D" w:rsidRDefault="0008746D" w:rsidP="0008746D">
      <w:pPr>
        <w:pStyle w:val="Caption"/>
      </w:pPr>
      <w:bookmarkStart w:id="15" w:name="_Ref61355915"/>
      <w:r>
        <w:lastRenderedPageBreak/>
        <w:t xml:space="preserve">Table </w:t>
      </w:r>
      <w:fldSimple w:instr=" SEQ Table \* ARABIC ">
        <w:r w:rsidR="00627B6A">
          <w:rPr>
            <w:noProof/>
          </w:rPr>
          <w:t>7</w:t>
        </w:r>
      </w:fldSimple>
      <w:bookmarkEnd w:id="15"/>
      <w:r>
        <w:t xml:space="preserve"> </w:t>
      </w:r>
      <w:r>
        <w:tab/>
      </w:r>
      <w:r>
        <w:rPr>
          <w:snapToGrid w:val="0"/>
        </w:rPr>
        <w:t>Key features of the included linked evidence</w:t>
      </w:r>
    </w:p>
    <w:tbl>
      <w:tblPr>
        <w:tblStyle w:val="TableGrid1"/>
        <w:tblW w:w="5000" w:type="pct"/>
        <w:tblLook w:val="04A0" w:firstRow="1" w:lastRow="0" w:firstColumn="1" w:lastColumn="0" w:noHBand="0" w:noVBand="1"/>
        <w:tblCaption w:val="Table 2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174"/>
        <w:gridCol w:w="2649"/>
        <w:gridCol w:w="4398"/>
        <w:gridCol w:w="795"/>
      </w:tblGrid>
      <w:tr w:rsidR="0008746D" w14:paraId="4C12ED10" w14:textId="77777777" w:rsidTr="005E3F29">
        <w:trPr>
          <w:tblHeader/>
        </w:trPr>
        <w:tc>
          <w:tcPr>
            <w:tcW w:w="651" w:type="pct"/>
            <w:tcBorders>
              <w:top w:val="single" w:sz="4" w:space="0" w:color="auto"/>
              <w:left w:val="single" w:sz="4" w:space="0" w:color="auto"/>
              <w:bottom w:val="single" w:sz="4" w:space="0" w:color="auto"/>
              <w:right w:val="single" w:sz="4" w:space="0" w:color="auto"/>
            </w:tcBorders>
            <w:hideMark/>
          </w:tcPr>
          <w:p w14:paraId="01796EF3" w14:textId="77777777" w:rsidR="0008746D" w:rsidRDefault="0008746D" w:rsidP="00E1141B">
            <w:pPr>
              <w:pStyle w:val="TableHeading"/>
              <w:rPr>
                <w:snapToGrid w:val="0"/>
                <w:lang w:eastAsia="en-US"/>
              </w:rPr>
            </w:pPr>
            <w:r>
              <w:rPr>
                <w:snapToGrid w:val="0"/>
                <w:lang w:eastAsia="en-US"/>
              </w:rPr>
              <w:t>Type of evidence</w:t>
            </w:r>
          </w:p>
        </w:tc>
        <w:tc>
          <w:tcPr>
            <w:tcW w:w="1469" w:type="pct"/>
            <w:tcBorders>
              <w:top w:val="single" w:sz="4" w:space="0" w:color="auto"/>
              <w:left w:val="single" w:sz="4" w:space="0" w:color="auto"/>
              <w:bottom w:val="single" w:sz="4" w:space="0" w:color="auto"/>
              <w:right w:val="single" w:sz="4" w:space="0" w:color="auto"/>
            </w:tcBorders>
            <w:hideMark/>
          </w:tcPr>
          <w:p w14:paraId="2AA217A7" w14:textId="77777777" w:rsidR="0008746D" w:rsidRDefault="0008746D" w:rsidP="00E1141B">
            <w:pPr>
              <w:pStyle w:val="TableHeading"/>
              <w:rPr>
                <w:snapToGrid w:val="0"/>
                <w:lang w:eastAsia="en-US"/>
              </w:rPr>
            </w:pPr>
            <w:r>
              <w:rPr>
                <w:snapToGrid w:val="0"/>
                <w:lang w:eastAsia="en-US"/>
              </w:rPr>
              <w:t>Description</w:t>
            </w:r>
          </w:p>
        </w:tc>
        <w:tc>
          <w:tcPr>
            <w:tcW w:w="2439" w:type="pct"/>
            <w:tcBorders>
              <w:top w:val="single" w:sz="4" w:space="0" w:color="auto"/>
              <w:left w:val="single" w:sz="4" w:space="0" w:color="auto"/>
              <w:bottom w:val="single" w:sz="4" w:space="0" w:color="auto"/>
              <w:right w:val="single" w:sz="4" w:space="0" w:color="auto"/>
            </w:tcBorders>
            <w:hideMark/>
          </w:tcPr>
          <w:p w14:paraId="27721E10" w14:textId="77777777" w:rsidR="0008746D" w:rsidRDefault="0008746D" w:rsidP="00E1141B">
            <w:pPr>
              <w:pStyle w:val="TableHeading"/>
              <w:rPr>
                <w:snapToGrid w:val="0"/>
                <w:lang w:eastAsia="en-US"/>
              </w:rPr>
            </w:pPr>
            <w:r>
              <w:rPr>
                <w:snapToGrid w:val="0"/>
                <w:lang w:eastAsia="en-US"/>
              </w:rPr>
              <w:t>Number</w:t>
            </w:r>
          </w:p>
        </w:tc>
        <w:tc>
          <w:tcPr>
            <w:tcW w:w="442" w:type="pct"/>
            <w:tcBorders>
              <w:top w:val="single" w:sz="4" w:space="0" w:color="auto"/>
              <w:left w:val="single" w:sz="4" w:space="0" w:color="auto"/>
              <w:bottom w:val="single" w:sz="4" w:space="0" w:color="auto"/>
              <w:right w:val="single" w:sz="4" w:space="0" w:color="auto"/>
            </w:tcBorders>
          </w:tcPr>
          <w:p w14:paraId="5FF81A39" w14:textId="77777777" w:rsidR="0008746D" w:rsidRDefault="0008746D" w:rsidP="00E1141B">
            <w:pPr>
              <w:pStyle w:val="TableHeading"/>
              <w:jc w:val="center"/>
              <w:rPr>
                <w:snapToGrid w:val="0"/>
                <w:lang w:eastAsia="en-US"/>
              </w:rPr>
            </w:pPr>
            <w:r>
              <w:rPr>
                <w:snapToGrid w:val="0"/>
                <w:lang w:eastAsia="en-US"/>
              </w:rPr>
              <w:t>Risk of bias</w:t>
            </w:r>
          </w:p>
        </w:tc>
      </w:tr>
      <w:tr w:rsidR="0008746D" w:rsidRPr="001840B3" w14:paraId="380D1648" w14:textId="77777777" w:rsidTr="00E1141B">
        <w:tc>
          <w:tcPr>
            <w:tcW w:w="651" w:type="pct"/>
            <w:tcBorders>
              <w:top w:val="single" w:sz="4" w:space="0" w:color="auto"/>
              <w:left w:val="single" w:sz="4" w:space="0" w:color="auto"/>
              <w:bottom w:val="single" w:sz="4" w:space="0" w:color="auto"/>
              <w:right w:val="single" w:sz="4" w:space="0" w:color="auto"/>
            </w:tcBorders>
            <w:hideMark/>
          </w:tcPr>
          <w:p w14:paraId="0D1D53A2" w14:textId="77777777" w:rsidR="0008746D" w:rsidRPr="001840B3" w:rsidRDefault="0008746D" w:rsidP="00E1141B">
            <w:pPr>
              <w:pStyle w:val="TableHeading"/>
              <w:rPr>
                <w:b w:val="0"/>
                <w:bCs/>
                <w:i/>
                <w:snapToGrid w:val="0"/>
                <w:lang w:eastAsia="en-US"/>
              </w:rPr>
            </w:pPr>
            <w:r w:rsidRPr="001840B3">
              <w:rPr>
                <w:b w:val="0"/>
                <w:bCs/>
                <w:i/>
                <w:snapToGrid w:val="0"/>
                <w:lang w:eastAsia="en-US"/>
              </w:rPr>
              <w:t>Analytical validity</w:t>
            </w:r>
          </w:p>
        </w:tc>
        <w:tc>
          <w:tcPr>
            <w:tcW w:w="1469" w:type="pct"/>
            <w:tcBorders>
              <w:top w:val="single" w:sz="4" w:space="0" w:color="auto"/>
              <w:left w:val="single" w:sz="4" w:space="0" w:color="auto"/>
              <w:bottom w:val="single" w:sz="4" w:space="0" w:color="auto"/>
              <w:right w:val="single" w:sz="4" w:space="0" w:color="auto"/>
            </w:tcBorders>
            <w:hideMark/>
          </w:tcPr>
          <w:p w14:paraId="391E3901" w14:textId="77777777" w:rsidR="0008746D" w:rsidRPr="001840B3" w:rsidRDefault="0008746D" w:rsidP="00E1141B">
            <w:pPr>
              <w:pStyle w:val="TableHeading"/>
              <w:rPr>
                <w:b w:val="0"/>
                <w:bCs/>
                <w:i/>
                <w:snapToGrid w:val="0"/>
                <w:lang w:eastAsia="en-US"/>
              </w:rPr>
            </w:pPr>
            <w:r w:rsidRPr="001840B3">
              <w:rPr>
                <w:b w:val="0"/>
                <w:bCs/>
                <w:i/>
                <w:snapToGrid w:val="0"/>
                <w:lang w:eastAsia="en-US"/>
              </w:rPr>
              <w:t>Analytical sensitivity and specificity</w:t>
            </w:r>
          </w:p>
        </w:tc>
        <w:tc>
          <w:tcPr>
            <w:tcW w:w="2439" w:type="pct"/>
            <w:tcBorders>
              <w:top w:val="single" w:sz="4" w:space="0" w:color="auto"/>
              <w:left w:val="single" w:sz="4" w:space="0" w:color="auto"/>
              <w:bottom w:val="single" w:sz="4" w:space="0" w:color="auto"/>
              <w:right w:val="single" w:sz="4" w:space="0" w:color="auto"/>
            </w:tcBorders>
            <w:hideMark/>
          </w:tcPr>
          <w:p w14:paraId="577DBC52" w14:textId="77777777" w:rsidR="0008746D" w:rsidRPr="001840B3" w:rsidRDefault="0008746D" w:rsidP="00E1141B">
            <w:pPr>
              <w:pStyle w:val="TableHeading"/>
              <w:rPr>
                <w:b w:val="0"/>
                <w:bCs/>
                <w:i/>
                <w:snapToGrid w:val="0"/>
                <w:lang w:eastAsia="en-US"/>
              </w:rPr>
            </w:pPr>
            <w:r w:rsidRPr="001840B3">
              <w:rPr>
                <w:b w:val="0"/>
                <w:bCs/>
                <w:i/>
                <w:snapToGrid w:val="0"/>
                <w:lang w:eastAsia="en-US"/>
              </w:rPr>
              <w:t>Population 2.3, k=4 , n=81</w:t>
            </w:r>
          </w:p>
          <w:p w14:paraId="0DAE7148" w14:textId="77777777" w:rsidR="0008746D" w:rsidRPr="001840B3" w:rsidRDefault="0008746D" w:rsidP="00E1141B">
            <w:pPr>
              <w:pStyle w:val="TableHeading"/>
              <w:rPr>
                <w:b w:val="0"/>
                <w:bCs/>
                <w:i/>
                <w:snapToGrid w:val="0"/>
                <w:lang w:eastAsia="en-US"/>
              </w:rPr>
            </w:pPr>
            <w:r w:rsidRPr="001840B3">
              <w:rPr>
                <w:b w:val="0"/>
                <w:bCs/>
                <w:i/>
                <w:snapToGrid w:val="0"/>
                <w:lang w:eastAsia="en-US"/>
              </w:rPr>
              <w:t>Population 2.4, k=5 , n=680</w:t>
            </w:r>
          </w:p>
          <w:p w14:paraId="783C8250" w14:textId="77777777" w:rsidR="0008746D" w:rsidRPr="001840B3" w:rsidRDefault="0008746D" w:rsidP="00E1141B">
            <w:pPr>
              <w:pStyle w:val="TableHeading"/>
              <w:rPr>
                <w:b w:val="0"/>
                <w:bCs/>
                <w:i/>
                <w:snapToGrid w:val="0"/>
                <w:lang w:eastAsia="en-US"/>
              </w:rPr>
            </w:pPr>
            <w:r w:rsidRPr="001840B3">
              <w:rPr>
                <w:b w:val="0"/>
                <w:bCs/>
                <w:i/>
                <w:snapToGrid w:val="0"/>
                <w:lang w:eastAsia="en-US"/>
              </w:rPr>
              <w:t>Population 3, k=6 , n=89</w:t>
            </w:r>
          </w:p>
        </w:tc>
        <w:tc>
          <w:tcPr>
            <w:tcW w:w="442" w:type="pct"/>
            <w:tcBorders>
              <w:top w:val="single" w:sz="4" w:space="0" w:color="auto"/>
              <w:left w:val="single" w:sz="4" w:space="0" w:color="auto"/>
              <w:bottom w:val="single" w:sz="4" w:space="0" w:color="auto"/>
              <w:right w:val="single" w:sz="4" w:space="0" w:color="auto"/>
            </w:tcBorders>
          </w:tcPr>
          <w:p w14:paraId="446028E1" w14:textId="77777777" w:rsidR="0008746D" w:rsidRPr="001840B3" w:rsidRDefault="0008746D" w:rsidP="00E1141B">
            <w:pPr>
              <w:pStyle w:val="TableHeading"/>
              <w:rPr>
                <w:b w:val="0"/>
                <w:bCs/>
                <w:i/>
                <w:snapToGrid w:val="0"/>
                <w:lang w:eastAsia="en-US"/>
              </w:rPr>
            </w:pPr>
            <w:r w:rsidRPr="001840B3">
              <w:rPr>
                <w:b w:val="0"/>
                <w:bCs/>
                <w:i/>
                <w:snapToGrid w:val="0"/>
                <w:lang w:eastAsia="en-US"/>
              </w:rPr>
              <w:t>High</w:t>
            </w:r>
          </w:p>
        </w:tc>
      </w:tr>
      <w:tr w:rsidR="0008746D" w:rsidRPr="001840B3" w14:paraId="5C593B66" w14:textId="77777777" w:rsidTr="00E1141B">
        <w:tc>
          <w:tcPr>
            <w:tcW w:w="651" w:type="pct"/>
            <w:tcBorders>
              <w:top w:val="single" w:sz="4" w:space="0" w:color="auto"/>
              <w:left w:val="single" w:sz="4" w:space="0" w:color="auto"/>
              <w:bottom w:val="single" w:sz="4" w:space="0" w:color="auto"/>
              <w:right w:val="single" w:sz="4" w:space="0" w:color="auto"/>
            </w:tcBorders>
          </w:tcPr>
          <w:p w14:paraId="691C9A20" w14:textId="77777777" w:rsidR="0008746D" w:rsidRPr="001840B3" w:rsidRDefault="0008746D" w:rsidP="00E1141B">
            <w:pPr>
              <w:pStyle w:val="TableHeading"/>
              <w:rPr>
                <w:b w:val="0"/>
                <w:bCs/>
                <w:i/>
                <w:snapToGrid w:val="0"/>
                <w:lang w:eastAsia="en-US"/>
              </w:rPr>
            </w:pPr>
            <w:r w:rsidRPr="001840B3">
              <w:rPr>
                <w:b w:val="0"/>
                <w:bCs/>
                <w:i/>
                <w:snapToGrid w:val="0"/>
                <w:lang w:eastAsia="en-US"/>
              </w:rPr>
              <w:t>Diagnostic yield</w:t>
            </w:r>
          </w:p>
        </w:tc>
        <w:tc>
          <w:tcPr>
            <w:tcW w:w="1469" w:type="pct"/>
            <w:tcBorders>
              <w:top w:val="single" w:sz="4" w:space="0" w:color="auto"/>
              <w:left w:val="single" w:sz="4" w:space="0" w:color="auto"/>
              <w:bottom w:val="single" w:sz="4" w:space="0" w:color="auto"/>
              <w:right w:val="single" w:sz="4" w:space="0" w:color="auto"/>
            </w:tcBorders>
          </w:tcPr>
          <w:p w14:paraId="0951B2E4" w14:textId="77777777" w:rsidR="0008746D" w:rsidRPr="001840B3" w:rsidRDefault="0008746D" w:rsidP="00E1141B">
            <w:pPr>
              <w:pStyle w:val="TableHeading"/>
              <w:rPr>
                <w:b w:val="0"/>
                <w:bCs/>
                <w:i/>
                <w:snapToGrid w:val="0"/>
                <w:lang w:eastAsia="en-US"/>
              </w:rPr>
            </w:pPr>
            <w:r w:rsidRPr="001840B3">
              <w:rPr>
                <w:b w:val="0"/>
                <w:bCs/>
                <w:i/>
                <w:snapToGrid w:val="0"/>
                <w:lang w:eastAsia="en-US"/>
              </w:rPr>
              <w:t>Diagnostic yield (proportion of variant positive cases)</w:t>
            </w:r>
          </w:p>
        </w:tc>
        <w:tc>
          <w:tcPr>
            <w:tcW w:w="2439" w:type="pct"/>
            <w:tcBorders>
              <w:top w:val="single" w:sz="4" w:space="0" w:color="auto"/>
              <w:left w:val="single" w:sz="4" w:space="0" w:color="auto"/>
              <w:bottom w:val="single" w:sz="4" w:space="0" w:color="auto"/>
              <w:right w:val="single" w:sz="4" w:space="0" w:color="auto"/>
            </w:tcBorders>
          </w:tcPr>
          <w:p w14:paraId="1E489292" w14:textId="77777777" w:rsidR="0008746D" w:rsidRPr="001840B3" w:rsidRDefault="0008746D" w:rsidP="00E1141B">
            <w:pPr>
              <w:pStyle w:val="TableHeading"/>
              <w:rPr>
                <w:b w:val="0"/>
                <w:bCs/>
                <w:i/>
                <w:snapToGrid w:val="0"/>
                <w:lang w:eastAsia="en-US"/>
              </w:rPr>
            </w:pPr>
            <w:r w:rsidRPr="001840B3">
              <w:rPr>
                <w:b w:val="0"/>
                <w:bCs/>
                <w:i/>
                <w:snapToGrid w:val="0"/>
                <w:lang w:eastAsia="en-US"/>
              </w:rPr>
              <w:t>Population 1, k=16 , n=1534</w:t>
            </w:r>
          </w:p>
          <w:p w14:paraId="612BB84A" w14:textId="77777777" w:rsidR="0008746D" w:rsidRPr="001840B3" w:rsidRDefault="0008746D" w:rsidP="00E1141B">
            <w:pPr>
              <w:pStyle w:val="TableHeading"/>
              <w:rPr>
                <w:b w:val="0"/>
                <w:bCs/>
                <w:i/>
                <w:snapToGrid w:val="0"/>
                <w:lang w:eastAsia="en-US"/>
              </w:rPr>
            </w:pPr>
            <w:r w:rsidRPr="001840B3">
              <w:rPr>
                <w:b w:val="0"/>
                <w:bCs/>
                <w:i/>
                <w:snapToGrid w:val="0"/>
                <w:lang w:eastAsia="en-US"/>
              </w:rPr>
              <w:t>Population 2.1, k=17 , n=2342</w:t>
            </w:r>
          </w:p>
          <w:p w14:paraId="6549D323" w14:textId="77777777" w:rsidR="0008746D" w:rsidRPr="001840B3" w:rsidRDefault="0008746D" w:rsidP="00E1141B">
            <w:pPr>
              <w:pStyle w:val="TableHeading"/>
              <w:rPr>
                <w:b w:val="0"/>
                <w:bCs/>
                <w:i/>
                <w:snapToGrid w:val="0"/>
                <w:lang w:eastAsia="en-US"/>
              </w:rPr>
            </w:pPr>
            <w:r w:rsidRPr="001840B3">
              <w:rPr>
                <w:b w:val="0"/>
                <w:bCs/>
                <w:i/>
                <w:snapToGrid w:val="0"/>
                <w:lang w:eastAsia="en-US"/>
              </w:rPr>
              <w:t>Population 2.2, k=17 , n=4528</w:t>
            </w:r>
          </w:p>
          <w:p w14:paraId="5C35C0E7" w14:textId="77777777" w:rsidR="0008746D" w:rsidRPr="001840B3" w:rsidRDefault="0008746D" w:rsidP="00E1141B">
            <w:pPr>
              <w:pStyle w:val="TableHeading"/>
              <w:rPr>
                <w:b w:val="0"/>
                <w:bCs/>
                <w:i/>
                <w:snapToGrid w:val="0"/>
                <w:lang w:eastAsia="en-US"/>
              </w:rPr>
            </w:pPr>
            <w:r w:rsidRPr="001840B3">
              <w:rPr>
                <w:b w:val="0"/>
                <w:bCs/>
                <w:i/>
                <w:snapToGrid w:val="0"/>
                <w:lang w:eastAsia="en-US"/>
              </w:rPr>
              <w:t>Population 3, k=6 , n=475</w:t>
            </w:r>
          </w:p>
        </w:tc>
        <w:tc>
          <w:tcPr>
            <w:tcW w:w="442" w:type="pct"/>
            <w:tcBorders>
              <w:top w:val="single" w:sz="4" w:space="0" w:color="auto"/>
              <w:left w:val="single" w:sz="4" w:space="0" w:color="auto"/>
              <w:bottom w:val="single" w:sz="4" w:space="0" w:color="auto"/>
              <w:right w:val="single" w:sz="4" w:space="0" w:color="auto"/>
            </w:tcBorders>
          </w:tcPr>
          <w:p w14:paraId="153639EF" w14:textId="77777777" w:rsidR="0008746D" w:rsidRPr="001840B3" w:rsidRDefault="0008746D" w:rsidP="00E1141B">
            <w:pPr>
              <w:pStyle w:val="TableHeading"/>
              <w:rPr>
                <w:b w:val="0"/>
                <w:bCs/>
                <w:i/>
                <w:snapToGrid w:val="0"/>
                <w:lang w:eastAsia="en-US"/>
              </w:rPr>
            </w:pPr>
            <w:r w:rsidRPr="001840B3">
              <w:rPr>
                <w:b w:val="0"/>
                <w:bCs/>
                <w:i/>
                <w:snapToGrid w:val="0"/>
                <w:lang w:eastAsia="en-US"/>
              </w:rPr>
              <w:t>High</w:t>
            </w:r>
          </w:p>
        </w:tc>
      </w:tr>
      <w:tr w:rsidR="0008746D" w:rsidRPr="001840B3" w14:paraId="4C8FDEAB" w14:textId="77777777" w:rsidTr="00E1141B">
        <w:tc>
          <w:tcPr>
            <w:tcW w:w="651" w:type="pct"/>
            <w:tcBorders>
              <w:top w:val="single" w:sz="4" w:space="0" w:color="auto"/>
              <w:left w:val="single" w:sz="4" w:space="0" w:color="auto"/>
              <w:bottom w:val="single" w:sz="4" w:space="0" w:color="auto"/>
              <w:right w:val="single" w:sz="4" w:space="0" w:color="auto"/>
            </w:tcBorders>
          </w:tcPr>
          <w:p w14:paraId="66488D05" w14:textId="77777777" w:rsidR="0008746D" w:rsidRPr="001840B3" w:rsidRDefault="0008746D" w:rsidP="00E1141B">
            <w:pPr>
              <w:pStyle w:val="TableHeading"/>
              <w:rPr>
                <w:b w:val="0"/>
                <w:bCs/>
                <w:i/>
                <w:snapToGrid w:val="0"/>
                <w:lang w:eastAsia="en-US"/>
              </w:rPr>
            </w:pPr>
            <w:r w:rsidRPr="001840B3">
              <w:rPr>
                <w:b w:val="0"/>
                <w:bCs/>
                <w:i/>
                <w:snapToGrid w:val="0"/>
                <w:lang w:eastAsia="en-US"/>
              </w:rPr>
              <w:t>Clinical validity</w:t>
            </w:r>
          </w:p>
        </w:tc>
        <w:tc>
          <w:tcPr>
            <w:tcW w:w="1469" w:type="pct"/>
            <w:tcBorders>
              <w:top w:val="single" w:sz="4" w:space="0" w:color="auto"/>
              <w:left w:val="single" w:sz="4" w:space="0" w:color="auto"/>
              <w:bottom w:val="single" w:sz="4" w:space="0" w:color="auto"/>
              <w:right w:val="single" w:sz="4" w:space="0" w:color="auto"/>
            </w:tcBorders>
          </w:tcPr>
          <w:p w14:paraId="0856F846" w14:textId="77777777" w:rsidR="0008746D" w:rsidRPr="001840B3" w:rsidRDefault="0008746D" w:rsidP="00E1141B">
            <w:pPr>
              <w:pStyle w:val="TableHeading"/>
              <w:rPr>
                <w:b w:val="0"/>
                <w:bCs/>
                <w:i/>
                <w:snapToGrid w:val="0"/>
                <w:lang w:eastAsia="en-US"/>
              </w:rPr>
            </w:pPr>
            <w:r w:rsidRPr="001840B3">
              <w:rPr>
                <w:b w:val="0"/>
                <w:bCs/>
                <w:i/>
                <w:snapToGrid w:val="0"/>
                <w:lang w:eastAsia="en-US"/>
              </w:rPr>
              <w:t>Genotype prediction of phenotype</w:t>
            </w:r>
          </w:p>
        </w:tc>
        <w:tc>
          <w:tcPr>
            <w:tcW w:w="2439" w:type="pct"/>
            <w:tcBorders>
              <w:top w:val="single" w:sz="4" w:space="0" w:color="auto"/>
              <w:left w:val="single" w:sz="4" w:space="0" w:color="auto"/>
              <w:bottom w:val="single" w:sz="4" w:space="0" w:color="auto"/>
              <w:right w:val="single" w:sz="4" w:space="0" w:color="auto"/>
            </w:tcBorders>
          </w:tcPr>
          <w:p w14:paraId="0B7F47C9" w14:textId="77777777" w:rsidR="0008746D" w:rsidRPr="001840B3" w:rsidRDefault="0008746D" w:rsidP="00E1141B">
            <w:pPr>
              <w:pStyle w:val="TableHeading"/>
              <w:rPr>
                <w:b w:val="0"/>
                <w:bCs/>
                <w:i/>
                <w:snapToGrid w:val="0"/>
                <w:lang w:eastAsia="en-US"/>
              </w:rPr>
            </w:pPr>
            <w:r w:rsidRPr="001840B3">
              <w:rPr>
                <w:b w:val="0"/>
                <w:bCs/>
                <w:i/>
                <w:snapToGrid w:val="0"/>
                <w:lang w:eastAsia="en-US"/>
              </w:rPr>
              <w:t>No evidence</w:t>
            </w:r>
          </w:p>
        </w:tc>
        <w:tc>
          <w:tcPr>
            <w:tcW w:w="442" w:type="pct"/>
            <w:tcBorders>
              <w:top w:val="single" w:sz="4" w:space="0" w:color="auto"/>
              <w:left w:val="single" w:sz="4" w:space="0" w:color="auto"/>
              <w:bottom w:val="single" w:sz="4" w:space="0" w:color="auto"/>
              <w:right w:val="single" w:sz="4" w:space="0" w:color="auto"/>
            </w:tcBorders>
          </w:tcPr>
          <w:p w14:paraId="2CF19FE5" w14:textId="77777777" w:rsidR="0008746D" w:rsidRPr="001840B3" w:rsidRDefault="0008746D" w:rsidP="00E1141B">
            <w:pPr>
              <w:pStyle w:val="TableHeading"/>
              <w:rPr>
                <w:b w:val="0"/>
                <w:bCs/>
                <w:i/>
                <w:snapToGrid w:val="0"/>
                <w:lang w:eastAsia="en-US"/>
              </w:rPr>
            </w:pPr>
            <w:r w:rsidRPr="001840B3">
              <w:rPr>
                <w:b w:val="0"/>
                <w:bCs/>
                <w:i/>
                <w:snapToGrid w:val="0"/>
                <w:lang w:eastAsia="en-US"/>
              </w:rPr>
              <w:t>-</w:t>
            </w:r>
          </w:p>
        </w:tc>
      </w:tr>
      <w:tr w:rsidR="0008746D" w:rsidRPr="001840B3" w14:paraId="3BCA32E7" w14:textId="77777777" w:rsidTr="00E1141B">
        <w:tc>
          <w:tcPr>
            <w:tcW w:w="651" w:type="pct"/>
            <w:tcBorders>
              <w:top w:val="single" w:sz="4" w:space="0" w:color="auto"/>
              <w:left w:val="single" w:sz="4" w:space="0" w:color="auto"/>
              <w:bottom w:val="single" w:sz="4" w:space="0" w:color="auto"/>
              <w:right w:val="single" w:sz="4" w:space="0" w:color="auto"/>
            </w:tcBorders>
          </w:tcPr>
          <w:p w14:paraId="465E3517" w14:textId="77777777" w:rsidR="0008746D" w:rsidRPr="001840B3" w:rsidRDefault="0008746D" w:rsidP="00E1141B">
            <w:pPr>
              <w:pStyle w:val="TableHeading"/>
              <w:rPr>
                <w:b w:val="0"/>
                <w:bCs/>
                <w:i/>
                <w:snapToGrid w:val="0"/>
                <w:lang w:eastAsia="en-US"/>
              </w:rPr>
            </w:pPr>
            <w:r w:rsidRPr="001840B3">
              <w:rPr>
                <w:b w:val="0"/>
                <w:bCs/>
                <w:i/>
                <w:snapToGrid w:val="0"/>
                <w:lang w:eastAsia="en-US"/>
              </w:rPr>
              <w:t>Prognosis</w:t>
            </w:r>
          </w:p>
        </w:tc>
        <w:tc>
          <w:tcPr>
            <w:tcW w:w="1469" w:type="pct"/>
            <w:tcBorders>
              <w:top w:val="single" w:sz="4" w:space="0" w:color="auto"/>
              <w:left w:val="single" w:sz="4" w:space="0" w:color="auto"/>
              <w:bottom w:val="single" w:sz="4" w:space="0" w:color="auto"/>
              <w:right w:val="single" w:sz="4" w:space="0" w:color="auto"/>
            </w:tcBorders>
          </w:tcPr>
          <w:p w14:paraId="27278D92" w14:textId="77777777" w:rsidR="0008746D" w:rsidRPr="001840B3" w:rsidRDefault="0008746D" w:rsidP="00E1141B">
            <w:pPr>
              <w:pStyle w:val="TableHeading"/>
              <w:rPr>
                <w:b w:val="0"/>
                <w:bCs/>
                <w:snapToGrid w:val="0"/>
                <w:lang w:eastAsia="en-US"/>
              </w:rPr>
            </w:pPr>
            <w:r w:rsidRPr="001840B3">
              <w:rPr>
                <w:b w:val="0"/>
                <w:bCs/>
                <w:snapToGrid w:val="0"/>
                <w:lang w:eastAsia="en-US"/>
              </w:rPr>
              <w:t>-Disease progression</w:t>
            </w:r>
          </w:p>
          <w:p w14:paraId="336EE831" w14:textId="77777777" w:rsidR="0008746D" w:rsidRPr="001840B3" w:rsidRDefault="0008746D" w:rsidP="00E1141B">
            <w:pPr>
              <w:pStyle w:val="TableHeading"/>
              <w:rPr>
                <w:b w:val="0"/>
                <w:bCs/>
                <w:snapToGrid w:val="0"/>
                <w:lang w:eastAsia="en-US"/>
              </w:rPr>
            </w:pPr>
            <w:r w:rsidRPr="001840B3">
              <w:rPr>
                <w:b w:val="0"/>
                <w:bCs/>
                <w:snapToGrid w:val="0"/>
                <w:lang w:eastAsia="en-US"/>
              </w:rPr>
              <w:t>-Renal transplantation</w:t>
            </w:r>
          </w:p>
          <w:p w14:paraId="40CE6496" w14:textId="77777777" w:rsidR="0008746D" w:rsidRPr="001840B3" w:rsidRDefault="0008746D" w:rsidP="00E1141B">
            <w:pPr>
              <w:pStyle w:val="TableHeading"/>
              <w:rPr>
                <w:b w:val="0"/>
                <w:bCs/>
                <w:snapToGrid w:val="0"/>
                <w:lang w:eastAsia="en-US"/>
              </w:rPr>
            </w:pPr>
            <w:r w:rsidRPr="001840B3">
              <w:rPr>
                <w:b w:val="0"/>
                <w:bCs/>
                <w:snapToGrid w:val="0"/>
                <w:lang w:eastAsia="en-US"/>
              </w:rPr>
              <w:t>-Prenatal screening</w:t>
            </w:r>
          </w:p>
          <w:p w14:paraId="48F59E97" w14:textId="77777777" w:rsidR="0008746D" w:rsidRPr="001840B3" w:rsidRDefault="0008746D" w:rsidP="00E1141B">
            <w:pPr>
              <w:pStyle w:val="TableHeading"/>
              <w:rPr>
                <w:b w:val="0"/>
                <w:bCs/>
                <w:snapToGrid w:val="0"/>
                <w:lang w:eastAsia="en-US"/>
              </w:rPr>
            </w:pPr>
            <w:r w:rsidRPr="001840B3">
              <w:rPr>
                <w:b w:val="0"/>
                <w:bCs/>
                <w:snapToGrid w:val="0"/>
                <w:lang w:eastAsia="en-US"/>
              </w:rPr>
              <w:t>-Preimplantation genetic testing</w:t>
            </w:r>
          </w:p>
        </w:tc>
        <w:tc>
          <w:tcPr>
            <w:tcW w:w="2439" w:type="pct"/>
            <w:tcBorders>
              <w:top w:val="single" w:sz="4" w:space="0" w:color="auto"/>
              <w:left w:val="single" w:sz="4" w:space="0" w:color="auto"/>
              <w:bottom w:val="single" w:sz="4" w:space="0" w:color="auto"/>
              <w:right w:val="single" w:sz="4" w:space="0" w:color="auto"/>
            </w:tcBorders>
          </w:tcPr>
          <w:p w14:paraId="11D1E75E" w14:textId="77777777" w:rsidR="0008746D" w:rsidRPr="001840B3" w:rsidRDefault="0008746D" w:rsidP="00E1141B">
            <w:pPr>
              <w:pStyle w:val="TableHeading"/>
              <w:rPr>
                <w:b w:val="0"/>
                <w:bCs/>
                <w:snapToGrid w:val="0"/>
                <w:lang w:eastAsia="en-US"/>
              </w:rPr>
            </w:pPr>
            <w:r w:rsidRPr="001840B3">
              <w:rPr>
                <w:b w:val="0"/>
                <w:bCs/>
                <w:snapToGrid w:val="0"/>
                <w:lang w:eastAsia="en-US"/>
              </w:rPr>
              <w:t>Population 1, k=1 , n=146</w:t>
            </w:r>
          </w:p>
        </w:tc>
        <w:tc>
          <w:tcPr>
            <w:tcW w:w="442" w:type="pct"/>
            <w:tcBorders>
              <w:top w:val="single" w:sz="4" w:space="0" w:color="auto"/>
              <w:left w:val="single" w:sz="4" w:space="0" w:color="auto"/>
              <w:bottom w:val="single" w:sz="4" w:space="0" w:color="auto"/>
              <w:right w:val="single" w:sz="4" w:space="0" w:color="auto"/>
            </w:tcBorders>
          </w:tcPr>
          <w:p w14:paraId="3CA5B2D4" w14:textId="77777777" w:rsidR="0008746D" w:rsidRPr="001840B3" w:rsidRDefault="0008746D" w:rsidP="00E1141B">
            <w:pPr>
              <w:pStyle w:val="TableHeading"/>
              <w:rPr>
                <w:b w:val="0"/>
                <w:bCs/>
                <w:i/>
                <w:snapToGrid w:val="0"/>
                <w:lang w:eastAsia="en-US"/>
              </w:rPr>
            </w:pPr>
            <w:r w:rsidRPr="001840B3">
              <w:rPr>
                <w:b w:val="0"/>
                <w:bCs/>
                <w:i/>
                <w:snapToGrid w:val="0"/>
                <w:lang w:eastAsia="en-US"/>
              </w:rPr>
              <w:t>High</w:t>
            </w:r>
          </w:p>
        </w:tc>
      </w:tr>
      <w:tr w:rsidR="0008746D" w:rsidRPr="001840B3" w14:paraId="793DE850" w14:textId="77777777" w:rsidTr="00E1141B">
        <w:tc>
          <w:tcPr>
            <w:tcW w:w="651" w:type="pct"/>
            <w:tcBorders>
              <w:top w:val="single" w:sz="4" w:space="0" w:color="auto"/>
              <w:left w:val="single" w:sz="4" w:space="0" w:color="auto"/>
              <w:bottom w:val="single" w:sz="4" w:space="0" w:color="auto"/>
              <w:right w:val="single" w:sz="4" w:space="0" w:color="auto"/>
            </w:tcBorders>
          </w:tcPr>
          <w:p w14:paraId="570F911F" w14:textId="77777777" w:rsidR="0008746D" w:rsidRPr="001840B3" w:rsidRDefault="0008746D" w:rsidP="00E1141B">
            <w:pPr>
              <w:pStyle w:val="TableHeading"/>
              <w:rPr>
                <w:b w:val="0"/>
                <w:bCs/>
                <w:i/>
                <w:snapToGrid w:val="0"/>
                <w:lang w:eastAsia="en-US"/>
              </w:rPr>
            </w:pPr>
            <w:r w:rsidRPr="001840B3">
              <w:rPr>
                <w:b w:val="0"/>
                <w:bCs/>
                <w:i/>
                <w:snapToGrid w:val="0"/>
                <w:lang w:eastAsia="en-US"/>
              </w:rPr>
              <w:t>Predictive validity</w:t>
            </w:r>
          </w:p>
        </w:tc>
        <w:tc>
          <w:tcPr>
            <w:tcW w:w="1469" w:type="pct"/>
            <w:tcBorders>
              <w:top w:val="single" w:sz="4" w:space="0" w:color="auto"/>
              <w:left w:val="single" w:sz="4" w:space="0" w:color="auto"/>
              <w:bottom w:val="single" w:sz="4" w:space="0" w:color="auto"/>
              <w:right w:val="single" w:sz="4" w:space="0" w:color="auto"/>
            </w:tcBorders>
          </w:tcPr>
          <w:p w14:paraId="0B3F3DDD" w14:textId="77777777" w:rsidR="0008746D" w:rsidRPr="001840B3" w:rsidRDefault="0008746D" w:rsidP="00E1141B">
            <w:pPr>
              <w:pStyle w:val="TableHeading"/>
              <w:rPr>
                <w:b w:val="0"/>
                <w:bCs/>
                <w:i/>
                <w:snapToGrid w:val="0"/>
                <w:lang w:eastAsia="en-US"/>
              </w:rPr>
            </w:pPr>
            <w:r w:rsidRPr="001840B3">
              <w:rPr>
                <w:b w:val="0"/>
                <w:bCs/>
                <w:i/>
                <w:snapToGrid w:val="0"/>
                <w:lang w:eastAsia="en-US"/>
              </w:rPr>
              <w:t>Treatment effect modification by genetic variant status</w:t>
            </w:r>
          </w:p>
        </w:tc>
        <w:tc>
          <w:tcPr>
            <w:tcW w:w="2439" w:type="pct"/>
            <w:tcBorders>
              <w:top w:val="single" w:sz="4" w:space="0" w:color="auto"/>
              <w:left w:val="single" w:sz="4" w:space="0" w:color="auto"/>
              <w:bottom w:val="single" w:sz="4" w:space="0" w:color="auto"/>
              <w:right w:val="single" w:sz="4" w:space="0" w:color="auto"/>
            </w:tcBorders>
          </w:tcPr>
          <w:p w14:paraId="1434F478" w14:textId="77777777" w:rsidR="0008746D" w:rsidRPr="001840B3" w:rsidRDefault="0008746D" w:rsidP="00E1141B">
            <w:pPr>
              <w:pStyle w:val="TableHeading"/>
              <w:rPr>
                <w:b w:val="0"/>
                <w:bCs/>
                <w:snapToGrid w:val="0"/>
                <w:lang w:eastAsia="en-US"/>
              </w:rPr>
            </w:pPr>
            <w:r w:rsidRPr="001840B3">
              <w:rPr>
                <w:b w:val="0"/>
                <w:bCs/>
                <w:snapToGrid w:val="0"/>
                <w:lang w:eastAsia="en-US"/>
              </w:rPr>
              <w:t>Population 1, k=4 , n=18</w:t>
            </w:r>
          </w:p>
          <w:p w14:paraId="4E936760" w14:textId="77777777" w:rsidR="0008746D" w:rsidRPr="001840B3" w:rsidRDefault="0008746D" w:rsidP="00E1141B">
            <w:pPr>
              <w:pStyle w:val="TableHeading"/>
              <w:rPr>
                <w:b w:val="0"/>
                <w:bCs/>
                <w:snapToGrid w:val="0"/>
                <w:lang w:eastAsia="en-US"/>
              </w:rPr>
            </w:pPr>
            <w:r w:rsidRPr="001840B3">
              <w:rPr>
                <w:b w:val="0"/>
                <w:bCs/>
                <w:snapToGrid w:val="0"/>
                <w:lang w:eastAsia="en-US"/>
              </w:rPr>
              <w:t>Population 2.1, k=2 , n=193</w:t>
            </w:r>
          </w:p>
          <w:p w14:paraId="07F1A82B" w14:textId="77777777" w:rsidR="0008746D" w:rsidRPr="001840B3" w:rsidRDefault="0008746D" w:rsidP="00E1141B">
            <w:pPr>
              <w:pStyle w:val="TableHeading"/>
              <w:rPr>
                <w:b w:val="0"/>
                <w:bCs/>
                <w:snapToGrid w:val="0"/>
                <w:lang w:eastAsia="en-US"/>
              </w:rPr>
            </w:pPr>
            <w:r w:rsidRPr="001840B3">
              <w:rPr>
                <w:b w:val="0"/>
                <w:bCs/>
                <w:snapToGrid w:val="0"/>
                <w:lang w:eastAsia="en-US"/>
              </w:rPr>
              <w:t>Population 2.2, k=7 , n=1126</w:t>
            </w:r>
          </w:p>
          <w:p w14:paraId="5CCD2860" w14:textId="77777777" w:rsidR="0008746D" w:rsidRPr="001840B3" w:rsidRDefault="0008746D" w:rsidP="00E1141B">
            <w:pPr>
              <w:pStyle w:val="TableHeading"/>
              <w:rPr>
                <w:b w:val="0"/>
                <w:bCs/>
                <w:snapToGrid w:val="0"/>
                <w:lang w:eastAsia="en-US"/>
              </w:rPr>
            </w:pPr>
            <w:r w:rsidRPr="001840B3">
              <w:rPr>
                <w:b w:val="0"/>
                <w:bCs/>
                <w:snapToGrid w:val="0"/>
                <w:lang w:eastAsia="en-US"/>
              </w:rPr>
              <w:t>Population 2.3, k=4 , n=312</w:t>
            </w:r>
          </w:p>
          <w:p w14:paraId="4592D1E7" w14:textId="77777777" w:rsidR="0008746D" w:rsidRPr="001840B3" w:rsidRDefault="0008746D" w:rsidP="00E1141B">
            <w:pPr>
              <w:pStyle w:val="TableHeading"/>
              <w:rPr>
                <w:b w:val="0"/>
                <w:bCs/>
                <w:i/>
                <w:snapToGrid w:val="0"/>
                <w:lang w:eastAsia="en-US"/>
              </w:rPr>
            </w:pPr>
            <w:r w:rsidRPr="001840B3">
              <w:rPr>
                <w:b w:val="0"/>
                <w:bCs/>
                <w:snapToGrid w:val="0"/>
                <w:lang w:eastAsia="en-US"/>
              </w:rPr>
              <w:t>Population 2.4, k=3 , n=146</w:t>
            </w:r>
          </w:p>
        </w:tc>
        <w:tc>
          <w:tcPr>
            <w:tcW w:w="442" w:type="pct"/>
            <w:tcBorders>
              <w:top w:val="single" w:sz="4" w:space="0" w:color="auto"/>
              <w:left w:val="single" w:sz="4" w:space="0" w:color="auto"/>
              <w:bottom w:val="single" w:sz="4" w:space="0" w:color="auto"/>
              <w:right w:val="single" w:sz="4" w:space="0" w:color="auto"/>
            </w:tcBorders>
          </w:tcPr>
          <w:p w14:paraId="2C8B5B64" w14:textId="77777777" w:rsidR="0008746D" w:rsidRPr="001840B3" w:rsidRDefault="0008746D" w:rsidP="00E1141B">
            <w:pPr>
              <w:pStyle w:val="TableHeading"/>
              <w:rPr>
                <w:b w:val="0"/>
                <w:bCs/>
                <w:i/>
                <w:snapToGrid w:val="0"/>
                <w:lang w:eastAsia="en-US"/>
              </w:rPr>
            </w:pPr>
            <w:r w:rsidRPr="001840B3">
              <w:rPr>
                <w:b w:val="0"/>
                <w:bCs/>
                <w:i/>
                <w:snapToGrid w:val="0"/>
                <w:lang w:eastAsia="en-US"/>
              </w:rPr>
              <w:t>High</w:t>
            </w:r>
          </w:p>
        </w:tc>
      </w:tr>
      <w:tr w:rsidR="0008746D" w:rsidRPr="001840B3" w14:paraId="1EF5ABE3" w14:textId="77777777" w:rsidTr="00E1141B">
        <w:tc>
          <w:tcPr>
            <w:tcW w:w="651" w:type="pct"/>
            <w:tcBorders>
              <w:top w:val="single" w:sz="4" w:space="0" w:color="auto"/>
              <w:left w:val="single" w:sz="4" w:space="0" w:color="auto"/>
              <w:bottom w:val="single" w:sz="4" w:space="0" w:color="auto"/>
              <w:right w:val="single" w:sz="4" w:space="0" w:color="auto"/>
            </w:tcBorders>
          </w:tcPr>
          <w:p w14:paraId="57062EDC" w14:textId="77777777" w:rsidR="0008746D" w:rsidRPr="001840B3" w:rsidRDefault="0008746D" w:rsidP="00E1141B">
            <w:pPr>
              <w:pStyle w:val="TableHeading"/>
              <w:rPr>
                <w:b w:val="0"/>
                <w:bCs/>
                <w:i/>
                <w:snapToGrid w:val="0"/>
                <w:lang w:eastAsia="en-US"/>
              </w:rPr>
            </w:pPr>
            <w:r w:rsidRPr="001840B3">
              <w:rPr>
                <w:b w:val="0"/>
                <w:bCs/>
                <w:i/>
                <w:snapToGrid w:val="0"/>
                <w:lang w:eastAsia="en-US"/>
              </w:rPr>
              <w:t>Clinical utility</w:t>
            </w:r>
          </w:p>
        </w:tc>
        <w:tc>
          <w:tcPr>
            <w:tcW w:w="1469" w:type="pct"/>
            <w:tcBorders>
              <w:top w:val="single" w:sz="4" w:space="0" w:color="auto"/>
              <w:left w:val="single" w:sz="4" w:space="0" w:color="auto"/>
              <w:bottom w:val="single" w:sz="4" w:space="0" w:color="auto"/>
              <w:right w:val="single" w:sz="4" w:space="0" w:color="auto"/>
            </w:tcBorders>
          </w:tcPr>
          <w:p w14:paraId="23409A0C" w14:textId="77777777" w:rsidR="0008746D" w:rsidRPr="001840B3" w:rsidRDefault="0008746D" w:rsidP="00E1141B">
            <w:pPr>
              <w:pStyle w:val="TableHeading"/>
              <w:rPr>
                <w:b w:val="0"/>
                <w:bCs/>
                <w:i/>
                <w:snapToGrid w:val="0"/>
                <w:lang w:eastAsia="en-US"/>
              </w:rPr>
            </w:pPr>
            <w:r w:rsidRPr="001840B3">
              <w:rPr>
                <w:b w:val="0"/>
                <w:bCs/>
                <w:i/>
                <w:snapToGrid w:val="0"/>
                <w:lang w:eastAsia="en-US"/>
              </w:rPr>
              <w:t>Impact on clinical management</w:t>
            </w:r>
          </w:p>
        </w:tc>
        <w:tc>
          <w:tcPr>
            <w:tcW w:w="2439" w:type="pct"/>
            <w:tcBorders>
              <w:top w:val="single" w:sz="4" w:space="0" w:color="auto"/>
              <w:left w:val="single" w:sz="4" w:space="0" w:color="auto"/>
              <w:bottom w:val="single" w:sz="4" w:space="0" w:color="auto"/>
              <w:right w:val="single" w:sz="4" w:space="0" w:color="auto"/>
            </w:tcBorders>
          </w:tcPr>
          <w:p w14:paraId="006275F6" w14:textId="77777777" w:rsidR="0008746D" w:rsidRPr="001840B3" w:rsidRDefault="0008746D" w:rsidP="00E1141B">
            <w:pPr>
              <w:pStyle w:val="TableHeading"/>
              <w:rPr>
                <w:b w:val="0"/>
                <w:bCs/>
                <w:i/>
                <w:snapToGrid w:val="0"/>
                <w:lang w:eastAsia="en-US"/>
              </w:rPr>
            </w:pPr>
            <w:r w:rsidRPr="001840B3">
              <w:rPr>
                <w:b w:val="0"/>
                <w:bCs/>
                <w:i/>
                <w:snapToGrid w:val="0"/>
                <w:lang w:eastAsia="en-US"/>
              </w:rPr>
              <w:t>No evidence (limited evidence for Sanger sequencing in pop</w:t>
            </w:r>
            <w:r>
              <w:rPr>
                <w:b w:val="0"/>
                <w:bCs/>
                <w:i/>
                <w:snapToGrid w:val="0"/>
                <w:lang w:eastAsia="en-US"/>
              </w:rPr>
              <w:t>ulation</w:t>
            </w:r>
            <w:r w:rsidRPr="001840B3">
              <w:rPr>
                <w:b w:val="0"/>
                <w:bCs/>
                <w:i/>
                <w:snapToGrid w:val="0"/>
                <w:lang w:eastAsia="en-US"/>
              </w:rPr>
              <w:t xml:space="preserve"> 1 – renal treatment and pre-implant testing; indirect limited evidence for NGS in pop</w:t>
            </w:r>
            <w:r>
              <w:rPr>
                <w:b w:val="0"/>
                <w:bCs/>
                <w:i/>
                <w:snapToGrid w:val="0"/>
                <w:lang w:eastAsia="en-US"/>
              </w:rPr>
              <w:t>ulation</w:t>
            </w:r>
            <w:r w:rsidRPr="001840B3">
              <w:rPr>
                <w:b w:val="0"/>
                <w:bCs/>
                <w:i/>
                <w:snapToGrid w:val="0"/>
                <w:lang w:eastAsia="en-US"/>
              </w:rPr>
              <w:t xml:space="preserve"> 2.1 - termination)</w:t>
            </w:r>
          </w:p>
        </w:tc>
        <w:tc>
          <w:tcPr>
            <w:tcW w:w="442" w:type="pct"/>
            <w:tcBorders>
              <w:top w:val="single" w:sz="4" w:space="0" w:color="auto"/>
              <w:left w:val="single" w:sz="4" w:space="0" w:color="auto"/>
              <w:bottom w:val="single" w:sz="4" w:space="0" w:color="auto"/>
              <w:right w:val="single" w:sz="4" w:space="0" w:color="auto"/>
            </w:tcBorders>
          </w:tcPr>
          <w:p w14:paraId="5C54094D" w14:textId="77777777" w:rsidR="0008746D" w:rsidRPr="001840B3" w:rsidRDefault="0008746D" w:rsidP="00E1141B">
            <w:pPr>
              <w:pStyle w:val="TableHeading"/>
              <w:rPr>
                <w:b w:val="0"/>
                <w:bCs/>
                <w:i/>
                <w:snapToGrid w:val="0"/>
                <w:lang w:eastAsia="en-US"/>
              </w:rPr>
            </w:pPr>
            <w:r w:rsidRPr="001840B3">
              <w:rPr>
                <w:b w:val="0"/>
                <w:bCs/>
                <w:i/>
                <w:snapToGrid w:val="0"/>
                <w:lang w:eastAsia="en-US"/>
              </w:rPr>
              <w:t>-</w:t>
            </w:r>
          </w:p>
        </w:tc>
      </w:tr>
      <w:tr w:rsidR="0008746D" w:rsidRPr="001840B3" w14:paraId="0D243B95" w14:textId="77777777" w:rsidTr="00E1141B">
        <w:tc>
          <w:tcPr>
            <w:tcW w:w="651" w:type="pct"/>
            <w:tcBorders>
              <w:top w:val="single" w:sz="4" w:space="0" w:color="auto"/>
              <w:left w:val="single" w:sz="4" w:space="0" w:color="auto"/>
              <w:bottom w:val="single" w:sz="4" w:space="0" w:color="auto"/>
              <w:right w:val="single" w:sz="4" w:space="0" w:color="auto"/>
            </w:tcBorders>
          </w:tcPr>
          <w:p w14:paraId="51CFEE51" w14:textId="77777777" w:rsidR="0008746D" w:rsidRPr="001840B3" w:rsidRDefault="0008746D" w:rsidP="00E1141B">
            <w:pPr>
              <w:pStyle w:val="TableHeading"/>
              <w:rPr>
                <w:b w:val="0"/>
                <w:bCs/>
                <w:i/>
                <w:snapToGrid w:val="0"/>
                <w:lang w:eastAsia="en-US"/>
              </w:rPr>
            </w:pPr>
            <w:r w:rsidRPr="001840B3">
              <w:rPr>
                <w:b w:val="0"/>
                <w:bCs/>
                <w:i/>
                <w:snapToGrid w:val="0"/>
                <w:lang w:eastAsia="en-US"/>
              </w:rPr>
              <w:t>Therapeutic effectiveness</w:t>
            </w:r>
          </w:p>
        </w:tc>
        <w:tc>
          <w:tcPr>
            <w:tcW w:w="1469" w:type="pct"/>
            <w:tcBorders>
              <w:top w:val="single" w:sz="4" w:space="0" w:color="auto"/>
              <w:left w:val="single" w:sz="4" w:space="0" w:color="auto"/>
              <w:bottom w:val="single" w:sz="4" w:space="0" w:color="auto"/>
              <w:right w:val="single" w:sz="4" w:space="0" w:color="auto"/>
            </w:tcBorders>
          </w:tcPr>
          <w:p w14:paraId="30F684E0" w14:textId="77777777" w:rsidR="0008746D" w:rsidRPr="001840B3" w:rsidRDefault="0008746D" w:rsidP="00E1141B">
            <w:pPr>
              <w:pStyle w:val="TableHeading"/>
              <w:rPr>
                <w:b w:val="0"/>
                <w:bCs/>
                <w:i/>
                <w:snapToGrid w:val="0"/>
                <w:lang w:eastAsia="en-US"/>
              </w:rPr>
            </w:pPr>
            <w:r w:rsidRPr="001840B3">
              <w:rPr>
                <w:b w:val="0"/>
                <w:bCs/>
                <w:i/>
                <w:snapToGrid w:val="0"/>
                <w:lang w:eastAsia="en-US"/>
              </w:rPr>
              <w:t>Response to therapies</w:t>
            </w:r>
          </w:p>
        </w:tc>
        <w:tc>
          <w:tcPr>
            <w:tcW w:w="2439" w:type="pct"/>
            <w:tcBorders>
              <w:top w:val="single" w:sz="4" w:space="0" w:color="auto"/>
              <w:left w:val="single" w:sz="4" w:space="0" w:color="auto"/>
              <w:bottom w:val="single" w:sz="4" w:space="0" w:color="auto"/>
              <w:right w:val="single" w:sz="4" w:space="0" w:color="auto"/>
            </w:tcBorders>
          </w:tcPr>
          <w:p w14:paraId="7C544AFB" w14:textId="77777777" w:rsidR="0008746D" w:rsidRPr="001840B3" w:rsidRDefault="0008746D" w:rsidP="00E1141B">
            <w:pPr>
              <w:pStyle w:val="TableHeading"/>
              <w:rPr>
                <w:b w:val="0"/>
                <w:bCs/>
                <w:i/>
                <w:snapToGrid w:val="0"/>
                <w:lang w:eastAsia="en-US"/>
              </w:rPr>
            </w:pPr>
            <w:r w:rsidRPr="001840B3">
              <w:rPr>
                <w:b w:val="0"/>
                <w:bCs/>
                <w:i/>
                <w:snapToGrid w:val="0"/>
                <w:lang w:eastAsia="en-US"/>
              </w:rPr>
              <w:t>No evidence</w:t>
            </w:r>
          </w:p>
        </w:tc>
        <w:tc>
          <w:tcPr>
            <w:tcW w:w="442" w:type="pct"/>
            <w:tcBorders>
              <w:top w:val="single" w:sz="4" w:space="0" w:color="auto"/>
              <w:left w:val="single" w:sz="4" w:space="0" w:color="auto"/>
              <w:bottom w:val="single" w:sz="4" w:space="0" w:color="auto"/>
              <w:right w:val="single" w:sz="4" w:space="0" w:color="auto"/>
            </w:tcBorders>
          </w:tcPr>
          <w:p w14:paraId="48CD7592" w14:textId="77777777" w:rsidR="0008746D" w:rsidRPr="001840B3" w:rsidRDefault="0008746D" w:rsidP="00E1141B">
            <w:pPr>
              <w:pStyle w:val="TableHeading"/>
              <w:rPr>
                <w:b w:val="0"/>
                <w:bCs/>
                <w:i/>
                <w:snapToGrid w:val="0"/>
                <w:lang w:eastAsia="en-US"/>
              </w:rPr>
            </w:pPr>
            <w:r w:rsidRPr="001840B3">
              <w:rPr>
                <w:b w:val="0"/>
                <w:bCs/>
                <w:i/>
                <w:snapToGrid w:val="0"/>
                <w:lang w:eastAsia="en-US"/>
              </w:rPr>
              <w:t>-</w:t>
            </w:r>
          </w:p>
        </w:tc>
      </w:tr>
    </w:tbl>
    <w:p w14:paraId="420E78ED" w14:textId="77777777" w:rsidR="0008746D" w:rsidRDefault="0008746D" w:rsidP="0008746D">
      <w:pPr>
        <w:pStyle w:val="Tablenotes1"/>
        <w:rPr>
          <w:snapToGrid/>
        </w:rPr>
      </w:pPr>
      <w:r>
        <w:rPr>
          <w:snapToGrid/>
        </w:rPr>
        <w:t xml:space="preserve">k </w:t>
      </w:r>
      <w:r w:rsidRPr="007C66FB">
        <w:rPr>
          <w:snapToGrid/>
        </w:rPr>
        <w:t>= number of studies; n</w:t>
      </w:r>
      <w:r>
        <w:rPr>
          <w:snapToGrid/>
        </w:rPr>
        <w:t xml:space="preserve"> </w:t>
      </w:r>
      <w:r w:rsidRPr="007C66FB">
        <w:rPr>
          <w:snapToGrid/>
        </w:rPr>
        <w:t>=</w:t>
      </w:r>
      <w:r>
        <w:rPr>
          <w:snapToGrid/>
        </w:rPr>
        <w:t xml:space="preserve"> </w:t>
      </w:r>
      <w:r w:rsidRPr="007C66FB">
        <w:rPr>
          <w:snapToGrid/>
        </w:rPr>
        <w:t xml:space="preserve">total sample size; </w:t>
      </w:r>
      <w:r>
        <w:rPr>
          <w:snapToGrid/>
        </w:rPr>
        <w:t>NGS = next generation sequencing.</w:t>
      </w:r>
    </w:p>
    <w:p w14:paraId="404205F9" w14:textId="77777777" w:rsidR="0008746D" w:rsidRDefault="0008746D" w:rsidP="0008746D">
      <w:pPr>
        <w:pStyle w:val="Tablenotes1"/>
        <w:rPr>
          <w:snapToGrid/>
        </w:rPr>
      </w:pPr>
      <w:r>
        <w:rPr>
          <w:snapToGrid/>
        </w:rPr>
        <w:t xml:space="preserve">Source: DCAR Table 5, with </w:t>
      </w:r>
      <w:r>
        <w:t>changes made by ESC (in italics).</w:t>
      </w:r>
    </w:p>
    <w:p w14:paraId="3FEBEE2F" w14:textId="77777777" w:rsidR="0008746D" w:rsidRDefault="0008746D" w:rsidP="002C5532">
      <w:pPr>
        <w:pStyle w:val="Heading2"/>
      </w:pPr>
      <w:r>
        <w:t>Analytical validity</w:t>
      </w:r>
    </w:p>
    <w:p w14:paraId="591D5AE9" w14:textId="77777777" w:rsidR="0008746D" w:rsidRPr="009E33D3" w:rsidRDefault="0008746D" w:rsidP="0008746D">
      <w:r>
        <w:t>The DCAR stated that c</w:t>
      </w:r>
      <w:r w:rsidRPr="00E30F15">
        <w:t>omplete information about analytical accuracy was not available for complement and tubular diseases subpopulations</w:t>
      </w:r>
      <w:r>
        <w:t xml:space="preserve">, and for </w:t>
      </w:r>
      <w:r w:rsidRPr="00911E81">
        <w:t>ADPKD</w:t>
      </w:r>
      <w:r>
        <w:t>,</w:t>
      </w:r>
      <w:r w:rsidRPr="00911E81">
        <w:t xml:space="preserve"> </w:t>
      </w:r>
      <w:r>
        <w:t>CAKUT</w:t>
      </w:r>
      <w:r w:rsidRPr="00911E81">
        <w:t xml:space="preserve"> and glomerular diseases </w:t>
      </w:r>
      <w:r>
        <w:t>the number of studies was small (</w:t>
      </w:r>
      <w:fldSimple w:instr=" REF _Ref61252017 ">
        <w:r>
          <w:t xml:space="preserve">Table </w:t>
        </w:r>
        <w:r>
          <w:rPr>
            <w:noProof/>
          </w:rPr>
          <w:t>8</w:t>
        </w:r>
      </w:fldSimple>
      <w:r>
        <w:t>).</w:t>
      </w:r>
    </w:p>
    <w:p w14:paraId="563594AE" w14:textId="0B6DE29F" w:rsidR="0008746D" w:rsidRDefault="0008746D" w:rsidP="0008746D">
      <w:pPr>
        <w:pStyle w:val="Caption"/>
      </w:pPr>
      <w:bookmarkStart w:id="16" w:name="_Ref61252017"/>
      <w:r>
        <w:t xml:space="preserve">Table </w:t>
      </w:r>
      <w:fldSimple w:instr=" SEQ Table \* ARABIC ">
        <w:r w:rsidR="00627B6A">
          <w:rPr>
            <w:noProof/>
          </w:rPr>
          <w:t>8</w:t>
        </w:r>
      </w:fldSimple>
      <w:bookmarkEnd w:id="16"/>
      <w:r>
        <w:t xml:space="preserve"> </w:t>
      </w:r>
      <w:r>
        <w:tab/>
        <w:t>Summary</w:t>
      </w:r>
      <w:r w:rsidRPr="00911E81">
        <w:t xml:space="preserve"> </w:t>
      </w:r>
      <w:r>
        <w:t>statistics for accuracy of WGS against Sanger sequencing (reference standard)</w:t>
      </w:r>
    </w:p>
    <w:tbl>
      <w:tblPr>
        <w:tblStyle w:val="TableGrid1"/>
        <w:tblW w:w="5000" w:type="pct"/>
        <w:tblLook w:val="04A0" w:firstRow="1" w:lastRow="0" w:firstColumn="1" w:lastColumn="0" w:noHBand="0" w:noVBand="1"/>
        <w:tblDescription w:val="Summary statistics for accuracy of WGS against Sanger sequencing (reference standard)"/>
      </w:tblPr>
      <w:tblGrid>
        <w:gridCol w:w="2121"/>
        <w:gridCol w:w="1417"/>
        <w:gridCol w:w="1275"/>
        <w:gridCol w:w="1417"/>
        <w:gridCol w:w="1417"/>
        <w:gridCol w:w="1369"/>
      </w:tblGrid>
      <w:tr w:rsidR="0008746D" w14:paraId="2158F7A4" w14:textId="77777777" w:rsidTr="005E3F29">
        <w:trPr>
          <w:trHeight w:val="469"/>
          <w:tblHeader/>
        </w:trPr>
        <w:tc>
          <w:tcPr>
            <w:tcW w:w="1176" w:type="pct"/>
            <w:vMerge w:val="restart"/>
            <w:tcBorders>
              <w:top w:val="single" w:sz="4" w:space="0" w:color="auto"/>
              <w:left w:val="single" w:sz="4" w:space="0" w:color="auto"/>
              <w:right w:val="single" w:sz="4" w:space="0" w:color="auto"/>
            </w:tcBorders>
            <w:hideMark/>
          </w:tcPr>
          <w:p w14:paraId="6095B099" w14:textId="77777777" w:rsidR="0008746D" w:rsidRDefault="0008746D" w:rsidP="00E1141B">
            <w:pPr>
              <w:pStyle w:val="TableText0"/>
              <w:rPr>
                <w:rFonts w:cs="Arial"/>
                <w:color w:val="1F497D"/>
                <w:szCs w:val="20"/>
              </w:rPr>
            </w:pPr>
            <w:r>
              <w:rPr>
                <w:b/>
              </w:rPr>
              <w:t>Accuracy</w:t>
            </w:r>
          </w:p>
        </w:tc>
        <w:tc>
          <w:tcPr>
            <w:tcW w:w="786" w:type="pct"/>
            <w:vMerge w:val="restart"/>
            <w:tcBorders>
              <w:top w:val="single" w:sz="4" w:space="0" w:color="auto"/>
              <w:left w:val="single" w:sz="4" w:space="0" w:color="auto"/>
              <w:right w:val="single" w:sz="4" w:space="0" w:color="auto"/>
            </w:tcBorders>
            <w:hideMark/>
          </w:tcPr>
          <w:p w14:paraId="69A4D22B" w14:textId="77777777" w:rsidR="0008746D" w:rsidRDefault="0008746D" w:rsidP="00E1141B">
            <w:pPr>
              <w:pStyle w:val="TableText0"/>
              <w:jc w:val="center"/>
            </w:pPr>
            <w:r>
              <w:rPr>
                <w:b/>
              </w:rPr>
              <w:t xml:space="preserve">Population 1, ADPKD </w:t>
            </w:r>
            <w:r>
              <w:t>(k=1)</w:t>
            </w:r>
          </w:p>
        </w:tc>
        <w:tc>
          <w:tcPr>
            <w:tcW w:w="3038" w:type="pct"/>
            <w:gridSpan w:val="4"/>
            <w:tcBorders>
              <w:top w:val="single" w:sz="4" w:space="0" w:color="auto"/>
              <w:left w:val="single" w:sz="4" w:space="0" w:color="auto"/>
              <w:bottom w:val="single" w:sz="4" w:space="0" w:color="auto"/>
              <w:right w:val="single" w:sz="4" w:space="0" w:color="auto"/>
            </w:tcBorders>
            <w:hideMark/>
          </w:tcPr>
          <w:p w14:paraId="731FADBC" w14:textId="77777777" w:rsidR="0008746D" w:rsidRDefault="0008746D" w:rsidP="00E1141B">
            <w:pPr>
              <w:pStyle w:val="TableText0"/>
              <w:jc w:val="center"/>
              <w:rPr>
                <w:b/>
                <w:bCs/>
              </w:rPr>
            </w:pPr>
            <w:r>
              <w:rPr>
                <w:b/>
                <w:bCs/>
              </w:rPr>
              <w:t>Population 2</w:t>
            </w:r>
          </w:p>
        </w:tc>
      </w:tr>
      <w:tr w:rsidR="0008746D" w14:paraId="1407592E" w14:textId="77777777" w:rsidTr="005E3F29">
        <w:trPr>
          <w:trHeight w:val="469"/>
          <w:tblHeader/>
        </w:trPr>
        <w:tc>
          <w:tcPr>
            <w:tcW w:w="1176" w:type="pct"/>
            <w:vMerge/>
            <w:tcBorders>
              <w:left w:val="single" w:sz="4" w:space="0" w:color="auto"/>
              <w:bottom w:val="single" w:sz="4" w:space="0" w:color="auto"/>
              <w:right w:val="single" w:sz="4" w:space="0" w:color="auto"/>
            </w:tcBorders>
          </w:tcPr>
          <w:p w14:paraId="6D21093F" w14:textId="77777777" w:rsidR="0008746D" w:rsidRDefault="0008746D" w:rsidP="00E1141B">
            <w:pPr>
              <w:pStyle w:val="TableText0"/>
              <w:rPr>
                <w:b/>
              </w:rPr>
            </w:pPr>
          </w:p>
        </w:tc>
        <w:tc>
          <w:tcPr>
            <w:tcW w:w="786" w:type="pct"/>
            <w:vMerge/>
            <w:tcBorders>
              <w:left w:val="single" w:sz="4" w:space="0" w:color="auto"/>
              <w:bottom w:val="single" w:sz="4" w:space="0" w:color="auto"/>
              <w:right w:val="single" w:sz="4" w:space="0" w:color="auto"/>
            </w:tcBorders>
          </w:tcPr>
          <w:p w14:paraId="276C9858" w14:textId="77777777" w:rsidR="0008746D" w:rsidRDefault="0008746D" w:rsidP="00E1141B">
            <w:pPr>
              <w:pStyle w:val="TableText0"/>
              <w:jc w:val="center"/>
              <w:rPr>
                <w:b/>
              </w:rPr>
            </w:pPr>
          </w:p>
        </w:tc>
        <w:tc>
          <w:tcPr>
            <w:tcW w:w="707" w:type="pct"/>
            <w:tcBorders>
              <w:top w:val="single" w:sz="4" w:space="0" w:color="auto"/>
              <w:left w:val="single" w:sz="4" w:space="0" w:color="auto"/>
              <w:bottom w:val="single" w:sz="4" w:space="0" w:color="auto"/>
              <w:right w:val="single" w:sz="4" w:space="0" w:color="auto"/>
            </w:tcBorders>
            <w:hideMark/>
          </w:tcPr>
          <w:p w14:paraId="0C1D3586" w14:textId="77777777" w:rsidR="0008746D" w:rsidRDefault="0008746D" w:rsidP="00E1141B">
            <w:pPr>
              <w:pStyle w:val="TableText0"/>
              <w:jc w:val="center"/>
              <w:rPr>
                <w:b/>
                <w:bCs/>
              </w:rPr>
            </w:pPr>
            <w:r>
              <w:rPr>
                <w:b/>
                <w:bCs/>
              </w:rPr>
              <w:t xml:space="preserve">CAKUT </w:t>
            </w:r>
            <w:r>
              <w:t>(k=1)</w:t>
            </w:r>
          </w:p>
        </w:tc>
        <w:tc>
          <w:tcPr>
            <w:tcW w:w="786" w:type="pct"/>
            <w:tcBorders>
              <w:top w:val="single" w:sz="4" w:space="0" w:color="auto"/>
              <w:left w:val="single" w:sz="4" w:space="0" w:color="auto"/>
              <w:bottom w:val="single" w:sz="4" w:space="0" w:color="auto"/>
              <w:right w:val="single" w:sz="4" w:space="0" w:color="auto"/>
            </w:tcBorders>
            <w:hideMark/>
          </w:tcPr>
          <w:p w14:paraId="579B0914" w14:textId="77777777" w:rsidR="0008746D" w:rsidRDefault="0008746D" w:rsidP="00E1141B">
            <w:pPr>
              <w:pStyle w:val="TableText0"/>
              <w:jc w:val="center"/>
            </w:pPr>
            <w:r>
              <w:rPr>
                <w:b/>
                <w:bCs/>
              </w:rPr>
              <w:t xml:space="preserve">Glomerular diseases </w:t>
            </w:r>
            <w:r>
              <w:t>(k=2)</w:t>
            </w:r>
          </w:p>
        </w:tc>
        <w:tc>
          <w:tcPr>
            <w:tcW w:w="786" w:type="pct"/>
            <w:tcBorders>
              <w:top w:val="single" w:sz="4" w:space="0" w:color="auto"/>
              <w:left w:val="single" w:sz="4" w:space="0" w:color="auto"/>
              <w:bottom w:val="single" w:sz="4" w:space="0" w:color="auto"/>
              <w:right w:val="single" w:sz="4" w:space="0" w:color="auto"/>
            </w:tcBorders>
            <w:hideMark/>
          </w:tcPr>
          <w:p w14:paraId="71B83554" w14:textId="77777777" w:rsidR="0008746D" w:rsidRDefault="0008746D" w:rsidP="00E1141B">
            <w:pPr>
              <w:pStyle w:val="TableText0"/>
              <w:jc w:val="center"/>
            </w:pPr>
            <w:r>
              <w:rPr>
                <w:b/>
                <w:bCs/>
              </w:rPr>
              <w:t xml:space="preserve">Complement diseases </w:t>
            </w:r>
            <w:r>
              <w:t>(k=2)</w:t>
            </w:r>
          </w:p>
        </w:tc>
        <w:tc>
          <w:tcPr>
            <w:tcW w:w="759" w:type="pct"/>
            <w:tcBorders>
              <w:top w:val="single" w:sz="4" w:space="0" w:color="auto"/>
              <w:left w:val="single" w:sz="4" w:space="0" w:color="auto"/>
              <w:bottom w:val="single" w:sz="4" w:space="0" w:color="auto"/>
              <w:right w:val="single" w:sz="4" w:space="0" w:color="auto"/>
            </w:tcBorders>
            <w:hideMark/>
          </w:tcPr>
          <w:p w14:paraId="42E2DB64" w14:textId="77777777" w:rsidR="0008746D" w:rsidRDefault="0008746D" w:rsidP="00E1141B">
            <w:pPr>
              <w:pStyle w:val="TableText0"/>
              <w:jc w:val="center"/>
            </w:pPr>
            <w:r>
              <w:rPr>
                <w:b/>
                <w:bCs/>
              </w:rPr>
              <w:t xml:space="preserve">Tubular diseases </w:t>
            </w:r>
            <w:r>
              <w:t>(k=1)</w:t>
            </w:r>
          </w:p>
        </w:tc>
      </w:tr>
      <w:tr w:rsidR="0008746D" w:rsidRPr="00344187" w14:paraId="5F64D2CF" w14:textId="77777777" w:rsidTr="00E1141B">
        <w:trPr>
          <w:trHeight w:val="255"/>
        </w:trPr>
        <w:tc>
          <w:tcPr>
            <w:tcW w:w="1176" w:type="pct"/>
            <w:tcBorders>
              <w:top w:val="single" w:sz="4" w:space="0" w:color="auto"/>
              <w:left w:val="single" w:sz="4" w:space="0" w:color="auto"/>
              <w:bottom w:val="single" w:sz="4" w:space="0" w:color="auto"/>
              <w:right w:val="single" w:sz="4" w:space="0" w:color="auto"/>
            </w:tcBorders>
            <w:hideMark/>
          </w:tcPr>
          <w:p w14:paraId="78F508FB" w14:textId="77777777" w:rsidR="0008746D" w:rsidRPr="00344187" w:rsidRDefault="0008746D" w:rsidP="00E1141B">
            <w:pPr>
              <w:spacing w:after="40"/>
              <w:rPr>
                <w:rFonts w:ascii="Arial Narrow" w:hAnsi="Arial Narrow"/>
                <w:sz w:val="20"/>
                <w:szCs w:val="20"/>
                <w:lang w:eastAsia="en-US"/>
              </w:rPr>
            </w:pPr>
            <w:r w:rsidRPr="00344187">
              <w:rPr>
                <w:rFonts w:ascii="Arial Narrow" w:hAnsi="Arial Narrow"/>
                <w:sz w:val="20"/>
                <w:szCs w:val="20"/>
                <w:lang w:eastAsia="en-US"/>
              </w:rPr>
              <w:t>Sensitivity, % (95% CI)</w:t>
            </w:r>
          </w:p>
        </w:tc>
        <w:tc>
          <w:tcPr>
            <w:tcW w:w="786" w:type="pct"/>
            <w:tcBorders>
              <w:top w:val="single" w:sz="4" w:space="0" w:color="auto"/>
              <w:left w:val="single" w:sz="4" w:space="0" w:color="auto"/>
              <w:bottom w:val="single" w:sz="4" w:space="0" w:color="auto"/>
              <w:right w:val="single" w:sz="4" w:space="0" w:color="auto"/>
            </w:tcBorders>
            <w:hideMark/>
          </w:tcPr>
          <w:p w14:paraId="6B668C21" w14:textId="77777777" w:rsidR="0008746D" w:rsidRPr="00344187" w:rsidRDefault="0008746D" w:rsidP="00E1141B">
            <w:pPr>
              <w:pStyle w:val="TableText0"/>
              <w:jc w:val="center"/>
              <w:rPr>
                <w:szCs w:val="20"/>
              </w:rPr>
            </w:pPr>
            <w:r w:rsidRPr="00344187">
              <w:rPr>
                <w:szCs w:val="20"/>
              </w:rPr>
              <w:t xml:space="preserve">99.2 </w:t>
            </w:r>
            <w:r w:rsidRPr="00344187">
              <w:rPr>
                <w:szCs w:val="20"/>
              </w:rPr>
              <w:br/>
              <w:t>(96.8, 99.9)</w:t>
            </w:r>
          </w:p>
        </w:tc>
        <w:tc>
          <w:tcPr>
            <w:tcW w:w="707" w:type="pct"/>
            <w:tcBorders>
              <w:top w:val="single" w:sz="4" w:space="0" w:color="auto"/>
              <w:left w:val="single" w:sz="4" w:space="0" w:color="auto"/>
              <w:bottom w:val="single" w:sz="4" w:space="0" w:color="auto"/>
              <w:right w:val="single" w:sz="4" w:space="0" w:color="auto"/>
            </w:tcBorders>
            <w:hideMark/>
          </w:tcPr>
          <w:p w14:paraId="581AAD12" w14:textId="77777777" w:rsidR="0008746D" w:rsidRPr="00344187" w:rsidRDefault="0008746D" w:rsidP="00E1141B">
            <w:pPr>
              <w:pStyle w:val="TableText0"/>
              <w:jc w:val="center"/>
              <w:rPr>
                <w:szCs w:val="20"/>
              </w:rPr>
            </w:pPr>
            <w:r w:rsidRPr="00344187">
              <w:rPr>
                <w:szCs w:val="20"/>
              </w:rPr>
              <w:t xml:space="preserve">100 </w:t>
            </w:r>
            <w:r w:rsidRPr="00344187">
              <w:rPr>
                <w:szCs w:val="20"/>
              </w:rPr>
              <w:br/>
              <w:t>(98.6, 100)</w:t>
            </w:r>
          </w:p>
        </w:tc>
        <w:tc>
          <w:tcPr>
            <w:tcW w:w="786" w:type="pct"/>
            <w:tcBorders>
              <w:top w:val="single" w:sz="4" w:space="0" w:color="auto"/>
              <w:left w:val="single" w:sz="4" w:space="0" w:color="auto"/>
              <w:bottom w:val="single" w:sz="4" w:space="0" w:color="auto"/>
              <w:right w:val="single" w:sz="4" w:space="0" w:color="auto"/>
            </w:tcBorders>
            <w:hideMark/>
          </w:tcPr>
          <w:p w14:paraId="126E78B6" w14:textId="77777777" w:rsidR="0008746D" w:rsidRPr="00344187" w:rsidRDefault="0008746D" w:rsidP="00E1141B">
            <w:pPr>
              <w:pStyle w:val="TableText0"/>
              <w:jc w:val="center"/>
              <w:rPr>
                <w:szCs w:val="20"/>
              </w:rPr>
            </w:pPr>
            <w:r w:rsidRPr="00344187">
              <w:rPr>
                <w:szCs w:val="20"/>
              </w:rPr>
              <w:t xml:space="preserve">95.6 </w:t>
            </w:r>
            <w:r w:rsidRPr="00344187">
              <w:rPr>
                <w:szCs w:val="20"/>
              </w:rPr>
              <w:br/>
              <w:t>(94.3, 96.6)</w:t>
            </w:r>
          </w:p>
        </w:tc>
        <w:tc>
          <w:tcPr>
            <w:tcW w:w="786" w:type="pct"/>
            <w:tcBorders>
              <w:top w:val="single" w:sz="4" w:space="0" w:color="auto"/>
              <w:left w:val="single" w:sz="4" w:space="0" w:color="auto"/>
              <w:bottom w:val="single" w:sz="4" w:space="0" w:color="auto"/>
              <w:right w:val="single" w:sz="4" w:space="0" w:color="auto"/>
            </w:tcBorders>
            <w:hideMark/>
          </w:tcPr>
          <w:p w14:paraId="3319AA8C" w14:textId="77777777" w:rsidR="0008746D" w:rsidRPr="00344187" w:rsidRDefault="0008746D" w:rsidP="00E1141B">
            <w:pPr>
              <w:pStyle w:val="TableText0"/>
              <w:jc w:val="center"/>
              <w:rPr>
                <w:szCs w:val="20"/>
              </w:rPr>
            </w:pPr>
            <w:r w:rsidRPr="00344187">
              <w:rPr>
                <w:szCs w:val="20"/>
              </w:rPr>
              <w:t>-</w:t>
            </w:r>
          </w:p>
        </w:tc>
        <w:tc>
          <w:tcPr>
            <w:tcW w:w="759" w:type="pct"/>
            <w:tcBorders>
              <w:top w:val="single" w:sz="4" w:space="0" w:color="auto"/>
              <w:left w:val="single" w:sz="4" w:space="0" w:color="auto"/>
              <w:bottom w:val="single" w:sz="4" w:space="0" w:color="auto"/>
              <w:right w:val="single" w:sz="4" w:space="0" w:color="auto"/>
            </w:tcBorders>
            <w:hideMark/>
          </w:tcPr>
          <w:p w14:paraId="7AB07AD2" w14:textId="77777777" w:rsidR="0008746D" w:rsidRPr="00344187" w:rsidRDefault="0008746D" w:rsidP="00E1141B">
            <w:pPr>
              <w:pStyle w:val="TableText0"/>
              <w:jc w:val="center"/>
              <w:rPr>
                <w:szCs w:val="20"/>
              </w:rPr>
            </w:pPr>
            <w:r w:rsidRPr="00344187">
              <w:rPr>
                <w:szCs w:val="20"/>
              </w:rPr>
              <w:t>100</w:t>
            </w:r>
          </w:p>
        </w:tc>
      </w:tr>
      <w:tr w:rsidR="0008746D" w14:paraId="3847511F" w14:textId="77777777" w:rsidTr="00E1141B">
        <w:trPr>
          <w:trHeight w:val="421"/>
        </w:trPr>
        <w:tc>
          <w:tcPr>
            <w:tcW w:w="1176" w:type="pct"/>
            <w:tcBorders>
              <w:top w:val="single" w:sz="4" w:space="0" w:color="auto"/>
              <w:left w:val="single" w:sz="4" w:space="0" w:color="auto"/>
              <w:bottom w:val="single" w:sz="4" w:space="0" w:color="auto"/>
              <w:right w:val="single" w:sz="4" w:space="0" w:color="auto"/>
            </w:tcBorders>
            <w:hideMark/>
          </w:tcPr>
          <w:p w14:paraId="39F8273E" w14:textId="77777777" w:rsidR="0008746D" w:rsidRDefault="0008746D" w:rsidP="00E1141B">
            <w:pPr>
              <w:pStyle w:val="TableText0"/>
            </w:pPr>
            <w:r>
              <w:t>Specificity, % (95% CI)</w:t>
            </w:r>
          </w:p>
        </w:tc>
        <w:tc>
          <w:tcPr>
            <w:tcW w:w="786" w:type="pct"/>
            <w:tcBorders>
              <w:top w:val="single" w:sz="4" w:space="0" w:color="auto"/>
              <w:left w:val="single" w:sz="4" w:space="0" w:color="auto"/>
              <w:bottom w:val="single" w:sz="4" w:space="0" w:color="auto"/>
              <w:right w:val="single" w:sz="4" w:space="0" w:color="auto"/>
            </w:tcBorders>
            <w:hideMark/>
          </w:tcPr>
          <w:p w14:paraId="0006396A" w14:textId="77777777" w:rsidR="0008746D" w:rsidRDefault="0008746D" w:rsidP="00E1141B">
            <w:pPr>
              <w:pStyle w:val="TableText0"/>
              <w:jc w:val="center"/>
            </w:pPr>
            <w:r>
              <w:t xml:space="preserve">99.9 </w:t>
            </w:r>
            <w:r>
              <w:br/>
              <w:t>(99.7, 100.0)</w:t>
            </w:r>
          </w:p>
        </w:tc>
        <w:tc>
          <w:tcPr>
            <w:tcW w:w="707" w:type="pct"/>
            <w:tcBorders>
              <w:top w:val="single" w:sz="4" w:space="0" w:color="auto"/>
              <w:left w:val="single" w:sz="4" w:space="0" w:color="auto"/>
              <w:bottom w:val="single" w:sz="4" w:space="0" w:color="auto"/>
              <w:right w:val="single" w:sz="4" w:space="0" w:color="auto"/>
            </w:tcBorders>
            <w:hideMark/>
          </w:tcPr>
          <w:p w14:paraId="09D53A5A" w14:textId="77777777" w:rsidR="0008746D" w:rsidRDefault="0008746D" w:rsidP="00E1141B">
            <w:pPr>
              <w:pStyle w:val="TableText0"/>
              <w:jc w:val="center"/>
            </w:pPr>
            <w:r>
              <w:t xml:space="preserve">99.71 </w:t>
            </w:r>
            <w:r>
              <w:br/>
              <w:t>(99.27, 99.92)</w:t>
            </w:r>
          </w:p>
        </w:tc>
        <w:tc>
          <w:tcPr>
            <w:tcW w:w="786" w:type="pct"/>
            <w:tcBorders>
              <w:top w:val="single" w:sz="4" w:space="0" w:color="auto"/>
              <w:left w:val="single" w:sz="4" w:space="0" w:color="auto"/>
              <w:bottom w:val="single" w:sz="4" w:space="0" w:color="auto"/>
              <w:right w:val="single" w:sz="4" w:space="0" w:color="auto"/>
            </w:tcBorders>
            <w:hideMark/>
          </w:tcPr>
          <w:p w14:paraId="542C53EE" w14:textId="77777777" w:rsidR="0008746D" w:rsidRDefault="0008746D" w:rsidP="00E1141B">
            <w:pPr>
              <w:pStyle w:val="TableText0"/>
              <w:jc w:val="center"/>
            </w:pPr>
            <w:r>
              <w:t xml:space="preserve">99.7 </w:t>
            </w:r>
            <w:r>
              <w:br/>
              <w:t>(99.5, 99.9)</w:t>
            </w:r>
          </w:p>
        </w:tc>
        <w:tc>
          <w:tcPr>
            <w:tcW w:w="786" w:type="pct"/>
            <w:tcBorders>
              <w:top w:val="single" w:sz="4" w:space="0" w:color="auto"/>
              <w:left w:val="single" w:sz="4" w:space="0" w:color="auto"/>
              <w:bottom w:val="single" w:sz="4" w:space="0" w:color="auto"/>
              <w:right w:val="single" w:sz="4" w:space="0" w:color="auto"/>
            </w:tcBorders>
            <w:hideMark/>
          </w:tcPr>
          <w:p w14:paraId="439CB2A9" w14:textId="77777777" w:rsidR="0008746D" w:rsidRDefault="0008746D" w:rsidP="00E1141B">
            <w:pPr>
              <w:pStyle w:val="TableText0"/>
              <w:jc w:val="center"/>
            </w:pPr>
            <w:r>
              <w:t>-</w:t>
            </w:r>
          </w:p>
        </w:tc>
        <w:tc>
          <w:tcPr>
            <w:tcW w:w="759" w:type="pct"/>
            <w:tcBorders>
              <w:top w:val="single" w:sz="4" w:space="0" w:color="auto"/>
              <w:left w:val="single" w:sz="4" w:space="0" w:color="auto"/>
              <w:bottom w:val="single" w:sz="4" w:space="0" w:color="auto"/>
              <w:right w:val="single" w:sz="4" w:space="0" w:color="auto"/>
            </w:tcBorders>
          </w:tcPr>
          <w:p w14:paraId="6D7EE5EB" w14:textId="77777777" w:rsidR="0008746D" w:rsidRDefault="0008746D" w:rsidP="00E1141B">
            <w:pPr>
              <w:pStyle w:val="TableText0"/>
              <w:jc w:val="center"/>
            </w:pPr>
          </w:p>
        </w:tc>
      </w:tr>
      <w:tr w:rsidR="0008746D" w14:paraId="059031D9" w14:textId="77777777" w:rsidTr="00E1141B">
        <w:trPr>
          <w:trHeight w:val="421"/>
        </w:trPr>
        <w:tc>
          <w:tcPr>
            <w:tcW w:w="1176" w:type="pct"/>
            <w:tcBorders>
              <w:top w:val="single" w:sz="4" w:space="0" w:color="auto"/>
              <w:left w:val="single" w:sz="4" w:space="0" w:color="auto"/>
              <w:bottom w:val="single" w:sz="4" w:space="0" w:color="auto"/>
              <w:right w:val="single" w:sz="4" w:space="0" w:color="auto"/>
            </w:tcBorders>
            <w:hideMark/>
          </w:tcPr>
          <w:p w14:paraId="22FFE9B5" w14:textId="77777777" w:rsidR="0008746D" w:rsidRDefault="0008746D" w:rsidP="00E1141B">
            <w:pPr>
              <w:pStyle w:val="TableText0"/>
            </w:pPr>
            <w:r>
              <w:t>Positive predictive value, % (95% CI)</w:t>
            </w:r>
          </w:p>
        </w:tc>
        <w:tc>
          <w:tcPr>
            <w:tcW w:w="786" w:type="pct"/>
            <w:tcBorders>
              <w:top w:val="single" w:sz="4" w:space="0" w:color="auto"/>
              <w:left w:val="single" w:sz="4" w:space="0" w:color="auto"/>
              <w:bottom w:val="single" w:sz="4" w:space="0" w:color="auto"/>
              <w:right w:val="single" w:sz="4" w:space="0" w:color="auto"/>
            </w:tcBorders>
            <w:hideMark/>
          </w:tcPr>
          <w:p w14:paraId="4EB57741" w14:textId="77777777" w:rsidR="0008746D" w:rsidRDefault="0008746D" w:rsidP="00E1141B">
            <w:pPr>
              <w:pStyle w:val="TableText0"/>
              <w:jc w:val="center"/>
            </w:pPr>
            <w:r>
              <w:t>100</w:t>
            </w:r>
          </w:p>
        </w:tc>
        <w:tc>
          <w:tcPr>
            <w:tcW w:w="707" w:type="pct"/>
            <w:tcBorders>
              <w:top w:val="single" w:sz="4" w:space="0" w:color="auto"/>
              <w:left w:val="single" w:sz="4" w:space="0" w:color="auto"/>
              <w:bottom w:val="single" w:sz="4" w:space="0" w:color="auto"/>
              <w:right w:val="single" w:sz="4" w:space="0" w:color="auto"/>
            </w:tcBorders>
            <w:hideMark/>
          </w:tcPr>
          <w:p w14:paraId="22ACE2CA" w14:textId="77777777" w:rsidR="0008746D" w:rsidRDefault="0008746D" w:rsidP="00E1141B">
            <w:pPr>
              <w:pStyle w:val="TableText0"/>
              <w:jc w:val="center"/>
            </w:pPr>
            <w:r>
              <w:t xml:space="preserve">98.4 </w:t>
            </w:r>
            <w:r>
              <w:br/>
              <w:t>(96.0, 99.4)</w:t>
            </w:r>
          </w:p>
        </w:tc>
        <w:tc>
          <w:tcPr>
            <w:tcW w:w="786" w:type="pct"/>
            <w:tcBorders>
              <w:top w:val="single" w:sz="4" w:space="0" w:color="auto"/>
              <w:left w:val="single" w:sz="4" w:space="0" w:color="auto"/>
              <w:bottom w:val="single" w:sz="4" w:space="0" w:color="auto"/>
              <w:right w:val="single" w:sz="4" w:space="0" w:color="auto"/>
            </w:tcBorders>
            <w:hideMark/>
          </w:tcPr>
          <w:p w14:paraId="5D85219E" w14:textId="77777777" w:rsidR="0008746D" w:rsidRDefault="0008746D" w:rsidP="00E1141B">
            <w:pPr>
              <w:pStyle w:val="TableText0"/>
              <w:jc w:val="center"/>
            </w:pPr>
            <w:r>
              <w:t xml:space="preserve">99.3 </w:t>
            </w:r>
            <w:r>
              <w:br/>
              <w:t>(98.6, 99.6)</w:t>
            </w:r>
          </w:p>
        </w:tc>
        <w:tc>
          <w:tcPr>
            <w:tcW w:w="786" w:type="pct"/>
            <w:tcBorders>
              <w:top w:val="single" w:sz="4" w:space="0" w:color="auto"/>
              <w:left w:val="single" w:sz="4" w:space="0" w:color="auto"/>
              <w:bottom w:val="single" w:sz="4" w:space="0" w:color="auto"/>
              <w:right w:val="single" w:sz="4" w:space="0" w:color="auto"/>
            </w:tcBorders>
            <w:hideMark/>
          </w:tcPr>
          <w:p w14:paraId="57679A1E" w14:textId="77777777" w:rsidR="0008746D" w:rsidRDefault="0008746D" w:rsidP="00E1141B">
            <w:pPr>
              <w:pStyle w:val="TableText0"/>
              <w:jc w:val="center"/>
            </w:pPr>
            <w:r>
              <w:t>100</w:t>
            </w:r>
          </w:p>
        </w:tc>
        <w:tc>
          <w:tcPr>
            <w:tcW w:w="759" w:type="pct"/>
            <w:tcBorders>
              <w:top w:val="single" w:sz="4" w:space="0" w:color="auto"/>
              <w:left w:val="single" w:sz="4" w:space="0" w:color="auto"/>
              <w:bottom w:val="single" w:sz="4" w:space="0" w:color="auto"/>
              <w:right w:val="single" w:sz="4" w:space="0" w:color="auto"/>
            </w:tcBorders>
            <w:hideMark/>
          </w:tcPr>
          <w:p w14:paraId="3C904412" w14:textId="77777777" w:rsidR="0008746D" w:rsidRDefault="0008746D" w:rsidP="00E1141B">
            <w:pPr>
              <w:pStyle w:val="TableText0"/>
              <w:jc w:val="center"/>
            </w:pPr>
            <w:r>
              <w:t>100</w:t>
            </w:r>
          </w:p>
        </w:tc>
      </w:tr>
      <w:tr w:rsidR="0008746D" w14:paraId="2A42595B" w14:textId="77777777" w:rsidTr="00E1141B">
        <w:trPr>
          <w:trHeight w:val="421"/>
        </w:trPr>
        <w:tc>
          <w:tcPr>
            <w:tcW w:w="1176" w:type="pct"/>
            <w:tcBorders>
              <w:top w:val="single" w:sz="4" w:space="0" w:color="auto"/>
              <w:left w:val="single" w:sz="4" w:space="0" w:color="auto"/>
              <w:bottom w:val="single" w:sz="4" w:space="0" w:color="auto"/>
              <w:right w:val="single" w:sz="4" w:space="0" w:color="auto"/>
            </w:tcBorders>
            <w:hideMark/>
          </w:tcPr>
          <w:p w14:paraId="07D4F401" w14:textId="77777777" w:rsidR="0008746D" w:rsidRDefault="0008746D" w:rsidP="00E1141B">
            <w:pPr>
              <w:pStyle w:val="TableText0"/>
            </w:pPr>
            <w:r>
              <w:t>Negative predictive value, % (95% CI)</w:t>
            </w:r>
          </w:p>
        </w:tc>
        <w:tc>
          <w:tcPr>
            <w:tcW w:w="786" w:type="pct"/>
            <w:tcBorders>
              <w:top w:val="single" w:sz="4" w:space="0" w:color="auto"/>
              <w:left w:val="single" w:sz="4" w:space="0" w:color="auto"/>
              <w:bottom w:val="single" w:sz="4" w:space="0" w:color="auto"/>
              <w:right w:val="single" w:sz="4" w:space="0" w:color="auto"/>
            </w:tcBorders>
            <w:hideMark/>
          </w:tcPr>
          <w:p w14:paraId="0FA17740" w14:textId="77777777" w:rsidR="0008746D" w:rsidRDefault="0008746D" w:rsidP="00E1141B">
            <w:pPr>
              <w:pStyle w:val="TableText0"/>
              <w:jc w:val="center"/>
            </w:pPr>
            <w:r>
              <w:t xml:space="preserve">99.9% </w:t>
            </w:r>
            <w:r>
              <w:br/>
              <w:t>(99.6, 100)</w:t>
            </w:r>
          </w:p>
        </w:tc>
        <w:tc>
          <w:tcPr>
            <w:tcW w:w="707" w:type="pct"/>
            <w:tcBorders>
              <w:top w:val="single" w:sz="4" w:space="0" w:color="auto"/>
              <w:left w:val="single" w:sz="4" w:space="0" w:color="auto"/>
              <w:bottom w:val="single" w:sz="4" w:space="0" w:color="auto"/>
              <w:right w:val="single" w:sz="4" w:space="0" w:color="auto"/>
            </w:tcBorders>
            <w:hideMark/>
          </w:tcPr>
          <w:p w14:paraId="40687E29" w14:textId="77777777" w:rsidR="0008746D" w:rsidRDefault="0008746D" w:rsidP="00E1141B">
            <w:pPr>
              <w:pStyle w:val="TableText0"/>
              <w:jc w:val="center"/>
            </w:pPr>
            <w:r>
              <w:t>100</w:t>
            </w:r>
          </w:p>
        </w:tc>
        <w:tc>
          <w:tcPr>
            <w:tcW w:w="786" w:type="pct"/>
            <w:tcBorders>
              <w:top w:val="single" w:sz="4" w:space="0" w:color="auto"/>
              <w:left w:val="single" w:sz="4" w:space="0" w:color="auto"/>
              <w:bottom w:val="single" w:sz="4" w:space="0" w:color="auto"/>
              <w:right w:val="single" w:sz="4" w:space="0" w:color="auto"/>
            </w:tcBorders>
            <w:hideMark/>
          </w:tcPr>
          <w:p w14:paraId="03BCAF4F" w14:textId="77777777" w:rsidR="0008746D" w:rsidRDefault="0008746D" w:rsidP="00E1141B">
            <w:pPr>
              <w:pStyle w:val="TableText0"/>
              <w:jc w:val="center"/>
            </w:pPr>
            <w:r>
              <w:t xml:space="preserve">98.2 </w:t>
            </w:r>
            <w:r>
              <w:br/>
              <w:t>(97.7, 98.6)</w:t>
            </w:r>
          </w:p>
        </w:tc>
        <w:tc>
          <w:tcPr>
            <w:tcW w:w="786" w:type="pct"/>
            <w:tcBorders>
              <w:top w:val="single" w:sz="4" w:space="0" w:color="auto"/>
              <w:left w:val="single" w:sz="4" w:space="0" w:color="auto"/>
              <w:bottom w:val="single" w:sz="4" w:space="0" w:color="auto"/>
              <w:right w:val="single" w:sz="4" w:space="0" w:color="auto"/>
            </w:tcBorders>
            <w:hideMark/>
          </w:tcPr>
          <w:p w14:paraId="789E16F4" w14:textId="77777777" w:rsidR="0008746D" w:rsidRDefault="0008746D" w:rsidP="00E1141B">
            <w:pPr>
              <w:pStyle w:val="TableText0"/>
              <w:jc w:val="center"/>
            </w:pPr>
            <w:r>
              <w:t>-</w:t>
            </w:r>
          </w:p>
        </w:tc>
        <w:tc>
          <w:tcPr>
            <w:tcW w:w="759" w:type="pct"/>
            <w:tcBorders>
              <w:top w:val="single" w:sz="4" w:space="0" w:color="auto"/>
              <w:left w:val="single" w:sz="4" w:space="0" w:color="auto"/>
              <w:bottom w:val="single" w:sz="4" w:space="0" w:color="auto"/>
              <w:right w:val="single" w:sz="4" w:space="0" w:color="auto"/>
            </w:tcBorders>
          </w:tcPr>
          <w:p w14:paraId="63E383C0" w14:textId="77777777" w:rsidR="0008746D" w:rsidRDefault="0008746D" w:rsidP="00E1141B">
            <w:pPr>
              <w:pStyle w:val="TableText0"/>
              <w:jc w:val="center"/>
            </w:pPr>
          </w:p>
        </w:tc>
      </w:tr>
    </w:tbl>
    <w:p w14:paraId="4E6AD485" w14:textId="77777777" w:rsidR="0008746D" w:rsidRDefault="0008746D" w:rsidP="0008746D">
      <w:pPr>
        <w:pStyle w:val="Tablenotes1"/>
      </w:pPr>
      <w:r>
        <w:t>ADPKD = autosomal dominant polycystic kidney disease; CAKUT = congenital anomalies of the kidney and urinary tract;</w:t>
      </w:r>
      <w:r w:rsidRPr="00911E81">
        <w:t xml:space="preserve"> </w:t>
      </w:r>
      <w:r>
        <w:t>CI = confidence interval; k = number of studies.</w:t>
      </w:r>
    </w:p>
    <w:p w14:paraId="7367D1B3" w14:textId="77777777" w:rsidR="0008746D" w:rsidRDefault="0008746D" w:rsidP="0008746D">
      <w:pPr>
        <w:pStyle w:val="Tablenotes1"/>
      </w:pPr>
      <w:r>
        <w:t>Source: DCAR, Table 6</w:t>
      </w:r>
    </w:p>
    <w:p w14:paraId="70E4A2A1" w14:textId="77777777" w:rsidR="0008746D" w:rsidRDefault="0008746D" w:rsidP="002C5532">
      <w:pPr>
        <w:pStyle w:val="Heading2"/>
      </w:pPr>
      <w:r>
        <w:lastRenderedPageBreak/>
        <w:t>Diagnostic yield</w:t>
      </w:r>
    </w:p>
    <w:p w14:paraId="0E3FFC31" w14:textId="77777777" w:rsidR="0008746D" w:rsidRPr="00921DA6" w:rsidRDefault="0008746D" w:rsidP="0008746D">
      <w:r>
        <w:t>The DCAR stated that diagnostic yield was t</w:t>
      </w:r>
      <w:r w:rsidRPr="00921DA6">
        <w:t>he main effectiveness outcome used for assessing th</w:t>
      </w:r>
      <w:r>
        <w:t>e diagnostic performance of WGS-</w:t>
      </w:r>
      <w:r w:rsidRPr="00921DA6">
        <w:t>mediated genetic testing</w:t>
      </w:r>
      <w:r>
        <w:t xml:space="preserve"> (</w:t>
      </w:r>
      <w:fldSimple w:instr=" REF _Ref61252518 ">
        <w:r>
          <w:t xml:space="preserve">Table </w:t>
        </w:r>
        <w:r>
          <w:rPr>
            <w:noProof/>
          </w:rPr>
          <w:t>9</w:t>
        </w:r>
      </w:fldSimple>
      <w:r>
        <w:t>).</w:t>
      </w:r>
      <w:r w:rsidRPr="00AD0C23">
        <w:t xml:space="preserve"> </w:t>
      </w:r>
      <w:bookmarkStart w:id="17" w:name="_Hlk57286347"/>
      <w:r>
        <w:t xml:space="preserve">The diagnostic yield </w:t>
      </w:r>
      <w:bookmarkEnd w:id="17"/>
      <w:r>
        <w:t>of WGS/NGS varied considerably by disease subtype, and a high degree of inter-study heterogeneity (I</w:t>
      </w:r>
      <w:r>
        <w:rPr>
          <w:vertAlign w:val="superscript"/>
        </w:rPr>
        <w:t>2</w:t>
      </w:r>
      <w:r>
        <w:t>) was observed in diagnostic yield meta-analyses in all study populations. Multiple factors could have led to this result, including differences in study design and settings, variant detection and interpretation methods, and genetic and clinical heterogeneity, among other factors.</w:t>
      </w:r>
    </w:p>
    <w:p w14:paraId="47BAA776" w14:textId="756D7805" w:rsidR="0008746D" w:rsidRDefault="0008746D" w:rsidP="0008746D">
      <w:pPr>
        <w:pStyle w:val="Caption"/>
      </w:pPr>
      <w:bookmarkStart w:id="18" w:name="_Ref61252518"/>
      <w:r>
        <w:t xml:space="preserve">Table </w:t>
      </w:r>
      <w:fldSimple w:instr=" SEQ Table \* ARABIC ">
        <w:r w:rsidR="00627B6A">
          <w:rPr>
            <w:noProof/>
          </w:rPr>
          <w:t>9</w:t>
        </w:r>
      </w:fldSimple>
      <w:bookmarkEnd w:id="18"/>
      <w:r w:rsidRPr="00AD0C23">
        <w:t xml:space="preserve"> </w:t>
      </w:r>
      <w:r>
        <w:tab/>
        <w:t>Summary of results on the diagnostic performance of genetic testing and cascade testing</w:t>
      </w:r>
    </w:p>
    <w:tbl>
      <w:tblPr>
        <w:tblStyle w:val="TableGrid"/>
        <w:tblW w:w="9075" w:type="dxa"/>
        <w:tblInd w:w="-5" w:type="dxa"/>
        <w:tblLayout w:type="fixed"/>
        <w:tblLook w:val="04A0" w:firstRow="1" w:lastRow="0" w:firstColumn="1" w:lastColumn="0" w:noHBand="0" w:noVBand="1"/>
        <w:tblDescription w:val="Summary of results on the diagnostic performance of genetic testing and cascade testing"/>
      </w:tblPr>
      <w:tblGrid>
        <w:gridCol w:w="2552"/>
        <w:gridCol w:w="2269"/>
        <w:gridCol w:w="2127"/>
        <w:gridCol w:w="2127"/>
      </w:tblGrid>
      <w:tr w:rsidR="0008746D" w14:paraId="3BBC9987" w14:textId="77777777" w:rsidTr="00E1141B">
        <w:trPr>
          <w:trHeight w:val="383"/>
          <w:tblHeader/>
        </w:trPr>
        <w:tc>
          <w:tcPr>
            <w:tcW w:w="2552" w:type="dxa"/>
            <w:tcBorders>
              <w:top w:val="single" w:sz="4" w:space="0" w:color="auto"/>
              <w:left w:val="single" w:sz="4" w:space="0" w:color="auto"/>
              <w:bottom w:val="nil"/>
              <w:right w:val="single" w:sz="4" w:space="0" w:color="auto"/>
            </w:tcBorders>
            <w:shd w:val="clear" w:color="auto" w:fill="auto"/>
            <w:vAlign w:val="center"/>
          </w:tcPr>
          <w:p w14:paraId="5EB73487" w14:textId="77777777" w:rsidR="0008746D" w:rsidRDefault="0008746D" w:rsidP="00344187">
            <w:pPr>
              <w:spacing w:after="0"/>
              <w:rPr>
                <w:rFonts w:ascii="Arial Narrow" w:hAnsi="Arial Narrow"/>
                <w:b/>
                <w:bCs/>
                <w:sz w:val="20"/>
              </w:rPr>
            </w:pPr>
          </w:p>
        </w:tc>
        <w:tc>
          <w:tcPr>
            <w:tcW w:w="6523"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35671701" w14:textId="77777777" w:rsidR="0008746D" w:rsidRDefault="0008746D" w:rsidP="00344187">
            <w:pPr>
              <w:spacing w:after="0"/>
              <w:jc w:val="center"/>
              <w:rPr>
                <w:rFonts w:ascii="Arial Narrow" w:hAnsi="Arial Narrow"/>
                <w:b/>
                <w:bCs/>
                <w:sz w:val="20"/>
              </w:rPr>
            </w:pPr>
            <w:r>
              <w:rPr>
                <w:rFonts w:ascii="Arial Narrow" w:hAnsi="Arial Narrow"/>
                <w:b/>
                <w:bCs/>
                <w:sz w:val="20"/>
              </w:rPr>
              <w:t xml:space="preserve">Diagnostic yield (pooled estimate, </w:t>
            </w:r>
            <w:proofErr w:type="gramStart"/>
            <w:r>
              <w:rPr>
                <w:rFonts w:ascii="Arial Narrow" w:hAnsi="Arial Narrow"/>
                <w:b/>
                <w:bCs/>
                <w:sz w:val="20"/>
              </w:rPr>
              <w:t>random-effects</w:t>
            </w:r>
            <w:proofErr w:type="gramEnd"/>
            <w:r>
              <w:rPr>
                <w:rFonts w:ascii="Arial Narrow" w:hAnsi="Arial Narrow"/>
                <w:b/>
                <w:bCs/>
                <w:sz w:val="20"/>
              </w:rPr>
              <w:t xml:space="preserve">) </w:t>
            </w:r>
          </w:p>
          <w:p w14:paraId="4EEA53C9" w14:textId="77777777" w:rsidR="0008746D" w:rsidRDefault="0008746D" w:rsidP="00344187">
            <w:pPr>
              <w:spacing w:after="0"/>
              <w:jc w:val="center"/>
              <w:rPr>
                <w:rFonts w:ascii="Arial Narrow" w:hAnsi="Arial Narrow"/>
                <w:b/>
                <w:bCs/>
                <w:sz w:val="20"/>
              </w:rPr>
            </w:pPr>
            <w:r>
              <w:rPr>
                <w:rFonts w:ascii="Arial Narrow" w:hAnsi="Arial Narrow"/>
                <w:b/>
                <w:bCs/>
                <w:sz w:val="20"/>
              </w:rPr>
              <w:t xml:space="preserve">% (95% CI) </w:t>
            </w:r>
          </w:p>
          <w:p w14:paraId="0E9D185E" w14:textId="77777777" w:rsidR="0008746D" w:rsidRDefault="0008746D" w:rsidP="00344187">
            <w:pPr>
              <w:spacing w:after="0"/>
              <w:jc w:val="center"/>
              <w:rPr>
                <w:rFonts w:ascii="Arial Narrow" w:hAnsi="Arial Narrow"/>
                <w:b/>
                <w:bCs/>
                <w:sz w:val="20"/>
              </w:rPr>
            </w:pPr>
            <w:r>
              <w:rPr>
                <w:rFonts w:ascii="Arial Narrow" w:hAnsi="Arial Narrow"/>
                <w:b/>
                <w:bCs/>
                <w:sz w:val="20"/>
              </w:rPr>
              <w:t>I</w:t>
            </w:r>
            <w:r>
              <w:rPr>
                <w:rFonts w:ascii="Arial Narrow" w:hAnsi="Arial Narrow"/>
                <w:b/>
                <w:bCs/>
                <w:sz w:val="20"/>
                <w:vertAlign w:val="superscript"/>
              </w:rPr>
              <w:t>2</w:t>
            </w:r>
            <w:r>
              <w:rPr>
                <w:rFonts w:ascii="Arial Narrow" w:hAnsi="Arial Narrow"/>
                <w:b/>
                <w:bCs/>
                <w:sz w:val="20"/>
              </w:rPr>
              <w:t xml:space="preserve">, </w:t>
            </w:r>
            <w:r>
              <w:rPr>
                <w:rFonts w:ascii="Arial Narrow" w:hAnsi="Arial Narrow"/>
                <w:b/>
                <w:bCs/>
                <w:i/>
                <w:iCs/>
                <w:sz w:val="20"/>
              </w:rPr>
              <w:t>p</w:t>
            </w:r>
            <w:r>
              <w:rPr>
                <w:rFonts w:ascii="Arial Narrow" w:hAnsi="Arial Narrow"/>
                <w:b/>
                <w:bCs/>
                <w:sz w:val="20"/>
              </w:rPr>
              <w:t xml:space="preserve">-value, </w:t>
            </w:r>
            <w:r>
              <w:rPr>
                <w:rFonts w:ascii="Arial Narrow" w:hAnsi="Arial Narrow"/>
                <w:b/>
                <w:bCs/>
                <w:i/>
                <w:iCs/>
                <w:sz w:val="20"/>
              </w:rPr>
              <w:t>df</w:t>
            </w:r>
          </w:p>
        </w:tc>
      </w:tr>
      <w:tr w:rsidR="0008746D" w14:paraId="3918B469" w14:textId="77777777" w:rsidTr="00E1141B">
        <w:trPr>
          <w:trHeight w:val="382"/>
          <w:tblHeader/>
        </w:trPr>
        <w:tc>
          <w:tcPr>
            <w:tcW w:w="2552" w:type="dxa"/>
            <w:tcBorders>
              <w:top w:val="nil"/>
              <w:left w:val="single" w:sz="4" w:space="0" w:color="auto"/>
              <w:bottom w:val="nil"/>
              <w:right w:val="nil"/>
            </w:tcBorders>
            <w:shd w:val="clear" w:color="auto" w:fill="auto"/>
            <w:vAlign w:val="center"/>
          </w:tcPr>
          <w:p w14:paraId="4D5A9F8B" w14:textId="77777777" w:rsidR="0008746D" w:rsidRDefault="0008746D" w:rsidP="00344187">
            <w:pPr>
              <w:spacing w:after="0"/>
              <w:rPr>
                <w:rFonts w:ascii="Arial Narrow" w:hAnsi="Arial Narrow"/>
                <w:b/>
                <w:bCs/>
                <w:sz w:val="20"/>
              </w:rPr>
            </w:pPr>
          </w:p>
        </w:tc>
        <w:tc>
          <w:tcPr>
            <w:tcW w:w="6523" w:type="dxa"/>
            <w:gridSpan w:val="3"/>
            <w:vMerge/>
            <w:tcBorders>
              <w:top w:val="single" w:sz="4" w:space="0" w:color="auto"/>
              <w:left w:val="single" w:sz="4" w:space="0" w:color="auto"/>
              <w:bottom w:val="nil"/>
              <w:right w:val="single" w:sz="4" w:space="0" w:color="auto"/>
            </w:tcBorders>
            <w:shd w:val="clear" w:color="auto" w:fill="auto"/>
            <w:vAlign w:val="center"/>
            <w:hideMark/>
          </w:tcPr>
          <w:p w14:paraId="28A7669F" w14:textId="77777777" w:rsidR="0008746D" w:rsidRDefault="0008746D" w:rsidP="00344187">
            <w:pPr>
              <w:spacing w:after="0"/>
              <w:rPr>
                <w:rFonts w:ascii="Arial Narrow" w:hAnsi="Arial Narrow"/>
                <w:b/>
                <w:bCs/>
                <w:sz w:val="20"/>
              </w:rPr>
            </w:pPr>
          </w:p>
        </w:tc>
      </w:tr>
      <w:tr w:rsidR="0008746D" w14:paraId="5959A38E" w14:textId="77777777" w:rsidTr="00E1141B">
        <w:trPr>
          <w:tblHeader/>
        </w:trPr>
        <w:tc>
          <w:tcPr>
            <w:tcW w:w="2552" w:type="dxa"/>
            <w:tcBorders>
              <w:top w:val="nil"/>
              <w:left w:val="single" w:sz="4" w:space="0" w:color="auto"/>
              <w:bottom w:val="nil"/>
              <w:right w:val="nil"/>
            </w:tcBorders>
            <w:shd w:val="clear" w:color="auto" w:fill="auto"/>
            <w:vAlign w:val="center"/>
          </w:tcPr>
          <w:p w14:paraId="03CDE109" w14:textId="77777777" w:rsidR="0008746D" w:rsidRDefault="0008746D" w:rsidP="00344187">
            <w:pPr>
              <w:spacing w:after="0"/>
              <w:rPr>
                <w:rFonts w:ascii="Arial Narrow" w:hAnsi="Arial Narrow"/>
                <w:b/>
                <w:bCs/>
                <w:sz w:val="20"/>
              </w:rPr>
            </w:pPr>
          </w:p>
        </w:tc>
        <w:tc>
          <w:tcPr>
            <w:tcW w:w="2269" w:type="dxa"/>
            <w:tcBorders>
              <w:top w:val="single" w:sz="4" w:space="0" w:color="auto"/>
              <w:left w:val="nil"/>
              <w:bottom w:val="single" w:sz="4" w:space="0" w:color="auto"/>
              <w:right w:val="nil"/>
            </w:tcBorders>
            <w:shd w:val="clear" w:color="auto" w:fill="auto"/>
            <w:vAlign w:val="center"/>
            <w:hideMark/>
          </w:tcPr>
          <w:p w14:paraId="0C3ED54A" w14:textId="77777777" w:rsidR="0008746D" w:rsidRDefault="0008746D" w:rsidP="00344187">
            <w:pPr>
              <w:spacing w:after="0"/>
              <w:jc w:val="center"/>
              <w:rPr>
                <w:rFonts w:ascii="Arial Narrow" w:hAnsi="Arial Narrow"/>
                <w:b/>
                <w:bCs/>
                <w:sz w:val="20"/>
              </w:rPr>
            </w:pPr>
            <w:r>
              <w:rPr>
                <w:rFonts w:ascii="Arial Narrow" w:hAnsi="Arial Narrow"/>
                <w:b/>
                <w:bCs/>
                <w:sz w:val="20"/>
              </w:rPr>
              <w:t>Affected individual testing (Populations 1 and 2)</w:t>
            </w:r>
          </w:p>
        </w:tc>
        <w:tc>
          <w:tcPr>
            <w:tcW w:w="4254" w:type="dxa"/>
            <w:gridSpan w:val="2"/>
            <w:tcBorders>
              <w:top w:val="single" w:sz="4" w:space="0" w:color="auto"/>
              <w:left w:val="nil"/>
              <w:bottom w:val="single" w:sz="4" w:space="0" w:color="auto"/>
              <w:right w:val="single" w:sz="4" w:space="0" w:color="auto"/>
            </w:tcBorders>
            <w:shd w:val="clear" w:color="auto" w:fill="auto"/>
            <w:vAlign w:val="center"/>
            <w:hideMark/>
          </w:tcPr>
          <w:p w14:paraId="61892224" w14:textId="77777777" w:rsidR="0008746D" w:rsidRDefault="0008746D" w:rsidP="00344187">
            <w:pPr>
              <w:spacing w:after="0"/>
              <w:jc w:val="center"/>
              <w:rPr>
                <w:rFonts w:ascii="Arial Narrow" w:hAnsi="Arial Narrow"/>
                <w:b/>
                <w:bCs/>
                <w:sz w:val="20"/>
              </w:rPr>
            </w:pPr>
            <w:r>
              <w:rPr>
                <w:rFonts w:ascii="Arial Narrow" w:hAnsi="Arial Narrow"/>
                <w:b/>
                <w:bCs/>
                <w:sz w:val="20"/>
              </w:rPr>
              <w:t xml:space="preserve">Cascade testing </w:t>
            </w:r>
          </w:p>
          <w:p w14:paraId="64EFAA00" w14:textId="77777777" w:rsidR="0008746D" w:rsidRDefault="0008746D" w:rsidP="00344187">
            <w:pPr>
              <w:spacing w:after="0"/>
              <w:jc w:val="center"/>
              <w:rPr>
                <w:rFonts w:ascii="Arial Narrow" w:hAnsi="Arial Narrow"/>
                <w:b/>
                <w:bCs/>
                <w:sz w:val="20"/>
              </w:rPr>
            </w:pPr>
            <w:r>
              <w:rPr>
                <w:rFonts w:ascii="Arial Narrow" w:hAnsi="Arial Narrow"/>
                <w:b/>
                <w:bCs/>
                <w:sz w:val="20"/>
              </w:rPr>
              <w:t>(Population 3)</w:t>
            </w:r>
          </w:p>
        </w:tc>
      </w:tr>
      <w:tr w:rsidR="0008746D" w14:paraId="709683AF" w14:textId="77777777" w:rsidTr="00E1141B">
        <w:tc>
          <w:tcPr>
            <w:tcW w:w="6948" w:type="dxa"/>
            <w:gridSpan w:val="3"/>
            <w:tcBorders>
              <w:top w:val="single" w:sz="4" w:space="0" w:color="auto"/>
              <w:left w:val="single" w:sz="4" w:space="0" w:color="auto"/>
              <w:bottom w:val="single" w:sz="4" w:space="0" w:color="auto"/>
              <w:right w:val="nil"/>
            </w:tcBorders>
            <w:shd w:val="clear" w:color="auto" w:fill="auto"/>
            <w:vAlign w:val="center"/>
            <w:hideMark/>
          </w:tcPr>
          <w:p w14:paraId="5EE46B75" w14:textId="77777777" w:rsidR="0008746D" w:rsidRDefault="0008746D" w:rsidP="00344187">
            <w:pPr>
              <w:spacing w:after="0"/>
              <w:rPr>
                <w:rFonts w:ascii="Arial Narrow" w:hAnsi="Arial Narrow"/>
                <w:b/>
                <w:bCs/>
                <w:sz w:val="20"/>
              </w:rPr>
            </w:pPr>
            <w:r w:rsidRPr="009E33D3">
              <w:rPr>
                <w:rFonts w:ascii="Arial Narrow" w:hAnsi="Arial Narrow"/>
                <w:b/>
                <w:bCs/>
                <w:sz w:val="20"/>
              </w:rPr>
              <w:t xml:space="preserve">Population 1 </w:t>
            </w:r>
            <w:r>
              <w:rPr>
                <w:rFonts w:ascii="Arial Narrow" w:hAnsi="Arial Narrow"/>
                <w:b/>
                <w:bCs/>
                <w:sz w:val="20"/>
              </w:rPr>
              <w:t>autosomal dominant polyc</w:t>
            </w:r>
            <w:r w:rsidRPr="009E33D3">
              <w:rPr>
                <w:rFonts w:ascii="Arial Narrow" w:hAnsi="Arial Narrow"/>
                <w:b/>
                <w:bCs/>
                <w:sz w:val="20"/>
              </w:rPr>
              <w:t>ystic kidney disease (ADPKD)</w:t>
            </w:r>
          </w:p>
        </w:tc>
        <w:tc>
          <w:tcPr>
            <w:tcW w:w="2127" w:type="dxa"/>
            <w:tcBorders>
              <w:top w:val="single" w:sz="4" w:space="0" w:color="auto"/>
              <w:left w:val="nil"/>
              <w:bottom w:val="single" w:sz="4" w:space="0" w:color="auto"/>
              <w:right w:val="single" w:sz="4" w:space="0" w:color="auto"/>
            </w:tcBorders>
            <w:shd w:val="clear" w:color="auto" w:fill="auto"/>
            <w:vAlign w:val="center"/>
          </w:tcPr>
          <w:p w14:paraId="7BFB3E6B" w14:textId="77777777" w:rsidR="0008746D" w:rsidRDefault="0008746D" w:rsidP="00344187">
            <w:pPr>
              <w:spacing w:after="0"/>
              <w:jc w:val="center"/>
              <w:rPr>
                <w:rFonts w:ascii="Arial Narrow" w:hAnsi="Arial Narrow"/>
                <w:b/>
                <w:bCs/>
                <w:sz w:val="20"/>
              </w:rPr>
            </w:pPr>
          </w:p>
        </w:tc>
      </w:tr>
      <w:tr w:rsidR="0008746D" w14:paraId="325D53C5"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tcPr>
          <w:p w14:paraId="5946B14E" w14:textId="77777777" w:rsidR="0008746D" w:rsidRDefault="0008746D" w:rsidP="00344187">
            <w:pPr>
              <w:spacing w:after="0"/>
              <w:rPr>
                <w:rFonts w:ascii="Arial Narrow" w:hAnsi="Arial Narrow"/>
                <w:sz w:val="20"/>
              </w:rPr>
            </w:pPr>
            <w:bookmarkStart w:id="19" w:name="_Hlk53989737"/>
            <w:r>
              <w:rPr>
                <w:rFonts w:ascii="Arial Narrow" w:hAnsi="Arial Narrow"/>
                <w:sz w:val="20"/>
              </w:rPr>
              <w:t>Overall DY</w:t>
            </w:r>
          </w:p>
        </w:tc>
        <w:tc>
          <w:tcPr>
            <w:tcW w:w="2269" w:type="dxa"/>
            <w:tcBorders>
              <w:top w:val="single" w:sz="4" w:space="0" w:color="auto"/>
              <w:left w:val="nil"/>
              <w:bottom w:val="single" w:sz="4" w:space="0" w:color="auto"/>
              <w:right w:val="nil"/>
            </w:tcBorders>
            <w:shd w:val="clear" w:color="auto" w:fill="auto"/>
            <w:vAlign w:val="center"/>
            <w:hideMark/>
          </w:tcPr>
          <w:p w14:paraId="080CEA5C" w14:textId="77777777" w:rsidR="0008746D" w:rsidRDefault="0008746D" w:rsidP="00344187">
            <w:pPr>
              <w:spacing w:after="0"/>
              <w:jc w:val="center"/>
              <w:rPr>
                <w:rFonts w:ascii="Arial Narrow" w:hAnsi="Arial Narrow"/>
                <w:sz w:val="20"/>
              </w:rPr>
            </w:pPr>
            <w:r>
              <w:rPr>
                <w:rFonts w:ascii="Arial Narrow" w:hAnsi="Arial Narrow"/>
                <w:sz w:val="20"/>
              </w:rPr>
              <w:t>79 (75, 83)</w:t>
            </w:r>
          </w:p>
          <w:p w14:paraId="728789E9" w14:textId="77777777" w:rsidR="0008746D" w:rsidRDefault="0008746D" w:rsidP="00344187">
            <w:pPr>
              <w:spacing w:after="0"/>
              <w:jc w:val="center"/>
              <w:rPr>
                <w:rFonts w:ascii="Arial Narrow" w:hAnsi="Arial Narrow"/>
                <w:sz w:val="20"/>
              </w:rPr>
            </w:pPr>
            <w:r>
              <w:rPr>
                <w:rFonts w:ascii="Arial Narrow" w:hAnsi="Arial Narrow"/>
                <w:sz w:val="20"/>
              </w:rPr>
              <w:t xml:space="preserve">78%, </w:t>
            </w:r>
            <w:r>
              <w:rPr>
                <w:rFonts w:ascii="Arial Narrow" w:hAnsi="Arial Narrow"/>
                <w:i/>
                <w:iCs/>
                <w:sz w:val="20"/>
              </w:rPr>
              <w:t>p</w:t>
            </w:r>
            <w:r>
              <w:rPr>
                <w:rFonts w:ascii="Arial Narrow" w:hAnsi="Arial Narrow"/>
                <w:sz w:val="20"/>
              </w:rPr>
              <w:t xml:space="preserve">=0.00, </w:t>
            </w:r>
            <w:r>
              <w:rPr>
                <w:rFonts w:ascii="Arial Narrow" w:hAnsi="Arial Narrow"/>
                <w:i/>
                <w:iCs/>
                <w:sz w:val="20"/>
              </w:rPr>
              <w:t>df</w:t>
            </w:r>
            <w:r>
              <w:rPr>
                <w:rFonts w:ascii="Arial Narrow" w:hAnsi="Arial Narrow"/>
                <w:sz w:val="20"/>
              </w:rPr>
              <w:t>=15</w:t>
            </w:r>
          </w:p>
        </w:tc>
        <w:tc>
          <w:tcPr>
            <w:tcW w:w="4254" w:type="dxa"/>
            <w:gridSpan w:val="2"/>
            <w:tcBorders>
              <w:top w:val="single" w:sz="4" w:space="0" w:color="auto"/>
              <w:left w:val="nil"/>
              <w:bottom w:val="single" w:sz="4" w:space="0" w:color="auto"/>
              <w:right w:val="single" w:sz="4" w:space="0" w:color="auto"/>
            </w:tcBorders>
            <w:shd w:val="clear" w:color="auto" w:fill="auto"/>
            <w:vAlign w:val="center"/>
            <w:hideMark/>
          </w:tcPr>
          <w:p w14:paraId="54C29C37" w14:textId="77777777" w:rsidR="0008746D" w:rsidRDefault="0008746D" w:rsidP="00344187">
            <w:pPr>
              <w:spacing w:after="0"/>
              <w:jc w:val="center"/>
              <w:rPr>
                <w:rFonts w:ascii="Arial Narrow" w:hAnsi="Arial Narrow"/>
                <w:sz w:val="20"/>
              </w:rPr>
            </w:pPr>
            <w:r>
              <w:rPr>
                <w:rFonts w:ascii="Arial Narrow" w:hAnsi="Arial Narrow"/>
                <w:sz w:val="20"/>
              </w:rPr>
              <w:t>56 (43, 70)</w:t>
            </w:r>
          </w:p>
          <w:p w14:paraId="48EFCB76" w14:textId="77777777" w:rsidR="0008746D" w:rsidRDefault="0008746D" w:rsidP="00344187">
            <w:pPr>
              <w:spacing w:after="0"/>
              <w:jc w:val="center"/>
              <w:rPr>
                <w:rFonts w:ascii="Arial Narrow" w:hAnsi="Arial Narrow"/>
                <w:sz w:val="20"/>
              </w:rPr>
            </w:pPr>
            <w:r>
              <w:rPr>
                <w:rFonts w:ascii="Arial Narrow" w:hAnsi="Arial Narrow"/>
                <w:sz w:val="20"/>
              </w:rPr>
              <w:t xml:space="preserve">0%, </w:t>
            </w:r>
            <w:r>
              <w:rPr>
                <w:rFonts w:ascii="Arial Narrow" w:hAnsi="Arial Narrow"/>
                <w:i/>
                <w:iCs/>
                <w:sz w:val="20"/>
              </w:rPr>
              <w:t>p</w:t>
            </w:r>
            <w:r>
              <w:rPr>
                <w:rFonts w:ascii="Arial Narrow" w:hAnsi="Arial Narrow"/>
                <w:sz w:val="20"/>
              </w:rPr>
              <w:t xml:space="preserve">=0.45, </w:t>
            </w:r>
            <w:r>
              <w:rPr>
                <w:rFonts w:ascii="Arial Narrow" w:hAnsi="Arial Narrow"/>
                <w:i/>
                <w:iCs/>
                <w:sz w:val="20"/>
              </w:rPr>
              <w:t>df</w:t>
            </w:r>
            <w:r>
              <w:rPr>
                <w:rFonts w:ascii="Arial Narrow" w:hAnsi="Arial Narrow"/>
                <w:sz w:val="20"/>
              </w:rPr>
              <w:t>=2</w:t>
            </w:r>
          </w:p>
        </w:tc>
      </w:tr>
      <w:bookmarkEnd w:id="19"/>
      <w:tr w:rsidR="0008746D" w14:paraId="38B65782"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hideMark/>
          </w:tcPr>
          <w:p w14:paraId="4163879B" w14:textId="77777777" w:rsidR="0008746D" w:rsidRDefault="0008746D" w:rsidP="00344187">
            <w:pPr>
              <w:spacing w:after="0"/>
              <w:rPr>
                <w:rFonts w:ascii="Arial Narrow" w:hAnsi="Arial Narrow"/>
                <w:sz w:val="20"/>
              </w:rPr>
            </w:pPr>
            <w:r>
              <w:rPr>
                <w:rFonts w:ascii="Arial Narrow" w:hAnsi="Arial Narrow"/>
                <w:sz w:val="20"/>
              </w:rPr>
              <w:t>Exemplars’ DY</w:t>
            </w:r>
          </w:p>
        </w:tc>
        <w:tc>
          <w:tcPr>
            <w:tcW w:w="2269" w:type="dxa"/>
            <w:tcBorders>
              <w:top w:val="single" w:sz="4" w:space="0" w:color="auto"/>
              <w:left w:val="nil"/>
              <w:bottom w:val="single" w:sz="4" w:space="0" w:color="auto"/>
              <w:right w:val="nil"/>
            </w:tcBorders>
            <w:shd w:val="clear" w:color="auto" w:fill="auto"/>
            <w:vAlign w:val="center"/>
            <w:hideMark/>
          </w:tcPr>
          <w:p w14:paraId="22561363" w14:textId="77777777" w:rsidR="0008746D" w:rsidRDefault="0008746D" w:rsidP="00344187">
            <w:pPr>
              <w:spacing w:after="0"/>
              <w:jc w:val="center"/>
              <w:rPr>
                <w:rFonts w:ascii="Arial Narrow" w:hAnsi="Arial Narrow"/>
                <w:sz w:val="20"/>
              </w:rPr>
            </w:pPr>
            <w:r>
              <w:rPr>
                <w:rFonts w:ascii="Arial Narrow" w:hAnsi="Arial Narrow"/>
                <w:sz w:val="20"/>
              </w:rPr>
              <w:t>74 (69, 80)</w:t>
            </w:r>
          </w:p>
          <w:p w14:paraId="5B327AC8" w14:textId="77777777" w:rsidR="0008746D" w:rsidRDefault="0008746D" w:rsidP="00344187">
            <w:pPr>
              <w:spacing w:after="0"/>
              <w:jc w:val="center"/>
              <w:rPr>
                <w:rFonts w:ascii="Arial Narrow" w:hAnsi="Arial Narrow"/>
                <w:sz w:val="20"/>
              </w:rPr>
            </w:pPr>
            <w:r>
              <w:rPr>
                <w:rFonts w:ascii="Arial Narrow" w:hAnsi="Arial Narrow"/>
                <w:sz w:val="20"/>
              </w:rPr>
              <w:t xml:space="preserve">85%, </w:t>
            </w:r>
            <w:r>
              <w:rPr>
                <w:rFonts w:ascii="Arial Narrow" w:hAnsi="Arial Narrow"/>
                <w:i/>
                <w:iCs/>
                <w:sz w:val="20"/>
              </w:rPr>
              <w:t>p</w:t>
            </w:r>
            <w:r>
              <w:rPr>
                <w:rFonts w:ascii="Arial Narrow" w:hAnsi="Arial Narrow"/>
                <w:sz w:val="20"/>
              </w:rPr>
              <w:t xml:space="preserve">=0.00, </w:t>
            </w:r>
            <w:r>
              <w:rPr>
                <w:rFonts w:ascii="Arial Narrow" w:hAnsi="Arial Narrow"/>
                <w:i/>
                <w:iCs/>
                <w:sz w:val="20"/>
              </w:rPr>
              <w:t>df</w:t>
            </w:r>
            <w:r>
              <w:rPr>
                <w:rFonts w:ascii="Arial Narrow" w:hAnsi="Arial Narrow"/>
                <w:sz w:val="20"/>
              </w:rPr>
              <w:t>=15</w:t>
            </w:r>
          </w:p>
        </w:tc>
        <w:tc>
          <w:tcPr>
            <w:tcW w:w="4254" w:type="dxa"/>
            <w:gridSpan w:val="2"/>
            <w:tcBorders>
              <w:top w:val="single" w:sz="4" w:space="0" w:color="auto"/>
              <w:left w:val="nil"/>
              <w:bottom w:val="single" w:sz="4" w:space="0" w:color="auto"/>
              <w:right w:val="single" w:sz="4" w:space="0" w:color="auto"/>
            </w:tcBorders>
            <w:shd w:val="clear" w:color="auto" w:fill="auto"/>
            <w:vAlign w:val="center"/>
          </w:tcPr>
          <w:p w14:paraId="3A9D1EE0" w14:textId="77777777" w:rsidR="0008746D" w:rsidRDefault="0008746D" w:rsidP="00344187">
            <w:pPr>
              <w:spacing w:after="0"/>
              <w:jc w:val="center"/>
              <w:rPr>
                <w:rFonts w:ascii="Arial Narrow" w:hAnsi="Arial Narrow"/>
                <w:sz w:val="20"/>
              </w:rPr>
            </w:pPr>
            <w:r>
              <w:rPr>
                <w:rFonts w:ascii="Arial Narrow" w:hAnsi="Arial Narrow"/>
                <w:sz w:val="20"/>
              </w:rPr>
              <w:t>NA</w:t>
            </w:r>
          </w:p>
        </w:tc>
      </w:tr>
      <w:tr w:rsidR="0008746D" w14:paraId="5113AADF" w14:textId="77777777" w:rsidTr="00E1141B">
        <w:tc>
          <w:tcPr>
            <w:tcW w:w="9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47F1CA" w14:textId="77777777" w:rsidR="0008746D" w:rsidRDefault="0008746D" w:rsidP="00344187">
            <w:pPr>
              <w:spacing w:after="0"/>
              <w:rPr>
                <w:rFonts w:ascii="Arial Narrow" w:hAnsi="Arial Narrow"/>
                <w:b/>
                <w:bCs/>
                <w:sz w:val="20"/>
              </w:rPr>
            </w:pPr>
            <w:r>
              <w:rPr>
                <w:rFonts w:ascii="Arial Narrow" w:hAnsi="Arial Narrow"/>
                <w:b/>
                <w:bCs/>
                <w:sz w:val="20"/>
              </w:rPr>
              <w:t>Population 2 CKD in children aged under 18 years (excluding Alport syndrome and cystic disease)</w:t>
            </w:r>
          </w:p>
        </w:tc>
      </w:tr>
      <w:tr w:rsidR="0008746D" w14:paraId="5F006898" w14:textId="77777777" w:rsidTr="00E1141B">
        <w:tc>
          <w:tcPr>
            <w:tcW w:w="9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8F1AB4" w14:textId="77777777" w:rsidR="0008746D" w:rsidRDefault="0008746D" w:rsidP="00344187">
            <w:pPr>
              <w:spacing w:after="0"/>
              <w:rPr>
                <w:rFonts w:ascii="Arial Narrow" w:hAnsi="Arial Narrow"/>
                <w:b/>
                <w:bCs/>
                <w:sz w:val="20"/>
              </w:rPr>
            </w:pPr>
            <w:r>
              <w:rPr>
                <w:rFonts w:ascii="Arial Narrow" w:hAnsi="Arial Narrow"/>
                <w:b/>
                <w:bCs/>
                <w:sz w:val="20"/>
              </w:rPr>
              <w:t xml:space="preserve">Subpopulation – </w:t>
            </w:r>
            <w:r w:rsidRPr="00DB02A3">
              <w:rPr>
                <w:rFonts w:ascii="Arial Narrow" w:hAnsi="Arial Narrow"/>
                <w:b/>
                <w:bCs/>
                <w:sz w:val="20"/>
              </w:rPr>
              <w:t xml:space="preserve">congenital anomalies of kidney and urinary tract </w:t>
            </w:r>
            <w:r>
              <w:rPr>
                <w:rFonts w:ascii="Arial Narrow" w:hAnsi="Arial Narrow"/>
                <w:b/>
                <w:bCs/>
                <w:sz w:val="20"/>
              </w:rPr>
              <w:t>(CAKUT)</w:t>
            </w:r>
          </w:p>
        </w:tc>
      </w:tr>
      <w:tr w:rsidR="0008746D" w14:paraId="0FB993D7"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tcPr>
          <w:p w14:paraId="2DB97D24" w14:textId="77777777" w:rsidR="0008746D" w:rsidRDefault="0008746D" w:rsidP="00344187">
            <w:pPr>
              <w:spacing w:after="0"/>
              <w:rPr>
                <w:rFonts w:ascii="Arial Narrow" w:hAnsi="Arial Narrow"/>
                <w:sz w:val="20"/>
              </w:rPr>
            </w:pPr>
            <w:r>
              <w:rPr>
                <w:rFonts w:ascii="Arial Narrow" w:hAnsi="Arial Narrow"/>
                <w:sz w:val="20"/>
              </w:rPr>
              <w:t>Overall DY</w:t>
            </w:r>
          </w:p>
        </w:tc>
        <w:tc>
          <w:tcPr>
            <w:tcW w:w="2269" w:type="dxa"/>
            <w:tcBorders>
              <w:top w:val="single" w:sz="4" w:space="0" w:color="auto"/>
              <w:left w:val="nil"/>
              <w:bottom w:val="single" w:sz="4" w:space="0" w:color="auto"/>
              <w:right w:val="nil"/>
            </w:tcBorders>
            <w:shd w:val="clear" w:color="auto" w:fill="auto"/>
            <w:vAlign w:val="center"/>
            <w:hideMark/>
          </w:tcPr>
          <w:p w14:paraId="40029376" w14:textId="77777777" w:rsidR="0008746D" w:rsidRDefault="0008746D" w:rsidP="00344187">
            <w:pPr>
              <w:spacing w:after="0"/>
              <w:jc w:val="center"/>
              <w:rPr>
                <w:rFonts w:ascii="Arial Narrow" w:hAnsi="Arial Narrow"/>
                <w:sz w:val="20"/>
              </w:rPr>
            </w:pPr>
            <w:r>
              <w:rPr>
                <w:rFonts w:ascii="Arial Narrow" w:hAnsi="Arial Narrow"/>
                <w:sz w:val="20"/>
              </w:rPr>
              <w:t>17 (12, 21)</w:t>
            </w:r>
          </w:p>
          <w:p w14:paraId="3DDFF759" w14:textId="77777777" w:rsidR="0008746D" w:rsidRDefault="0008746D" w:rsidP="00344187">
            <w:pPr>
              <w:spacing w:after="0"/>
              <w:jc w:val="center"/>
              <w:rPr>
                <w:rFonts w:ascii="Arial Narrow" w:hAnsi="Arial Narrow"/>
                <w:sz w:val="20"/>
              </w:rPr>
            </w:pPr>
            <w:r>
              <w:rPr>
                <w:rFonts w:ascii="Arial Narrow" w:hAnsi="Arial Narrow"/>
                <w:sz w:val="20"/>
              </w:rPr>
              <w:t xml:space="preserve">90%, </w:t>
            </w:r>
            <w:r>
              <w:rPr>
                <w:rFonts w:ascii="Arial Narrow" w:hAnsi="Arial Narrow"/>
                <w:i/>
                <w:iCs/>
                <w:sz w:val="20"/>
              </w:rPr>
              <w:t>p</w:t>
            </w:r>
            <w:r>
              <w:rPr>
                <w:rFonts w:ascii="Arial Narrow" w:hAnsi="Arial Narrow"/>
                <w:sz w:val="20"/>
              </w:rPr>
              <w:t xml:space="preserve">=0.00, </w:t>
            </w:r>
            <w:r>
              <w:rPr>
                <w:rFonts w:ascii="Arial Narrow" w:hAnsi="Arial Narrow"/>
                <w:i/>
                <w:iCs/>
                <w:sz w:val="20"/>
              </w:rPr>
              <w:t>df</w:t>
            </w:r>
            <w:r>
              <w:rPr>
                <w:rFonts w:ascii="Arial Narrow" w:hAnsi="Arial Narrow"/>
                <w:sz w:val="20"/>
              </w:rPr>
              <w:t>=16</w:t>
            </w:r>
          </w:p>
        </w:tc>
        <w:tc>
          <w:tcPr>
            <w:tcW w:w="4254" w:type="dxa"/>
            <w:gridSpan w:val="2"/>
            <w:tcBorders>
              <w:top w:val="single" w:sz="4" w:space="0" w:color="auto"/>
              <w:left w:val="nil"/>
              <w:bottom w:val="single" w:sz="4" w:space="0" w:color="auto"/>
              <w:right w:val="single" w:sz="4" w:space="0" w:color="auto"/>
            </w:tcBorders>
            <w:shd w:val="clear" w:color="auto" w:fill="auto"/>
            <w:vAlign w:val="center"/>
          </w:tcPr>
          <w:p w14:paraId="5420F73C" w14:textId="77777777" w:rsidR="0008746D" w:rsidRDefault="0008746D" w:rsidP="00344187">
            <w:pPr>
              <w:spacing w:after="0"/>
              <w:jc w:val="center"/>
              <w:rPr>
                <w:rFonts w:ascii="Arial Narrow" w:hAnsi="Arial Narrow"/>
                <w:sz w:val="20"/>
              </w:rPr>
            </w:pPr>
            <w:r>
              <w:rPr>
                <w:rFonts w:ascii="Arial Narrow" w:hAnsi="Arial Narrow"/>
                <w:sz w:val="20"/>
              </w:rPr>
              <w:t>NA</w:t>
            </w:r>
          </w:p>
        </w:tc>
      </w:tr>
      <w:tr w:rsidR="0008746D" w14:paraId="48069869"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hideMark/>
          </w:tcPr>
          <w:p w14:paraId="5D6946D1" w14:textId="77777777" w:rsidR="0008746D" w:rsidRDefault="0008746D" w:rsidP="00344187">
            <w:pPr>
              <w:spacing w:after="0"/>
              <w:rPr>
                <w:rFonts w:ascii="Arial Narrow" w:hAnsi="Arial Narrow"/>
                <w:sz w:val="20"/>
              </w:rPr>
            </w:pPr>
            <w:r>
              <w:rPr>
                <w:rFonts w:ascii="Arial Narrow" w:hAnsi="Arial Narrow"/>
                <w:sz w:val="20"/>
              </w:rPr>
              <w:t>Exemplars’ DY</w:t>
            </w:r>
          </w:p>
        </w:tc>
        <w:tc>
          <w:tcPr>
            <w:tcW w:w="2269" w:type="dxa"/>
            <w:tcBorders>
              <w:top w:val="single" w:sz="4" w:space="0" w:color="auto"/>
              <w:left w:val="nil"/>
              <w:bottom w:val="single" w:sz="4" w:space="0" w:color="auto"/>
              <w:right w:val="nil"/>
            </w:tcBorders>
            <w:shd w:val="clear" w:color="auto" w:fill="auto"/>
            <w:vAlign w:val="center"/>
            <w:hideMark/>
          </w:tcPr>
          <w:p w14:paraId="2ACEA41B" w14:textId="77777777" w:rsidR="0008746D" w:rsidRDefault="0008746D" w:rsidP="00344187">
            <w:pPr>
              <w:spacing w:after="0"/>
              <w:jc w:val="center"/>
              <w:rPr>
                <w:rFonts w:ascii="Arial Narrow" w:hAnsi="Arial Narrow"/>
                <w:sz w:val="20"/>
              </w:rPr>
            </w:pPr>
            <w:r>
              <w:rPr>
                <w:rFonts w:ascii="Arial Narrow" w:hAnsi="Arial Narrow"/>
                <w:sz w:val="20"/>
              </w:rPr>
              <w:t>2 (1, 3)</w:t>
            </w:r>
          </w:p>
          <w:p w14:paraId="547A7407" w14:textId="77777777" w:rsidR="0008746D" w:rsidRDefault="0008746D" w:rsidP="00344187">
            <w:pPr>
              <w:spacing w:after="0"/>
              <w:jc w:val="center"/>
              <w:rPr>
                <w:rFonts w:ascii="Arial Narrow" w:hAnsi="Arial Narrow"/>
                <w:sz w:val="20"/>
              </w:rPr>
            </w:pPr>
            <w:r>
              <w:rPr>
                <w:rFonts w:ascii="Arial Narrow" w:hAnsi="Arial Narrow"/>
                <w:sz w:val="20"/>
              </w:rPr>
              <w:t xml:space="preserve">59%, </w:t>
            </w:r>
            <w:r>
              <w:rPr>
                <w:rFonts w:ascii="Arial Narrow" w:hAnsi="Arial Narrow"/>
                <w:i/>
                <w:iCs/>
                <w:sz w:val="20"/>
              </w:rPr>
              <w:t>p</w:t>
            </w:r>
            <w:r>
              <w:rPr>
                <w:rFonts w:ascii="Arial Narrow" w:hAnsi="Arial Narrow"/>
                <w:sz w:val="20"/>
              </w:rPr>
              <w:t xml:space="preserve">=0.00, </w:t>
            </w:r>
            <w:r>
              <w:rPr>
                <w:rFonts w:ascii="Arial Narrow" w:hAnsi="Arial Narrow"/>
                <w:i/>
                <w:iCs/>
                <w:sz w:val="20"/>
              </w:rPr>
              <w:t>df</w:t>
            </w:r>
            <w:r>
              <w:rPr>
                <w:rFonts w:ascii="Arial Narrow" w:hAnsi="Arial Narrow"/>
                <w:sz w:val="20"/>
              </w:rPr>
              <w:t>=14</w:t>
            </w:r>
          </w:p>
        </w:tc>
        <w:tc>
          <w:tcPr>
            <w:tcW w:w="4254" w:type="dxa"/>
            <w:gridSpan w:val="2"/>
            <w:tcBorders>
              <w:top w:val="single" w:sz="4" w:space="0" w:color="auto"/>
              <w:left w:val="nil"/>
              <w:bottom w:val="single" w:sz="4" w:space="0" w:color="auto"/>
              <w:right w:val="single" w:sz="4" w:space="0" w:color="auto"/>
            </w:tcBorders>
            <w:shd w:val="clear" w:color="auto" w:fill="auto"/>
            <w:vAlign w:val="center"/>
          </w:tcPr>
          <w:p w14:paraId="78C210AC" w14:textId="77777777" w:rsidR="0008746D" w:rsidRDefault="0008746D" w:rsidP="00344187">
            <w:pPr>
              <w:spacing w:after="0"/>
              <w:jc w:val="center"/>
              <w:rPr>
                <w:rFonts w:ascii="Arial Narrow" w:hAnsi="Arial Narrow"/>
                <w:sz w:val="20"/>
              </w:rPr>
            </w:pPr>
            <w:r>
              <w:rPr>
                <w:rFonts w:ascii="Arial Narrow" w:hAnsi="Arial Narrow"/>
                <w:sz w:val="20"/>
              </w:rPr>
              <w:t>NA</w:t>
            </w:r>
          </w:p>
        </w:tc>
      </w:tr>
      <w:tr w:rsidR="0008746D" w14:paraId="61621E47" w14:textId="77777777" w:rsidTr="00E1141B">
        <w:tc>
          <w:tcPr>
            <w:tcW w:w="4821" w:type="dxa"/>
            <w:gridSpan w:val="2"/>
            <w:tcBorders>
              <w:top w:val="single" w:sz="4" w:space="0" w:color="auto"/>
              <w:left w:val="single" w:sz="4" w:space="0" w:color="auto"/>
              <w:bottom w:val="single" w:sz="4" w:space="0" w:color="auto"/>
              <w:right w:val="nil"/>
            </w:tcBorders>
            <w:shd w:val="clear" w:color="auto" w:fill="auto"/>
            <w:vAlign w:val="center"/>
            <w:hideMark/>
          </w:tcPr>
          <w:p w14:paraId="4011CCC9" w14:textId="77777777" w:rsidR="0008746D" w:rsidRDefault="0008746D" w:rsidP="00344187">
            <w:pPr>
              <w:spacing w:after="0"/>
              <w:rPr>
                <w:rFonts w:ascii="Arial Narrow" w:hAnsi="Arial Narrow"/>
                <w:b/>
                <w:bCs/>
                <w:sz w:val="20"/>
              </w:rPr>
            </w:pPr>
            <w:r>
              <w:rPr>
                <w:rFonts w:ascii="Arial Narrow" w:hAnsi="Arial Narrow"/>
                <w:b/>
                <w:bCs/>
                <w:sz w:val="20"/>
              </w:rPr>
              <w:t>Subpopulation – glomerular diseases</w:t>
            </w:r>
          </w:p>
        </w:tc>
        <w:tc>
          <w:tcPr>
            <w:tcW w:w="2127" w:type="dxa"/>
            <w:tcBorders>
              <w:top w:val="single" w:sz="4" w:space="0" w:color="auto"/>
              <w:left w:val="nil"/>
              <w:bottom w:val="single" w:sz="4" w:space="0" w:color="auto"/>
              <w:right w:val="nil"/>
            </w:tcBorders>
            <w:shd w:val="clear" w:color="auto" w:fill="auto"/>
            <w:vAlign w:val="center"/>
          </w:tcPr>
          <w:p w14:paraId="05EA104B" w14:textId="77777777" w:rsidR="0008746D" w:rsidRDefault="0008746D" w:rsidP="00344187">
            <w:pPr>
              <w:spacing w:after="0"/>
              <w:jc w:val="center"/>
              <w:rPr>
                <w:rFonts w:ascii="Arial Narrow" w:hAnsi="Arial Narrow"/>
                <w:b/>
                <w:bCs/>
                <w:sz w:val="20"/>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F7FB57B" w14:textId="77777777" w:rsidR="0008746D" w:rsidRDefault="0008746D" w:rsidP="00344187">
            <w:pPr>
              <w:spacing w:after="0"/>
              <w:jc w:val="center"/>
              <w:rPr>
                <w:rFonts w:ascii="Arial Narrow" w:hAnsi="Arial Narrow"/>
                <w:b/>
                <w:bCs/>
                <w:sz w:val="20"/>
              </w:rPr>
            </w:pPr>
          </w:p>
        </w:tc>
      </w:tr>
      <w:tr w:rsidR="0008746D" w14:paraId="59D79324"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tcPr>
          <w:p w14:paraId="0C306788" w14:textId="77777777" w:rsidR="0008746D" w:rsidRDefault="0008746D" w:rsidP="00344187">
            <w:pPr>
              <w:spacing w:after="0"/>
              <w:rPr>
                <w:rFonts w:ascii="Arial Narrow" w:hAnsi="Arial Narrow"/>
                <w:sz w:val="20"/>
              </w:rPr>
            </w:pPr>
            <w:r>
              <w:rPr>
                <w:rFonts w:ascii="Arial Narrow" w:hAnsi="Arial Narrow"/>
                <w:sz w:val="20"/>
              </w:rPr>
              <w:t>Overall DY</w:t>
            </w:r>
          </w:p>
        </w:tc>
        <w:tc>
          <w:tcPr>
            <w:tcW w:w="2269" w:type="dxa"/>
            <w:tcBorders>
              <w:top w:val="single" w:sz="4" w:space="0" w:color="auto"/>
              <w:left w:val="nil"/>
              <w:bottom w:val="single" w:sz="4" w:space="0" w:color="auto"/>
              <w:right w:val="nil"/>
            </w:tcBorders>
            <w:shd w:val="clear" w:color="auto" w:fill="auto"/>
            <w:vAlign w:val="center"/>
            <w:hideMark/>
          </w:tcPr>
          <w:p w14:paraId="380088CD" w14:textId="77777777" w:rsidR="0008746D" w:rsidRDefault="0008746D" w:rsidP="00344187">
            <w:pPr>
              <w:spacing w:after="0"/>
              <w:jc w:val="center"/>
              <w:rPr>
                <w:rFonts w:ascii="Arial Narrow" w:hAnsi="Arial Narrow"/>
                <w:sz w:val="20"/>
              </w:rPr>
            </w:pPr>
            <w:r>
              <w:rPr>
                <w:rFonts w:ascii="Arial Narrow" w:hAnsi="Arial Narrow"/>
                <w:sz w:val="20"/>
              </w:rPr>
              <w:t>29 (25, 33)</w:t>
            </w:r>
          </w:p>
          <w:p w14:paraId="078CE363" w14:textId="77777777" w:rsidR="0008746D" w:rsidRDefault="0008746D" w:rsidP="00344187">
            <w:pPr>
              <w:spacing w:after="0"/>
              <w:jc w:val="center"/>
              <w:rPr>
                <w:rFonts w:ascii="Arial Narrow" w:hAnsi="Arial Narrow"/>
                <w:sz w:val="20"/>
              </w:rPr>
            </w:pPr>
            <w:r>
              <w:rPr>
                <w:rFonts w:ascii="Arial Narrow" w:hAnsi="Arial Narrow"/>
                <w:sz w:val="20"/>
              </w:rPr>
              <w:t xml:space="preserve">82%, </w:t>
            </w:r>
            <w:r>
              <w:rPr>
                <w:rFonts w:ascii="Arial Narrow" w:hAnsi="Arial Narrow"/>
                <w:i/>
                <w:iCs/>
                <w:sz w:val="20"/>
              </w:rPr>
              <w:t>p</w:t>
            </w:r>
            <w:r>
              <w:rPr>
                <w:rFonts w:ascii="Arial Narrow" w:hAnsi="Arial Narrow"/>
                <w:sz w:val="20"/>
              </w:rPr>
              <w:t xml:space="preserve">=0.00, </w:t>
            </w:r>
            <w:r>
              <w:rPr>
                <w:rFonts w:ascii="Arial Narrow" w:hAnsi="Arial Narrow"/>
                <w:i/>
                <w:iCs/>
                <w:sz w:val="20"/>
              </w:rPr>
              <w:t>df</w:t>
            </w:r>
            <w:r>
              <w:rPr>
                <w:rFonts w:ascii="Arial Narrow" w:hAnsi="Arial Narrow"/>
                <w:sz w:val="20"/>
              </w:rPr>
              <w:t>=16</w:t>
            </w:r>
          </w:p>
        </w:tc>
        <w:tc>
          <w:tcPr>
            <w:tcW w:w="4254" w:type="dxa"/>
            <w:gridSpan w:val="2"/>
            <w:tcBorders>
              <w:top w:val="single" w:sz="4" w:space="0" w:color="auto"/>
              <w:left w:val="nil"/>
              <w:bottom w:val="single" w:sz="4" w:space="0" w:color="auto"/>
              <w:right w:val="single" w:sz="4" w:space="0" w:color="auto"/>
            </w:tcBorders>
            <w:shd w:val="clear" w:color="auto" w:fill="auto"/>
            <w:vAlign w:val="center"/>
            <w:hideMark/>
          </w:tcPr>
          <w:p w14:paraId="42FC084F" w14:textId="77777777" w:rsidR="0008746D" w:rsidRDefault="0008746D" w:rsidP="00344187">
            <w:pPr>
              <w:spacing w:after="0"/>
              <w:jc w:val="center"/>
              <w:rPr>
                <w:rFonts w:ascii="Arial Narrow" w:hAnsi="Arial Narrow"/>
                <w:sz w:val="20"/>
              </w:rPr>
            </w:pPr>
            <w:r>
              <w:rPr>
                <w:rFonts w:ascii="Arial Narrow" w:hAnsi="Arial Narrow"/>
                <w:sz w:val="20"/>
              </w:rPr>
              <w:t>70 (35,93)</w:t>
            </w:r>
          </w:p>
        </w:tc>
      </w:tr>
      <w:tr w:rsidR="0008746D" w14:paraId="3902B380"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hideMark/>
          </w:tcPr>
          <w:p w14:paraId="3E34C11E" w14:textId="77777777" w:rsidR="0008746D" w:rsidRDefault="0008746D" w:rsidP="00344187">
            <w:pPr>
              <w:spacing w:after="0"/>
              <w:rPr>
                <w:rFonts w:ascii="Arial Narrow" w:hAnsi="Arial Narrow"/>
                <w:sz w:val="20"/>
              </w:rPr>
            </w:pPr>
            <w:r>
              <w:rPr>
                <w:rFonts w:ascii="Arial Narrow" w:hAnsi="Arial Narrow"/>
                <w:sz w:val="20"/>
              </w:rPr>
              <w:t>Exemplars’ DY</w:t>
            </w:r>
          </w:p>
        </w:tc>
        <w:tc>
          <w:tcPr>
            <w:tcW w:w="2269" w:type="dxa"/>
            <w:tcBorders>
              <w:top w:val="single" w:sz="4" w:space="0" w:color="auto"/>
              <w:left w:val="nil"/>
              <w:bottom w:val="single" w:sz="4" w:space="0" w:color="auto"/>
              <w:right w:val="nil"/>
            </w:tcBorders>
            <w:shd w:val="clear" w:color="auto" w:fill="auto"/>
            <w:vAlign w:val="center"/>
            <w:hideMark/>
          </w:tcPr>
          <w:p w14:paraId="08E16B1A" w14:textId="77777777" w:rsidR="0008746D" w:rsidRDefault="0008746D" w:rsidP="00344187">
            <w:pPr>
              <w:spacing w:after="0"/>
              <w:jc w:val="center"/>
              <w:rPr>
                <w:rFonts w:ascii="Arial Narrow" w:hAnsi="Arial Narrow"/>
                <w:sz w:val="20"/>
              </w:rPr>
            </w:pPr>
            <w:r>
              <w:rPr>
                <w:rFonts w:ascii="Arial Narrow" w:hAnsi="Arial Narrow"/>
                <w:sz w:val="20"/>
              </w:rPr>
              <w:t>16 (12, 21)</w:t>
            </w:r>
          </w:p>
          <w:p w14:paraId="4AD677B2" w14:textId="77777777" w:rsidR="0008746D" w:rsidRDefault="0008746D" w:rsidP="00344187">
            <w:pPr>
              <w:spacing w:after="0"/>
              <w:jc w:val="center"/>
              <w:rPr>
                <w:rFonts w:ascii="Arial Narrow" w:hAnsi="Arial Narrow"/>
                <w:sz w:val="20"/>
              </w:rPr>
            </w:pPr>
            <w:r>
              <w:rPr>
                <w:rFonts w:ascii="Arial Narrow" w:hAnsi="Arial Narrow"/>
                <w:sz w:val="20"/>
              </w:rPr>
              <w:t xml:space="preserve">90%, </w:t>
            </w:r>
            <w:r>
              <w:rPr>
                <w:rFonts w:ascii="Arial Narrow" w:hAnsi="Arial Narrow"/>
                <w:i/>
                <w:iCs/>
                <w:sz w:val="20"/>
              </w:rPr>
              <w:t>p</w:t>
            </w:r>
            <w:r>
              <w:rPr>
                <w:rFonts w:ascii="Arial Narrow" w:hAnsi="Arial Narrow"/>
                <w:sz w:val="20"/>
              </w:rPr>
              <w:t xml:space="preserve">=0.00, </w:t>
            </w:r>
            <w:r>
              <w:rPr>
                <w:rFonts w:ascii="Arial Narrow" w:hAnsi="Arial Narrow"/>
                <w:i/>
                <w:iCs/>
                <w:sz w:val="20"/>
              </w:rPr>
              <w:t>df</w:t>
            </w:r>
            <w:r>
              <w:rPr>
                <w:rFonts w:ascii="Arial Narrow" w:hAnsi="Arial Narrow"/>
                <w:sz w:val="20"/>
              </w:rPr>
              <w:t>=14</w:t>
            </w:r>
          </w:p>
        </w:tc>
        <w:tc>
          <w:tcPr>
            <w:tcW w:w="4254" w:type="dxa"/>
            <w:gridSpan w:val="2"/>
            <w:tcBorders>
              <w:top w:val="single" w:sz="4" w:space="0" w:color="auto"/>
              <w:left w:val="nil"/>
              <w:bottom w:val="single" w:sz="4" w:space="0" w:color="auto"/>
              <w:right w:val="single" w:sz="4" w:space="0" w:color="auto"/>
            </w:tcBorders>
            <w:shd w:val="clear" w:color="auto" w:fill="auto"/>
            <w:vAlign w:val="center"/>
            <w:hideMark/>
          </w:tcPr>
          <w:p w14:paraId="20BACACC" w14:textId="77777777" w:rsidR="0008746D" w:rsidRDefault="0008746D" w:rsidP="00344187">
            <w:pPr>
              <w:spacing w:after="0"/>
              <w:jc w:val="center"/>
              <w:rPr>
                <w:rFonts w:ascii="Arial Narrow" w:hAnsi="Arial Narrow"/>
                <w:sz w:val="20"/>
              </w:rPr>
            </w:pPr>
            <w:r>
              <w:rPr>
                <w:rFonts w:ascii="Arial Narrow" w:hAnsi="Arial Narrow"/>
                <w:sz w:val="20"/>
              </w:rPr>
              <w:t>60 (26,88)</w:t>
            </w:r>
          </w:p>
        </w:tc>
      </w:tr>
      <w:tr w:rsidR="0008746D" w14:paraId="0349A444" w14:textId="77777777" w:rsidTr="00E1141B">
        <w:tc>
          <w:tcPr>
            <w:tcW w:w="9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AD029A" w14:textId="6CC47AE4" w:rsidR="0008746D" w:rsidRDefault="009B0F69" w:rsidP="00344187">
            <w:pPr>
              <w:spacing w:after="0"/>
              <w:rPr>
                <w:rFonts w:ascii="Arial Narrow" w:hAnsi="Arial Narrow"/>
                <w:b/>
                <w:bCs/>
                <w:sz w:val="20"/>
              </w:rPr>
            </w:pPr>
            <w:r>
              <w:rPr>
                <w:rFonts w:ascii="Arial Narrow" w:hAnsi="Arial Narrow"/>
                <w:b/>
                <w:bCs/>
                <w:sz w:val="20"/>
              </w:rPr>
              <w:t xml:space="preserve">Subpopulation – complement </w:t>
            </w:r>
            <w:r w:rsidR="0008746D">
              <w:rPr>
                <w:rFonts w:ascii="Arial Narrow" w:hAnsi="Arial Narrow"/>
                <w:b/>
                <w:bCs/>
                <w:sz w:val="20"/>
              </w:rPr>
              <w:t>diseases</w:t>
            </w:r>
          </w:p>
        </w:tc>
      </w:tr>
      <w:tr w:rsidR="0008746D" w14:paraId="070C99EC"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tcPr>
          <w:p w14:paraId="3B2F81C5" w14:textId="77777777" w:rsidR="0008746D" w:rsidRDefault="0008746D" w:rsidP="00344187">
            <w:pPr>
              <w:spacing w:after="0"/>
              <w:rPr>
                <w:rFonts w:ascii="Arial Narrow" w:hAnsi="Arial Narrow"/>
                <w:sz w:val="20"/>
              </w:rPr>
            </w:pPr>
            <w:r>
              <w:rPr>
                <w:rFonts w:ascii="Arial Narrow" w:hAnsi="Arial Narrow"/>
                <w:sz w:val="20"/>
              </w:rPr>
              <w:t>Overall DY</w:t>
            </w:r>
          </w:p>
        </w:tc>
        <w:tc>
          <w:tcPr>
            <w:tcW w:w="2269" w:type="dxa"/>
            <w:tcBorders>
              <w:top w:val="single" w:sz="4" w:space="0" w:color="auto"/>
              <w:left w:val="nil"/>
              <w:bottom w:val="single" w:sz="4" w:space="0" w:color="auto"/>
              <w:right w:val="nil"/>
            </w:tcBorders>
            <w:shd w:val="clear" w:color="auto" w:fill="auto"/>
            <w:vAlign w:val="center"/>
            <w:hideMark/>
          </w:tcPr>
          <w:p w14:paraId="28923DD5" w14:textId="77777777" w:rsidR="0008746D" w:rsidRDefault="0008746D" w:rsidP="00344187">
            <w:pPr>
              <w:spacing w:after="0"/>
              <w:jc w:val="center"/>
              <w:rPr>
                <w:rFonts w:ascii="Arial Narrow" w:hAnsi="Arial Narrow"/>
                <w:sz w:val="20"/>
              </w:rPr>
            </w:pPr>
            <w:r>
              <w:rPr>
                <w:rFonts w:ascii="Arial Narrow" w:hAnsi="Arial Narrow"/>
                <w:sz w:val="20"/>
              </w:rPr>
              <w:t>40 (11, 70)</w:t>
            </w:r>
          </w:p>
          <w:p w14:paraId="0D5AE801" w14:textId="77777777" w:rsidR="0008746D" w:rsidRDefault="0008746D" w:rsidP="00344187">
            <w:pPr>
              <w:spacing w:after="0"/>
              <w:jc w:val="center"/>
              <w:rPr>
                <w:rFonts w:ascii="Arial Narrow" w:hAnsi="Arial Narrow"/>
                <w:sz w:val="20"/>
              </w:rPr>
            </w:pPr>
            <w:r>
              <w:rPr>
                <w:rFonts w:ascii="Arial Narrow" w:hAnsi="Arial Narrow"/>
                <w:sz w:val="20"/>
              </w:rPr>
              <w:t xml:space="preserve">88%, </w:t>
            </w:r>
            <w:r>
              <w:rPr>
                <w:rFonts w:ascii="Arial Narrow" w:hAnsi="Arial Narrow"/>
                <w:i/>
                <w:iCs/>
                <w:sz w:val="20"/>
              </w:rPr>
              <w:t>p</w:t>
            </w:r>
            <w:r>
              <w:rPr>
                <w:rFonts w:ascii="Arial Narrow" w:hAnsi="Arial Narrow"/>
                <w:sz w:val="20"/>
              </w:rPr>
              <w:t xml:space="preserve">=0.00, </w:t>
            </w:r>
            <w:r>
              <w:rPr>
                <w:rFonts w:ascii="Arial Narrow" w:hAnsi="Arial Narrow"/>
                <w:i/>
                <w:iCs/>
                <w:sz w:val="20"/>
              </w:rPr>
              <w:t>df</w:t>
            </w:r>
            <w:r>
              <w:rPr>
                <w:rFonts w:ascii="Arial Narrow" w:hAnsi="Arial Narrow"/>
                <w:sz w:val="20"/>
              </w:rPr>
              <w:t>=4</w:t>
            </w:r>
          </w:p>
        </w:tc>
        <w:tc>
          <w:tcPr>
            <w:tcW w:w="4254" w:type="dxa"/>
            <w:gridSpan w:val="2"/>
            <w:tcBorders>
              <w:top w:val="single" w:sz="4" w:space="0" w:color="auto"/>
              <w:left w:val="nil"/>
              <w:bottom w:val="single" w:sz="4" w:space="0" w:color="auto"/>
              <w:right w:val="single" w:sz="4" w:space="0" w:color="auto"/>
            </w:tcBorders>
            <w:shd w:val="clear" w:color="auto" w:fill="auto"/>
            <w:vAlign w:val="center"/>
          </w:tcPr>
          <w:p w14:paraId="738316BF" w14:textId="77777777" w:rsidR="0008746D" w:rsidRDefault="0008746D" w:rsidP="00344187">
            <w:pPr>
              <w:spacing w:after="0"/>
              <w:jc w:val="center"/>
              <w:rPr>
                <w:rFonts w:ascii="Arial Narrow" w:hAnsi="Arial Narrow"/>
                <w:sz w:val="20"/>
              </w:rPr>
            </w:pPr>
            <w:r>
              <w:rPr>
                <w:rFonts w:ascii="Arial Narrow" w:hAnsi="Arial Narrow"/>
                <w:sz w:val="20"/>
              </w:rPr>
              <w:t>NA</w:t>
            </w:r>
          </w:p>
        </w:tc>
      </w:tr>
      <w:tr w:rsidR="0008746D" w14:paraId="4D159E1F"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hideMark/>
          </w:tcPr>
          <w:p w14:paraId="0979A205" w14:textId="77777777" w:rsidR="0008746D" w:rsidRDefault="0008746D" w:rsidP="00344187">
            <w:pPr>
              <w:spacing w:after="0"/>
              <w:rPr>
                <w:rFonts w:ascii="Arial Narrow" w:hAnsi="Arial Narrow"/>
                <w:sz w:val="20"/>
              </w:rPr>
            </w:pPr>
            <w:r>
              <w:rPr>
                <w:rFonts w:ascii="Arial Narrow" w:hAnsi="Arial Narrow"/>
                <w:sz w:val="20"/>
              </w:rPr>
              <w:t>Exemplars’ DY</w:t>
            </w:r>
          </w:p>
        </w:tc>
        <w:tc>
          <w:tcPr>
            <w:tcW w:w="2269" w:type="dxa"/>
            <w:tcBorders>
              <w:top w:val="single" w:sz="4" w:space="0" w:color="auto"/>
              <w:left w:val="nil"/>
              <w:bottom w:val="single" w:sz="4" w:space="0" w:color="auto"/>
              <w:right w:val="nil"/>
            </w:tcBorders>
            <w:shd w:val="clear" w:color="auto" w:fill="auto"/>
            <w:vAlign w:val="center"/>
            <w:hideMark/>
          </w:tcPr>
          <w:p w14:paraId="1A493E89" w14:textId="77777777" w:rsidR="0008746D" w:rsidRDefault="0008746D" w:rsidP="00344187">
            <w:pPr>
              <w:spacing w:after="0"/>
              <w:jc w:val="center"/>
              <w:rPr>
                <w:rFonts w:ascii="Arial Narrow" w:hAnsi="Arial Narrow"/>
                <w:sz w:val="20"/>
              </w:rPr>
            </w:pPr>
            <w:r>
              <w:rPr>
                <w:rFonts w:ascii="Arial Narrow" w:hAnsi="Arial Narrow"/>
                <w:sz w:val="20"/>
              </w:rPr>
              <w:t>21 (8, 34)</w:t>
            </w:r>
          </w:p>
          <w:p w14:paraId="06F0C166" w14:textId="77777777" w:rsidR="0008746D" w:rsidRDefault="0008746D" w:rsidP="00344187">
            <w:pPr>
              <w:spacing w:after="0"/>
              <w:jc w:val="center"/>
              <w:rPr>
                <w:rFonts w:ascii="Arial Narrow" w:hAnsi="Arial Narrow"/>
                <w:sz w:val="20"/>
              </w:rPr>
            </w:pPr>
            <w:r>
              <w:rPr>
                <w:rFonts w:ascii="Arial Narrow" w:hAnsi="Arial Narrow"/>
                <w:sz w:val="20"/>
              </w:rPr>
              <w:t xml:space="preserve">39%, </w:t>
            </w:r>
            <w:r>
              <w:rPr>
                <w:rFonts w:ascii="Arial Narrow" w:hAnsi="Arial Narrow"/>
                <w:i/>
                <w:iCs/>
                <w:sz w:val="20"/>
              </w:rPr>
              <w:t>p</w:t>
            </w:r>
            <w:r>
              <w:rPr>
                <w:rFonts w:ascii="Arial Narrow" w:hAnsi="Arial Narrow"/>
                <w:sz w:val="20"/>
              </w:rPr>
              <w:t xml:space="preserve">=0.17, </w:t>
            </w:r>
            <w:r>
              <w:rPr>
                <w:rFonts w:ascii="Arial Narrow" w:hAnsi="Arial Narrow"/>
                <w:i/>
                <w:iCs/>
                <w:sz w:val="20"/>
              </w:rPr>
              <w:t>df</w:t>
            </w:r>
            <w:r>
              <w:rPr>
                <w:rFonts w:ascii="Arial Narrow" w:hAnsi="Arial Narrow"/>
                <w:sz w:val="20"/>
              </w:rPr>
              <w:t>=3</w:t>
            </w:r>
          </w:p>
        </w:tc>
        <w:tc>
          <w:tcPr>
            <w:tcW w:w="4254" w:type="dxa"/>
            <w:gridSpan w:val="2"/>
            <w:tcBorders>
              <w:top w:val="single" w:sz="4" w:space="0" w:color="auto"/>
              <w:left w:val="nil"/>
              <w:bottom w:val="single" w:sz="4" w:space="0" w:color="auto"/>
              <w:right w:val="single" w:sz="4" w:space="0" w:color="auto"/>
            </w:tcBorders>
            <w:shd w:val="clear" w:color="auto" w:fill="auto"/>
            <w:vAlign w:val="center"/>
          </w:tcPr>
          <w:p w14:paraId="5D381F4C" w14:textId="77777777" w:rsidR="0008746D" w:rsidRDefault="0008746D" w:rsidP="00344187">
            <w:pPr>
              <w:spacing w:after="0"/>
              <w:jc w:val="center"/>
              <w:rPr>
                <w:rFonts w:ascii="Arial Narrow" w:hAnsi="Arial Narrow"/>
                <w:sz w:val="20"/>
              </w:rPr>
            </w:pPr>
            <w:r>
              <w:rPr>
                <w:rFonts w:ascii="Arial Narrow" w:hAnsi="Arial Narrow"/>
                <w:sz w:val="20"/>
              </w:rPr>
              <w:t>NA</w:t>
            </w:r>
          </w:p>
        </w:tc>
      </w:tr>
      <w:tr w:rsidR="0008746D" w14:paraId="063D97B6" w14:textId="77777777" w:rsidTr="00E1141B">
        <w:tc>
          <w:tcPr>
            <w:tcW w:w="4821" w:type="dxa"/>
            <w:gridSpan w:val="2"/>
            <w:tcBorders>
              <w:top w:val="single" w:sz="4" w:space="0" w:color="auto"/>
              <w:left w:val="single" w:sz="4" w:space="0" w:color="auto"/>
              <w:bottom w:val="single" w:sz="4" w:space="0" w:color="auto"/>
              <w:right w:val="nil"/>
            </w:tcBorders>
            <w:shd w:val="clear" w:color="auto" w:fill="auto"/>
            <w:vAlign w:val="center"/>
            <w:hideMark/>
          </w:tcPr>
          <w:p w14:paraId="515FDA3C" w14:textId="0BE9A72E" w:rsidR="0008746D" w:rsidRDefault="0008746D" w:rsidP="00344187">
            <w:pPr>
              <w:spacing w:after="0"/>
              <w:rPr>
                <w:rFonts w:ascii="Arial Narrow" w:hAnsi="Arial Narrow"/>
                <w:b/>
                <w:bCs/>
                <w:sz w:val="20"/>
              </w:rPr>
            </w:pPr>
            <w:r>
              <w:rPr>
                <w:rFonts w:ascii="Arial Narrow" w:hAnsi="Arial Narrow"/>
                <w:b/>
                <w:bCs/>
                <w:sz w:val="20"/>
              </w:rPr>
              <w:t>Subpopulation</w:t>
            </w:r>
            <w:r w:rsidR="009B0F69">
              <w:rPr>
                <w:rFonts w:ascii="Arial Narrow" w:hAnsi="Arial Narrow"/>
                <w:b/>
                <w:bCs/>
                <w:sz w:val="20"/>
              </w:rPr>
              <w:t xml:space="preserve"> – </w:t>
            </w:r>
            <w:r>
              <w:rPr>
                <w:rFonts w:ascii="Arial Narrow" w:hAnsi="Arial Narrow"/>
                <w:b/>
                <w:bCs/>
                <w:sz w:val="20"/>
              </w:rPr>
              <w:t>tubular diseases</w:t>
            </w:r>
          </w:p>
        </w:tc>
        <w:tc>
          <w:tcPr>
            <w:tcW w:w="2127" w:type="dxa"/>
            <w:tcBorders>
              <w:top w:val="single" w:sz="4" w:space="0" w:color="auto"/>
              <w:left w:val="nil"/>
              <w:bottom w:val="single" w:sz="4" w:space="0" w:color="auto"/>
              <w:right w:val="nil"/>
            </w:tcBorders>
            <w:shd w:val="clear" w:color="auto" w:fill="auto"/>
            <w:vAlign w:val="center"/>
          </w:tcPr>
          <w:p w14:paraId="65441ADE" w14:textId="77777777" w:rsidR="0008746D" w:rsidRDefault="0008746D" w:rsidP="00344187">
            <w:pPr>
              <w:spacing w:after="0"/>
              <w:jc w:val="center"/>
              <w:rPr>
                <w:rFonts w:ascii="Arial Narrow" w:hAnsi="Arial Narrow"/>
                <w:b/>
                <w:bCs/>
                <w:sz w:val="20"/>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0C7A625" w14:textId="77777777" w:rsidR="0008746D" w:rsidRDefault="0008746D" w:rsidP="00344187">
            <w:pPr>
              <w:spacing w:after="0"/>
              <w:jc w:val="center"/>
              <w:rPr>
                <w:rFonts w:ascii="Arial Narrow" w:hAnsi="Arial Narrow"/>
                <w:b/>
                <w:bCs/>
                <w:sz w:val="20"/>
              </w:rPr>
            </w:pPr>
          </w:p>
        </w:tc>
      </w:tr>
      <w:tr w:rsidR="0008746D" w14:paraId="56240110"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tcPr>
          <w:p w14:paraId="03F1D26D" w14:textId="77777777" w:rsidR="0008746D" w:rsidRDefault="0008746D" w:rsidP="00344187">
            <w:pPr>
              <w:spacing w:after="0"/>
              <w:rPr>
                <w:rFonts w:ascii="Arial Narrow" w:hAnsi="Arial Narrow"/>
                <w:sz w:val="20"/>
              </w:rPr>
            </w:pPr>
            <w:bookmarkStart w:id="20" w:name="_Hlk53989833"/>
            <w:r>
              <w:rPr>
                <w:rFonts w:ascii="Arial Narrow" w:hAnsi="Arial Narrow"/>
                <w:sz w:val="20"/>
              </w:rPr>
              <w:t>Overall DY</w:t>
            </w:r>
          </w:p>
        </w:tc>
        <w:tc>
          <w:tcPr>
            <w:tcW w:w="2269" w:type="dxa"/>
            <w:tcBorders>
              <w:top w:val="single" w:sz="4" w:space="0" w:color="auto"/>
              <w:left w:val="nil"/>
              <w:bottom w:val="single" w:sz="4" w:space="0" w:color="auto"/>
              <w:right w:val="nil"/>
            </w:tcBorders>
            <w:shd w:val="clear" w:color="auto" w:fill="auto"/>
            <w:vAlign w:val="center"/>
            <w:hideMark/>
          </w:tcPr>
          <w:p w14:paraId="6F224C23" w14:textId="77777777" w:rsidR="0008746D" w:rsidRDefault="0008746D" w:rsidP="00344187">
            <w:pPr>
              <w:spacing w:after="0"/>
              <w:jc w:val="center"/>
              <w:rPr>
                <w:rFonts w:ascii="Arial Narrow" w:hAnsi="Arial Narrow"/>
                <w:sz w:val="20"/>
              </w:rPr>
            </w:pPr>
            <w:r>
              <w:rPr>
                <w:rFonts w:ascii="Arial Narrow" w:hAnsi="Arial Narrow"/>
                <w:sz w:val="20"/>
              </w:rPr>
              <w:t>58 (40, 77)</w:t>
            </w:r>
          </w:p>
          <w:p w14:paraId="11CFBF8C" w14:textId="77777777" w:rsidR="0008746D" w:rsidRDefault="0008746D" w:rsidP="00344187">
            <w:pPr>
              <w:spacing w:after="0"/>
              <w:jc w:val="center"/>
              <w:rPr>
                <w:rFonts w:ascii="Arial Narrow" w:hAnsi="Arial Narrow"/>
                <w:sz w:val="20"/>
              </w:rPr>
            </w:pPr>
            <w:r>
              <w:rPr>
                <w:rFonts w:ascii="Arial Narrow" w:hAnsi="Arial Narrow"/>
                <w:sz w:val="20"/>
              </w:rPr>
              <w:t xml:space="preserve">95%, </w:t>
            </w:r>
            <w:r>
              <w:rPr>
                <w:rFonts w:ascii="Arial Narrow" w:hAnsi="Arial Narrow"/>
                <w:i/>
                <w:iCs/>
                <w:sz w:val="20"/>
              </w:rPr>
              <w:t>p</w:t>
            </w:r>
            <w:r>
              <w:rPr>
                <w:rFonts w:ascii="Arial Narrow" w:hAnsi="Arial Narrow"/>
                <w:sz w:val="20"/>
              </w:rPr>
              <w:t xml:space="preserve">=0.00, </w:t>
            </w:r>
            <w:r>
              <w:rPr>
                <w:rFonts w:ascii="Arial Narrow" w:hAnsi="Arial Narrow"/>
                <w:i/>
                <w:iCs/>
                <w:sz w:val="20"/>
              </w:rPr>
              <w:t>df</w:t>
            </w:r>
            <w:r>
              <w:rPr>
                <w:rFonts w:ascii="Arial Narrow" w:hAnsi="Arial Narrow"/>
                <w:sz w:val="20"/>
              </w:rPr>
              <w:t>=4</w:t>
            </w:r>
          </w:p>
        </w:tc>
        <w:tc>
          <w:tcPr>
            <w:tcW w:w="4254" w:type="dxa"/>
            <w:gridSpan w:val="2"/>
            <w:tcBorders>
              <w:top w:val="single" w:sz="4" w:space="0" w:color="auto"/>
              <w:left w:val="nil"/>
              <w:bottom w:val="single" w:sz="4" w:space="0" w:color="auto"/>
              <w:right w:val="single" w:sz="4" w:space="0" w:color="auto"/>
            </w:tcBorders>
            <w:shd w:val="clear" w:color="auto" w:fill="auto"/>
            <w:vAlign w:val="center"/>
            <w:hideMark/>
          </w:tcPr>
          <w:p w14:paraId="69F4245D" w14:textId="77777777" w:rsidR="0008746D" w:rsidRDefault="0008746D" w:rsidP="00344187">
            <w:pPr>
              <w:spacing w:after="0"/>
              <w:jc w:val="center"/>
              <w:rPr>
                <w:rFonts w:ascii="Arial Narrow" w:hAnsi="Arial Narrow"/>
                <w:sz w:val="20"/>
              </w:rPr>
            </w:pPr>
            <w:r>
              <w:rPr>
                <w:rFonts w:ascii="Arial Narrow" w:hAnsi="Arial Narrow"/>
                <w:sz w:val="20"/>
              </w:rPr>
              <w:t>88 (70, 98)</w:t>
            </w:r>
          </w:p>
        </w:tc>
        <w:bookmarkEnd w:id="20"/>
      </w:tr>
      <w:tr w:rsidR="0008746D" w14:paraId="7B0340DF" w14:textId="77777777" w:rsidTr="00E1141B">
        <w:tc>
          <w:tcPr>
            <w:tcW w:w="2552" w:type="dxa"/>
            <w:tcBorders>
              <w:top w:val="single" w:sz="4" w:space="0" w:color="auto"/>
              <w:left w:val="single" w:sz="4" w:space="0" w:color="auto"/>
              <w:bottom w:val="single" w:sz="4" w:space="0" w:color="auto"/>
              <w:right w:val="nil"/>
            </w:tcBorders>
            <w:shd w:val="clear" w:color="auto" w:fill="auto"/>
            <w:vAlign w:val="center"/>
            <w:hideMark/>
          </w:tcPr>
          <w:p w14:paraId="3E49B7A0" w14:textId="77777777" w:rsidR="0008746D" w:rsidRDefault="0008746D" w:rsidP="00344187">
            <w:pPr>
              <w:spacing w:after="0"/>
              <w:rPr>
                <w:rFonts w:ascii="Arial Narrow" w:hAnsi="Arial Narrow"/>
                <w:sz w:val="20"/>
              </w:rPr>
            </w:pPr>
            <w:r>
              <w:rPr>
                <w:rFonts w:ascii="Arial Narrow" w:hAnsi="Arial Narrow"/>
                <w:sz w:val="20"/>
              </w:rPr>
              <w:t>Exemplars’ DY</w:t>
            </w:r>
          </w:p>
        </w:tc>
        <w:tc>
          <w:tcPr>
            <w:tcW w:w="2269" w:type="dxa"/>
            <w:tcBorders>
              <w:top w:val="single" w:sz="4" w:space="0" w:color="auto"/>
              <w:left w:val="nil"/>
              <w:bottom w:val="single" w:sz="4" w:space="0" w:color="auto"/>
              <w:right w:val="nil"/>
            </w:tcBorders>
            <w:shd w:val="clear" w:color="auto" w:fill="auto"/>
            <w:vAlign w:val="center"/>
            <w:hideMark/>
          </w:tcPr>
          <w:p w14:paraId="2D1655C9" w14:textId="77777777" w:rsidR="0008746D" w:rsidRDefault="0008746D" w:rsidP="00344187">
            <w:pPr>
              <w:spacing w:after="0"/>
              <w:jc w:val="center"/>
              <w:rPr>
                <w:rFonts w:ascii="Arial Narrow" w:hAnsi="Arial Narrow"/>
                <w:sz w:val="20"/>
              </w:rPr>
            </w:pPr>
            <w:r>
              <w:rPr>
                <w:rFonts w:ascii="Arial Narrow" w:hAnsi="Arial Narrow"/>
                <w:sz w:val="20"/>
              </w:rPr>
              <w:t>14 (8, 20)</w:t>
            </w:r>
          </w:p>
          <w:p w14:paraId="4CE5BFA2" w14:textId="77777777" w:rsidR="0008746D" w:rsidRDefault="0008746D" w:rsidP="00344187">
            <w:pPr>
              <w:spacing w:after="0"/>
              <w:jc w:val="center"/>
              <w:rPr>
                <w:rFonts w:ascii="Arial Narrow" w:hAnsi="Arial Narrow"/>
                <w:sz w:val="20"/>
              </w:rPr>
            </w:pPr>
            <w:r>
              <w:rPr>
                <w:rFonts w:ascii="Arial Narrow" w:hAnsi="Arial Narrow"/>
                <w:sz w:val="20"/>
              </w:rPr>
              <w:t xml:space="preserve">63%, </w:t>
            </w:r>
            <w:r>
              <w:rPr>
                <w:rFonts w:ascii="Arial Narrow" w:hAnsi="Arial Narrow"/>
                <w:i/>
                <w:iCs/>
                <w:sz w:val="20"/>
              </w:rPr>
              <w:t>p</w:t>
            </w:r>
            <w:r>
              <w:rPr>
                <w:rFonts w:ascii="Arial Narrow" w:hAnsi="Arial Narrow"/>
                <w:sz w:val="20"/>
              </w:rPr>
              <w:t xml:space="preserve">=0.07, </w:t>
            </w:r>
            <w:r>
              <w:rPr>
                <w:rFonts w:ascii="Arial Narrow" w:hAnsi="Arial Narrow"/>
                <w:i/>
                <w:iCs/>
                <w:sz w:val="20"/>
              </w:rPr>
              <w:t>df</w:t>
            </w:r>
            <w:r>
              <w:rPr>
                <w:rFonts w:ascii="Arial Narrow" w:hAnsi="Arial Narrow"/>
                <w:sz w:val="20"/>
              </w:rPr>
              <w:t>=2</w:t>
            </w:r>
          </w:p>
        </w:tc>
        <w:tc>
          <w:tcPr>
            <w:tcW w:w="4254" w:type="dxa"/>
            <w:gridSpan w:val="2"/>
            <w:tcBorders>
              <w:top w:val="single" w:sz="4" w:space="0" w:color="auto"/>
              <w:left w:val="nil"/>
              <w:bottom w:val="single" w:sz="4" w:space="0" w:color="auto"/>
              <w:right w:val="single" w:sz="4" w:space="0" w:color="auto"/>
            </w:tcBorders>
            <w:shd w:val="clear" w:color="auto" w:fill="auto"/>
            <w:vAlign w:val="center"/>
          </w:tcPr>
          <w:p w14:paraId="24F58BDC" w14:textId="77777777" w:rsidR="0008746D" w:rsidRDefault="0008746D" w:rsidP="00344187">
            <w:pPr>
              <w:spacing w:after="0"/>
              <w:jc w:val="center"/>
              <w:rPr>
                <w:rFonts w:ascii="Arial Narrow" w:hAnsi="Arial Narrow"/>
                <w:sz w:val="20"/>
              </w:rPr>
            </w:pPr>
            <w:r>
              <w:rPr>
                <w:rFonts w:ascii="Arial Narrow" w:hAnsi="Arial Narrow"/>
                <w:sz w:val="20"/>
              </w:rPr>
              <w:t>NA</w:t>
            </w:r>
          </w:p>
        </w:tc>
      </w:tr>
    </w:tbl>
    <w:p w14:paraId="46DCB5EE" w14:textId="77777777" w:rsidR="0008746D" w:rsidRDefault="0008746D" w:rsidP="0008746D">
      <w:pPr>
        <w:pStyle w:val="Tablenotes1"/>
      </w:pPr>
      <w:r>
        <w:t>CI = confidence interval; df = degrees of freedom; DY = diagnostic yield; NA = not applicable; CKD = chronic kidney disease.</w:t>
      </w:r>
    </w:p>
    <w:p w14:paraId="1C3C3C50" w14:textId="77777777" w:rsidR="0008746D" w:rsidRDefault="0008746D" w:rsidP="0008746D">
      <w:pPr>
        <w:pStyle w:val="Tablenotes1"/>
      </w:pPr>
      <w:r>
        <w:t>Source: DCAR, Table 7</w:t>
      </w:r>
    </w:p>
    <w:p w14:paraId="4DE27C2A" w14:textId="77777777" w:rsidR="0008746D" w:rsidRDefault="0008746D" w:rsidP="002C5532">
      <w:pPr>
        <w:pStyle w:val="Heading2"/>
      </w:pPr>
      <w:r>
        <w:t>Prognosis</w:t>
      </w:r>
    </w:p>
    <w:p w14:paraId="04C22C75" w14:textId="647FA069" w:rsidR="0008746D" w:rsidRDefault="0008746D" w:rsidP="0008746D">
      <w:r>
        <w:t>ESC noted that evidence for change in management was in the form of prognostic evidence, rather than direct evidence that diagnosis changed clinical management (i.e., clinical utility) (</w:t>
      </w:r>
      <w:fldSimple w:instr=" REF _Ref64901355 ">
        <w:r>
          <w:t xml:space="preserve">Table </w:t>
        </w:r>
        <w:r>
          <w:rPr>
            <w:noProof/>
          </w:rPr>
          <w:t>10</w:t>
        </w:r>
      </w:fldSimple>
      <w:r>
        <w:t xml:space="preserve">). The DCAR stated that </w:t>
      </w:r>
      <w:r w:rsidRPr="00F71CC3">
        <w:t xml:space="preserve">the results for population 2-glomerular diseases show that immunosuppressive therapies fail to prevent the progression to ESKD in </w:t>
      </w:r>
      <w:r w:rsidR="009B0F69">
        <w:t xml:space="preserve">patients with genetically determined </w:t>
      </w:r>
      <w:r w:rsidR="00D57119" w:rsidRPr="008F160C">
        <w:t xml:space="preserve">steroid-resistant nephrotic syndrome </w:t>
      </w:r>
      <w:r w:rsidR="00D57119">
        <w:t>(</w:t>
      </w:r>
      <w:r w:rsidRPr="00F71CC3">
        <w:t>SRNS</w:t>
      </w:r>
      <w:r w:rsidR="00D57119">
        <w:t>)</w:t>
      </w:r>
      <w:r w:rsidRPr="00F71CC3">
        <w:t xml:space="preserve">. Death rate was found to be higher in </w:t>
      </w:r>
      <w:r w:rsidR="00D57119" w:rsidRPr="00836845">
        <w:t>atypical haemolytic uraemic syndrome</w:t>
      </w:r>
      <w:r w:rsidR="00D57119">
        <w:t xml:space="preserve"> (</w:t>
      </w:r>
      <w:proofErr w:type="spellStart"/>
      <w:r>
        <w:t>aHUS</w:t>
      </w:r>
      <w:proofErr w:type="spellEnd"/>
      <w:r w:rsidR="00D57119">
        <w:t>)</w:t>
      </w:r>
      <w:r w:rsidRPr="00F71CC3">
        <w:t xml:space="preserve"> </w:t>
      </w:r>
      <w:r>
        <w:t>(</w:t>
      </w:r>
      <w:r w:rsidR="009B0F69">
        <w:t>population 2</w:t>
      </w:r>
      <w:r>
        <w:t>-complement diseases subgroup</w:t>
      </w:r>
      <w:r w:rsidRPr="00F71CC3">
        <w:t>) patients with genetic variants compared with the non-genetic group. As this result was derived from a single retrospective study, its significance is not clear. Large scale randomised prospective studies are required to show that timely genetic diagnosis has the potential to identify patients at increased risk of death.</w:t>
      </w:r>
    </w:p>
    <w:p w14:paraId="283025C6" w14:textId="7E32A6C4" w:rsidR="0008746D" w:rsidRDefault="0008746D" w:rsidP="0008746D">
      <w:pPr>
        <w:pStyle w:val="Caption"/>
      </w:pPr>
      <w:bookmarkStart w:id="21" w:name="_Ref64901355"/>
      <w:r>
        <w:lastRenderedPageBreak/>
        <w:t xml:space="preserve">Table </w:t>
      </w:r>
      <w:fldSimple w:instr=" SEQ Table \* ARABIC ">
        <w:r w:rsidR="00627B6A">
          <w:rPr>
            <w:noProof/>
          </w:rPr>
          <w:t>10</w:t>
        </w:r>
      </w:fldSimple>
      <w:bookmarkEnd w:id="21"/>
      <w:r>
        <w:t xml:space="preserve"> </w:t>
      </w:r>
      <w:r>
        <w:tab/>
        <w:t xml:space="preserve">Key prognosis findings for the linked evidence comparison of </w:t>
      </w:r>
      <w:r w:rsidRPr="00FE6048">
        <w:t>genetic testing, relative to no genetic testing, in chronic kidney disease patients</w:t>
      </w:r>
    </w:p>
    <w:tbl>
      <w:tblPr>
        <w:tblStyle w:val="TableGrid1"/>
        <w:tblW w:w="5000" w:type="pct"/>
        <w:tblLook w:val="04A0" w:firstRow="1" w:lastRow="0" w:firstColumn="1" w:lastColumn="0" w:noHBand="0" w:noVBand="1"/>
        <w:tblDescription w:val="Summary of findings table"/>
      </w:tblPr>
      <w:tblGrid>
        <w:gridCol w:w="1064"/>
        <w:gridCol w:w="1751"/>
        <w:gridCol w:w="919"/>
        <w:gridCol w:w="982"/>
        <w:gridCol w:w="982"/>
        <w:gridCol w:w="1680"/>
        <w:gridCol w:w="1638"/>
      </w:tblGrid>
      <w:tr w:rsidR="0008746D" w:rsidRPr="004B20CF" w14:paraId="697C7919" w14:textId="77777777" w:rsidTr="005E3F29">
        <w:trPr>
          <w:tblHeader/>
        </w:trPr>
        <w:tc>
          <w:tcPr>
            <w:tcW w:w="590" w:type="pct"/>
            <w:tcBorders>
              <w:top w:val="single" w:sz="4" w:space="0" w:color="auto"/>
              <w:left w:val="single" w:sz="4" w:space="0" w:color="auto"/>
              <w:bottom w:val="single" w:sz="4" w:space="0" w:color="auto"/>
              <w:right w:val="single" w:sz="4" w:space="0" w:color="auto"/>
            </w:tcBorders>
            <w:hideMark/>
          </w:tcPr>
          <w:p w14:paraId="5A25E948" w14:textId="77777777" w:rsidR="0008746D" w:rsidRPr="004B20CF" w:rsidRDefault="0008746D" w:rsidP="00E1141B">
            <w:pPr>
              <w:pStyle w:val="TableHeading"/>
            </w:pPr>
            <w:r w:rsidRPr="004B20CF">
              <w:t xml:space="preserve">Outcomes, number of studies, </w:t>
            </w:r>
            <w:r>
              <w:t xml:space="preserve">study </w:t>
            </w:r>
            <w:r w:rsidRPr="004B20CF">
              <w:t>references</w:t>
            </w:r>
          </w:p>
        </w:tc>
        <w:tc>
          <w:tcPr>
            <w:tcW w:w="979" w:type="pct"/>
            <w:tcBorders>
              <w:top w:val="single" w:sz="4" w:space="0" w:color="auto"/>
              <w:left w:val="single" w:sz="4" w:space="0" w:color="auto"/>
              <w:bottom w:val="single" w:sz="4" w:space="0" w:color="auto"/>
              <w:right w:val="single" w:sz="4" w:space="0" w:color="auto"/>
            </w:tcBorders>
            <w:hideMark/>
          </w:tcPr>
          <w:p w14:paraId="7B734C83" w14:textId="77777777" w:rsidR="0008746D" w:rsidRPr="004B20CF" w:rsidRDefault="0008746D" w:rsidP="00E1141B">
            <w:pPr>
              <w:pStyle w:val="TableHeading"/>
            </w:pPr>
            <w:r w:rsidRPr="004B20CF">
              <w:t xml:space="preserve">Participants </w:t>
            </w:r>
          </w:p>
        </w:tc>
        <w:tc>
          <w:tcPr>
            <w:tcW w:w="471" w:type="pct"/>
            <w:tcBorders>
              <w:top w:val="single" w:sz="4" w:space="0" w:color="auto"/>
              <w:left w:val="single" w:sz="4" w:space="0" w:color="auto"/>
              <w:bottom w:val="single" w:sz="4" w:space="0" w:color="auto"/>
              <w:right w:val="single" w:sz="4" w:space="0" w:color="auto"/>
            </w:tcBorders>
            <w:hideMark/>
          </w:tcPr>
          <w:p w14:paraId="114B4A3C" w14:textId="77777777" w:rsidR="0008746D" w:rsidRPr="004B20CF" w:rsidRDefault="0008746D" w:rsidP="00E1141B">
            <w:pPr>
              <w:pStyle w:val="TableHeading"/>
              <w:jc w:val="center"/>
            </w:pPr>
            <w:r w:rsidRPr="004B20CF">
              <w:t>Quality of evidence</w:t>
            </w:r>
            <w:r>
              <w:t xml:space="preserve"> (GRADE) </w:t>
            </w:r>
            <w:r w:rsidRPr="004B20CF">
              <w:rPr>
                <w:vertAlign w:val="superscript"/>
              </w:rPr>
              <w:t>a</w:t>
            </w:r>
          </w:p>
        </w:tc>
        <w:tc>
          <w:tcPr>
            <w:tcW w:w="551" w:type="pct"/>
            <w:tcBorders>
              <w:top w:val="single" w:sz="4" w:space="0" w:color="auto"/>
              <w:left w:val="single" w:sz="4" w:space="0" w:color="auto"/>
              <w:bottom w:val="single" w:sz="4" w:space="0" w:color="auto"/>
              <w:right w:val="single" w:sz="4" w:space="0" w:color="auto"/>
            </w:tcBorders>
            <w:hideMark/>
          </w:tcPr>
          <w:p w14:paraId="106B9107" w14:textId="77777777" w:rsidR="0008746D" w:rsidRPr="004B20CF" w:rsidRDefault="0008746D" w:rsidP="00E1141B">
            <w:pPr>
              <w:pStyle w:val="TableHeading"/>
              <w:jc w:val="center"/>
            </w:pPr>
            <w:r w:rsidRPr="004B20CF">
              <w:t>Genetic diagnosis</w:t>
            </w:r>
          </w:p>
          <w:p w14:paraId="09A779FC" w14:textId="77777777" w:rsidR="0008746D" w:rsidRPr="004B20CF" w:rsidRDefault="0008746D" w:rsidP="00E1141B">
            <w:pPr>
              <w:pStyle w:val="TableHeading"/>
              <w:jc w:val="center"/>
            </w:pPr>
            <w:r w:rsidRPr="004B20CF">
              <w:t>% (n/N) [95%CI]</w:t>
            </w:r>
          </w:p>
        </w:tc>
        <w:tc>
          <w:tcPr>
            <w:tcW w:w="549" w:type="pct"/>
            <w:tcBorders>
              <w:top w:val="single" w:sz="4" w:space="0" w:color="auto"/>
              <w:left w:val="single" w:sz="4" w:space="0" w:color="auto"/>
              <w:bottom w:val="single" w:sz="4" w:space="0" w:color="auto"/>
              <w:right w:val="single" w:sz="4" w:space="0" w:color="auto"/>
            </w:tcBorders>
            <w:hideMark/>
          </w:tcPr>
          <w:p w14:paraId="78FF741D" w14:textId="77777777" w:rsidR="0008746D" w:rsidRPr="004B20CF" w:rsidRDefault="0008746D" w:rsidP="00E1141B">
            <w:pPr>
              <w:pStyle w:val="TableHeading"/>
              <w:jc w:val="center"/>
            </w:pPr>
            <w:r w:rsidRPr="004B20CF">
              <w:t>No genetic diagnosis</w:t>
            </w:r>
          </w:p>
          <w:p w14:paraId="7B1665E2" w14:textId="77777777" w:rsidR="0008746D" w:rsidRPr="004B20CF" w:rsidRDefault="0008746D" w:rsidP="00E1141B">
            <w:pPr>
              <w:pStyle w:val="TableHeading"/>
              <w:jc w:val="center"/>
            </w:pPr>
            <w:r w:rsidRPr="004B20CF">
              <w:t>% (n/N) [95%</w:t>
            </w:r>
            <w:r>
              <w:t xml:space="preserve"> </w:t>
            </w:r>
            <w:r w:rsidRPr="004B20CF">
              <w:t>CI]</w:t>
            </w:r>
          </w:p>
        </w:tc>
        <w:tc>
          <w:tcPr>
            <w:tcW w:w="944" w:type="pct"/>
            <w:tcBorders>
              <w:top w:val="single" w:sz="4" w:space="0" w:color="auto"/>
              <w:left w:val="single" w:sz="4" w:space="0" w:color="auto"/>
              <w:bottom w:val="single" w:sz="4" w:space="0" w:color="auto"/>
              <w:right w:val="single" w:sz="4" w:space="0" w:color="auto"/>
            </w:tcBorders>
            <w:hideMark/>
          </w:tcPr>
          <w:p w14:paraId="254F77EE" w14:textId="77777777" w:rsidR="0008746D" w:rsidRPr="004B20CF" w:rsidRDefault="0008746D" w:rsidP="00E1141B">
            <w:pPr>
              <w:pStyle w:val="TableHeading"/>
            </w:pPr>
            <w:r w:rsidRPr="004B20CF">
              <w:t>Fischer exact test for the difference between non-genetic and genetic disease</w:t>
            </w:r>
          </w:p>
        </w:tc>
        <w:tc>
          <w:tcPr>
            <w:tcW w:w="916" w:type="pct"/>
            <w:tcBorders>
              <w:top w:val="single" w:sz="4" w:space="0" w:color="auto"/>
              <w:left w:val="single" w:sz="4" w:space="0" w:color="auto"/>
              <w:bottom w:val="single" w:sz="4" w:space="0" w:color="auto"/>
              <w:right w:val="single" w:sz="4" w:space="0" w:color="auto"/>
            </w:tcBorders>
            <w:hideMark/>
          </w:tcPr>
          <w:p w14:paraId="74B89D6E" w14:textId="77777777" w:rsidR="0008746D" w:rsidRPr="004B20CF" w:rsidRDefault="0008746D" w:rsidP="00E1141B">
            <w:pPr>
              <w:pStyle w:val="TableHeading"/>
            </w:pPr>
            <w:r w:rsidRPr="004B20CF">
              <w:t>Comments</w:t>
            </w:r>
          </w:p>
        </w:tc>
      </w:tr>
      <w:tr w:rsidR="0008746D" w:rsidRPr="004B20CF" w14:paraId="5FE17851" w14:textId="77777777" w:rsidTr="00E1141B">
        <w:tc>
          <w:tcPr>
            <w:tcW w:w="590" w:type="pct"/>
            <w:tcBorders>
              <w:top w:val="single" w:sz="4" w:space="0" w:color="auto"/>
              <w:left w:val="single" w:sz="4" w:space="0" w:color="auto"/>
              <w:bottom w:val="single" w:sz="4" w:space="0" w:color="auto"/>
              <w:right w:val="single" w:sz="4" w:space="0" w:color="auto"/>
            </w:tcBorders>
          </w:tcPr>
          <w:p w14:paraId="673EA2E6" w14:textId="77777777" w:rsidR="0008746D" w:rsidRPr="004B20CF" w:rsidRDefault="0008746D" w:rsidP="00E1141B">
            <w:pPr>
              <w:pStyle w:val="TableHeading"/>
            </w:pPr>
            <w:r w:rsidRPr="004B20CF">
              <w:rPr>
                <w:rStyle w:val="TabletextChar"/>
                <w:b w:val="0"/>
              </w:rPr>
              <w:t>Death rate, k=1</w:t>
            </w:r>
            <w:r w:rsidRPr="004B20CF">
              <w:t xml:space="preserve"> </w:t>
            </w:r>
            <w:r w:rsidRPr="004B20CF">
              <w:rPr>
                <w:rStyle w:val="FootnoteReference"/>
                <w:b w:val="0"/>
                <w:bCs/>
              </w:rPr>
              <w:footnoteReference w:id="11"/>
            </w:r>
          </w:p>
        </w:tc>
        <w:tc>
          <w:tcPr>
            <w:tcW w:w="979" w:type="pct"/>
            <w:tcBorders>
              <w:top w:val="single" w:sz="4" w:space="0" w:color="auto"/>
              <w:left w:val="single" w:sz="4" w:space="0" w:color="auto"/>
              <w:bottom w:val="single" w:sz="4" w:space="0" w:color="auto"/>
              <w:right w:val="single" w:sz="4" w:space="0" w:color="auto"/>
            </w:tcBorders>
          </w:tcPr>
          <w:p w14:paraId="68FC4431" w14:textId="77777777" w:rsidR="0008746D" w:rsidRPr="0008746D" w:rsidRDefault="0008746D" w:rsidP="00E1141B">
            <w:pPr>
              <w:spacing w:after="40"/>
              <w:rPr>
                <w:rFonts w:ascii="Arial Narrow" w:hAnsi="Arial Narrow" w:cs="Arial"/>
                <w:sz w:val="20"/>
                <w:szCs w:val="20"/>
                <w:u w:val="single"/>
              </w:rPr>
            </w:pPr>
            <w:r w:rsidRPr="0008746D">
              <w:rPr>
                <w:rFonts w:ascii="Arial Narrow" w:hAnsi="Arial Narrow" w:cs="Arial"/>
                <w:b/>
                <w:bCs/>
                <w:sz w:val="20"/>
                <w:szCs w:val="20"/>
              </w:rPr>
              <w:t>Population 2:</w:t>
            </w:r>
            <w:r w:rsidRPr="0008746D">
              <w:rPr>
                <w:rFonts w:ascii="Arial Narrow" w:hAnsi="Arial Narrow" w:cs="Arial"/>
                <w:sz w:val="20"/>
                <w:szCs w:val="20"/>
                <w:u w:val="single"/>
              </w:rPr>
              <w:t xml:space="preserve"> Complement diseases</w:t>
            </w:r>
          </w:p>
          <w:p w14:paraId="30D1088F" w14:textId="77777777" w:rsidR="0008746D" w:rsidRPr="004B20CF" w:rsidRDefault="0008746D" w:rsidP="00E1141B">
            <w:pPr>
              <w:pStyle w:val="Tabletext"/>
              <w:rPr>
                <w:b/>
                <w:bCs/>
                <w:szCs w:val="20"/>
              </w:rPr>
            </w:pPr>
            <w:proofErr w:type="spellStart"/>
            <w:r w:rsidRPr="004B20CF">
              <w:rPr>
                <w:szCs w:val="20"/>
              </w:rPr>
              <w:t>aHUS</w:t>
            </w:r>
            <w:proofErr w:type="spellEnd"/>
            <w:r w:rsidRPr="004B20CF">
              <w:rPr>
                <w:szCs w:val="20"/>
              </w:rPr>
              <w:t xml:space="preserve"> patients with genetic versus non-genetic diagnosis</w:t>
            </w:r>
          </w:p>
        </w:tc>
        <w:tc>
          <w:tcPr>
            <w:tcW w:w="471" w:type="pct"/>
            <w:tcBorders>
              <w:top w:val="single" w:sz="4" w:space="0" w:color="auto"/>
              <w:left w:val="single" w:sz="4" w:space="0" w:color="auto"/>
              <w:bottom w:val="single" w:sz="4" w:space="0" w:color="auto"/>
              <w:right w:val="single" w:sz="4" w:space="0" w:color="auto"/>
            </w:tcBorders>
          </w:tcPr>
          <w:p w14:paraId="5E4219FC" w14:textId="77777777" w:rsidR="0008746D" w:rsidRPr="004B20CF" w:rsidRDefault="0008746D" w:rsidP="00E1141B">
            <w:pPr>
              <w:pStyle w:val="TableHeading"/>
              <w:jc w:val="center"/>
              <w:rPr>
                <w:b w:val="0"/>
              </w:rPr>
            </w:pPr>
            <w:r w:rsidRPr="004B20CF">
              <w:rPr>
                <w:rFonts w:ascii="Cambria Math" w:hAnsi="Cambria Math"/>
                <w:b w:val="0"/>
                <w:color w:val="00B050"/>
              </w:rPr>
              <w:t>⨁⨁</w:t>
            </w:r>
            <w:r w:rsidRPr="004B20CF">
              <w:rPr>
                <w:rFonts w:ascii="Cambria Math" w:hAnsi="Cambria Math" w:cs="Cambria Math"/>
                <w:b w:val="0"/>
                <w:color w:val="C00000"/>
              </w:rPr>
              <w:t>⨀⨀</w:t>
            </w:r>
          </w:p>
        </w:tc>
        <w:tc>
          <w:tcPr>
            <w:tcW w:w="551" w:type="pct"/>
            <w:tcBorders>
              <w:top w:val="single" w:sz="4" w:space="0" w:color="auto"/>
              <w:left w:val="single" w:sz="4" w:space="0" w:color="auto"/>
              <w:bottom w:val="single" w:sz="4" w:space="0" w:color="auto"/>
              <w:right w:val="single" w:sz="4" w:space="0" w:color="auto"/>
            </w:tcBorders>
          </w:tcPr>
          <w:p w14:paraId="28EBAFB1" w14:textId="77777777" w:rsidR="0008746D" w:rsidRPr="004B20CF" w:rsidRDefault="0008746D" w:rsidP="00E1141B">
            <w:pPr>
              <w:keepNext/>
              <w:spacing w:after="40"/>
              <w:ind w:left="22" w:right="117"/>
              <w:jc w:val="center"/>
              <w:rPr>
                <w:rFonts w:ascii="Arial Narrow" w:hAnsi="Arial Narrow" w:cs="Arial"/>
              </w:rPr>
            </w:pPr>
            <w:r w:rsidRPr="004B20CF">
              <w:rPr>
                <w:rFonts w:ascii="Arial Narrow" w:hAnsi="Arial Narrow" w:cs="Arial"/>
              </w:rPr>
              <w:t>33</w:t>
            </w:r>
            <w:r>
              <w:rPr>
                <w:rFonts w:ascii="Arial Narrow" w:hAnsi="Arial Narrow" w:cs="Arial"/>
              </w:rPr>
              <w:t>%</w:t>
            </w:r>
            <w:r w:rsidRPr="004B20CF">
              <w:rPr>
                <w:rFonts w:ascii="Arial Narrow" w:hAnsi="Arial Narrow" w:cs="Arial"/>
              </w:rPr>
              <w:t xml:space="preserve"> (26/79)</w:t>
            </w:r>
          </w:p>
          <w:p w14:paraId="74BFD64A" w14:textId="77777777" w:rsidR="0008746D" w:rsidRPr="004B20CF" w:rsidRDefault="0008746D" w:rsidP="00E1141B">
            <w:pPr>
              <w:keepNext/>
              <w:spacing w:after="40"/>
              <w:ind w:left="22" w:right="117"/>
              <w:jc w:val="center"/>
              <w:rPr>
                <w:rFonts w:ascii="Arial Narrow" w:hAnsi="Arial Narrow"/>
                <w:bCs/>
                <w:snapToGrid w:val="0"/>
                <w:lang w:eastAsia="en-US"/>
              </w:rPr>
            </w:pPr>
            <w:r w:rsidRPr="004B20CF">
              <w:rPr>
                <w:rFonts w:ascii="Arial Narrow" w:hAnsi="Arial Narrow" w:cs="Arial"/>
                <w:bCs/>
                <w:snapToGrid w:val="0"/>
                <w:lang w:eastAsia="en-US"/>
              </w:rPr>
              <w:t>[23, 44]</w:t>
            </w:r>
          </w:p>
        </w:tc>
        <w:tc>
          <w:tcPr>
            <w:tcW w:w="549" w:type="pct"/>
            <w:tcBorders>
              <w:top w:val="single" w:sz="4" w:space="0" w:color="auto"/>
              <w:left w:val="single" w:sz="4" w:space="0" w:color="auto"/>
              <w:bottom w:val="single" w:sz="4" w:space="0" w:color="auto"/>
              <w:right w:val="single" w:sz="4" w:space="0" w:color="auto"/>
            </w:tcBorders>
          </w:tcPr>
          <w:p w14:paraId="7E8CCF89" w14:textId="77777777" w:rsidR="0008746D" w:rsidRPr="004B20CF" w:rsidRDefault="0008746D" w:rsidP="00E1141B">
            <w:pPr>
              <w:pStyle w:val="TableText0"/>
              <w:jc w:val="center"/>
              <w:rPr>
                <w:szCs w:val="20"/>
              </w:rPr>
            </w:pPr>
            <w:r w:rsidRPr="004B20CF">
              <w:rPr>
                <w:szCs w:val="20"/>
              </w:rPr>
              <w:t>6</w:t>
            </w:r>
            <w:r>
              <w:rPr>
                <w:szCs w:val="20"/>
              </w:rPr>
              <w:t>%</w:t>
            </w:r>
            <w:r w:rsidRPr="004B20CF">
              <w:rPr>
                <w:szCs w:val="20"/>
              </w:rPr>
              <w:t xml:space="preserve"> (4/67)</w:t>
            </w:r>
          </w:p>
          <w:p w14:paraId="7B02C84E" w14:textId="77777777" w:rsidR="0008746D" w:rsidRPr="004B20CF" w:rsidRDefault="0008746D" w:rsidP="00E1141B">
            <w:pPr>
              <w:pStyle w:val="TableText0"/>
              <w:jc w:val="center"/>
              <w:rPr>
                <w:szCs w:val="20"/>
              </w:rPr>
            </w:pPr>
            <w:r w:rsidRPr="004B20CF">
              <w:rPr>
                <w:szCs w:val="20"/>
              </w:rPr>
              <w:t>[2, 15]</w:t>
            </w:r>
          </w:p>
        </w:tc>
        <w:tc>
          <w:tcPr>
            <w:tcW w:w="944" w:type="pct"/>
            <w:tcBorders>
              <w:top w:val="single" w:sz="4" w:space="0" w:color="auto"/>
              <w:left w:val="single" w:sz="4" w:space="0" w:color="auto"/>
              <w:bottom w:val="single" w:sz="4" w:space="0" w:color="auto"/>
              <w:right w:val="single" w:sz="4" w:space="0" w:color="auto"/>
            </w:tcBorders>
          </w:tcPr>
          <w:p w14:paraId="34CB5D2F" w14:textId="77777777" w:rsidR="0008746D" w:rsidRPr="004B20CF" w:rsidRDefault="0008746D" w:rsidP="00E1141B">
            <w:pPr>
              <w:pStyle w:val="TableText0"/>
              <w:rPr>
                <w:szCs w:val="20"/>
              </w:rPr>
            </w:pPr>
            <w:r w:rsidRPr="004B20CF">
              <w:rPr>
                <w:szCs w:val="20"/>
              </w:rPr>
              <w:t>p=0.0001</w:t>
            </w:r>
          </w:p>
        </w:tc>
        <w:tc>
          <w:tcPr>
            <w:tcW w:w="916" w:type="pct"/>
            <w:tcBorders>
              <w:top w:val="single" w:sz="4" w:space="0" w:color="auto"/>
              <w:left w:val="single" w:sz="4" w:space="0" w:color="auto"/>
              <w:bottom w:val="single" w:sz="4" w:space="0" w:color="auto"/>
              <w:right w:val="single" w:sz="4" w:space="0" w:color="auto"/>
            </w:tcBorders>
          </w:tcPr>
          <w:p w14:paraId="78C2AFDC" w14:textId="77777777" w:rsidR="0008746D" w:rsidRPr="004B20CF" w:rsidRDefault="0008746D" w:rsidP="00E1141B">
            <w:pPr>
              <w:pStyle w:val="TableText0"/>
              <w:rPr>
                <w:szCs w:val="20"/>
              </w:rPr>
            </w:pPr>
            <w:r w:rsidRPr="004B20CF">
              <w:rPr>
                <w:szCs w:val="20"/>
              </w:rPr>
              <w:t xml:space="preserve">Death was more frequent in </w:t>
            </w:r>
            <w:proofErr w:type="spellStart"/>
            <w:r w:rsidRPr="004B20CF">
              <w:rPr>
                <w:szCs w:val="20"/>
              </w:rPr>
              <w:t>aHUS</w:t>
            </w:r>
            <w:proofErr w:type="spellEnd"/>
            <w:r w:rsidRPr="004B20CF">
              <w:rPr>
                <w:szCs w:val="20"/>
              </w:rPr>
              <w:t xml:space="preserve"> patients with genetic variants compared with the non-genetic group.</w:t>
            </w:r>
          </w:p>
        </w:tc>
      </w:tr>
    </w:tbl>
    <w:p w14:paraId="67D19CC1" w14:textId="77777777" w:rsidR="0008746D" w:rsidRPr="004B20CF" w:rsidRDefault="0008746D" w:rsidP="0008746D">
      <w:pPr>
        <w:pStyle w:val="Tablenotes1"/>
      </w:pPr>
      <w:proofErr w:type="spellStart"/>
      <w:r w:rsidRPr="004B20CF">
        <w:t>aHUS</w:t>
      </w:r>
      <w:proofErr w:type="spellEnd"/>
      <w:r>
        <w:t xml:space="preserve"> </w:t>
      </w:r>
      <w:r w:rsidRPr="004B20CF">
        <w:t>=</w:t>
      </w:r>
      <w:r>
        <w:t xml:space="preserve"> </w:t>
      </w:r>
      <w:r w:rsidRPr="004B20CF">
        <w:t>atypic</w:t>
      </w:r>
      <w:r>
        <w:t xml:space="preserve">al haemolytic uraemic syndrome; </w:t>
      </w:r>
      <w:r w:rsidRPr="004B20CF">
        <w:t>CI</w:t>
      </w:r>
      <w:r>
        <w:t xml:space="preserve"> </w:t>
      </w:r>
      <w:r w:rsidRPr="004B20CF">
        <w:t>=</w:t>
      </w:r>
      <w:r>
        <w:t xml:space="preserve"> </w:t>
      </w:r>
      <w:r w:rsidRPr="004B20CF">
        <w:t>confidence interval;</w:t>
      </w:r>
      <w:r w:rsidRPr="00F71CC3">
        <w:t xml:space="preserve"> </w:t>
      </w:r>
      <w:r>
        <w:t xml:space="preserve">k </w:t>
      </w:r>
      <w:r w:rsidRPr="004B20CF">
        <w:t>=</w:t>
      </w:r>
      <w:r>
        <w:t xml:space="preserve"> </w:t>
      </w:r>
      <w:r w:rsidRPr="004B20CF">
        <w:t>number of studies; n</w:t>
      </w:r>
      <w:r>
        <w:t xml:space="preserve"> </w:t>
      </w:r>
      <w:r w:rsidRPr="004B20CF">
        <w:t>= number of positives; N</w:t>
      </w:r>
      <w:r>
        <w:t xml:space="preserve"> </w:t>
      </w:r>
      <w:r w:rsidRPr="004B20CF">
        <w:t>=</w:t>
      </w:r>
      <w:r>
        <w:t xml:space="preserve"> </w:t>
      </w:r>
      <w:r w:rsidRPr="004B20CF">
        <w:t>total sample size</w:t>
      </w:r>
      <w:r>
        <w:t>.</w:t>
      </w:r>
    </w:p>
    <w:p w14:paraId="6F779671" w14:textId="77777777" w:rsidR="0008746D" w:rsidRPr="004B20CF" w:rsidRDefault="0008746D" w:rsidP="0008746D">
      <w:pPr>
        <w:pStyle w:val="Tablenotes1"/>
      </w:pPr>
      <w:r>
        <w:rPr>
          <w:rStyle w:val="TablenotesChar"/>
          <w:vertAlign w:val="superscript"/>
        </w:rPr>
        <w:t>a</w:t>
      </w:r>
      <w:r>
        <w:rPr>
          <w:rStyle w:val="TablenotesChar"/>
        </w:rPr>
        <w:t xml:space="preserve"> GRADE Working Group grades of evidence:</w:t>
      </w:r>
      <w:r w:rsidRPr="004B20CF">
        <w:rPr>
          <w:rStyle w:val="TablenotesChar"/>
          <w:vertAlign w:val="superscript"/>
        </w:rPr>
        <w:footnoteReference w:id="12"/>
      </w:r>
      <w:r>
        <w:br/>
      </w:r>
      <w:r w:rsidRPr="004B20CF">
        <w:rPr>
          <w:rFonts w:ascii="Cambria Math" w:hAnsi="Cambria Math"/>
          <w:color w:val="00B050"/>
        </w:rPr>
        <w:t xml:space="preserve">⨁⨁⨁⨁ </w:t>
      </w:r>
      <w:r w:rsidRPr="004B20CF">
        <w:rPr>
          <w:b/>
          <w:bCs/>
        </w:rPr>
        <w:t>High quality:</w:t>
      </w:r>
      <w:r w:rsidRPr="004B20CF">
        <w:t xml:space="preserve"> We are very confident that the true effect lies close to that of the estimate of effect. </w:t>
      </w:r>
      <w:r w:rsidRPr="004B20CF">
        <w:br/>
      </w:r>
      <w:r w:rsidRPr="004B20CF">
        <w:rPr>
          <w:rFonts w:ascii="Cambria Math" w:hAnsi="Cambria Math"/>
          <w:color w:val="00B050"/>
        </w:rPr>
        <w:t>⨁⨁⨁</w:t>
      </w:r>
      <w:r w:rsidRPr="004B20CF">
        <w:rPr>
          <w:rFonts w:ascii="Cambria Math" w:hAnsi="Cambria Math" w:cs="Cambria Math"/>
          <w:color w:val="C00000"/>
        </w:rPr>
        <w:t xml:space="preserve">⨀ </w:t>
      </w:r>
      <w:r w:rsidRPr="004B20CF">
        <w:rPr>
          <w:b/>
          <w:bCs/>
        </w:rPr>
        <w:t>Moderate quality:</w:t>
      </w:r>
      <w:r w:rsidRPr="004B20CF">
        <w:t xml:space="preserve"> We are moderately confident in the effect estimate: The true effect is likely to be close to the estimate of the effect, but there is a possibility that it is substantially different. </w:t>
      </w:r>
      <w:r w:rsidRPr="004B20CF">
        <w:br/>
      </w:r>
      <w:r w:rsidRPr="004B20CF">
        <w:rPr>
          <w:rFonts w:ascii="Cambria Math" w:hAnsi="Cambria Math"/>
          <w:color w:val="00B050"/>
        </w:rPr>
        <w:t>⨁⨁</w:t>
      </w:r>
      <w:r w:rsidRPr="004B20CF">
        <w:rPr>
          <w:rFonts w:ascii="Cambria Math" w:hAnsi="Cambria Math" w:cs="Cambria Math"/>
          <w:color w:val="C00000"/>
        </w:rPr>
        <w:t xml:space="preserve">⨀⨀ </w:t>
      </w:r>
      <w:r w:rsidRPr="004B20CF">
        <w:rPr>
          <w:b/>
          <w:bCs/>
        </w:rPr>
        <w:t>Low quality:</w:t>
      </w:r>
      <w:r w:rsidRPr="004B20CF">
        <w:t xml:space="preserve"> Our confidence in the effect estimate is limited: The true effect may be substantially different from the estimate of the effect.</w:t>
      </w:r>
      <w:r w:rsidRPr="004B20CF">
        <w:br/>
      </w:r>
      <w:r w:rsidRPr="004B20CF">
        <w:rPr>
          <w:rFonts w:ascii="Cambria Math" w:hAnsi="Cambria Math"/>
          <w:color w:val="00B050"/>
        </w:rPr>
        <w:t>⨁</w:t>
      </w:r>
      <w:r w:rsidRPr="004B20CF">
        <w:rPr>
          <w:rFonts w:ascii="Cambria Math" w:hAnsi="Cambria Math" w:cs="Cambria Math"/>
          <w:color w:val="C00000"/>
        </w:rPr>
        <w:t xml:space="preserve">⨀⨀⨀ </w:t>
      </w:r>
      <w:r w:rsidRPr="004B20CF">
        <w:rPr>
          <w:b/>
          <w:bCs/>
        </w:rPr>
        <w:t>Very low quality:</w:t>
      </w:r>
      <w:r w:rsidRPr="004B20CF">
        <w:t xml:space="preserve"> We have very little confidence in the effect estimate: The true effect is likely to be substantially different from the estimate of effect.</w:t>
      </w:r>
    </w:p>
    <w:p w14:paraId="38789EA8" w14:textId="5A41A73F" w:rsidR="00522FF5" w:rsidRDefault="0008746D" w:rsidP="0008746D">
      <w:pPr>
        <w:pStyle w:val="Tablenotes1"/>
      </w:pPr>
      <w:r>
        <w:t>Source: based on DCAR, Table 8</w:t>
      </w:r>
    </w:p>
    <w:p w14:paraId="1ABD9A48" w14:textId="77777777" w:rsidR="0008746D" w:rsidRDefault="0008746D" w:rsidP="002C5532">
      <w:pPr>
        <w:pStyle w:val="Heading2"/>
      </w:pPr>
      <w:r>
        <w:t>Predictive validity</w:t>
      </w:r>
    </w:p>
    <w:p w14:paraId="76D487FB" w14:textId="77777777" w:rsidR="0008746D" w:rsidRDefault="0008746D" w:rsidP="0008746D">
      <w:r>
        <w:t>ESC noted that the e</w:t>
      </w:r>
      <w:r w:rsidRPr="00F71CC3">
        <w:t>vidence for health benefit from change in management was in the form of clinical prediction of therapeutic effectiveness by genetic test result</w:t>
      </w:r>
      <w:r>
        <w:t xml:space="preserve"> (</w:t>
      </w:r>
      <w:fldSimple w:instr=" REF _Ref68677033 ">
        <w:r>
          <w:t xml:space="preserve">Table </w:t>
        </w:r>
        <w:r>
          <w:rPr>
            <w:noProof/>
          </w:rPr>
          <w:t>11</w:t>
        </w:r>
      </w:fldSimple>
      <w:r>
        <w:t>)</w:t>
      </w:r>
      <w:r w:rsidRPr="00F71CC3">
        <w:t>.</w:t>
      </w:r>
      <w:r>
        <w:t xml:space="preserve"> The DCAR stated that in population 1, the systematic literature search retrieved one suitable study investigating the treatment effects before and after tolvaptan therapy in patients with ADPKD with and without genetic variations. Although significant improvement in the reduction of total kidney volume and estimated glomerular filtration rate was observed in patients with ADPKD with </w:t>
      </w:r>
      <w:r w:rsidRPr="00FD40FF">
        <w:rPr>
          <w:i/>
        </w:rPr>
        <w:t>P</w:t>
      </w:r>
      <w:r>
        <w:rPr>
          <w:i/>
        </w:rPr>
        <w:t>K</w:t>
      </w:r>
      <w:r w:rsidRPr="00FD40FF">
        <w:rPr>
          <w:i/>
        </w:rPr>
        <w:t>D1/2</w:t>
      </w:r>
      <w:r>
        <w:t xml:space="preserve"> variants compared to patients without </w:t>
      </w:r>
      <w:r w:rsidRPr="00FD40FF">
        <w:rPr>
          <w:i/>
        </w:rPr>
        <w:t>P</w:t>
      </w:r>
      <w:r>
        <w:rPr>
          <w:i/>
        </w:rPr>
        <w:t>K</w:t>
      </w:r>
      <w:r w:rsidRPr="00FD40FF">
        <w:rPr>
          <w:i/>
        </w:rPr>
        <w:t>D1/2</w:t>
      </w:r>
      <w:r>
        <w:t xml:space="preserve"> variants after tolvaptan treatment, the study design was retrospective and non-randomised and the sample size was small (n=18). Therefore, conclusive evidence was not available.</w:t>
      </w:r>
    </w:p>
    <w:p w14:paraId="5271A17E" w14:textId="77777777" w:rsidR="0008746D" w:rsidRDefault="0008746D" w:rsidP="0008746D">
      <w:r>
        <w:t>The DCAR noted that in population 2-glomerular diseases subtype, results pooled from four studies showed that patients with genetic variants do not respond to immunosuppressive therapies (mainly cyclosporin). Therefore, the evidence indicates that unnecessary exposure to immunosuppressive agents and their side-effects can be avoided in SRNS patients with genetic disease. For population 2-complement diseases, results obtained from two studies indicated that the variant status of patients did not influence response to eculizumab treatment.</w:t>
      </w:r>
    </w:p>
    <w:p w14:paraId="69F4AB88" w14:textId="78B3E487" w:rsidR="0008746D" w:rsidRDefault="0008746D" w:rsidP="0008746D">
      <w:pPr>
        <w:pStyle w:val="Caption"/>
      </w:pPr>
      <w:bookmarkStart w:id="22" w:name="_Ref64965465"/>
      <w:bookmarkStart w:id="23" w:name="_Ref68677033"/>
      <w:r>
        <w:lastRenderedPageBreak/>
        <w:t xml:space="preserve">Table </w:t>
      </w:r>
      <w:fldSimple w:instr=" SEQ Table \* ARABIC ">
        <w:r w:rsidR="00627B6A">
          <w:rPr>
            <w:noProof/>
          </w:rPr>
          <w:t>11</w:t>
        </w:r>
      </w:fldSimple>
      <w:bookmarkEnd w:id="22"/>
      <w:bookmarkEnd w:id="23"/>
      <w:r>
        <w:t xml:space="preserve"> </w:t>
      </w:r>
      <w:r>
        <w:tab/>
        <w:t xml:space="preserve">Summary of key predictive validity findings for the linked evidence comparison of </w:t>
      </w:r>
      <w:r w:rsidRPr="00FE6048">
        <w:t xml:space="preserve">chronic kidney disease </w:t>
      </w:r>
      <w:r>
        <w:t xml:space="preserve">patients with versus without </w:t>
      </w:r>
      <w:r w:rsidRPr="00FE6048">
        <w:t xml:space="preserve">genetic </w:t>
      </w:r>
      <w:r>
        <w:t>variants</w:t>
      </w:r>
    </w:p>
    <w:tbl>
      <w:tblPr>
        <w:tblStyle w:val="TableGrid1"/>
        <w:tblW w:w="5000" w:type="pct"/>
        <w:tblLook w:val="04A0" w:firstRow="1" w:lastRow="0" w:firstColumn="1" w:lastColumn="0" w:noHBand="0" w:noVBand="1"/>
        <w:tblDescription w:val="Summary of findings table"/>
      </w:tblPr>
      <w:tblGrid>
        <w:gridCol w:w="1208"/>
        <w:gridCol w:w="1657"/>
        <w:gridCol w:w="919"/>
        <w:gridCol w:w="919"/>
        <w:gridCol w:w="934"/>
        <w:gridCol w:w="1360"/>
        <w:gridCol w:w="2019"/>
      </w:tblGrid>
      <w:tr w:rsidR="0008746D" w:rsidRPr="0008746D" w14:paraId="43CE26C2" w14:textId="77777777" w:rsidTr="005E3F29">
        <w:trPr>
          <w:tblHeader/>
        </w:trPr>
        <w:tc>
          <w:tcPr>
            <w:tcW w:w="695" w:type="pct"/>
            <w:tcBorders>
              <w:top w:val="single" w:sz="4" w:space="0" w:color="auto"/>
              <w:left w:val="single" w:sz="4" w:space="0" w:color="auto"/>
              <w:bottom w:val="single" w:sz="4" w:space="0" w:color="auto"/>
              <w:right w:val="single" w:sz="4" w:space="0" w:color="auto"/>
            </w:tcBorders>
            <w:hideMark/>
          </w:tcPr>
          <w:p w14:paraId="6A6574EB" w14:textId="77777777" w:rsidR="0008746D" w:rsidRPr="0008746D" w:rsidRDefault="0008746D" w:rsidP="0008746D">
            <w:pPr>
              <w:pStyle w:val="TableHeading"/>
            </w:pPr>
            <w:r w:rsidRPr="0008746D">
              <w:t>Outcomes, number of studies, study references</w:t>
            </w:r>
          </w:p>
        </w:tc>
        <w:tc>
          <w:tcPr>
            <w:tcW w:w="944" w:type="pct"/>
            <w:tcBorders>
              <w:top w:val="single" w:sz="4" w:space="0" w:color="auto"/>
              <w:left w:val="single" w:sz="4" w:space="0" w:color="auto"/>
              <w:bottom w:val="single" w:sz="4" w:space="0" w:color="auto"/>
              <w:right w:val="single" w:sz="4" w:space="0" w:color="auto"/>
            </w:tcBorders>
            <w:hideMark/>
          </w:tcPr>
          <w:p w14:paraId="51434685" w14:textId="77777777" w:rsidR="0008746D" w:rsidRPr="0008746D" w:rsidRDefault="0008746D" w:rsidP="0008746D">
            <w:pPr>
              <w:pStyle w:val="TableHeading"/>
            </w:pPr>
            <w:r w:rsidRPr="0008746D">
              <w:t xml:space="preserve">Participants </w:t>
            </w:r>
          </w:p>
        </w:tc>
        <w:tc>
          <w:tcPr>
            <w:tcW w:w="398" w:type="pct"/>
            <w:tcBorders>
              <w:top w:val="single" w:sz="4" w:space="0" w:color="auto"/>
              <w:left w:val="single" w:sz="4" w:space="0" w:color="auto"/>
              <w:bottom w:val="single" w:sz="4" w:space="0" w:color="auto"/>
              <w:right w:val="single" w:sz="4" w:space="0" w:color="auto"/>
            </w:tcBorders>
            <w:hideMark/>
          </w:tcPr>
          <w:p w14:paraId="1CF52C6B" w14:textId="77777777" w:rsidR="0008746D" w:rsidRPr="0008746D" w:rsidRDefault="0008746D" w:rsidP="0008746D">
            <w:pPr>
              <w:pStyle w:val="TableHeading"/>
            </w:pPr>
            <w:r w:rsidRPr="0008746D">
              <w:t>Quality of evidence (GRADE) a</w:t>
            </w:r>
          </w:p>
        </w:tc>
        <w:tc>
          <w:tcPr>
            <w:tcW w:w="497" w:type="pct"/>
            <w:tcBorders>
              <w:top w:val="single" w:sz="4" w:space="0" w:color="auto"/>
              <w:left w:val="single" w:sz="4" w:space="0" w:color="auto"/>
              <w:bottom w:val="single" w:sz="4" w:space="0" w:color="auto"/>
              <w:right w:val="single" w:sz="4" w:space="0" w:color="auto"/>
            </w:tcBorders>
            <w:hideMark/>
          </w:tcPr>
          <w:p w14:paraId="04B5BF05" w14:textId="77777777" w:rsidR="0008746D" w:rsidRPr="0008746D" w:rsidRDefault="0008746D" w:rsidP="0008746D">
            <w:pPr>
              <w:pStyle w:val="TableHeading"/>
            </w:pPr>
            <w:r w:rsidRPr="0008746D">
              <w:t>Genetic variant % (n/N)</w:t>
            </w:r>
          </w:p>
          <w:p w14:paraId="4B6DD47E" w14:textId="77777777" w:rsidR="0008746D" w:rsidRPr="0008746D" w:rsidRDefault="0008746D" w:rsidP="0008746D">
            <w:pPr>
              <w:pStyle w:val="TableHeading"/>
            </w:pPr>
            <w:r w:rsidRPr="0008746D">
              <w:t>[95% CI]</w:t>
            </w:r>
          </w:p>
        </w:tc>
        <w:tc>
          <w:tcPr>
            <w:tcW w:w="543" w:type="pct"/>
            <w:tcBorders>
              <w:top w:val="single" w:sz="4" w:space="0" w:color="auto"/>
              <w:left w:val="single" w:sz="4" w:space="0" w:color="auto"/>
              <w:bottom w:val="single" w:sz="4" w:space="0" w:color="auto"/>
              <w:right w:val="single" w:sz="4" w:space="0" w:color="auto"/>
            </w:tcBorders>
            <w:hideMark/>
          </w:tcPr>
          <w:p w14:paraId="4F7DD005" w14:textId="77777777" w:rsidR="0008746D" w:rsidRPr="0008746D" w:rsidRDefault="0008746D" w:rsidP="0008746D">
            <w:pPr>
              <w:pStyle w:val="TableHeading"/>
            </w:pPr>
            <w:r w:rsidRPr="0008746D">
              <w:t>No genetic variant</w:t>
            </w:r>
          </w:p>
          <w:p w14:paraId="28A23F63" w14:textId="77777777" w:rsidR="0008746D" w:rsidRPr="0008746D" w:rsidRDefault="0008746D" w:rsidP="0008746D">
            <w:pPr>
              <w:pStyle w:val="TableHeading"/>
            </w:pPr>
            <w:r w:rsidRPr="0008746D">
              <w:t>% (n/N) [95% CI]</w:t>
            </w:r>
          </w:p>
        </w:tc>
        <w:tc>
          <w:tcPr>
            <w:tcW w:w="779" w:type="pct"/>
            <w:tcBorders>
              <w:top w:val="single" w:sz="4" w:space="0" w:color="auto"/>
              <w:left w:val="single" w:sz="4" w:space="0" w:color="auto"/>
              <w:bottom w:val="single" w:sz="4" w:space="0" w:color="auto"/>
              <w:right w:val="single" w:sz="4" w:space="0" w:color="auto"/>
            </w:tcBorders>
            <w:hideMark/>
          </w:tcPr>
          <w:p w14:paraId="73667E32" w14:textId="77777777" w:rsidR="0008746D" w:rsidRPr="0008746D" w:rsidRDefault="0008746D" w:rsidP="0008746D">
            <w:pPr>
              <w:pStyle w:val="TableHeading"/>
            </w:pPr>
            <w:r w:rsidRPr="0008746D">
              <w:t>Fischer exact test for the difference (treatment effect modification)</w:t>
            </w:r>
          </w:p>
        </w:tc>
        <w:tc>
          <w:tcPr>
            <w:tcW w:w="1144" w:type="pct"/>
            <w:tcBorders>
              <w:top w:val="single" w:sz="4" w:space="0" w:color="auto"/>
              <w:left w:val="single" w:sz="4" w:space="0" w:color="auto"/>
              <w:bottom w:val="single" w:sz="4" w:space="0" w:color="auto"/>
              <w:right w:val="single" w:sz="4" w:space="0" w:color="auto"/>
            </w:tcBorders>
            <w:hideMark/>
          </w:tcPr>
          <w:p w14:paraId="3E043E13" w14:textId="77777777" w:rsidR="0008746D" w:rsidRPr="0008746D" w:rsidRDefault="0008746D" w:rsidP="0008746D">
            <w:pPr>
              <w:pStyle w:val="TableHeading"/>
            </w:pPr>
            <w:r w:rsidRPr="0008746D">
              <w:t>Comments</w:t>
            </w:r>
          </w:p>
        </w:tc>
      </w:tr>
      <w:tr w:rsidR="0008746D" w:rsidRPr="0008746D" w14:paraId="6A1B276C" w14:textId="77777777" w:rsidTr="00E1141B">
        <w:tc>
          <w:tcPr>
            <w:tcW w:w="695" w:type="pct"/>
            <w:tcBorders>
              <w:top w:val="single" w:sz="4" w:space="0" w:color="auto"/>
              <w:left w:val="single" w:sz="4" w:space="0" w:color="auto"/>
              <w:bottom w:val="single" w:sz="4" w:space="0" w:color="auto"/>
              <w:right w:val="single" w:sz="4" w:space="0" w:color="auto"/>
            </w:tcBorders>
          </w:tcPr>
          <w:p w14:paraId="56B1C1BC" w14:textId="77777777" w:rsidR="0008746D" w:rsidRPr="0008746D" w:rsidRDefault="0008746D" w:rsidP="00E1141B">
            <w:pPr>
              <w:spacing w:after="40"/>
              <w:rPr>
                <w:rFonts w:ascii="Arial Narrow" w:hAnsi="Arial Narrow" w:cs="Arial"/>
                <w:sz w:val="20"/>
                <w:szCs w:val="20"/>
              </w:rPr>
            </w:pPr>
            <w:r w:rsidRPr="0008746D">
              <w:rPr>
                <w:rFonts w:ascii="Arial Narrow" w:hAnsi="Arial Narrow" w:cs="Arial"/>
                <w:sz w:val="20"/>
                <w:szCs w:val="20"/>
              </w:rPr>
              <w:t xml:space="preserve">Improvement in kidney function after tolvaptan therapy, k=1 </w:t>
            </w:r>
            <w:r w:rsidRPr="0008746D">
              <w:rPr>
                <w:rStyle w:val="FootnoteReference"/>
                <w:rFonts w:ascii="Arial Narrow" w:hAnsi="Arial Narrow" w:cs="Arial"/>
                <w:sz w:val="20"/>
                <w:szCs w:val="20"/>
              </w:rPr>
              <w:footnoteReference w:id="13"/>
            </w:r>
          </w:p>
        </w:tc>
        <w:tc>
          <w:tcPr>
            <w:tcW w:w="944" w:type="pct"/>
            <w:vMerge w:val="restart"/>
            <w:tcBorders>
              <w:top w:val="single" w:sz="4" w:space="0" w:color="auto"/>
              <w:left w:val="single" w:sz="4" w:space="0" w:color="auto"/>
              <w:right w:val="single" w:sz="4" w:space="0" w:color="auto"/>
            </w:tcBorders>
          </w:tcPr>
          <w:p w14:paraId="7C621A4A" w14:textId="77777777" w:rsidR="0008746D" w:rsidRPr="0008746D" w:rsidRDefault="0008746D" w:rsidP="00E1141B">
            <w:pPr>
              <w:spacing w:after="40"/>
              <w:rPr>
                <w:rFonts w:ascii="Arial Narrow" w:hAnsi="Arial Narrow" w:cs="Arial"/>
                <w:sz w:val="20"/>
                <w:szCs w:val="20"/>
              </w:rPr>
            </w:pPr>
            <w:r w:rsidRPr="0008746D">
              <w:rPr>
                <w:rFonts w:ascii="Arial Narrow" w:hAnsi="Arial Narrow" w:cs="Arial"/>
                <w:b/>
                <w:bCs/>
                <w:sz w:val="20"/>
                <w:szCs w:val="20"/>
              </w:rPr>
              <w:t>Population 1</w:t>
            </w:r>
            <w:r w:rsidRPr="0008746D">
              <w:rPr>
                <w:rFonts w:ascii="Arial Narrow" w:hAnsi="Arial Narrow" w:cs="Arial"/>
                <w:sz w:val="20"/>
                <w:szCs w:val="20"/>
              </w:rPr>
              <w:t xml:space="preserve">: </w:t>
            </w:r>
          </w:p>
          <w:p w14:paraId="5A9796A5" w14:textId="77777777" w:rsidR="0008746D" w:rsidRPr="0008746D" w:rsidRDefault="0008746D" w:rsidP="00E1141B">
            <w:pPr>
              <w:spacing w:after="40"/>
              <w:rPr>
                <w:rFonts w:ascii="Arial Narrow" w:hAnsi="Arial Narrow" w:cs="Arial"/>
                <w:sz w:val="20"/>
                <w:szCs w:val="20"/>
              </w:rPr>
            </w:pPr>
            <w:r w:rsidRPr="0008746D">
              <w:rPr>
                <w:rFonts w:ascii="Arial Narrow" w:hAnsi="Arial Narrow" w:cs="Arial"/>
                <w:sz w:val="20"/>
                <w:szCs w:val="20"/>
                <w:u w:val="single"/>
              </w:rPr>
              <w:t>ADPKD</w:t>
            </w:r>
            <w:r w:rsidRPr="0008746D">
              <w:rPr>
                <w:rFonts w:ascii="Arial Narrow" w:hAnsi="Arial Narrow" w:cs="Arial"/>
                <w:sz w:val="20"/>
                <w:szCs w:val="20"/>
              </w:rPr>
              <w:t xml:space="preserve"> patients before and after tolvaptan therapy</w:t>
            </w:r>
          </w:p>
        </w:tc>
        <w:tc>
          <w:tcPr>
            <w:tcW w:w="398" w:type="pct"/>
            <w:vMerge w:val="restart"/>
            <w:tcBorders>
              <w:top w:val="single" w:sz="4" w:space="0" w:color="auto"/>
              <w:left w:val="single" w:sz="4" w:space="0" w:color="auto"/>
              <w:right w:val="single" w:sz="4" w:space="0" w:color="auto"/>
            </w:tcBorders>
          </w:tcPr>
          <w:p w14:paraId="047B2B43" w14:textId="77777777" w:rsidR="0008746D" w:rsidRPr="0008746D" w:rsidRDefault="0008746D" w:rsidP="00E1141B">
            <w:pPr>
              <w:spacing w:after="40"/>
              <w:jc w:val="center"/>
              <w:rPr>
                <w:rFonts w:ascii="Cambria Math" w:hAnsi="Cambria Math" w:cs="Cambria Math"/>
                <w:color w:val="00B050"/>
                <w:sz w:val="20"/>
                <w:szCs w:val="20"/>
              </w:rPr>
            </w:pPr>
            <w:r w:rsidRPr="0008746D">
              <w:rPr>
                <w:rFonts w:ascii="Cambria Math" w:hAnsi="Cambria Math"/>
                <w:color w:val="00B050"/>
                <w:sz w:val="20"/>
                <w:szCs w:val="20"/>
              </w:rPr>
              <w:t>⨁⨁</w:t>
            </w:r>
            <w:r w:rsidRPr="0008746D">
              <w:rPr>
                <w:rFonts w:ascii="Cambria Math" w:hAnsi="Cambria Math" w:cs="Cambria Math"/>
                <w:color w:val="C00000"/>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04374B5C"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28%</w:t>
            </w:r>
          </w:p>
        </w:tc>
        <w:tc>
          <w:tcPr>
            <w:tcW w:w="543" w:type="pct"/>
            <w:tcBorders>
              <w:top w:val="single" w:sz="4" w:space="0" w:color="auto"/>
              <w:left w:val="single" w:sz="4" w:space="0" w:color="auto"/>
              <w:bottom w:val="single" w:sz="4" w:space="0" w:color="auto"/>
              <w:right w:val="single" w:sz="4" w:space="0" w:color="auto"/>
            </w:tcBorders>
          </w:tcPr>
          <w:p w14:paraId="5852CDBB"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-37%</w:t>
            </w:r>
          </w:p>
        </w:tc>
        <w:tc>
          <w:tcPr>
            <w:tcW w:w="779" w:type="pct"/>
            <w:tcBorders>
              <w:top w:val="single" w:sz="4" w:space="0" w:color="auto"/>
              <w:left w:val="single" w:sz="4" w:space="0" w:color="auto"/>
              <w:bottom w:val="single" w:sz="4" w:space="0" w:color="auto"/>
              <w:right w:val="single" w:sz="4" w:space="0" w:color="auto"/>
            </w:tcBorders>
          </w:tcPr>
          <w:p w14:paraId="7BAB5972"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p=0.01</w:t>
            </w:r>
          </w:p>
        </w:tc>
        <w:tc>
          <w:tcPr>
            <w:tcW w:w="1144" w:type="pct"/>
            <w:tcBorders>
              <w:top w:val="single" w:sz="4" w:space="0" w:color="auto"/>
              <w:left w:val="single" w:sz="4" w:space="0" w:color="auto"/>
              <w:bottom w:val="single" w:sz="4" w:space="0" w:color="auto"/>
              <w:right w:val="single" w:sz="4" w:space="0" w:color="auto"/>
            </w:tcBorders>
          </w:tcPr>
          <w:p w14:paraId="7793546F" w14:textId="77777777" w:rsidR="0008746D" w:rsidRPr="0008746D" w:rsidRDefault="0008746D" w:rsidP="00E1141B">
            <w:pPr>
              <w:spacing w:after="40"/>
              <w:rPr>
                <w:rFonts w:ascii="Arial Narrow" w:hAnsi="Arial Narrow" w:cs="Arial"/>
                <w:i/>
                <w:sz w:val="20"/>
                <w:szCs w:val="20"/>
              </w:rPr>
            </w:pPr>
            <w:proofErr w:type="spellStart"/>
            <w:r w:rsidRPr="0008746D">
              <w:rPr>
                <w:rFonts w:ascii="Arial Narrow" w:hAnsi="Arial Narrow" w:cs="Arial"/>
                <w:i/>
                <w:sz w:val="20"/>
                <w:szCs w:val="20"/>
              </w:rPr>
              <w:t>ΔeGFR</w:t>
            </w:r>
            <w:proofErr w:type="spellEnd"/>
            <w:r w:rsidRPr="0008746D">
              <w:rPr>
                <w:rFonts w:ascii="Arial Narrow" w:hAnsi="Arial Narrow" w:cs="Arial"/>
                <w:i/>
                <w:sz w:val="20"/>
                <w:szCs w:val="20"/>
              </w:rPr>
              <w:t xml:space="preserve">/y </w:t>
            </w:r>
            <w:r w:rsidRPr="0008746D">
              <w:rPr>
                <w:rFonts w:ascii="Arial Narrow" w:hAnsi="Arial Narrow" w:cs="Arial"/>
                <w:i/>
                <w:sz w:val="20"/>
                <w:szCs w:val="20"/>
                <w:vertAlign w:val="superscript"/>
              </w:rPr>
              <w:t>b</w:t>
            </w:r>
            <w:r w:rsidRPr="0008746D">
              <w:rPr>
                <w:rFonts w:ascii="Arial Narrow" w:hAnsi="Arial Narrow" w:cs="Arial"/>
                <w:i/>
                <w:sz w:val="20"/>
                <w:szCs w:val="20"/>
              </w:rPr>
              <w:t xml:space="preserve"> improved more with tolvaptan therapy in the group with a variant in </w:t>
            </w:r>
            <w:r w:rsidRPr="0008746D">
              <w:rPr>
                <w:rFonts w:ascii="Arial Narrow" w:hAnsi="Arial Narrow" w:cs="Arial"/>
                <w:i/>
                <w:iCs/>
                <w:sz w:val="20"/>
                <w:szCs w:val="20"/>
              </w:rPr>
              <w:t>PKD1</w:t>
            </w:r>
            <w:r w:rsidRPr="0008746D">
              <w:rPr>
                <w:rFonts w:ascii="Arial Narrow" w:hAnsi="Arial Narrow" w:cs="Arial"/>
                <w:i/>
                <w:sz w:val="20"/>
                <w:szCs w:val="20"/>
              </w:rPr>
              <w:t xml:space="preserve"> or </w:t>
            </w:r>
            <w:r w:rsidRPr="0008746D">
              <w:rPr>
                <w:rFonts w:ascii="Arial Narrow" w:hAnsi="Arial Narrow" w:cs="Arial"/>
                <w:i/>
                <w:iCs/>
                <w:sz w:val="20"/>
                <w:szCs w:val="20"/>
              </w:rPr>
              <w:t>PKD2</w:t>
            </w:r>
            <w:r w:rsidRPr="0008746D">
              <w:rPr>
                <w:rFonts w:ascii="Arial Narrow" w:hAnsi="Arial Narrow" w:cs="Arial"/>
                <w:i/>
                <w:sz w:val="20"/>
                <w:szCs w:val="20"/>
              </w:rPr>
              <w:t xml:space="preserve"> than in the group without a variant in one of these genes</w:t>
            </w:r>
          </w:p>
        </w:tc>
      </w:tr>
      <w:tr w:rsidR="0008746D" w:rsidRPr="0008746D" w14:paraId="3EFF1991" w14:textId="77777777" w:rsidTr="00E1141B">
        <w:tc>
          <w:tcPr>
            <w:tcW w:w="695" w:type="pct"/>
            <w:tcBorders>
              <w:top w:val="single" w:sz="4" w:space="0" w:color="auto"/>
              <w:left w:val="single" w:sz="4" w:space="0" w:color="auto"/>
              <w:bottom w:val="single" w:sz="4" w:space="0" w:color="auto"/>
              <w:right w:val="single" w:sz="4" w:space="0" w:color="auto"/>
            </w:tcBorders>
          </w:tcPr>
          <w:p w14:paraId="2EC4593D" w14:textId="77777777" w:rsidR="0008746D" w:rsidRPr="0008746D" w:rsidRDefault="0008746D" w:rsidP="00E1141B">
            <w:pPr>
              <w:spacing w:after="40"/>
              <w:rPr>
                <w:rFonts w:ascii="Arial Narrow" w:hAnsi="Arial Narrow" w:cs="Arial"/>
                <w:sz w:val="20"/>
                <w:szCs w:val="20"/>
                <w:vertAlign w:val="superscript"/>
              </w:rPr>
            </w:pPr>
            <w:r w:rsidRPr="0008746D">
              <w:rPr>
                <w:rFonts w:ascii="Arial Narrow" w:hAnsi="Arial Narrow" w:cs="Arial"/>
                <w:sz w:val="20"/>
                <w:szCs w:val="20"/>
              </w:rPr>
              <w:t xml:space="preserve">Annual rate of TKV increase (%ΔTKV/y) </w:t>
            </w:r>
            <w:r w:rsidRPr="0008746D">
              <w:rPr>
                <w:rFonts w:ascii="Arial Narrow" w:hAnsi="Arial Narrow" w:cs="Arial"/>
                <w:sz w:val="20"/>
                <w:szCs w:val="20"/>
                <w:vertAlign w:val="superscript"/>
              </w:rPr>
              <w:t xml:space="preserve">c </w:t>
            </w:r>
            <w:r w:rsidRPr="0008746D">
              <w:rPr>
                <w:rStyle w:val="FootnoteReference"/>
                <w:rFonts w:ascii="Arial Narrow" w:hAnsi="Arial Narrow" w:cs="Arial"/>
                <w:sz w:val="20"/>
                <w:szCs w:val="20"/>
              </w:rPr>
              <w:footnoteReference w:id="14"/>
            </w:r>
          </w:p>
        </w:tc>
        <w:tc>
          <w:tcPr>
            <w:tcW w:w="944" w:type="pct"/>
            <w:vMerge/>
            <w:tcBorders>
              <w:left w:val="single" w:sz="4" w:space="0" w:color="auto"/>
              <w:bottom w:val="single" w:sz="4" w:space="0" w:color="auto"/>
              <w:right w:val="single" w:sz="4" w:space="0" w:color="auto"/>
            </w:tcBorders>
          </w:tcPr>
          <w:p w14:paraId="3DA04E6E" w14:textId="77777777" w:rsidR="0008746D" w:rsidRPr="0008746D" w:rsidRDefault="0008746D" w:rsidP="00E1141B">
            <w:pPr>
              <w:spacing w:after="40"/>
              <w:rPr>
                <w:rFonts w:ascii="Arial Narrow" w:hAnsi="Arial Narrow" w:cs="Arial"/>
                <w:sz w:val="20"/>
                <w:szCs w:val="20"/>
              </w:rPr>
            </w:pPr>
          </w:p>
        </w:tc>
        <w:tc>
          <w:tcPr>
            <w:tcW w:w="398" w:type="pct"/>
            <w:vMerge/>
            <w:tcBorders>
              <w:left w:val="single" w:sz="4" w:space="0" w:color="auto"/>
              <w:bottom w:val="single" w:sz="4" w:space="0" w:color="auto"/>
              <w:right w:val="single" w:sz="4" w:space="0" w:color="auto"/>
            </w:tcBorders>
          </w:tcPr>
          <w:p w14:paraId="49EDA08F" w14:textId="77777777" w:rsidR="0008746D" w:rsidRPr="0008746D" w:rsidRDefault="0008746D" w:rsidP="00E1141B">
            <w:pPr>
              <w:spacing w:after="40"/>
              <w:jc w:val="center"/>
              <w:rPr>
                <w:rFonts w:ascii="Cambria Math" w:hAnsi="Cambria Math"/>
                <w:color w:val="00B050"/>
                <w:sz w:val="20"/>
                <w:szCs w:val="20"/>
              </w:rPr>
            </w:pPr>
          </w:p>
        </w:tc>
        <w:tc>
          <w:tcPr>
            <w:tcW w:w="497" w:type="pct"/>
            <w:tcBorders>
              <w:top w:val="single" w:sz="4" w:space="0" w:color="auto"/>
              <w:left w:val="single" w:sz="4" w:space="0" w:color="auto"/>
              <w:bottom w:val="single" w:sz="4" w:space="0" w:color="auto"/>
              <w:right w:val="single" w:sz="4" w:space="0" w:color="auto"/>
            </w:tcBorders>
          </w:tcPr>
          <w:p w14:paraId="3C357C8B"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snapToGrid w:val="0"/>
                <w:sz w:val="20"/>
                <w:szCs w:val="20"/>
                <w:lang w:eastAsia="en-US"/>
              </w:rPr>
              <w:t>-6.7%</w:t>
            </w:r>
          </w:p>
        </w:tc>
        <w:tc>
          <w:tcPr>
            <w:tcW w:w="543" w:type="pct"/>
            <w:tcBorders>
              <w:top w:val="single" w:sz="4" w:space="0" w:color="auto"/>
              <w:left w:val="single" w:sz="4" w:space="0" w:color="auto"/>
              <w:bottom w:val="single" w:sz="4" w:space="0" w:color="auto"/>
              <w:right w:val="single" w:sz="4" w:space="0" w:color="auto"/>
            </w:tcBorders>
          </w:tcPr>
          <w:p w14:paraId="6AF7BE3B"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bCs/>
                <w:snapToGrid w:val="0"/>
                <w:sz w:val="20"/>
                <w:szCs w:val="20"/>
                <w:lang w:eastAsia="en-US"/>
              </w:rPr>
              <w:t>-1.1%</w:t>
            </w:r>
          </w:p>
        </w:tc>
        <w:tc>
          <w:tcPr>
            <w:tcW w:w="779" w:type="pct"/>
            <w:tcBorders>
              <w:top w:val="single" w:sz="4" w:space="0" w:color="auto"/>
              <w:left w:val="single" w:sz="4" w:space="0" w:color="auto"/>
              <w:bottom w:val="single" w:sz="4" w:space="0" w:color="auto"/>
              <w:right w:val="single" w:sz="4" w:space="0" w:color="auto"/>
            </w:tcBorders>
          </w:tcPr>
          <w:p w14:paraId="3D49C031"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snapToGrid w:val="0"/>
                <w:sz w:val="20"/>
                <w:szCs w:val="20"/>
                <w:lang w:eastAsia="en-US"/>
              </w:rPr>
              <w:t>p=0.02</w:t>
            </w:r>
          </w:p>
        </w:tc>
        <w:tc>
          <w:tcPr>
            <w:tcW w:w="1144" w:type="pct"/>
            <w:tcBorders>
              <w:top w:val="single" w:sz="4" w:space="0" w:color="auto"/>
              <w:left w:val="single" w:sz="4" w:space="0" w:color="auto"/>
              <w:bottom w:val="single" w:sz="4" w:space="0" w:color="auto"/>
              <w:right w:val="single" w:sz="4" w:space="0" w:color="auto"/>
            </w:tcBorders>
          </w:tcPr>
          <w:p w14:paraId="515EDADC" w14:textId="77777777" w:rsidR="0008746D" w:rsidRPr="0008746D" w:rsidRDefault="0008746D" w:rsidP="00E1141B">
            <w:pPr>
              <w:spacing w:after="40"/>
              <w:rPr>
                <w:rFonts w:ascii="Arial Narrow" w:hAnsi="Arial Narrow" w:cs="Arial"/>
                <w:i/>
                <w:sz w:val="20"/>
                <w:szCs w:val="20"/>
              </w:rPr>
            </w:pPr>
            <w:r w:rsidRPr="0008746D">
              <w:rPr>
                <w:rFonts w:ascii="Arial Narrow" w:hAnsi="Arial Narrow" w:cs="Arial"/>
                <w:i/>
                <w:sz w:val="20"/>
                <w:szCs w:val="20"/>
              </w:rPr>
              <w:t xml:space="preserve">Less reduction of total kidney volume was observed in ADPKD patients with </w:t>
            </w:r>
            <w:r w:rsidRPr="0008746D">
              <w:rPr>
                <w:rFonts w:ascii="Arial Narrow" w:hAnsi="Arial Narrow" w:cs="Arial"/>
                <w:i/>
                <w:iCs/>
                <w:sz w:val="20"/>
                <w:szCs w:val="20"/>
              </w:rPr>
              <w:t>PKD1/2</w:t>
            </w:r>
            <w:r w:rsidRPr="0008746D">
              <w:rPr>
                <w:rFonts w:ascii="Arial Narrow" w:hAnsi="Arial Narrow" w:cs="Arial"/>
                <w:i/>
                <w:sz w:val="20"/>
                <w:szCs w:val="20"/>
              </w:rPr>
              <w:t xml:space="preserve"> variants as compared to patients with no </w:t>
            </w:r>
            <w:r w:rsidRPr="0008746D">
              <w:rPr>
                <w:rFonts w:ascii="Arial Narrow" w:hAnsi="Arial Narrow" w:cs="Arial"/>
                <w:i/>
                <w:iCs/>
                <w:sz w:val="20"/>
                <w:szCs w:val="20"/>
              </w:rPr>
              <w:t>PKD1/2</w:t>
            </w:r>
            <w:r w:rsidRPr="0008746D">
              <w:rPr>
                <w:rFonts w:ascii="Arial Narrow" w:hAnsi="Arial Narrow" w:cs="Arial"/>
                <w:i/>
                <w:sz w:val="20"/>
                <w:szCs w:val="20"/>
              </w:rPr>
              <w:t xml:space="preserve"> variants after tolvaptan treatment</w:t>
            </w:r>
          </w:p>
        </w:tc>
      </w:tr>
      <w:tr w:rsidR="0008746D" w:rsidRPr="0008746D" w14:paraId="73F41B9A" w14:textId="77777777" w:rsidTr="00E1141B">
        <w:tc>
          <w:tcPr>
            <w:tcW w:w="695" w:type="pct"/>
            <w:tcBorders>
              <w:top w:val="single" w:sz="4" w:space="0" w:color="auto"/>
              <w:left w:val="single" w:sz="4" w:space="0" w:color="auto"/>
              <w:bottom w:val="single" w:sz="4" w:space="0" w:color="auto"/>
              <w:right w:val="single" w:sz="4" w:space="0" w:color="auto"/>
            </w:tcBorders>
            <w:hideMark/>
          </w:tcPr>
          <w:p w14:paraId="5B849BE0" w14:textId="77777777" w:rsidR="0008746D" w:rsidRPr="0008746D" w:rsidRDefault="0008746D" w:rsidP="00E1141B">
            <w:pPr>
              <w:spacing w:after="40"/>
              <w:rPr>
                <w:rFonts w:ascii="Arial Narrow" w:hAnsi="Arial Narrow" w:cs="Arial"/>
                <w:sz w:val="20"/>
                <w:szCs w:val="20"/>
                <w:vertAlign w:val="superscript"/>
              </w:rPr>
            </w:pPr>
            <w:r w:rsidRPr="0008746D">
              <w:rPr>
                <w:rFonts w:ascii="Arial Narrow" w:hAnsi="Arial Narrow" w:cs="Arial"/>
                <w:sz w:val="20"/>
                <w:szCs w:val="20"/>
              </w:rPr>
              <w:t xml:space="preserve">Patients progressing to ESKD, k=6 </w:t>
            </w:r>
            <w:r w:rsidRPr="0008746D">
              <w:rPr>
                <w:rStyle w:val="FootnoteReference"/>
                <w:rFonts w:ascii="Arial Narrow" w:hAnsi="Arial Narrow" w:cs="Arial"/>
                <w:sz w:val="20"/>
                <w:szCs w:val="20"/>
              </w:rPr>
              <w:footnoteReference w:id="15"/>
            </w:r>
            <w:r w:rsidRPr="0008746D">
              <w:rPr>
                <w:rFonts w:ascii="Arial Narrow" w:hAnsi="Arial Narrow" w:cs="Arial"/>
                <w:sz w:val="20"/>
                <w:szCs w:val="20"/>
                <w:vertAlign w:val="superscript"/>
              </w:rPr>
              <w:t>,</w:t>
            </w:r>
            <w:r w:rsidRPr="0008746D">
              <w:rPr>
                <w:rStyle w:val="FootnoteReference"/>
                <w:rFonts w:ascii="Arial Narrow" w:hAnsi="Arial Narrow" w:cs="Arial"/>
                <w:sz w:val="20"/>
                <w:szCs w:val="20"/>
              </w:rPr>
              <w:footnoteReference w:id="16"/>
            </w:r>
            <w:r w:rsidRPr="0008746D">
              <w:rPr>
                <w:rFonts w:ascii="Arial Narrow" w:hAnsi="Arial Narrow" w:cs="Arial"/>
                <w:sz w:val="20"/>
                <w:szCs w:val="20"/>
                <w:vertAlign w:val="superscript"/>
              </w:rPr>
              <w:t>,</w:t>
            </w:r>
            <w:r w:rsidRPr="0008746D">
              <w:rPr>
                <w:rStyle w:val="FootnoteReference"/>
                <w:rFonts w:ascii="Arial Narrow" w:hAnsi="Arial Narrow" w:cs="Arial"/>
                <w:sz w:val="20"/>
                <w:szCs w:val="20"/>
              </w:rPr>
              <w:footnoteReference w:id="17"/>
            </w:r>
            <w:r w:rsidRPr="0008746D">
              <w:rPr>
                <w:rFonts w:ascii="Arial Narrow" w:hAnsi="Arial Narrow" w:cs="Arial"/>
                <w:sz w:val="20"/>
                <w:szCs w:val="20"/>
                <w:vertAlign w:val="superscript"/>
              </w:rPr>
              <w:t>,</w:t>
            </w:r>
            <w:r w:rsidRPr="0008746D">
              <w:rPr>
                <w:rStyle w:val="FootnoteReference"/>
                <w:rFonts w:ascii="Arial Narrow" w:hAnsi="Arial Narrow" w:cs="Arial"/>
                <w:sz w:val="20"/>
                <w:szCs w:val="20"/>
              </w:rPr>
              <w:footnoteReference w:id="18"/>
            </w:r>
            <w:r w:rsidRPr="0008746D">
              <w:rPr>
                <w:rFonts w:ascii="Arial Narrow" w:hAnsi="Arial Narrow" w:cs="Arial"/>
                <w:sz w:val="20"/>
                <w:szCs w:val="20"/>
                <w:vertAlign w:val="superscript"/>
              </w:rPr>
              <w:t>,</w:t>
            </w:r>
            <w:r w:rsidRPr="0008746D">
              <w:rPr>
                <w:rStyle w:val="FootnoteReference"/>
                <w:rFonts w:ascii="Arial Narrow" w:hAnsi="Arial Narrow" w:cs="Arial"/>
                <w:sz w:val="20"/>
                <w:szCs w:val="20"/>
              </w:rPr>
              <w:footnoteReference w:id="19"/>
            </w:r>
            <w:r w:rsidRPr="0008746D">
              <w:rPr>
                <w:rFonts w:ascii="Arial Narrow" w:hAnsi="Arial Narrow" w:cs="Arial"/>
                <w:sz w:val="20"/>
                <w:szCs w:val="20"/>
                <w:vertAlign w:val="superscript"/>
              </w:rPr>
              <w:t>,</w:t>
            </w:r>
            <w:r w:rsidRPr="0008746D">
              <w:rPr>
                <w:rStyle w:val="FootnoteReference"/>
                <w:rFonts w:ascii="Arial Narrow" w:hAnsi="Arial Narrow" w:cs="Arial"/>
                <w:sz w:val="20"/>
                <w:szCs w:val="20"/>
              </w:rPr>
              <w:footnoteReference w:id="20"/>
            </w:r>
          </w:p>
        </w:tc>
        <w:tc>
          <w:tcPr>
            <w:tcW w:w="944" w:type="pct"/>
            <w:tcBorders>
              <w:top w:val="nil"/>
              <w:left w:val="single" w:sz="4" w:space="0" w:color="auto"/>
              <w:bottom w:val="single" w:sz="4" w:space="0" w:color="auto"/>
              <w:right w:val="single" w:sz="4" w:space="0" w:color="auto"/>
            </w:tcBorders>
          </w:tcPr>
          <w:p w14:paraId="095CD62A" w14:textId="77777777" w:rsidR="0008746D" w:rsidRPr="0008746D" w:rsidRDefault="0008746D" w:rsidP="00E1141B">
            <w:pPr>
              <w:spacing w:after="40"/>
              <w:rPr>
                <w:rFonts w:ascii="Arial Narrow" w:hAnsi="Arial Narrow" w:cs="Arial"/>
                <w:sz w:val="20"/>
                <w:szCs w:val="20"/>
              </w:rPr>
            </w:pPr>
            <w:r w:rsidRPr="0008746D">
              <w:rPr>
                <w:rFonts w:ascii="Arial Narrow" w:hAnsi="Arial Narrow" w:cs="Arial"/>
                <w:b/>
                <w:bCs/>
                <w:sz w:val="20"/>
                <w:szCs w:val="20"/>
              </w:rPr>
              <w:t>Population 2</w:t>
            </w:r>
            <w:r w:rsidRPr="0008746D">
              <w:rPr>
                <w:rFonts w:ascii="Arial Narrow" w:hAnsi="Arial Narrow" w:cs="Arial"/>
                <w:sz w:val="20"/>
                <w:szCs w:val="20"/>
                <w:u w:val="single"/>
              </w:rPr>
              <w:t xml:space="preserve"> Glomerular diseases </w:t>
            </w:r>
            <w:r w:rsidRPr="0008746D">
              <w:rPr>
                <w:rFonts w:ascii="Arial Narrow" w:hAnsi="Arial Narrow" w:cs="Arial"/>
                <w:sz w:val="20"/>
                <w:szCs w:val="20"/>
              </w:rPr>
              <w:t>SRNS patients with genetic versus non-genetic diagnosis</w:t>
            </w:r>
          </w:p>
        </w:tc>
        <w:tc>
          <w:tcPr>
            <w:tcW w:w="398" w:type="pct"/>
            <w:tcBorders>
              <w:top w:val="single" w:sz="4" w:space="0" w:color="auto"/>
              <w:left w:val="single" w:sz="4" w:space="0" w:color="auto"/>
              <w:bottom w:val="single" w:sz="4" w:space="0" w:color="auto"/>
              <w:right w:val="single" w:sz="4" w:space="0" w:color="auto"/>
            </w:tcBorders>
            <w:hideMark/>
          </w:tcPr>
          <w:p w14:paraId="4990D16A" w14:textId="77777777" w:rsidR="0008746D" w:rsidRPr="0008746D" w:rsidRDefault="0008746D" w:rsidP="00E1141B">
            <w:pPr>
              <w:spacing w:after="40"/>
              <w:jc w:val="center"/>
              <w:rPr>
                <w:rFonts w:ascii="Arial Narrow" w:hAnsi="Arial Narrow" w:cs="Arial"/>
                <w:sz w:val="20"/>
                <w:szCs w:val="20"/>
              </w:rPr>
            </w:pPr>
            <w:r w:rsidRPr="0008746D">
              <w:rPr>
                <w:rFonts w:ascii="Cambria Math" w:hAnsi="Cambria Math"/>
                <w:color w:val="00B050"/>
                <w:sz w:val="20"/>
                <w:szCs w:val="20"/>
              </w:rPr>
              <w:t>⨁⨁⨁</w:t>
            </w:r>
            <w:r w:rsidRPr="0008746D">
              <w:rPr>
                <w:rFonts w:ascii="Cambria Math" w:hAnsi="Cambria Math" w:cs="Cambria Math"/>
                <w:color w:val="C00000"/>
                <w:sz w:val="20"/>
                <w:szCs w:val="20"/>
              </w:rPr>
              <w:t>⨀</w:t>
            </w:r>
          </w:p>
        </w:tc>
        <w:tc>
          <w:tcPr>
            <w:tcW w:w="497" w:type="pct"/>
            <w:tcBorders>
              <w:top w:val="single" w:sz="4" w:space="0" w:color="auto"/>
              <w:left w:val="single" w:sz="4" w:space="0" w:color="auto"/>
              <w:bottom w:val="single" w:sz="4" w:space="0" w:color="auto"/>
              <w:right w:val="single" w:sz="4" w:space="0" w:color="auto"/>
            </w:tcBorders>
            <w:hideMark/>
          </w:tcPr>
          <w:p w14:paraId="53BEA646"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63% (108/172)</w:t>
            </w:r>
          </w:p>
          <w:p w14:paraId="53FDB24E"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[52, 76]</w:t>
            </w:r>
          </w:p>
        </w:tc>
        <w:tc>
          <w:tcPr>
            <w:tcW w:w="543" w:type="pct"/>
            <w:tcBorders>
              <w:top w:val="single" w:sz="4" w:space="0" w:color="auto"/>
              <w:left w:val="single" w:sz="4" w:space="0" w:color="auto"/>
              <w:bottom w:val="single" w:sz="4" w:space="0" w:color="auto"/>
              <w:right w:val="single" w:sz="4" w:space="0" w:color="auto"/>
            </w:tcBorders>
            <w:hideMark/>
          </w:tcPr>
          <w:p w14:paraId="46AE433C"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24% (88/360)</w:t>
            </w:r>
          </w:p>
          <w:p w14:paraId="26563A07"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[19, 30]</w:t>
            </w:r>
          </w:p>
        </w:tc>
        <w:tc>
          <w:tcPr>
            <w:tcW w:w="779" w:type="pct"/>
            <w:tcBorders>
              <w:top w:val="single" w:sz="4" w:space="0" w:color="auto"/>
              <w:left w:val="single" w:sz="4" w:space="0" w:color="auto"/>
              <w:bottom w:val="single" w:sz="4" w:space="0" w:color="auto"/>
              <w:right w:val="single" w:sz="4" w:space="0" w:color="auto"/>
            </w:tcBorders>
            <w:hideMark/>
          </w:tcPr>
          <w:p w14:paraId="54FCE13A"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p=0.0000</w:t>
            </w:r>
          </w:p>
        </w:tc>
        <w:tc>
          <w:tcPr>
            <w:tcW w:w="1144" w:type="pct"/>
            <w:tcBorders>
              <w:top w:val="single" w:sz="4" w:space="0" w:color="auto"/>
              <w:left w:val="single" w:sz="4" w:space="0" w:color="auto"/>
              <w:bottom w:val="single" w:sz="4" w:space="0" w:color="auto"/>
              <w:right w:val="single" w:sz="4" w:space="0" w:color="auto"/>
            </w:tcBorders>
            <w:hideMark/>
          </w:tcPr>
          <w:p w14:paraId="0459613D" w14:textId="77777777" w:rsidR="0008746D" w:rsidRPr="0008746D" w:rsidRDefault="0008746D" w:rsidP="00E1141B">
            <w:pPr>
              <w:spacing w:after="40"/>
              <w:rPr>
                <w:rFonts w:ascii="Arial Narrow" w:hAnsi="Arial Narrow" w:cs="Arial"/>
                <w:i/>
                <w:sz w:val="20"/>
                <w:szCs w:val="20"/>
                <w:highlight w:val="cyan"/>
              </w:rPr>
            </w:pPr>
            <w:r w:rsidRPr="0008746D">
              <w:rPr>
                <w:rFonts w:ascii="Arial Narrow" w:hAnsi="Arial Narrow" w:cs="Arial"/>
                <w:i/>
                <w:sz w:val="20"/>
                <w:szCs w:val="20"/>
              </w:rPr>
              <w:t>Lower rate of progression to ESKD on immunosuppressive therapies in SRNS patients without a genetic variant, compared to those with a variant</w:t>
            </w:r>
          </w:p>
        </w:tc>
      </w:tr>
      <w:tr w:rsidR="0008746D" w:rsidRPr="0008746D" w14:paraId="023262FD" w14:textId="77777777" w:rsidTr="00E1141B">
        <w:tc>
          <w:tcPr>
            <w:tcW w:w="695" w:type="pct"/>
            <w:tcBorders>
              <w:top w:val="single" w:sz="4" w:space="0" w:color="auto"/>
              <w:left w:val="single" w:sz="4" w:space="0" w:color="auto"/>
              <w:bottom w:val="single" w:sz="4" w:space="0" w:color="auto"/>
              <w:right w:val="single" w:sz="4" w:space="0" w:color="auto"/>
            </w:tcBorders>
            <w:hideMark/>
          </w:tcPr>
          <w:p w14:paraId="76D3D6DB" w14:textId="77777777" w:rsidR="0008746D" w:rsidRPr="0008746D" w:rsidRDefault="0008746D" w:rsidP="00E1141B">
            <w:pPr>
              <w:spacing w:after="40"/>
              <w:rPr>
                <w:rFonts w:ascii="Arial Narrow" w:hAnsi="Arial Narrow" w:cs="Arial"/>
                <w:sz w:val="20"/>
                <w:szCs w:val="20"/>
              </w:rPr>
            </w:pPr>
            <w:r w:rsidRPr="0008746D">
              <w:rPr>
                <w:rFonts w:ascii="Arial Narrow" w:hAnsi="Arial Narrow" w:cs="Arial"/>
                <w:sz w:val="20"/>
                <w:szCs w:val="20"/>
              </w:rPr>
              <w:t xml:space="preserve">Complete response to immuno-suppressive </w:t>
            </w:r>
            <w:r w:rsidRPr="0008746D">
              <w:rPr>
                <w:rFonts w:ascii="Arial Narrow" w:hAnsi="Arial Narrow" w:cs="Arial"/>
                <w:sz w:val="20"/>
                <w:szCs w:val="20"/>
              </w:rPr>
              <w:lastRenderedPageBreak/>
              <w:t xml:space="preserve">therapies, k=4 </w:t>
            </w:r>
            <w:r w:rsidRPr="0008746D">
              <w:rPr>
                <w:rStyle w:val="FootnoteReference"/>
                <w:rFonts w:ascii="Arial Narrow" w:hAnsi="Arial Narrow" w:cs="Arial"/>
                <w:sz w:val="20"/>
                <w:szCs w:val="20"/>
              </w:rPr>
              <w:footnoteReference w:id="21"/>
            </w:r>
            <w:r w:rsidRPr="0008746D">
              <w:rPr>
                <w:rFonts w:ascii="Arial Narrow" w:hAnsi="Arial Narrow" w:cs="Arial"/>
                <w:sz w:val="20"/>
                <w:szCs w:val="20"/>
                <w:vertAlign w:val="superscript"/>
              </w:rPr>
              <w:t>,</w:t>
            </w:r>
            <w:r w:rsidRPr="0008746D">
              <w:rPr>
                <w:rStyle w:val="FootnoteReference"/>
                <w:rFonts w:ascii="Arial Narrow" w:hAnsi="Arial Narrow" w:cs="Arial"/>
                <w:sz w:val="20"/>
                <w:szCs w:val="20"/>
              </w:rPr>
              <w:footnoteReference w:id="22"/>
            </w:r>
            <w:r w:rsidRPr="0008746D">
              <w:rPr>
                <w:rFonts w:ascii="Arial Narrow" w:hAnsi="Arial Narrow" w:cs="Arial"/>
                <w:sz w:val="20"/>
                <w:szCs w:val="20"/>
                <w:vertAlign w:val="superscript"/>
              </w:rPr>
              <w:t>,</w:t>
            </w:r>
            <w:r w:rsidRPr="0008746D">
              <w:rPr>
                <w:rStyle w:val="FootnoteReference"/>
                <w:rFonts w:ascii="Arial Narrow" w:hAnsi="Arial Narrow" w:cs="Arial"/>
                <w:sz w:val="20"/>
                <w:szCs w:val="20"/>
              </w:rPr>
              <w:footnoteReference w:id="23"/>
            </w:r>
            <w:r w:rsidRPr="0008746D">
              <w:rPr>
                <w:rFonts w:ascii="Arial Narrow" w:hAnsi="Arial Narrow" w:cs="Arial"/>
                <w:sz w:val="20"/>
                <w:szCs w:val="20"/>
                <w:vertAlign w:val="superscript"/>
              </w:rPr>
              <w:t>,</w:t>
            </w:r>
            <w:r w:rsidRPr="0008746D">
              <w:rPr>
                <w:rStyle w:val="FootnoteReference"/>
                <w:rFonts w:ascii="Arial Narrow" w:hAnsi="Arial Narrow" w:cs="Arial"/>
                <w:sz w:val="20"/>
                <w:szCs w:val="20"/>
              </w:rPr>
              <w:footnoteReference w:id="24"/>
            </w:r>
          </w:p>
        </w:tc>
        <w:tc>
          <w:tcPr>
            <w:tcW w:w="944" w:type="pct"/>
            <w:tcBorders>
              <w:top w:val="single" w:sz="4" w:space="0" w:color="auto"/>
              <w:left w:val="single" w:sz="4" w:space="0" w:color="auto"/>
              <w:bottom w:val="nil"/>
              <w:right w:val="single" w:sz="4" w:space="0" w:color="auto"/>
            </w:tcBorders>
            <w:hideMark/>
          </w:tcPr>
          <w:p w14:paraId="37E68FC3" w14:textId="77777777" w:rsidR="0008746D" w:rsidRPr="0008746D" w:rsidRDefault="0008746D" w:rsidP="00E1141B">
            <w:pPr>
              <w:spacing w:after="40"/>
              <w:rPr>
                <w:rFonts w:ascii="Arial Narrow" w:hAnsi="Arial Narrow" w:cs="Arial"/>
                <w:sz w:val="20"/>
                <w:szCs w:val="20"/>
              </w:rPr>
            </w:pPr>
            <w:r w:rsidRPr="0008746D">
              <w:rPr>
                <w:rFonts w:ascii="Arial Narrow" w:hAnsi="Arial Narrow" w:cs="Arial"/>
                <w:b/>
                <w:bCs/>
                <w:sz w:val="20"/>
                <w:szCs w:val="20"/>
              </w:rPr>
              <w:lastRenderedPageBreak/>
              <w:t>Population 2</w:t>
            </w:r>
            <w:r w:rsidRPr="0008746D">
              <w:rPr>
                <w:rFonts w:ascii="Arial Narrow" w:hAnsi="Arial Narrow" w:cs="Arial"/>
                <w:sz w:val="20"/>
                <w:szCs w:val="20"/>
              </w:rPr>
              <w:t xml:space="preserve">: </w:t>
            </w:r>
            <w:r w:rsidRPr="0008746D">
              <w:rPr>
                <w:rFonts w:ascii="Arial Narrow" w:hAnsi="Arial Narrow" w:cs="Arial"/>
                <w:sz w:val="20"/>
                <w:szCs w:val="20"/>
                <w:u w:val="single"/>
              </w:rPr>
              <w:t xml:space="preserve">Glomerular diseases </w:t>
            </w:r>
            <w:r w:rsidRPr="0008746D">
              <w:rPr>
                <w:rFonts w:ascii="Arial Narrow" w:hAnsi="Arial Narrow" w:cs="Arial"/>
                <w:sz w:val="20"/>
                <w:szCs w:val="20"/>
              </w:rPr>
              <w:t>SRNS patients with genetic versus non-genetic diagnosis</w:t>
            </w:r>
          </w:p>
        </w:tc>
        <w:tc>
          <w:tcPr>
            <w:tcW w:w="398" w:type="pct"/>
            <w:tcBorders>
              <w:top w:val="single" w:sz="4" w:space="0" w:color="auto"/>
              <w:left w:val="single" w:sz="4" w:space="0" w:color="auto"/>
              <w:bottom w:val="single" w:sz="4" w:space="0" w:color="auto"/>
              <w:right w:val="single" w:sz="4" w:space="0" w:color="auto"/>
            </w:tcBorders>
            <w:hideMark/>
          </w:tcPr>
          <w:p w14:paraId="2325FD97" w14:textId="77777777" w:rsidR="0008746D" w:rsidRPr="0008746D" w:rsidRDefault="0008746D" w:rsidP="00E1141B">
            <w:pPr>
              <w:spacing w:after="40"/>
              <w:jc w:val="center"/>
              <w:rPr>
                <w:rFonts w:ascii="Arial Narrow" w:hAnsi="Arial Narrow" w:cs="Arial"/>
                <w:sz w:val="20"/>
                <w:szCs w:val="20"/>
              </w:rPr>
            </w:pPr>
            <w:r w:rsidRPr="0008746D">
              <w:rPr>
                <w:rFonts w:ascii="Cambria Math" w:hAnsi="Cambria Math"/>
                <w:color w:val="00B050"/>
                <w:sz w:val="20"/>
                <w:szCs w:val="20"/>
              </w:rPr>
              <w:t>⨁⨁⨁</w:t>
            </w:r>
            <w:r w:rsidRPr="0008746D">
              <w:rPr>
                <w:rFonts w:ascii="Cambria Math" w:hAnsi="Cambria Math" w:cs="Cambria Math"/>
                <w:color w:val="C00000"/>
                <w:sz w:val="20"/>
                <w:szCs w:val="20"/>
              </w:rPr>
              <w:t>⨀</w:t>
            </w:r>
          </w:p>
        </w:tc>
        <w:tc>
          <w:tcPr>
            <w:tcW w:w="497" w:type="pct"/>
            <w:tcBorders>
              <w:top w:val="single" w:sz="4" w:space="0" w:color="auto"/>
              <w:left w:val="single" w:sz="4" w:space="0" w:color="auto"/>
              <w:bottom w:val="single" w:sz="4" w:space="0" w:color="auto"/>
              <w:right w:val="single" w:sz="4" w:space="0" w:color="auto"/>
            </w:tcBorders>
            <w:hideMark/>
          </w:tcPr>
          <w:p w14:paraId="037E43DB"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2% (3/128)</w:t>
            </w:r>
          </w:p>
          <w:p w14:paraId="1DFDCC4D"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[0.5, 6.8)</w:t>
            </w:r>
          </w:p>
        </w:tc>
        <w:tc>
          <w:tcPr>
            <w:tcW w:w="543" w:type="pct"/>
            <w:tcBorders>
              <w:top w:val="single" w:sz="4" w:space="0" w:color="auto"/>
              <w:left w:val="single" w:sz="4" w:space="0" w:color="auto"/>
              <w:bottom w:val="single" w:sz="4" w:space="0" w:color="auto"/>
              <w:right w:val="single" w:sz="4" w:space="0" w:color="auto"/>
            </w:tcBorders>
            <w:hideMark/>
          </w:tcPr>
          <w:p w14:paraId="2C93721A"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32% (203/635)</w:t>
            </w:r>
          </w:p>
          <w:p w14:paraId="2F8D17E7"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[28, 37]</w:t>
            </w:r>
          </w:p>
        </w:tc>
        <w:tc>
          <w:tcPr>
            <w:tcW w:w="779" w:type="pct"/>
            <w:tcBorders>
              <w:top w:val="single" w:sz="4" w:space="0" w:color="auto"/>
              <w:left w:val="single" w:sz="4" w:space="0" w:color="auto"/>
              <w:bottom w:val="single" w:sz="4" w:space="0" w:color="auto"/>
              <w:right w:val="single" w:sz="4" w:space="0" w:color="auto"/>
            </w:tcBorders>
            <w:hideMark/>
          </w:tcPr>
          <w:p w14:paraId="52DAC532"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p=0.0000</w:t>
            </w:r>
          </w:p>
        </w:tc>
        <w:tc>
          <w:tcPr>
            <w:tcW w:w="1144" w:type="pct"/>
            <w:tcBorders>
              <w:top w:val="single" w:sz="4" w:space="0" w:color="auto"/>
              <w:left w:val="single" w:sz="4" w:space="0" w:color="auto"/>
              <w:bottom w:val="single" w:sz="4" w:space="0" w:color="auto"/>
              <w:right w:val="single" w:sz="4" w:space="0" w:color="auto"/>
            </w:tcBorders>
            <w:hideMark/>
          </w:tcPr>
          <w:p w14:paraId="2DCBE58F" w14:textId="77777777" w:rsidR="0008746D" w:rsidRPr="0008746D" w:rsidRDefault="0008746D" w:rsidP="00E1141B">
            <w:pPr>
              <w:spacing w:after="40"/>
              <w:rPr>
                <w:rFonts w:ascii="Arial Narrow" w:hAnsi="Arial Narrow" w:cs="Arial"/>
                <w:i/>
                <w:sz w:val="20"/>
                <w:szCs w:val="20"/>
              </w:rPr>
            </w:pPr>
            <w:r w:rsidRPr="0008746D">
              <w:rPr>
                <w:rFonts w:ascii="Arial Narrow" w:hAnsi="Arial Narrow" w:cs="Arial"/>
                <w:i/>
                <w:sz w:val="20"/>
                <w:szCs w:val="20"/>
              </w:rPr>
              <w:t>Higher complete response to immunosuppressive agents in SRNS patients without genetic variants compared to those with a variant</w:t>
            </w:r>
          </w:p>
        </w:tc>
      </w:tr>
      <w:tr w:rsidR="0008746D" w:rsidRPr="0008746D" w14:paraId="767954EA" w14:textId="77777777" w:rsidTr="00E1141B">
        <w:tc>
          <w:tcPr>
            <w:tcW w:w="695" w:type="pct"/>
            <w:tcBorders>
              <w:top w:val="single" w:sz="4" w:space="0" w:color="auto"/>
              <w:left w:val="single" w:sz="4" w:space="0" w:color="auto"/>
              <w:bottom w:val="single" w:sz="4" w:space="0" w:color="auto"/>
              <w:right w:val="single" w:sz="4" w:space="0" w:color="auto"/>
            </w:tcBorders>
            <w:hideMark/>
          </w:tcPr>
          <w:p w14:paraId="620C34B0" w14:textId="77777777" w:rsidR="0008746D" w:rsidRPr="0008746D" w:rsidRDefault="0008746D" w:rsidP="00E1141B">
            <w:pPr>
              <w:spacing w:after="40"/>
              <w:rPr>
                <w:rFonts w:ascii="Arial Narrow" w:hAnsi="Arial Narrow" w:cs="Arial"/>
                <w:sz w:val="20"/>
                <w:szCs w:val="20"/>
                <w:vertAlign w:val="superscript"/>
              </w:rPr>
            </w:pPr>
            <w:r w:rsidRPr="0008746D">
              <w:rPr>
                <w:rFonts w:ascii="Arial Narrow" w:hAnsi="Arial Narrow" w:cs="Arial"/>
                <w:sz w:val="20"/>
                <w:szCs w:val="20"/>
              </w:rPr>
              <w:t xml:space="preserve">Complete TMA response to eculizumab treatment, k=2 </w:t>
            </w:r>
            <w:r w:rsidRPr="0008746D">
              <w:rPr>
                <w:rStyle w:val="FootnoteReference"/>
                <w:rFonts w:ascii="Arial Narrow" w:hAnsi="Arial Narrow" w:cs="Arial"/>
                <w:sz w:val="20"/>
                <w:szCs w:val="20"/>
              </w:rPr>
              <w:footnoteReference w:id="25"/>
            </w:r>
            <w:r w:rsidRPr="0008746D">
              <w:rPr>
                <w:rFonts w:ascii="Arial Narrow" w:hAnsi="Arial Narrow" w:cs="Arial"/>
                <w:sz w:val="20"/>
                <w:szCs w:val="20"/>
                <w:vertAlign w:val="superscript"/>
              </w:rPr>
              <w:t>,</w:t>
            </w:r>
            <w:r w:rsidRPr="0008746D">
              <w:rPr>
                <w:rStyle w:val="FootnoteReference"/>
                <w:rFonts w:ascii="Arial Narrow" w:hAnsi="Arial Narrow" w:cs="Arial"/>
                <w:sz w:val="20"/>
                <w:szCs w:val="20"/>
              </w:rPr>
              <w:footnoteReference w:id="26"/>
            </w:r>
          </w:p>
        </w:tc>
        <w:tc>
          <w:tcPr>
            <w:tcW w:w="944" w:type="pct"/>
            <w:tcBorders>
              <w:top w:val="single" w:sz="4" w:space="0" w:color="auto"/>
              <w:left w:val="single" w:sz="4" w:space="0" w:color="auto"/>
              <w:bottom w:val="single" w:sz="4" w:space="0" w:color="auto"/>
              <w:right w:val="single" w:sz="4" w:space="0" w:color="auto"/>
            </w:tcBorders>
            <w:hideMark/>
          </w:tcPr>
          <w:p w14:paraId="094E274C" w14:textId="77777777" w:rsidR="0008746D" w:rsidRPr="0008746D" w:rsidRDefault="0008746D" w:rsidP="00E1141B">
            <w:pPr>
              <w:spacing w:after="40"/>
              <w:rPr>
                <w:rFonts w:ascii="Arial Narrow" w:hAnsi="Arial Narrow" w:cs="Arial"/>
                <w:sz w:val="20"/>
                <w:szCs w:val="20"/>
              </w:rPr>
            </w:pPr>
            <w:r w:rsidRPr="0008746D">
              <w:rPr>
                <w:rFonts w:ascii="Arial Narrow" w:hAnsi="Arial Narrow" w:cs="Arial"/>
                <w:b/>
                <w:bCs/>
                <w:sz w:val="20"/>
                <w:szCs w:val="20"/>
              </w:rPr>
              <w:t>Population 2</w:t>
            </w:r>
            <w:r w:rsidRPr="0008746D">
              <w:rPr>
                <w:rFonts w:ascii="Arial Narrow" w:hAnsi="Arial Narrow" w:cs="Arial"/>
                <w:sz w:val="20"/>
                <w:szCs w:val="20"/>
              </w:rPr>
              <w:t xml:space="preserve">: </w:t>
            </w:r>
            <w:r w:rsidRPr="0008746D">
              <w:rPr>
                <w:rFonts w:ascii="Arial Narrow" w:hAnsi="Arial Narrow" w:cs="Arial"/>
                <w:sz w:val="20"/>
                <w:szCs w:val="20"/>
                <w:u w:val="single"/>
              </w:rPr>
              <w:t>Complement diseases</w:t>
            </w:r>
          </w:p>
          <w:p w14:paraId="1646538C" w14:textId="77777777" w:rsidR="0008746D" w:rsidRPr="0008746D" w:rsidRDefault="0008746D" w:rsidP="00E1141B">
            <w:pPr>
              <w:spacing w:after="40"/>
              <w:rPr>
                <w:rFonts w:ascii="Arial Narrow" w:hAnsi="Arial Narrow" w:cs="Arial"/>
                <w:sz w:val="20"/>
                <w:szCs w:val="20"/>
              </w:rPr>
            </w:pPr>
            <w:r w:rsidRPr="0008746D">
              <w:rPr>
                <w:rFonts w:ascii="Arial Narrow" w:hAnsi="Arial Narrow" w:cs="Arial"/>
                <w:sz w:val="20"/>
                <w:szCs w:val="20"/>
              </w:rPr>
              <w:t xml:space="preserve">Response of </w:t>
            </w:r>
            <w:proofErr w:type="spellStart"/>
            <w:r w:rsidRPr="0008746D">
              <w:rPr>
                <w:rFonts w:ascii="Arial Narrow" w:hAnsi="Arial Narrow" w:cs="Arial"/>
                <w:sz w:val="20"/>
                <w:szCs w:val="20"/>
              </w:rPr>
              <w:t>aHUS</w:t>
            </w:r>
            <w:proofErr w:type="spellEnd"/>
            <w:r w:rsidRPr="0008746D">
              <w:rPr>
                <w:rFonts w:ascii="Arial Narrow" w:hAnsi="Arial Narrow" w:cs="Arial"/>
                <w:sz w:val="20"/>
                <w:szCs w:val="20"/>
              </w:rPr>
              <w:t xml:space="preserve"> paediatric patients to tolvaptan therapy</w:t>
            </w:r>
          </w:p>
        </w:tc>
        <w:tc>
          <w:tcPr>
            <w:tcW w:w="398" w:type="pct"/>
            <w:tcBorders>
              <w:top w:val="single" w:sz="4" w:space="0" w:color="auto"/>
              <w:left w:val="single" w:sz="4" w:space="0" w:color="auto"/>
              <w:bottom w:val="single" w:sz="4" w:space="0" w:color="auto"/>
              <w:right w:val="single" w:sz="4" w:space="0" w:color="auto"/>
            </w:tcBorders>
            <w:hideMark/>
          </w:tcPr>
          <w:p w14:paraId="22FFD988" w14:textId="77777777" w:rsidR="0008746D" w:rsidRPr="0008746D" w:rsidRDefault="0008746D" w:rsidP="00E1141B">
            <w:pPr>
              <w:spacing w:after="40"/>
              <w:jc w:val="center"/>
              <w:rPr>
                <w:rFonts w:ascii="Arial Narrow" w:hAnsi="Arial Narrow" w:cs="Arial"/>
                <w:sz w:val="20"/>
                <w:szCs w:val="20"/>
              </w:rPr>
            </w:pPr>
            <w:r w:rsidRPr="0008746D">
              <w:rPr>
                <w:rFonts w:ascii="Cambria Math" w:hAnsi="Cambria Math" w:cs="Cambria Math"/>
                <w:color w:val="00B050"/>
                <w:sz w:val="20"/>
                <w:szCs w:val="20"/>
              </w:rPr>
              <w:t>⨁⨁⨁</w:t>
            </w:r>
            <w:r w:rsidRPr="0008746D">
              <w:rPr>
                <w:rFonts w:ascii="Cambria Math" w:hAnsi="Cambria Math" w:cs="Cambria Math"/>
                <w:color w:val="C00000"/>
                <w:sz w:val="20"/>
                <w:szCs w:val="20"/>
              </w:rPr>
              <w:t>⨀</w:t>
            </w:r>
          </w:p>
        </w:tc>
        <w:tc>
          <w:tcPr>
            <w:tcW w:w="497" w:type="pct"/>
            <w:tcBorders>
              <w:top w:val="single" w:sz="4" w:space="0" w:color="auto"/>
              <w:left w:val="single" w:sz="4" w:space="0" w:color="auto"/>
              <w:bottom w:val="single" w:sz="4" w:space="0" w:color="auto"/>
              <w:right w:val="single" w:sz="4" w:space="0" w:color="auto"/>
            </w:tcBorders>
            <w:hideMark/>
          </w:tcPr>
          <w:p w14:paraId="4C490EAC"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76% (13/17)</w:t>
            </w:r>
          </w:p>
          <w:p w14:paraId="29C4B547"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[50, 93]</w:t>
            </w:r>
          </w:p>
        </w:tc>
        <w:tc>
          <w:tcPr>
            <w:tcW w:w="543" w:type="pct"/>
            <w:tcBorders>
              <w:top w:val="single" w:sz="4" w:space="0" w:color="auto"/>
              <w:left w:val="single" w:sz="4" w:space="0" w:color="auto"/>
              <w:bottom w:val="single" w:sz="4" w:space="0" w:color="auto"/>
              <w:right w:val="single" w:sz="4" w:space="0" w:color="auto"/>
            </w:tcBorders>
            <w:hideMark/>
          </w:tcPr>
          <w:p w14:paraId="7A6B21A2"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74% (14/19)</w:t>
            </w:r>
          </w:p>
          <w:p w14:paraId="7AF63092"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[49, 91]</w:t>
            </w:r>
          </w:p>
        </w:tc>
        <w:tc>
          <w:tcPr>
            <w:tcW w:w="779" w:type="pct"/>
            <w:tcBorders>
              <w:top w:val="single" w:sz="4" w:space="0" w:color="auto"/>
              <w:left w:val="single" w:sz="4" w:space="0" w:color="auto"/>
              <w:bottom w:val="single" w:sz="4" w:space="0" w:color="auto"/>
              <w:right w:val="single" w:sz="4" w:space="0" w:color="auto"/>
            </w:tcBorders>
            <w:hideMark/>
          </w:tcPr>
          <w:p w14:paraId="51B24075" w14:textId="77777777" w:rsidR="0008746D" w:rsidRPr="0008746D" w:rsidRDefault="0008746D" w:rsidP="00E1141B">
            <w:pPr>
              <w:spacing w:after="40"/>
              <w:jc w:val="center"/>
              <w:rPr>
                <w:rFonts w:ascii="Arial Narrow" w:hAnsi="Arial Narrow" w:cs="Arial"/>
                <w:sz w:val="20"/>
                <w:szCs w:val="20"/>
              </w:rPr>
            </w:pPr>
            <w:r w:rsidRPr="0008746D">
              <w:rPr>
                <w:rFonts w:ascii="Arial Narrow" w:hAnsi="Arial Narrow" w:cs="Arial"/>
                <w:sz w:val="20"/>
                <w:szCs w:val="20"/>
              </w:rPr>
              <w:t>p= 1.000</w:t>
            </w:r>
          </w:p>
        </w:tc>
        <w:tc>
          <w:tcPr>
            <w:tcW w:w="1144" w:type="pct"/>
            <w:tcBorders>
              <w:top w:val="single" w:sz="4" w:space="0" w:color="auto"/>
              <w:left w:val="single" w:sz="4" w:space="0" w:color="auto"/>
              <w:bottom w:val="single" w:sz="4" w:space="0" w:color="auto"/>
              <w:right w:val="single" w:sz="4" w:space="0" w:color="auto"/>
            </w:tcBorders>
            <w:hideMark/>
          </w:tcPr>
          <w:p w14:paraId="3E5FA63D" w14:textId="77777777" w:rsidR="0008746D" w:rsidRPr="0008746D" w:rsidRDefault="0008746D" w:rsidP="00E1141B">
            <w:pPr>
              <w:spacing w:after="40"/>
              <w:rPr>
                <w:rFonts w:ascii="Arial Narrow" w:hAnsi="Arial Narrow" w:cs="Arial"/>
                <w:sz w:val="20"/>
                <w:szCs w:val="20"/>
                <w:highlight w:val="cyan"/>
              </w:rPr>
            </w:pPr>
            <w:r w:rsidRPr="0008746D">
              <w:rPr>
                <w:rFonts w:ascii="Arial Narrow" w:hAnsi="Arial Narrow" w:cs="Arial"/>
                <w:sz w:val="20"/>
                <w:szCs w:val="20"/>
              </w:rPr>
              <w:t>Variant status of patients does not greatly influence response to eculizumab treatment</w:t>
            </w:r>
          </w:p>
        </w:tc>
      </w:tr>
    </w:tbl>
    <w:p w14:paraId="27BB7E49" w14:textId="77777777" w:rsidR="0008746D" w:rsidRPr="004B20CF" w:rsidRDefault="0008746D" w:rsidP="0008746D">
      <w:pPr>
        <w:pStyle w:val="Tablenotes1"/>
      </w:pPr>
      <w:r>
        <w:t xml:space="preserve">k </w:t>
      </w:r>
      <w:r w:rsidRPr="004B20CF">
        <w:t>=</w:t>
      </w:r>
      <w:r>
        <w:t xml:space="preserve"> </w:t>
      </w:r>
      <w:r w:rsidRPr="004B20CF">
        <w:t>number of studies; CI</w:t>
      </w:r>
      <w:r>
        <w:t xml:space="preserve"> </w:t>
      </w:r>
      <w:r w:rsidRPr="004B20CF">
        <w:t>=</w:t>
      </w:r>
      <w:r>
        <w:t xml:space="preserve"> </w:t>
      </w:r>
      <w:r w:rsidRPr="004B20CF">
        <w:t>confidence interval; n</w:t>
      </w:r>
      <w:r>
        <w:t xml:space="preserve"> </w:t>
      </w:r>
      <w:r w:rsidRPr="004B20CF">
        <w:t>= number of positives; N</w:t>
      </w:r>
      <w:r>
        <w:t xml:space="preserve"> </w:t>
      </w:r>
      <w:r w:rsidRPr="004B20CF">
        <w:t>=</w:t>
      </w:r>
      <w:r>
        <w:t xml:space="preserve"> </w:t>
      </w:r>
      <w:r w:rsidRPr="004B20CF">
        <w:t>total sample size; ESKD</w:t>
      </w:r>
      <w:r>
        <w:t xml:space="preserve"> </w:t>
      </w:r>
      <w:r w:rsidRPr="004B20CF">
        <w:t>=</w:t>
      </w:r>
      <w:r>
        <w:t xml:space="preserve"> </w:t>
      </w:r>
      <w:r w:rsidRPr="004B20CF">
        <w:t>end-stage renal disease; SRNS</w:t>
      </w:r>
      <w:r>
        <w:t xml:space="preserve"> </w:t>
      </w:r>
      <w:r w:rsidRPr="004B20CF">
        <w:t>=</w:t>
      </w:r>
      <w:r>
        <w:t xml:space="preserve"> </w:t>
      </w:r>
      <w:r w:rsidRPr="004B20CF">
        <w:t xml:space="preserve">steroid resistant nephrotic syndrome; </w:t>
      </w:r>
      <w:proofErr w:type="spellStart"/>
      <w:r w:rsidRPr="004B20CF">
        <w:t>aHUS</w:t>
      </w:r>
      <w:proofErr w:type="spellEnd"/>
      <w:r>
        <w:t xml:space="preserve"> </w:t>
      </w:r>
      <w:r w:rsidRPr="004B20CF">
        <w:t>=</w:t>
      </w:r>
      <w:r>
        <w:t xml:space="preserve"> </w:t>
      </w:r>
      <w:r w:rsidRPr="004B20CF">
        <w:t xml:space="preserve">atypical haemolytic uraemic syndrome; ADPKD=autosomal dominant polycystic kidney disease; ∆eGFR= change in estimated glomerular filtration rate; TKV= change in total kidney volume; TMA=thrombotic angiopathy. </w:t>
      </w:r>
    </w:p>
    <w:p w14:paraId="5EE871F0" w14:textId="77777777" w:rsidR="0008746D" w:rsidRDefault="0008746D" w:rsidP="0008746D">
      <w:pPr>
        <w:pStyle w:val="Tablenotes1"/>
        <w:rPr>
          <w:rStyle w:val="TablenotesChar"/>
        </w:rPr>
      </w:pPr>
      <w:r>
        <w:rPr>
          <w:rStyle w:val="TablenotesChar"/>
          <w:vertAlign w:val="superscript"/>
        </w:rPr>
        <w:t>a</w:t>
      </w:r>
      <w:r>
        <w:rPr>
          <w:rStyle w:val="TablenotesChar"/>
        </w:rPr>
        <w:t xml:space="preserve"> GRADE Working Group grades of evidence:</w:t>
      </w:r>
      <w:r w:rsidRPr="004B20CF">
        <w:rPr>
          <w:rStyle w:val="TablenotesChar"/>
          <w:vertAlign w:val="superscript"/>
        </w:rPr>
        <w:footnoteReference w:id="27"/>
      </w:r>
    </w:p>
    <w:p w14:paraId="1667DF9A" w14:textId="77777777" w:rsidR="0008746D" w:rsidRPr="004B20CF" w:rsidRDefault="0008746D" w:rsidP="0008746D">
      <w:pPr>
        <w:pStyle w:val="Tablenotes1"/>
      </w:pPr>
      <w:r w:rsidRPr="004B20CF">
        <w:rPr>
          <w:rFonts w:ascii="Cambria Math" w:hAnsi="Cambria Math"/>
          <w:color w:val="00B050"/>
        </w:rPr>
        <w:t xml:space="preserve">⨁⨁⨁⨁ </w:t>
      </w:r>
      <w:r w:rsidRPr="004B20CF">
        <w:rPr>
          <w:b/>
          <w:bCs/>
        </w:rPr>
        <w:t>High quality:</w:t>
      </w:r>
      <w:r w:rsidRPr="004B20CF">
        <w:t xml:space="preserve"> We are very confident that the true effect lies close to that of the estimate of effect. </w:t>
      </w:r>
      <w:r w:rsidRPr="004B20CF">
        <w:br/>
      </w:r>
      <w:r w:rsidRPr="004B20CF">
        <w:rPr>
          <w:rFonts w:ascii="Cambria Math" w:hAnsi="Cambria Math"/>
          <w:color w:val="00B050"/>
        </w:rPr>
        <w:t>⨁⨁⨁</w:t>
      </w:r>
      <w:r w:rsidRPr="004B20CF">
        <w:rPr>
          <w:rFonts w:ascii="Cambria Math" w:hAnsi="Cambria Math" w:cs="Cambria Math"/>
          <w:color w:val="C00000"/>
        </w:rPr>
        <w:t xml:space="preserve">⨀ </w:t>
      </w:r>
      <w:r w:rsidRPr="004B20CF">
        <w:rPr>
          <w:b/>
          <w:bCs/>
        </w:rPr>
        <w:t>Moderate quality:</w:t>
      </w:r>
      <w:r w:rsidRPr="004B20CF">
        <w:t xml:space="preserve"> We are moderately confident in the effect estimate: The true effect is likely to be close to the estimate of the effect, but there is a possibility that it is substantially different. </w:t>
      </w:r>
      <w:r w:rsidRPr="004B20CF">
        <w:br/>
      </w:r>
      <w:r w:rsidRPr="004B20CF">
        <w:rPr>
          <w:rFonts w:ascii="Cambria Math" w:hAnsi="Cambria Math"/>
          <w:color w:val="00B050"/>
        </w:rPr>
        <w:t>⨁⨁</w:t>
      </w:r>
      <w:r w:rsidRPr="004B20CF">
        <w:rPr>
          <w:rFonts w:ascii="Cambria Math" w:hAnsi="Cambria Math" w:cs="Cambria Math"/>
          <w:color w:val="C00000"/>
        </w:rPr>
        <w:t xml:space="preserve">⨀⨀ </w:t>
      </w:r>
      <w:r w:rsidRPr="004B20CF">
        <w:rPr>
          <w:b/>
          <w:bCs/>
        </w:rPr>
        <w:t>Low quality:</w:t>
      </w:r>
      <w:r w:rsidRPr="004B20CF">
        <w:t xml:space="preserve"> Our confidence in the effect estimate is limited: The true effect may be substantially different from the estimate of the effect.</w:t>
      </w:r>
      <w:r w:rsidRPr="004B20CF">
        <w:br/>
      </w:r>
      <w:r w:rsidRPr="004B20CF">
        <w:rPr>
          <w:rFonts w:ascii="Cambria Math" w:hAnsi="Cambria Math"/>
          <w:color w:val="00B050"/>
        </w:rPr>
        <w:t>⨁</w:t>
      </w:r>
      <w:r w:rsidRPr="004B20CF">
        <w:rPr>
          <w:rFonts w:ascii="Cambria Math" w:hAnsi="Cambria Math" w:cs="Cambria Math"/>
          <w:color w:val="C00000"/>
        </w:rPr>
        <w:t xml:space="preserve">⨀⨀⨀ </w:t>
      </w:r>
      <w:r w:rsidRPr="004B20CF">
        <w:rPr>
          <w:b/>
          <w:bCs/>
        </w:rPr>
        <w:t>Very low quality:</w:t>
      </w:r>
      <w:r w:rsidRPr="004B20CF">
        <w:t xml:space="preserve"> We have very little confidence in the effect estimate: The true effect is likely to be substantially different from the estimate of effect.</w:t>
      </w:r>
    </w:p>
    <w:p w14:paraId="29F9E180" w14:textId="77777777" w:rsidR="0008746D" w:rsidRDefault="0008746D" w:rsidP="0008746D">
      <w:pPr>
        <w:pStyle w:val="Tablenotes1"/>
      </w:pPr>
      <w:r>
        <w:rPr>
          <w:vertAlign w:val="superscript"/>
        </w:rPr>
        <w:t>b</w:t>
      </w:r>
      <w:r>
        <w:t xml:space="preserve"> </w:t>
      </w:r>
      <w:r w:rsidRPr="00267A27">
        <w:t xml:space="preserve">Improvement of </w:t>
      </w:r>
      <w:proofErr w:type="spellStart"/>
      <w:r w:rsidRPr="00267A27">
        <w:t>ΔeGFR</w:t>
      </w:r>
      <w:proofErr w:type="spellEnd"/>
      <w:r w:rsidRPr="00267A27">
        <w:t>/y = (</w:t>
      </w:r>
      <w:proofErr w:type="spellStart"/>
      <w:r w:rsidRPr="00267A27">
        <w:t>ΔeGFR</w:t>
      </w:r>
      <w:proofErr w:type="spellEnd"/>
      <w:r w:rsidRPr="00267A27">
        <w:t>/y after tolvaptan) − (</w:t>
      </w:r>
      <w:proofErr w:type="spellStart"/>
      <w:r w:rsidRPr="00267A27">
        <w:t>ΔeGFR</w:t>
      </w:r>
      <w:proofErr w:type="spellEnd"/>
      <w:r w:rsidRPr="00267A27">
        <w:t>/y before tolvaptan). Source: Figure 2 of the study.</w:t>
      </w:r>
    </w:p>
    <w:p w14:paraId="724CBB12" w14:textId="77777777" w:rsidR="0008746D" w:rsidRDefault="0008746D" w:rsidP="0008746D">
      <w:pPr>
        <w:pStyle w:val="Tablenotes1"/>
      </w:pPr>
      <w:r>
        <w:rPr>
          <w:vertAlign w:val="superscript"/>
        </w:rPr>
        <w:t>c</w:t>
      </w:r>
      <w:r>
        <w:t xml:space="preserve"> </w:t>
      </w:r>
      <w:r w:rsidRPr="00267A27">
        <w:t>The rate at which a kidney enlarges in a patient with ADPKD depends on the number of cysts, the rates at which individual cysts expand, and the effects of intrinsic and extrinsic growth factors — TKV (the sum volume of the two kidneys) is a composite indicator of all of these variables, and is associated with a reduction in renal function.</w:t>
      </w:r>
    </w:p>
    <w:p w14:paraId="04B19E00" w14:textId="77777777" w:rsidR="0008746D" w:rsidRDefault="0008746D" w:rsidP="0008746D">
      <w:pPr>
        <w:pStyle w:val="Tablenotes1"/>
      </w:pPr>
      <w:r>
        <w:t>Source: based on DCAR Table 8</w:t>
      </w:r>
      <w:r w:rsidRPr="005748AD">
        <w:t xml:space="preserve">, with </w:t>
      </w:r>
      <w:r>
        <w:t>changes</w:t>
      </w:r>
      <w:r w:rsidRPr="005748AD">
        <w:t xml:space="preserve"> made by ESC (in </w:t>
      </w:r>
      <w:r>
        <w:t>italics)</w:t>
      </w:r>
    </w:p>
    <w:p w14:paraId="2D070E3D" w14:textId="77777777" w:rsidR="0008746D" w:rsidRDefault="0008746D" w:rsidP="0008746D">
      <w:r>
        <w:t xml:space="preserve">In the pre-ESC response, the applicant stated that genetic testing of cystic kidney disease patients allows prediction (based on genetic variants) of which individuals have more severe disease, will develop early onset kidney </w:t>
      </w:r>
      <w:proofErr w:type="gramStart"/>
      <w:r>
        <w:t>failure</w:t>
      </w:r>
      <w:proofErr w:type="gramEnd"/>
      <w:r>
        <w:t xml:space="preserve"> and need aggressive treatment including tolvaptan. In the rejoinder, the assessment group responded that t</w:t>
      </w:r>
      <w:r w:rsidRPr="00F17A5F">
        <w:t>he</w:t>
      </w:r>
      <w:r>
        <w:t>y agree</w:t>
      </w:r>
      <w:r w:rsidRPr="00F17A5F">
        <w:t xml:space="preserve"> </w:t>
      </w:r>
      <w:r>
        <w:t>that early diagnosis can slow the rate of renal disease progression,</w:t>
      </w:r>
      <w:r w:rsidRPr="00F17A5F">
        <w:t xml:space="preserve"> however, no evidence linking the time of diagnosis, the provision of early care, and improved clinical outcomes was identified in the literature, so none was modelled.</w:t>
      </w:r>
    </w:p>
    <w:p w14:paraId="02BA0265" w14:textId="77777777" w:rsidR="0008746D" w:rsidRDefault="0008746D" w:rsidP="0008746D">
      <w:r>
        <w:t>The applicant also stated in the pre-ESC response that p</w:t>
      </w:r>
      <w:r w:rsidRPr="00F95FB7">
        <w:t xml:space="preserve">recipitants of </w:t>
      </w:r>
      <w:proofErr w:type="spellStart"/>
      <w:r w:rsidRPr="00F95FB7">
        <w:t>aHUS</w:t>
      </w:r>
      <w:proofErr w:type="spellEnd"/>
      <w:r w:rsidRPr="00F95FB7">
        <w:t xml:space="preserve"> include </w:t>
      </w:r>
      <w:r>
        <w:t>o</w:t>
      </w:r>
      <w:r w:rsidRPr="00F95FB7">
        <w:t>ral contraceptive</w:t>
      </w:r>
      <w:r>
        <w:t>s</w:t>
      </w:r>
      <w:r w:rsidRPr="00F95FB7">
        <w:t xml:space="preserve"> </w:t>
      </w:r>
      <w:r>
        <w:t>and pregnancy,</w:t>
      </w:r>
      <w:r w:rsidRPr="00F95FB7">
        <w:t xml:space="preserve"> so </w:t>
      </w:r>
      <w:r>
        <w:t>having</w:t>
      </w:r>
      <w:r w:rsidRPr="00F95FB7">
        <w:t xml:space="preserve"> this diagnosis allows the person to be prepared and </w:t>
      </w:r>
      <w:r w:rsidRPr="00F95FB7">
        <w:lastRenderedPageBreak/>
        <w:t>monitored</w:t>
      </w:r>
      <w:r>
        <w:t xml:space="preserve">. A diagnosis of </w:t>
      </w:r>
      <w:proofErr w:type="spellStart"/>
      <w:r>
        <w:t>aHUS</w:t>
      </w:r>
      <w:proofErr w:type="spellEnd"/>
      <w:r>
        <w:t xml:space="preserve"> is also useful to know as people with </w:t>
      </w:r>
      <w:proofErr w:type="spellStart"/>
      <w:r>
        <w:t>aHUS</w:t>
      </w:r>
      <w:proofErr w:type="spellEnd"/>
      <w:r>
        <w:t xml:space="preserve"> have retinal disease and may go blind</w:t>
      </w:r>
      <w:r>
        <w:rPr>
          <w:rStyle w:val="FootnoteReference"/>
        </w:rPr>
        <w:footnoteReference w:id="28"/>
      </w:r>
      <w:r>
        <w:t>.</w:t>
      </w:r>
    </w:p>
    <w:p w14:paraId="34FA9410" w14:textId="70C4CE1A" w:rsidR="0008746D" w:rsidRDefault="0008746D" w:rsidP="0008746D">
      <w:r>
        <w:t xml:space="preserve">The applicant stated in the pre-ESC response that further value is derived from genetic testing due to early detection of renal impairment in family members, which in the broader community is usually not suspected. These people can then receive generic treatment such as </w:t>
      </w:r>
      <w:r w:rsidR="009B0F69">
        <w:rPr>
          <w:bCs/>
        </w:rPr>
        <w:t>angiotensin converting enzyme</w:t>
      </w:r>
      <w:r w:rsidR="009B0F69">
        <w:t xml:space="preserve"> (</w:t>
      </w:r>
      <w:r w:rsidRPr="00B47B86">
        <w:t>ACE</w:t>
      </w:r>
      <w:r w:rsidR="009B0F69">
        <w:t>)</w:t>
      </w:r>
      <w:r w:rsidRPr="00B47B86">
        <w:t xml:space="preserve"> inhibitors to slow their rate of renal failure</w:t>
      </w:r>
      <w:r>
        <w:t xml:space="preserve"> progression.</w:t>
      </w:r>
    </w:p>
    <w:p w14:paraId="0C0F0C93" w14:textId="77777777" w:rsidR="0008746D" w:rsidRDefault="0008746D" w:rsidP="002C5532">
      <w:pPr>
        <w:pStyle w:val="Heading2"/>
        <w:rPr>
          <w:lang w:eastAsia="en-US"/>
        </w:rPr>
      </w:pPr>
      <w:r>
        <w:rPr>
          <w:lang w:eastAsia="en-US"/>
        </w:rPr>
        <w:t>Potential clinical utility</w:t>
      </w:r>
    </w:p>
    <w:p w14:paraId="386216F4" w14:textId="77777777" w:rsidR="0008746D" w:rsidRDefault="0008746D" w:rsidP="0008746D">
      <w:pPr>
        <w:rPr>
          <w:lang w:eastAsia="en-US"/>
        </w:rPr>
      </w:pPr>
      <w:r>
        <w:rPr>
          <w:lang w:eastAsia="en-US"/>
        </w:rPr>
        <w:t xml:space="preserve">The DCAR’s systematic review for the </w:t>
      </w:r>
      <w:r w:rsidRPr="00344B60">
        <w:rPr>
          <w:lang w:eastAsia="en-US"/>
        </w:rPr>
        <w:t>impact of genetic testing on the clinical management of patients in population 1 – cystic kidney disease</w:t>
      </w:r>
      <w:r>
        <w:rPr>
          <w:lang w:eastAsia="en-US"/>
        </w:rPr>
        <w:t xml:space="preserve">, identified four relevant studies. </w:t>
      </w:r>
    </w:p>
    <w:p w14:paraId="26176748" w14:textId="77777777" w:rsidR="0008746D" w:rsidRDefault="0008746D" w:rsidP="0008746D">
      <w:pPr>
        <w:rPr>
          <w:lang w:eastAsia="en-US"/>
        </w:rPr>
      </w:pPr>
      <w:r>
        <w:rPr>
          <w:lang w:eastAsia="en-US"/>
        </w:rPr>
        <w:t>The natural history of ADPKD includes the progression to ESKD in a large proportion of patients. Consequently, many patients with ADPKD are candidates for renal transplantation. Since deceased donor organs are in short supply, living related donation could be considered if ADPKD can be excluded in the prospective donor. Genetic testing has been recommended in the potential living related kidney donations (LRKD) if the donor is below 40 years of age, as imaging studies may be insufficient to rule out the future possibility of ADPKD in asymptomatic donors</w:t>
      </w:r>
      <w:r>
        <w:rPr>
          <w:rStyle w:val="FootnoteReference"/>
          <w:lang w:eastAsia="en-US"/>
        </w:rPr>
        <w:footnoteReference w:id="29"/>
      </w:r>
      <w:r>
        <w:rPr>
          <w:lang w:eastAsia="en-US"/>
        </w:rPr>
        <w:t xml:space="preserve">. No studies were identified evaluating the role of </w:t>
      </w:r>
      <w:r w:rsidRPr="00344B60">
        <w:rPr>
          <w:lang w:eastAsia="en-US"/>
        </w:rPr>
        <w:t xml:space="preserve">WGS </w:t>
      </w:r>
      <w:r>
        <w:rPr>
          <w:lang w:eastAsia="en-US"/>
        </w:rPr>
        <w:t>in</w:t>
      </w:r>
      <w:r w:rsidRPr="00344B60">
        <w:rPr>
          <w:lang w:eastAsia="en-US"/>
        </w:rPr>
        <w:t xml:space="preserve"> renal transplantation</w:t>
      </w:r>
      <w:r>
        <w:rPr>
          <w:lang w:eastAsia="en-US"/>
        </w:rPr>
        <w:t>,</w:t>
      </w:r>
      <w:r w:rsidRPr="00344B60">
        <w:rPr>
          <w:lang w:eastAsia="en-US"/>
        </w:rPr>
        <w:t xml:space="preserve"> </w:t>
      </w:r>
      <w:r>
        <w:rPr>
          <w:lang w:eastAsia="en-US"/>
        </w:rPr>
        <w:t>h</w:t>
      </w:r>
      <w:r w:rsidRPr="00344B60">
        <w:rPr>
          <w:lang w:eastAsia="en-US"/>
        </w:rPr>
        <w:t xml:space="preserve">owever, </w:t>
      </w:r>
      <w:r>
        <w:rPr>
          <w:lang w:eastAsia="en-US"/>
        </w:rPr>
        <w:t>two</w:t>
      </w:r>
      <w:r w:rsidRPr="00344B60">
        <w:rPr>
          <w:lang w:eastAsia="en-US"/>
        </w:rPr>
        <w:t xml:space="preserve"> studies investigating the pre</w:t>
      </w:r>
      <w:r>
        <w:rPr>
          <w:lang w:eastAsia="en-US"/>
        </w:rPr>
        <w:t>-</w:t>
      </w:r>
      <w:r w:rsidRPr="00344B60">
        <w:rPr>
          <w:lang w:eastAsia="en-US"/>
        </w:rPr>
        <w:t>transplant genetic evalua</w:t>
      </w:r>
      <w:r>
        <w:rPr>
          <w:lang w:eastAsia="en-US"/>
        </w:rPr>
        <w:t>tion using Sanger sequencing were found (</w:t>
      </w:r>
      <w:r>
        <w:rPr>
          <w:lang w:eastAsia="en-US"/>
        </w:rPr>
        <w:fldChar w:fldCharType="begin"/>
      </w:r>
      <w:r>
        <w:rPr>
          <w:lang w:eastAsia="en-US"/>
        </w:rPr>
        <w:instrText xml:space="preserve"> REF _Ref64967792 </w:instrText>
      </w:r>
      <w:r>
        <w:rPr>
          <w:lang w:eastAsia="en-US"/>
        </w:rPr>
        <w:fldChar w:fldCharType="separate"/>
      </w:r>
      <w:r>
        <w:t xml:space="preserve">Table </w:t>
      </w:r>
      <w:r>
        <w:rPr>
          <w:noProof/>
        </w:rPr>
        <w:t>12</w:t>
      </w:r>
      <w:r>
        <w:rPr>
          <w:lang w:eastAsia="en-US"/>
        </w:rPr>
        <w:fldChar w:fldCharType="end"/>
      </w:r>
      <w:r>
        <w:rPr>
          <w:lang w:eastAsia="en-US"/>
        </w:rPr>
        <w:t>).</w:t>
      </w:r>
    </w:p>
    <w:p w14:paraId="6AE20A6C" w14:textId="58C558A7" w:rsidR="0008746D" w:rsidRDefault="0008746D" w:rsidP="0008746D">
      <w:pPr>
        <w:pStyle w:val="Caption"/>
      </w:pPr>
      <w:bookmarkStart w:id="24" w:name="_Ref64967792"/>
      <w:r>
        <w:lastRenderedPageBreak/>
        <w:t xml:space="preserve">Table </w:t>
      </w:r>
      <w:fldSimple w:instr=" SEQ Table \* ARABIC ">
        <w:r w:rsidR="00627B6A">
          <w:rPr>
            <w:noProof/>
          </w:rPr>
          <w:t>12</w:t>
        </w:r>
      </w:fldSimple>
      <w:bookmarkEnd w:id="24"/>
      <w:r>
        <w:t xml:space="preserve"> </w:t>
      </w:r>
      <w:r>
        <w:tab/>
        <w:t>Genetic</w:t>
      </w:r>
      <w:r w:rsidRPr="00344B60">
        <w:t xml:space="preserve"> </w:t>
      </w:r>
      <w:r w:rsidRPr="0098356D">
        <w:t xml:space="preserve">testing results for living </w:t>
      </w:r>
      <w:r>
        <w:t xml:space="preserve">related </w:t>
      </w:r>
      <w:r w:rsidRPr="0098356D">
        <w:t>kidney donors</w:t>
      </w:r>
    </w:p>
    <w:tbl>
      <w:tblPr>
        <w:tblStyle w:val="TableGrid1"/>
        <w:tblW w:w="5000" w:type="pct"/>
        <w:tblLook w:val="04A0" w:firstRow="1" w:lastRow="0" w:firstColumn="1" w:lastColumn="0" w:noHBand="0" w:noVBand="1"/>
        <w:tblDescription w:val="Genetic testing results for living related kidney donors"/>
      </w:tblPr>
      <w:tblGrid>
        <w:gridCol w:w="810"/>
        <w:gridCol w:w="1241"/>
        <w:gridCol w:w="836"/>
        <w:gridCol w:w="882"/>
        <w:gridCol w:w="891"/>
        <w:gridCol w:w="2063"/>
        <w:gridCol w:w="2293"/>
      </w:tblGrid>
      <w:tr w:rsidR="0008746D" w:rsidRPr="0098356D" w14:paraId="5E25E606" w14:textId="77777777" w:rsidTr="005E3F29">
        <w:trPr>
          <w:tblHeader/>
        </w:trPr>
        <w:tc>
          <w:tcPr>
            <w:tcW w:w="500" w:type="pct"/>
          </w:tcPr>
          <w:p w14:paraId="7CB6C632" w14:textId="77777777" w:rsidR="0008746D" w:rsidRPr="0098356D" w:rsidRDefault="0008746D" w:rsidP="00E1141B">
            <w:pPr>
              <w:pStyle w:val="TableHeading"/>
            </w:pPr>
            <w:r>
              <w:t xml:space="preserve">Study, </w:t>
            </w:r>
            <w:r w:rsidRPr="0098356D">
              <w:t>N</w:t>
            </w:r>
          </w:p>
        </w:tc>
        <w:tc>
          <w:tcPr>
            <w:tcW w:w="739" w:type="pct"/>
          </w:tcPr>
          <w:p w14:paraId="0ADE5AD6" w14:textId="77777777" w:rsidR="0008746D" w:rsidRPr="0098356D" w:rsidRDefault="0008746D" w:rsidP="00E1141B">
            <w:pPr>
              <w:pStyle w:val="TableHeading"/>
            </w:pPr>
            <w:r w:rsidRPr="0098356D">
              <w:t>Intervention,</w:t>
            </w:r>
            <w:r>
              <w:t xml:space="preserve"> </w:t>
            </w:r>
            <w:r>
              <w:br/>
            </w:r>
            <w:r w:rsidRPr="0098356D">
              <w:t>Genes</w:t>
            </w:r>
          </w:p>
        </w:tc>
        <w:tc>
          <w:tcPr>
            <w:tcW w:w="350" w:type="pct"/>
          </w:tcPr>
          <w:p w14:paraId="0F4F8229" w14:textId="77777777" w:rsidR="0008746D" w:rsidRPr="0098356D" w:rsidRDefault="0008746D" w:rsidP="00E1141B">
            <w:pPr>
              <w:pStyle w:val="TableHeading"/>
              <w:jc w:val="center"/>
            </w:pPr>
            <w:r>
              <w:t>Variant</w:t>
            </w:r>
            <w:r w:rsidRPr="0098356D">
              <w:t xml:space="preserve"> positive</w:t>
            </w:r>
          </w:p>
        </w:tc>
        <w:tc>
          <w:tcPr>
            <w:tcW w:w="349" w:type="pct"/>
          </w:tcPr>
          <w:p w14:paraId="78411E22" w14:textId="77777777" w:rsidR="0008746D" w:rsidRPr="0098356D" w:rsidRDefault="0008746D" w:rsidP="00E1141B">
            <w:pPr>
              <w:pStyle w:val="TableHeading"/>
              <w:jc w:val="center"/>
            </w:pPr>
            <w:r>
              <w:t>Variant</w:t>
            </w:r>
            <w:r w:rsidRPr="0098356D">
              <w:t xml:space="preserve"> negative</w:t>
            </w:r>
          </w:p>
        </w:tc>
        <w:tc>
          <w:tcPr>
            <w:tcW w:w="497" w:type="pct"/>
          </w:tcPr>
          <w:p w14:paraId="752DE3E0" w14:textId="77777777" w:rsidR="0008746D" w:rsidRPr="0098356D" w:rsidRDefault="0008746D" w:rsidP="00E1141B">
            <w:pPr>
              <w:pStyle w:val="TableHeading"/>
              <w:jc w:val="center"/>
            </w:pPr>
            <w:r>
              <w:t>G</w:t>
            </w:r>
            <w:r w:rsidRPr="0098356D">
              <w:t>ene</w:t>
            </w:r>
            <w:r>
              <w:t xml:space="preserve"> variant/s</w:t>
            </w:r>
          </w:p>
        </w:tc>
        <w:tc>
          <w:tcPr>
            <w:tcW w:w="1243" w:type="pct"/>
          </w:tcPr>
          <w:p w14:paraId="7C8C0D5F" w14:textId="77777777" w:rsidR="0008746D" w:rsidRPr="0098356D" w:rsidRDefault="0008746D" w:rsidP="00E1141B">
            <w:pPr>
              <w:pStyle w:val="TableHeading"/>
            </w:pPr>
            <w:r>
              <w:t>Imaging-</w:t>
            </w:r>
            <w:r w:rsidRPr="0098356D">
              <w:t xml:space="preserve">based </w:t>
            </w:r>
            <w:r>
              <w:t>renal transplantation</w:t>
            </w:r>
            <w:r w:rsidRPr="0098356D">
              <w:t xml:space="preserve"> outcome, n/N</w:t>
            </w:r>
          </w:p>
        </w:tc>
        <w:tc>
          <w:tcPr>
            <w:tcW w:w="1322" w:type="pct"/>
          </w:tcPr>
          <w:p w14:paraId="23E9DF3D" w14:textId="77777777" w:rsidR="0008746D" w:rsidRPr="0098356D" w:rsidRDefault="0008746D" w:rsidP="00E1141B">
            <w:pPr>
              <w:pStyle w:val="TableHeading"/>
            </w:pPr>
            <w:r>
              <w:t>GT-</w:t>
            </w:r>
            <w:r w:rsidRPr="0098356D">
              <w:t xml:space="preserve">based </w:t>
            </w:r>
            <w:r>
              <w:t>renal transplantation</w:t>
            </w:r>
            <w:r w:rsidRPr="0098356D">
              <w:t xml:space="preserve"> outcome, n/N</w:t>
            </w:r>
          </w:p>
        </w:tc>
      </w:tr>
      <w:tr w:rsidR="0008746D" w:rsidRPr="0098356D" w14:paraId="096316C1" w14:textId="77777777" w:rsidTr="00E1141B">
        <w:tc>
          <w:tcPr>
            <w:tcW w:w="500" w:type="pct"/>
            <w:vMerge w:val="restart"/>
          </w:tcPr>
          <w:p w14:paraId="6EF65D3A" w14:textId="77777777" w:rsidR="0008746D" w:rsidRPr="0098356D" w:rsidRDefault="0008746D" w:rsidP="00344187">
            <w:pPr>
              <w:pStyle w:val="TableText0"/>
              <w:spacing w:before="0" w:after="0"/>
            </w:pPr>
            <w:r w:rsidRPr="0098356D">
              <w:t>Huang 2009</w:t>
            </w:r>
            <w:r>
              <w:t xml:space="preserve"> </w:t>
            </w:r>
            <w:r>
              <w:rPr>
                <w:rStyle w:val="FootnoteReference"/>
              </w:rPr>
              <w:footnoteReference w:id="30"/>
            </w:r>
            <w:r>
              <w:t xml:space="preserve">, </w:t>
            </w:r>
            <w:r w:rsidRPr="0098356D">
              <w:t>4 living related kidney donor</w:t>
            </w:r>
            <w:r>
              <w:t>s</w:t>
            </w:r>
          </w:p>
        </w:tc>
        <w:tc>
          <w:tcPr>
            <w:tcW w:w="739" w:type="pct"/>
            <w:vMerge w:val="restart"/>
          </w:tcPr>
          <w:p w14:paraId="7C636D3B" w14:textId="77777777" w:rsidR="0008746D" w:rsidRPr="0098356D" w:rsidRDefault="0008746D" w:rsidP="00344187">
            <w:pPr>
              <w:pStyle w:val="TableText0"/>
              <w:spacing w:before="0" w:after="0"/>
            </w:pPr>
            <w:r>
              <w:t>Sanger sequencing</w:t>
            </w:r>
          </w:p>
          <w:p w14:paraId="0D6277AF" w14:textId="77777777" w:rsidR="0008746D" w:rsidRPr="0098356D" w:rsidRDefault="0008746D" w:rsidP="00344187">
            <w:pPr>
              <w:pStyle w:val="TableText0"/>
              <w:spacing w:before="0" w:after="0"/>
            </w:pPr>
            <w:r w:rsidRPr="000A51A0">
              <w:rPr>
                <w:i/>
              </w:rPr>
              <w:t>PKD1</w:t>
            </w:r>
            <w:r w:rsidRPr="0098356D">
              <w:t xml:space="preserve">, </w:t>
            </w:r>
            <w:r w:rsidRPr="000A51A0">
              <w:rPr>
                <w:i/>
              </w:rPr>
              <w:t>PKD2</w:t>
            </w:r>
          </w:p>
        </w:tc>
        <w:tc>
          <w:tcPr>
            <w:tcW w:w="350" w:type="pct"/>
            <w:vMerge w:val="restart"/>
          </w:tcPr>
          <w:p w14:paraId="159622CF" w14:textId="77777777" w:rsidR="0008746D" w:rsidRPr="0098356D" w:rsidRDefault="0008746D" w:rsidP="00344187">
            <w:pPr>
              <w:pStyle w:val="TableText0"/>
              <w:spacing w:before="0" w:after="0"/>
              <w:jc w:val="center"/>
            </w:pPr>
            <w:r w:rsidRPr="0098356D">
              <w:t>100% (4/4)</w:t>
            </w:r>
          </w:p>
        </w:tc>
        <w:tc>
          <w:tcPr>
            <w:tcW w:w="349" w:type="pct"/>
            <w:vMerge w:val="restart"/>
          </w:tcPr>
          <w:p w14:paraId="3BC21573" w14:textId="77777777" w:rsidR="0008746D" w:rsidRPr="0098356D" w:rsidRDefault="0008746D" w:rsidP="00344187">
            <w:pPr>
              <w:pStyle w:val="TableText0"/>
              <w:spacing w:before="0" w:after="0"/>
              <w:jc w:val="center"/>
            </w:pPr>
            <w:r w:rsidRPr="0098356D">
              <w:t>-</w:t>
            </w:r>
          </w:p>
        </w:tc>
        <w:tc>
          <w:tcPr>
            <w:tcW w:w="497" w:type="pct"/>
            <w:vMerge w:val="restart"/>
          </w:tcPr>
          <w:p w14:paraId="1FBDA3BD" w14:textId="77777777" w:rsidR="0008746D" w:rsidRPr="0098356D" w:rsidRDefault="0008746D" w:rsidP="00344187">
            <w:pPr>
              <w:pStyle w:val="TableText0"/>
              <w:spacing w:before="0" w:after="0"/>
              <w:jc w:val="center"/>
            </w:pPr>
            <w:r w:rsidRPr="000A51A0">
              <w:rPr>
                <w:i/>
              </w:rPr>
              <w:t>PKD1</w:t>
            </w:r>
            <w:r w:rsidRPr="0098356D">
              <w:t xml:space="preserve"> (4/4)</w:t>
            </w:r>
          </w:p>
          <w:p w14:paraId="493F3DA9" w14:textId="77777777" w:rsidR="0008746D" w:rsidRPr="0098356D" w:rsidRDefault="0008746D" w:rsidP="00344187">
            <w:pPr>
              <w:pStyle w:val="TableText0"/>
              <w:spacing w:before="0" w:after="0"/>
              <w:jc w:val="center"/>
            </w:pPr>
            <w:r w:rsidRPr="000A51A0">
              <w:rPr>
                <w:i/>
              </w:rPr>
              <w:t>PKD2</w:t>
            </w:r>
            <w:r w:rsidRPr="0098356D">
              <w:t xml:space="preserve"> (1/4)</w:t>
            </w:r>
          </w:p>
        </w:tc>
        <w:tc>
          <w:tcPr>
            <w:tcW w:w="1243" w:type="pct"/>
          </w:tcPr>
          <w:p w14:paraId="1A2D587C" w14:textId="77777777" w:rsidR="0008746D" w:rsidRPr="0098356D" w:rsidRDefault="0008746D" w:rsidP="00344187">
            <w:pPr>
              <w:pStyle w:val="TableText0"/>
              <w:spacing w:before="0" w:after="0"/>
            </w:pPr>
            <w:r w:rsidRPr="0098356D">
              <w:t xml:space="preserve">-No abnormalities detected, </w:t>
            </w:r>
          </w:p>
          <w:p w14:paraId="58A84996" w14:textId="77777777" w:rsidR="0008746D" w:rsidRPr="0098356D" w:rsidRDefault="0008746D" w:rsidP="00344187">
            <w:pPr>
              <w:pStyle w:val="TableText0"/>
              <w:spacing w:before="0" w:after="0"/>
            </w:pPr>
            <w:r w:rsidRPr="0098356D">
              <w:t>-Proceed with donation, 50% (2/4)</w:t>
            </w:r>
          </w:p>
        </w:tc>
        <w:tc>
          <w:tcPr>
            <w:tcW w:w="1322" w:type="pct"/>
          </w:tcPr>
          <w:p w14:paraId="4B1BF6B4" w14:textId="77777777" w:rsidR="0008746D" w:rsidRPr="0098356D" w:rsidRDefault="0008746D" w:rsidP="00344187">
            <w:pPr>
              <w:pStyle w:val="TableText0"/>
              <w:spacing w:before="0" w:after="0"/>
            </w:pPr>
            <w:r w:rsidRPr="0098356D">
              <w:t xml:space="preserve">-No parental disease-causing </w:t>
            </w:r>
            <w:r>
              <w:t>variant</w:t>
            </w:r>
            <w:r w:rsidRPr="0098356D">
              <w:t xml:space="preserve"> detected</w:t>
            </w:r>
          </w:p>
          <w:p w14:paraId="0AD430DC" w14:textId="77777777" w:rsidR="0008746D" w:rsidRPr="0098356D" w:rsidRDefault="0008746D" w:rsidP="00344187">
            <w:pPr>
              <w:pStyle w:val="TableText0"/>
              <w:spacing w:before="0" w:after="0"/>
            </w:pPr>
            <w:r w:rsidRPr="0098356D">
              <w:t>-Proceed with donation, 50% (2/4)</w:t>
            </w:r>
          </w:p>
        </w:tc>
      </w:tr>
      <w:tr w:rsidR="0008746D" w:rsidRPr="0098356D" w14:paraId="0A0505B4" w14:textId="77777777" w:rsidTr="00E1141B">
        <w:tc>
          <w:tcPr>
            <w:tcW w:w="500" w:type="pct"/>
            <w:vMerge/>
          </w:tcPr>
          <w:p w14:paraId="396CB1BF" w14:textId="77777777" w:rsidR="0008746D" w:rsidRPr="0098356D" w:rsidRDefault="0008746D" w:rsidP="00344187">
            <w:pPr>
              <w:pStyle w:val="TableText0"/>
              <w:spacing w:before="0" w:after="0"/>
            </w:pPr>
          </w:p>
        </w:tc>
        <w:tc>
          <w:tcPr>
            <w:tcW w:w="739" w:type="pct"/>
            <w:vMerge/>
          </w:tcPr>
          <w:p w14:paraId="19EBB8BE" w14:textId="77777777" w:rsidR="0008746D" w:rsidRPr="0098356D" w:rsidRDefault="0008746D" w:rsidP="00344187">
            <w:pPr>
              <w:pStyle w:val="TableText0"/>
              <w:spacing w:before="0" w:after="0"/>
            </w:pPr>
          </w:p>
        </w:tc>
        <w:tc>
          <w:tcPr>
            <w:tcW w:w="350" w:type="pct"/>
            <w:vMerge/>
          </w:tcPr>
          <w:p w14:paraId="031B0806" w14:textId="77777777" w:rsidR="0008746D" w:rsidRPr="0098356D" w:rsidRDefault="0008746D" w:rsidP="00344187">
            <w:pPr>
              <w:pStyle w:val="TableText0"/>
              <w:spacing w:before="0" w:after="0"/>
              <w:jc w:val="center"/>
            </w:pPr>
          </w:p>
        </w:tc>
        <w:tc>
          <w:tcPr>
            <w:tcW w:w="349" w:type="pct"/>
            <w:vMerge/>
          </w:tcPr>
          <w:p w14:paraId="3F0F8E18" w14:textId="77777777" w:rsidR="0008746D" w:rsidRPr="0098356D" w:rsidRDefault="0008746D" w:rsidP="00344187">
            <w:pPr>
              <w:pStyle w:val="TableText0"/>
              <w:spacing w:before="0" w:after="0"/>
              <w:jc w:val="center"/>
            </w:pPr>
          </w:p>
        </w:tc>
        <w:tc>
          <w:tcPr>
            <w:tcW w:w="497" w:type="pct"/>
            <w:vMerge/>
          </w:tcPr>
          <w:p w14:paraId="52CB063D" w14:textId="77777777" w:rsidR="0008746D" w:rsidRPr="0098356D" w:rsidRDefault="0008746D" w:rsidP="00344187">
            <w:pPr>
              <w:pStyle w:val="TableText0"/>
              <w:spacing w:before="0" w:after="0"/>
              <w:jc w:val="center"/>
            </w:pPr>
          </w:p>
        </w:tc>
        <w:tc>
          <w:tcPr>
            <w:tcW w:w="1243" w:type="pct"/>
          </w:tcPr>
          <w:p w14:paraId="51BB22A2" w14:textId="77777777" w:rsidR="0008746D" w:rsidRPr="0098356D" w:rsidRDefault="0008746D" w:rsidP="00344187">
            <w:pPr>
              <w:pStyle w:val="TableText0"/>
              <w:spacing w:before="0" w:after="0"/>
            </w:pPr>
            <w:r w:rsidRPr="0098356D">
              <w:t>-Abnormalities detected</w:t>
            </w:r>
          </w:p>
          <w:p w14:paraId="132C7DD7" w14:textId="77777777" w:rsidR="0008746D" w:rsidRPr="0098356D" w:rsidRDefault="0008746D" w:rsidP="00344187">
            <w:pPr>
              <w:pStyle w:val="TableText0"/>
              <w:spacing w:before="0" w:after="0"/>
            </w:pPr>
            <w:r w:rsidRPr="0098356D">
              <w:t xml:space="preserve">-Preclude </w:t>
            </w:r>
            <w:proofErr w:type="spellStart"/>
            <w:r w:rsidRPr="0098356D">
              <w:t>RTx</w:t>
            </w:r>
            <w:proofErr w:type="spellEnd"/>
          </w:p>
          <w:p w14:paraId="2CE4648B" w14:textId="77777777" w:rsidR="0008746D" w:rsidRPr="0098356D" w:rsidRDefault="0008746D" w:rsidP="00344187">
            <w:pPr>
              <w:pStyle w:val="TableText0"/>
              <w:spacing w:before="0" w:after="0"/>
            </w:pPr>
            <w:r w:rsidRPr="0098356D">
              <w:t xml:space="preserve">-Don’t proceed with donation, 25% (1/4)  </w:t>
            </w:r>
          </w:p>
        </w:tc>
        <w:tc>
          <w:tcPr>
            <w:tcW w:w="1322" w:type="pct"/>
          </w:tcPr>
          <w:p w14:paraId="50F1EE41" w14:textId="77777777" w:rsidR="0008746D" w:rsidRPr="0098356D" w:rsidRDefault="0008746D" w:rsidP="00344187">
            <w:pPr>
              <w:pStyle w:val="TableText0"/>
              <w:spacing w:before="0" w:after="0"/>
            </w:pPr>
            <w:r w:rsidRPr="0098356D">
              <w:t xml:space="preserve">-No parental disease-causing </w:t>
            </w:r>
            <w:r>
              <w:t>variant</w:t>
            </w:r>
            <w:r w:rsidRPr="0098356D">
              <w:t xml:space="preserve"> detected</w:t>
            </w:r>
          </w:p>
          <w:p w14:paraId="6C4E1192" w14:textId="77777777" w:rsidR="0008746D" w:rsidRPr="0098356D" w:rsidRDefault="0008746D" w:rsidP="00344187">
            <w:pPr>
              <w:pStyle w:val="TableText0"/>
              <w:spacing w:before="0" w:after="0"/>
            </w:pPr>
            <w:r w:rsidRPr="0098356D">
              <w:t>-Proceed with donation, 25% (1/4)</w:t>
            </w:r>
          </w:p>
        </w:tc>
      </w:tr>
      <w:tr w:rsidR="0008746D" w:rsidRPr="0098356D" w14:paraId="69053F26" w14:textId="77777777" w:rsidTr="00E1141B">
        <w:tc>
          <w:tcPr>
            <w:tcW w:w="500" w:type="pct"/>
            <w:vMerge/>
          </w:tcPr>
          <w:p w14:paraId="7DB88103" w14:textId="77777777" w:rsidR="0008746D" w:rsidRPr="0098356D" w:rsidRDefault="0008746D" w:rsidP="00344187">
            <w:pPr>
              <w:pStyle w:val="TableText0"/>
              <w:spacing w:before="0" w:after="0"/>
            </w:pPr>
          </w:p>
        </w:tc>
        <w:tc>
          <w:tcPr>
            <w:tcW w:w="739" w:type="pct"/>
            <w:vMerge/>
          </w:tcPr>
          <w:p w14:paraId="2A3A39E4" w14:textId="77777777" w:rsidR="0008746D" w:rsidRPr="0098356D" w:rsidRDefault="0008746D" w:rsidP="00344187">
            <w:pPr>
              <w:pStyle w:val="TableText0"/>
              <w:spacing w:before="0" w:after="0"/>
            </w:pPr>
          </w:p>
        </w:tc>
        <w:tc>
          <w:tcPr>
            <w:tcW w:w="350" w:type="pct"/>
            <w:vMerge/>
          </w:tcPr>
          <w:p w14:paraId="16CBA597" w14:textId="77777777" w:rsidR="0008746D" w:rsidRPr="0098356D" w:rsidRDefault="0008746D" w:rsidP="00344187">
            <w:pPr>
              <w:pStyle w:val="TableText0"/>
              <w:spacing w:before="0" w:after="0"/>
              <w:jc w:val="center"/>
            </w:pPr>
          </w:p>
        </w:tc>
        <w:tc>
          <w:tcPr>
            <w:tcW w:w="349" w:type="pct"/>
            <w:vMerge/>
          </w:tcPr>
          <w:p w14:paraId="1D9C4974" w14:textId="77777777" w:rsidR="0008746D" w:rsidRPr="0098356D" w:rsidRDefault="0008746D" w:rsidP="00344187">
            <w:pPr>
              <w:pStyle w:val="TableText0"/>
              <w:spacing w:before="0" w:after="0"/>
              <w:jc w:val="center"/>
            </w:pPr>
          </w:p>
        </w:tc>
        <w:tc>
          <w:tcPr>
            <w:tcW w:w="497" w:type="pct"/>
            <w:vMerge/>
          </w:tcPr>
          <w:p w14:paraId="0FBAB871" w14:textId="77777777" w:rsidR="0008746D" w:rsidRPr="0098356D" w:rsidRDefault="0008746D" w:rsidP="00344187">
            <w:pPr>
              <w:pStyle w:val="TableText0"/>
              <w:spacing w:before="0" w:after="0"/>
              <w:jc w:val="center"/>
            </w:pPr>
          </w:p>
        </w:tc>
        <w:tc>
          <w:tcPr>
            <w:tcW w:w="1243" w:type="pct"/>
          </w:tcPr>
          <w:p w14:paraId="09427D9A" w14:textId="77777777" w:rsidR="0008746D" w:rsidRPr="0098356D" w:rsidRDefault="0008746D" w:rsidP="00344187">
            <w:pPr>
              <w:pStyle w:val="TableText0"/>
              <w:spacing w:before="0" w:after="0"/>
            </w:pPr>
            <w:r w:rsidRPr="0098356D">
              <w:t>-Abnormalities detected</w:t>
            </w:r>
          </w:p>
          <w:p w14:paraId="56D93969" w14:textId="77777777" w:rsidR="0008746D" w:rsidRPr="0098356D" w:rsidRDefault="0008746D" w:rsidP="00344187">
            <w:pPr>
              <w:pStyle w:val="TableText0"/>
              <w:spacing w:before="0" w:after="0"/>
            </w:pPr>
            <w:r w:rsidRPr="0098356D">
              <w:t xml:space="preserve">-Preclude </w:t>
            </w:r>
            <w:proofErr w:type="spellStart"/>
            <w:r w:rsidRPr="0098356D">
              <w:t>RTx</w:t>
            </w:r>
            <w:proofErr w:type="spellEnd"/>
          </w:p>
          <w:p w14:paraId="667C6163" w14:textId="77777777" w:rsidR="0008746D" w:rsidRPr="0098356D" w:rsidRDefault="0008746D" w:rsidP="00344187">
            <w:pPr>
              <w:pStyle w:val="TableText0"/>
              <w:spacing w:before="0" w:after="0"/>
            </w:pPr>
            <w:r w:rsidRPr="0098356D">
              <w:t>-Don’t proceed with donation, 25% (1/4)</w:t>
            </w:r>
          </w:p>
        </w:tc>
        <w:tc>
          <w:tcPr>
            <w:tcW w:w="1322" w:type="pct"/>
          </w:tcPr>
          <w:p w14:paraId="4CB0F08D" w14:textId="77777777" w:rsidR="0008746D" w:rsidRPr="0098356D" w:rsidRDefault="0008746D" w:rsidP="00344187">
            <w:pPr>
              <w:pStyle w:val="TableText0"/>
              <w:spacing w:before="0" w:after="0"/>
            </w:pPr>
            <w:r w:rsidRPr="0098356D">
              <w:t>-GT inconclusive</w:t>
            </w:r>
          </w:p>
          <w:p w14:paraId="3B09260B" w14:textId="77777777" w:rsidR="0008746D" w:rsidRPr="0098356D" w:rsidRDefault="0008746D" w:rsidP="00344187">
            <w:pPr>
              <w:pStyle w:val="TableText0"/>
              <w:spacing w:before="0" w:after="0"/>
            </w:pPr>
            <w:r w:rsidRPr="0098356D">
              <w:t>-Don’t proceed with donation, 25% (1/4)</w:t>
            </w:r>
          </w:p>
        </w:tc>
      </w:tr>
      <w:tr w:rsidR="0008746D" w:rsidRPr="0098356D" w14:paraId="511FB27A" w14:textId="77777777" w:rsidTr="00E1141B">
        <w:tc>
          <w:tcPr>
            <w:tcW w:w="500" w:type="pct"/>
            <w:vMerge w:val="restart"/>
          </w:tcPr>
          <w:p w14:paraId="095475C4" w14:textId="77777777" w:rsidR="0008746D" w:rsidRPr="0098356D" w:rsidRDefault="0008746D" w:rsidP="00344187">
            <w:pPr>
              <w:pStyle w:val="TableText0"/>
              <w:spacing w:before="0" w:after="0"/>
            </w:pPr>
            <w:r w:rsidRPr="0098356D">
              <w:t>Simms 2015</w:t>
            </w:r>
            <w:r>
              <w:t xml:space="preserve"> </w:t>
            </w:r>
            <w:r>
              <w:rPr>
                <w:rStyle w:val="FootnoteReference"/>
              </w:rPr>
              <w:footnoteReference w:id="31"/>
            </w:r>
            <w:r>
              <w:t xml:space="preserve">, </w:t>
            </w:r>
            <w:r w:rsidRPr="0098356D">
              <w:t>25 living related kidney donor</w:t>
            </w:r>
            <w:r>
              <w:t>s</w:t>
            </w:r>
          </w:p>
        </w:tc>
        <w:tc>
          <w:tcPr>
            <w:tcW w:w="739" w:type="pct"/>
            <w:vMerge w:val="restart"/>
          </w:tcPr>
          <w:p w14:paraId="08369555" w14:textId="77777777" w:rsidR="0008746D" w:rsidRPr="0098356D" w:rsidRDefault="0008746D" w:rsidP="00344187">
            <w:pPr>
              <w:pStyle w:val="TableText0"/>
              <w:spacing w:before="0" w:after="0"/>
            </w:pPr>
            <w:r>
              <w:t>Sanger sequencing</w:t>
            </w:r>
          </w:p>
          <w:p w14:paraId="310B890A" w14:textId="77777777" w:rsidR="0008746D" w:rsidRPr="0098356D" w:rsidRDefault="0008746D" w:rsidP="00344187">
            <w:pPr>
              <w:pStyle w:val="TableText0"/>
              <w:spacing w:before="0" w:after="0"/>
            </w:pPr>
            <w:r w:rsidRPr="000A51A0">
              <w:rPr>
                <w:i/>
              </w:rPr>
              <w:t>PKD1</w:t>
            </w:r>
            <w:r w:rsidRPr="0098356D">
              <w:t xml:space="preserve">, </w:t>
            </w:r>
            <w:r w:rsidRPr="000A51A0">
              <w:rPr>
                <w:i/>
              </w:rPr>
              <w:t>PKD2</w:t>
            </w:r>
          </w:p>
        </w:tc>
        <w:tc>
          <w:tcPr>
            <w:tcW w:w="350" w:type="pct"/>
            <w:vMerge w:val="restart"/>
          </w:tcPr>
          <w:p w14:paraId="22951016" w14:textId="77777777" w:rsidR="0008746D" w:rsidRPr="0098356D" w:rsidRDefault="0008746D" w:rsidP="00344187">
            <w:pPr>
              <w:pStyle w:val="TableText0"/>
              <w:spacing w:before="0" w:after="0"/>
              <w:jc w:val="center"/>
            </w:pPr>
            <w:r w:rsidRPr="0098356D">
              <w:t>4% (1/25)</w:t>
            </w:r>
          </w:p>
        </w:tc>
        <w:tc>
          <w:tcPr>
            <w:tcW w:w="349" w:type="pct"/>
            <w:vMerge w:val="restart"/>
          </w:tcPr>
          <w:p w14:paraId="4B96F276" w14:textId="77777777" w:rsidR="0008746D" w:rsidRPr="0098356D" w:rsidRDefault="0008746D" w:rsidP="00344187">
            <w:pPr>
              <w:pStyle w:val="TableText0"/>
              <w:spacing w:before="0" w:after="0"/>
              <w:jc w:val="center"/>
            </w:pPr>
            <w:r w:rsidRPr="0098356D">
              <w:t>96% (24/25)</w:t>
            </w:r>
          </w:p>
        </w:tc>
        <w:tc>
          <w:tcPr>
            <w:tcW w:w="497" w:type="pct"/>
            <w:vMerge w:val="restart"/>
          </w:tcPr>
          <w:p w14:paraId="78E063DE" w14:textId="77777777" w:rsidR="0008746D" w:rsidRPr="0098356D" w:rsidRDefault="0008746D" w:rsidP="00344187">
            <w:pPr>
              <w:pStyle w:val="TableText0"/>
              <w:spacing w:before="0" w:after="0"/>
              <w:jc w:val="center"/>
            </w:pPr>
            <w:r w:rsidRPr="000A51A0">
              <w:rPr>
                <w:i/>
              </w:rPr>
              <w:t>PKD1</w:t>
            </w:r>
          </w:p>
        </w:tc>
        <w:tc>
          <w:tcPr>
            <w:tcW w:w="1243" w:type="pct"/>
          </w:tcPr>
          <w:p w14:paraId="53643508" w14:textId="77777777" w:rsidR="0008746D" w:rsidRPr="0098356D" w:rsidRDefault="0008746D" w:rsidP="00344187">
            <w:pPr>
              <w:pStyle w:val="TableText0"/>
              <w:spacing w:before="0" w:after="0"/>
            </w:pPr>
            <w:r w:rsidRPr="0098356D">
              <w:t xml:space="preserve">-Abnormalities detected </w:t>
            </w:r>
          </w:p>
          <w:p w14:paraId="465357A3" w14:textId="77777777" w:rsidR="0008746D" w:rsidRPr="0098356D" w:rsidRDefault="0008746D" w:rsidP="00344187">
            <w:pPr>
              <w:pStyle w:val="TableText0"/>
              <w:spacing w:before="0" w:after="0"/>
            </w:pPr>
            <w:r w:rsidRPr="0098356D">
              <w:t xml:space="preserve">-Preclude </w:t>
            </w:r>
            <w:proofErr w:type="spellStart"/>
            <w:r w:rsidRPr="0098356D">
              <w:t>RTx</w:t>
            </w:r>
            <w:proofErr w:type="spellEnd"/>
            <w:r w:rsidRPr="0098356D">
              <w:t xml:space="preserve"> </w:t>
            </w:r>
          </w:p>
          <w:p w14:paraId="0655D8FE" w14:textId="77777777" w:rsidR="0008746D" w:rsidRPr="0098356D" w:rsidRDefault="0008746D" w:rsidP="00344187">
            <w:pPr>
              <w:pStyle w:val="TableText0"/>
              <w:spacing w:before="0" w:after="0"/>
            </w:pPr>
            <w:r w:rsidRPr="0098356D">
              <w:t xml:space="preserve">-Don’t proceed with donation, 1 (4%)  </w:t>
            </w:r>
          </w:p>
        </w:tc>
        <w:tc>
          <w:tcPr>
            <w:tcW w:w="1322" w:type="pct"/>
          </w:tcPr>
          <w:p w14:paraId="26723468" w14:textId="77777777" w:rsidR="0008746D" w:rsidRPr="0098356D" w:rsidRDefault="0008746D" w:rsidP="00344187">
            <w:pPr>
              <w:pStyle w:val="TableText0"/>
              <w:spacing w:before="0" w:after="0"/>
            </w:pPr>
            <w:r w:rsidRPr="0098356D">
              <w:t xml:space="preserve">-Pathogenic </w:t>
            </w:r>
            <w:r>
              <w:t>variant</w:t>
            </w:r>
            <w:r w:rsidRPr="0098356D">
              <w:t xml:space="preserve"> detected</w:t>
            </w:r>
          </w:p>
          <w:p w14:paraId="0651531A" w14:textId="77777777" w:rsidR="0008746D" w:rsidRPr="0098356D" w:rsidRDefault="0008746D" w:rsidP="00344187">
            <w:pPr>
              <w:pStyle w:val="TableText0"/>
              <w:spacing w:before="0" w:after="0"/>
            </w:pPr>
            <w:r w:rsidRPr="0098356D">
              <w:t xml:space="preserve">-Precluded </w:t>
            </w:r>
            <w:proofErr w:type="spellStart"/>
            <w:r w:rsidRPr="0098356D">
              <w:t>RTx</w:t>
            </w:r>
            <w:proofErr w:type="spellEnd"/>
            <w:r w:rsidRPr="0098356D">
              <w:t xml:space="preserve"> </w:t>
            </w:r>
          </w:p>
          <w:p w14:paraId="78EDAD56" w14:textId="77777777" w:rsidR="0008746D" w:rsidRPr="0098356D" w:rsidRDefault="0008746D" w:rsidP="00344187">
            <w:pPr>
              <w:pStyle w:val="TableText0"/>
              <w:spacing w:before="0" w:after="0"/>
            </w:pPr>
            <w:r w:rsidRPr="0098356D">
              <w:t xml:space="preserve">-Don’t proceed with donation, 4% (1/25)  </w:t>
            </w:r>
          </w:p>
        </w:tc>
      </w:tr>
      <w:tr w:rsidR="0008746D" w:rsidRPr="0098356D" w14:paraId="65E453F3" w14:textId="77777777" w:rsidTr="00E1141B">
        <w:tc>
          <w:tcPr>
            <w:tcW w:w="500" w:type="pct"/>
            <w:vMerge/>
          </w:tcPr>
          <w:p w14:paraId="480EE470" w14:textId="77777777" w:rsidR="0008746D" w:rsidRPr="0098356D" w:rsidRDefault="0008746D" w:rsidP="00344187">
            <w:pPr>
              <w:pStyle w:val="TableText0"/>
              <w:spacing w:before="0" w:after="0"/>
            </w:pPr>
          </w:p>
        </w:tc>
        <w:tc>
          <w:tcPr>
            <w:tcW w:w="739" w:type="pct"/>
            <w:vMerge/>
          </w:tcPr>
          <w:p w14:paraId="7E5E68A9" w14:textId="77777777" w:rsidR="0008746D" w:rsidRPr="0098356D" w:rsidRDefault="0008746D" w:rsidP="00344187">
            <w:pPr>
              <w:pStyle w:val="TableText0"/>
              <w:spacing w:before="0" w:after="0"/>
            </w:pPr>
          </w:p>
        </w:tc>
        <w:tc>
          <w:tcPr>
            <w:tcW w:w="350" w:type="pct"/>
            <w:vMerge/>
          </w:tcPr>
          <w:p w14:paraId="06E222A5" w14:textId="77777777" w:rsidR="0008746D" w:rsidRPr="0098356D" w:rsidRDefault="0008746D" w:rsidP="00344187">
            <w:pPr>
              <w:pStyle w:val="TableText0"/>
              <w:spacing w:before="0" w:after="0"/>
              <w:jc w:val="center"/>
            </w:pPr>
          </w:p>
        </w:tc>
        <w:tc>
          <w:tcPr>
            <w:tcW w:w="349" w:type="pct"/>
            <w:vMerge/>
          </w:tcPr>
          <w:p w14:paraId="2C57C22C" w14:textId="77777777" w:rsidR="0008746D" w:rsidRPr="0098356D" w:rsidRDefault="0008746D" w:rsidP="00344187">
            <w:pPr>
              <w:pStyle w:val="TableText0"/>
              <w:spacing w:before="0" w:after="0"/>
              <w:jc w:val="center"/>
            </w:pPr>
          </w:p>
        </w:tc>
        <w:tc>
          <w:tcPr>
            <w:tcW w:w="497" w:type="pct"/>
            <w:vMerge/>
          </w:tcPr>
          <w:p w14:paraId="3DC0EE99" w14:textId="77777777" w:rsidR="0008746D" w:rsidRPr="0098356D" w:rsidRDefault="0008746D" w:rsidP="00344187">
            <w:pPr>
              <w:pStyle w:val="TableText0"/>
              <w:spacing w:before="0" w:after="0"/>
              <w:jc w:val="center"/>
            </w:pPr>
          </w:p>
        </w:tc>
        <w:tc>
          <w:tcPr>
            <w:tcW w:w="1243" w:type="pct"/>
          </w:tcPr>
          <w:p w14:paraId="2D8E2A8A" w14:textId="77777777" w:rsidR="0008746D" w:rsidRPr="0098356D" w:rsidRDefault="0008746D" w:rsidP="00344187">
            <w:pPr>
              <w:pStyle w:val="TableText0"/>
              <w:spacing w:before="0" w:after="0"/>
            </w:pPr>
            <w:r w:rsidRPr="0098356D">
              <w:t>-Abnormalities detected</w:t>
            </w:r>
          </w:p>
          <w:p w14:paraId="4202CA7F" w14:textId="77777777" w:rsidR="0008746D" w:rsidRPr="0098356D" w:rsidRDefault="0008746D" w:rsidP="00344187">
            <w:pPr>
              <w:pStyle w:val="TableText0"/>
              <w:spacing w:before="0" w:after="0"/>
            </w:pPr>
            <w:r w:rsidRPr="0098356D">
              <w:t xml:space="preserve">-Preclude </w:t>
            </w:r>
            <w:proofErr w:type="spellStart"/>
            <w:r w:rsidRPr="0098356D">
              <w:t>RTx</w:t>
            </w:r>
            <w:proofErr w:type="spellEnd"/>
          </w:p>
          <w:p w14:paraId="001F463A" w14:textId="77777777" w:rsidR="0008746D" w:rsidRPr="0098356D" w:rsidRDefault="0008746D" w:rsidP="00344187">
            <w:pPr>
              <w:pStyle w:val="TableText0"/>
              <w:spacing w:before="0" w:after="0"/>
            </w:pPr>
            <w:r w:rsidRPr="0098356D">
              <w:t>-Don’t proceed with donation, 4% (1/25)</w:t>
            </w:r>
          </w:p>
        </w:tc>
        <w:tc>
          <w:tcPr>
            <w:tcW w:w="1322" w:type="pct"/>
          </w:tcPr>
          <w:p w14:paraId="4AD5DB9D" w14:textId="77777777" w:rsidR="0008746D" w:rsidRPr="0098356D" w:rsidRDefault="0008746D" w:rsidP="00344187">
            <w:pPr>
              <w:pStyle w:val="TableText0"/>
              <w:spacing w:before="0" w:after="0"/>
            </w:pPr>
            <w:r w:rsidRPr="0098356D">
              <w:t xml:space="preserve">-No known </w:t>
            </w:r>
            <w:r>
              <w:t>variant</w:t>
            </w:r>
            <w:r w:rsidRPr="0098356D">
              <w:t xml:space="preserve"> detected</w:t>
            </w:r>
          </w:p>
          <w:p w14:paraId="0956E6E3" w14:textId="77777777" w:rsidR="0008746D" w:rsidRPr="0098356D" w:rsidRDefault="0008746D" w:rsidP="00344187">
            <w:pPr>
              <w:pStyle w:val="TableText0"/>
              <w:spacing w:before="0" w:after="0"/>
            </w:pPr>
            <w:r w:rsidRPr="0098356D">
              <w:t>-Proceed with donation, 4% (1/25)</w:t>
            </w:r>
          </w:p>
        </w:tc>
      </w:tr>
      <w:tr w:rsidR="0008746D" w:rsidRPr="0098356D" w14:paraId="4641C1D5" w14:textId="77777777" w:rsidTr="00E1141B">
        <w:tc>
          <w:tcPr>
            <w:tcW w:w="500" w:type="pct"/>
            <w:vMerge/>
          </w:tcPr>
          <w:p w14:paraId="0375880B" w14:textId="77777777" w:rsidR="0008746D" w:rsidRPr="0098356D" w:rsidRDefault="0008746D" w:rsidP="00344187">
            <w:pPr>
              <w:pStyle w:val="TableText0"/>
              <w:spacing w:before="0" w:after="0"/>
            </w:pPr>
          </w:p>
        </w:tc>
        <w:tc>
          <w:tcPr>
            <w:tcW w:w="739" w:type="pct"/>
            <w:vMerge/>
          </w:tcPr>
          <w:p w14:paraId="4EF0BDA6" w14:textId="77777777" w:rsidR="0008746D" w:rsidRPr="0098356D" w:rsidRDefault="0008746D" w:rsidP="00344187">
            <w:pPr>
              <w:pStyle w:val="TableText0"/>
              <w:spacing w:before="0" w:after="0"/>
            </w:pPr>
          </w:p>
        </w:tc>
        <w:tc>
          <w:tcPr>
            <w:tcW w:w="350" w:type="pct"/>
            <w:vMerge/>
          </w:tcPr>
          <w:p w14:paraId="04A8773A" w14:textId="77777777" w:rsidR="0008746D" w:rsidRPr="0098356D" w:rsidRDefault="0008746D" w:rsidP="00344187">
            <w:pPr>
              <w:pStyle w:val="TableText0"/>
              <w:spacing w:before="0" w:after="0"/>
              <w:jc w:val="center"/>
            </w:pPr>
          </w:p>
        </w:tc>
        <w:tc>
          <w:tcPr>
            <w:tcW w:w="349" w:type="pct"/>
            <w:vMerge/>
          </w:tcPr>
          <w:p w14:paraId="4DF2B174" w14:textId="77777777" w:rsidR="0008746D" w:rsidRPr="0098356D" w:rsidRDefault="0008746D" w:rsidP="00344187">
            <w:pPr>
              <w:pStyle w:val="TableText0"/>
              <w:spacing w:before="0" w:after="0"/>
              <w:jc w:val="center"/>
            </w:pPr>
          </w:p>
        </w:tc>
        <w:tc>
          <w:tcPr>
            <w:tcW w:w="497" w:type="pct"/>
            <w:vMerge/>
          </w:tcPr>
          <w:p w14:paraId="728E909F" w14:textId="77777777" w:rsidR="0008746D" w:rsidRPr="0098356D" w:rsidRDefault="0008746D" w:rsidP="00344187">
            <w:pPr>
              <w:pStyle w:val="TableText0"/>
              <w:spacing w:before="0" w:after="0"/>
              <w:jc w:val="center"/>
            </w:pPr>
          </w:p>
        </w:tc>
        <w:tc>
          <w:tcPr>
            <w:tcW w:w="1243" w:type="pct"/>
          </w:tcPr>
          <w:p w14:paraId="624F09AA" w14:textId="77777777" w:rsidR="0008746D" w:rsidRPr="0098356D" w:rsidRDefault="0008746D" w:rsidP="00344187">
            <w:pPr>
              <w:pStyle w:val="TableText0"/>
              <w:spacing w:before="0" w:after="0"/>
            </w:pPr>
            <w:r w:rsidRPr="0098356D">
              <w:t xml:space="preserve">-Imaging inconclusive </w:t>
            </w:r>
          </w:p>
          <w:p w14:paraId="0D3299CD" w14:textId="77777777" w:rsidR="0008746D" w:rsidRPr="0098356D" w:rsidRDefault="0008746D" w:rsidP="00344187">
            <w:pPr>
              <w:pStyle w:val="TableText0"/>
              <w:spacing w:before="0" w:after="0"/>
            </w:pPr>
            <w:r w:rsidRPr="0098356D">
              <w:t>-GT recommended</w:t>
            </w:r>
          </w:p>
        </w:tc>
        <w:tc>
          <w:tcPr>
            <w:tcW w:w="1322" w:type="pct"/>
          </w:tcPr>
          <w:p w14:paraId="6942F52F" w14:textId="77777777" w:rsidR="0008746D" w:rsidRPr="0098356D" w:rsidRDefault="0008746D" w:rsidP="00344187">
            <w:pPr>
              <w:pStyle w:val="TableText0"/>
              <w:spacing w:before="0" w:after="0"/>
            </w:pPr>
            <w:r w:rsidRPr="0098356D">
              <w:t xml:space="preserve">-No known </w:t>
            </w:r>
            <w:r>
              <w:t>variant</w:t>
            </w:r>
            <w:r w:rsidRPr="0098356D">
              <w:t xml:space="preserve"> detected</w:t>
            </w:r>
          </w:p>
          <w:p w14:paraId="48C4F041" w14:textId="77777777" w:rsidR="0008746D" w:rsidRPr="0098356D" w:rsidRDefault="0008746D" w:rsidP="00344187">
            <w:pPr>
              <w:pStyle w:val="TableText0"/>
              <w:spacing w:before="0" w:after="0"/>
            </w:pPr>
            <w:r w:rsidRPr="0098356D">
              <w:t>-Proceed with donation, 12% (3/25)</w:t>
            </w:r>
          </w:p>
        </w:tc>
      </w:tr>
    </w:tbl>
    <w:p w14:paraId="63B5E883" w14:textId="77777777" w:rsidR="0008746D" w:rsidRDefault="0008746D" w:rsidP="0008746D">
      <w:pPr>
        <w:pStyle w:val="Tablenotes1"/>
      </w:pPr>
      <w:r w:rsidRPr="0098356D">
        <w:t>GT</w:t>
      </w:r>
      <w:r>
        <w:t xml:space="preserve"> </w:t>
      </w:r>
      <w:r w:rsidRPr="0098356D">
        <w:t>=</w:t>
      </w:r>
      <w:r>
        <w:t xml:space="preserve"> </w:t>
      </w:r>
      <w:r w:rsidRPr="0098356D">
        <w:t xml:space="preserve">genetic testing; </w:t>
      </w:r>
      <w:proofErr w:type="spellStart"/>
      <w:r w:rsidRPr="0098356D">
        <w:t>RTx</w:t>
      </w:r>
      <w:proofErr w:type="spellEnd"/>
      <w:r>
        <w:t xml:space="preserve"> = renal transplantation</w:t>
      </w:r>
      <w:r w:rsidRPr="0098356D">
        <w:t>.</w:t>
      </w:r>
    </w:p>
    <w:p w14:paraId="54A5C527" w14:textId="77777777" w:rsidR="0008746D" w:rsidRDefault="0008746D" w:rsidP="0008746D">
      <w:pPr>
        <w:pStyle w:val="Tablenotes1"/>
      </w:pPr>
      <w:r>
        <w:t>Source: DCAR, Table 41.</w:t>
      </w:r>
    </w:p>
    <w:p w14:paraId="768941A8" w14:textId="77777777" w:rsidR="0008746D" w:rsidRDefault="0008746D" w:rsidP="0008746D">
      <w:pPr>
        <w:rPr>
          <w:lang w:eastAsia="en-US"/>
        </w:rPr>
      </w:pPr>
      <w:r>
        <w:rPr>
          <w:lang w:eastAsia="en-US"/>
        </w:rPr>
        <w:t xml:space="preserve">The DCAR stated that pre-implantation genetic testing (PGT) has been used in families at risk for ADPKD to select and implant healthy embryos created by </w:t>
      </w:r>
      <w:r w:rsidRPr="00E975D9">
        <w:rPr>
          <w:i/>
          <w:lang w:eastAsia="en-US"/>
        </w:rPr>
        <w:t>in vitro</w:t>
      </w:r>
      <w:r>
        <w:rPr>
          <w:lang w:eastAsia="en-US"/>
        </w:rPr>
        <w:t xml:space="preserve"> fertilization (IVF). Patients with ADPKD planning a family are recommended to receive genetic counselling and PGT before pregnancy</w:t>
      </w:r>
      <w:r>
        <w:rPr>
          <w:rStyle w:val="FootnoteReference"/>
          <w:lang w:eastAsia="en-US"/>
        </w:rPr>
        <w:footnoteReference w:id="32"/>
      </w:r>
      <w:r>
        <w:rPr>
          <w:lang w:eastAsia="en-US"/>
        </w:rPr>
        <w:t xml:space="preserve">. However, no consensus exists on the mandatory use of such testing. Patients and/or parents are suggested to make the final decision. Supportive evidence for PGT using WGS was not found. However, representative PGT studies using Sanger sequencing to detect </w:t>
      </w:r>
      <w:r w:rsidRPr="00827772">
        <w:rPr>
          <w:i/>
          <w:lang w:eastAsia="en-US"/>
        </w:rPr>
        <w:t>PKD1</w:t>
      </w:r>
      <w:r>
        <w:rPr>
          <w:lang w:eastAsia="en-US"/>
        </w:rPr>
        <w:t xml:space="preserve"> and </w:t>
      </w:r>
      <w:r w:rsidRPr="00827772">
        <w:rPr>
          <w:i/>
          <w:lang w:eastAsia="en-US"/>
        </w:rPr>
        <w:t>PKD2</w:t>
      </w:r>
      <w:r>
        <w:rPr>
          <w:lang w:eastAsia="en-US"/>
        </w:rPr>
        <w:t xml:space="preserve"> variants in population 1 are summarised below (</w:t>
      </w:r>
      <w:r>
        <w:rPr>
          <w:lang w:eastAsia="en-US"/>
        </w:rPr>
        <w:fldChar w:fldCharType="begin"/>
      </w:r>
      <w:r>
        <w:rPr>
          <w:lang w:eastAsia="en-US"/>
        </w:rPr>
        <w:instrText xml:space="preserve"> REF _Ref64969374 </w:instrText>
      </w:r>
      <w:r>
        <w:rPr>
          <w:lang w:eastAsia="en-US"/>
        </w:rPr>
        <w:fldChar w:fldCharType="separate"/>
      </w:r>
      <w:r>
        <w:t xml:space="preserve">Table </w:t>
      </w:r>
      <w:r>
        <w:rPr>
          <w:noProof/>
        </w:rPr>
        <w:t>13</w:t>
      </w:r>
      <w:r>
        <w:rPr>
          <w:lang w:eastAsia="en-US"/>
        </w:rPr>
        <w:fldChar w:fldCharType="end"/>
      </w:r>
      <w:r>
        <w:rPr>
          <w:lang w:eastAsia="en-US"/>
        </w:rPr>
        <w:t>).</w:t>
      </w:r>
    </w:p>
    <w:p w14:paraId="0AA8B7BB" w14:textId="07382757" w:rsidR="0008746D" w:rsidRDefault="0008746D" w:rsidP="0008746D">
      <w:pPr>
        <w:pStyle w:val="Caption"/>
      </w:pPr>
      <w:bookmarkStart w:id="25" w:name="_Ref64969374"/>
      <w:r>
        <w:lastRenderedPageBreak/>
        <w:t xml:space="preserve">Table </w:t>
      </w:r>
      <w:fldSimple w:instr=" SEQ Table \* ARABIC ">
        <w:r w:rsidR="00627B6A">
          <w:rPr>
            <w:noProof/>
          </w:rPr>
          <w:t>13</w:t>
        </w:r>
      </w:fldSimple>
      <w:bookmarkEnd w:id="25"/>
      <w:r>
        <w:t xml:space="preserve"> </w:t>
      </w:r>
      <w:r>
        <w:tab/>
        <w:t>Studies</w:t>
      </w:r>
      <w:r w:rsidRPr="00827772">
        <w:t xml:space="preserve"> </w:t>
      </w:r>
      <w:r w:rsidRPr="0098356D">
        <w:t xml:space="preserve">assessing the role of PGT in </w:t>
      </w:r>
      <w:r>
        <w:t xml:space="preserve">patients with </w:t>
      </w:r>
      <w:r w:rsidRPr="0098356D">
        <w:t>ADPKD</w:t>
      </w:r>
    </w:p>
    <w:tbl>
      <w:tblPr>
        <w:tblStyle w:val="TableGrid1"/>
        <w:tblW w:w="5000" w:type="pct"/>
        <w:tblLook w:val="04A0" w:firstRow="1" w:lastRow="0" w:firstColumn="1" w:lastColumn="0" w:noHBand="0" w:noVBand="1"/>
        <w:tblDescription w:val="Studies assessing the role of PGT in patients with ADPKD"/>
      </w:tblPr>
      <w:tblGrid>
        <w:gridCol w:w="1037"/>
        <w:gridCol w:w="882"/>
        <w:gridCol w:w="1101"/>
        <w:gridCol w:w="1155"/>
        <w:gridCol w:w="1073"/>
        <w:gridCol w:w="1159"/>
        <w:gridCol w:w="1188"/>
        <w:gridCol w:w="1421"/>
      </w:tblGrid>
      <w:tr w:rsidR="0008746D" w:rsidRPr="0098356D" w14:paraId="0384AD75" w14:textId="77777777" w:rsidTr="005E3F29">
        <w:trPr>
          <w:trHeight w:val="64"/>
          <w:tblHeader/>
        </w:trPr>
        <w:tc>
          <w:tcPr>
            <w:tcW w:w="566" w:type="pct"/>
          </w:tcPr>
          <w:p w14:paraId="059D316B" w14:textId="77777777" w:rsidR="0008746D" w:rsidRPr="0098356D" w:rsidRDefault="0008746D" w:rsidP="00E1141B">
            <w:pPr>
              <w:pStyle w:val="TableText0"/>
              <w:rPr>
                <w:b/>
                <w:bCs/>
              </w:rPr>
            </w:pPr>
            <w:r w:rsidRPr="0098356D">
              <w:rPr>
                <w:b/>
                <w:bCs/>
              </w:rPr>
              <w:t>Study</w:t>
            </w:r>
          </w:p>
        </w:tc>
        <w:tc>
          <w:tcPr>
            <w:tcW w:w="527" w:type="pct"/>
          </w:tcPr>
          <w:p w14:paraId="7A7D76FC" w14:textId="77777777" w:rsidR="0008746D" w:rsidRPr="0098356D" w:rsidRDefault="0008746D" w:rsidP="00E1141B">
            <w:pPr>
              <w:pStyle w:val="TableText0"/>
              <w:rPr>
                <w:b/>
                <w:bCs/>
              </w:rPr>
            </w:pPr>
            <w:r w:rsidRPr="0098356D">
              <w:rPr>
                <w:b/>
                <w:bCs/>
              </w:rPr>
              <w:t>Gene/s</w:t>
            </w:r>
          </w:p>
        </w:tc>
        <w:tc>
          <w:tcPr>
            <w:tcW w:w="491" w:type="pct"/>
          </w:tcPr>
          <w:p w14:paraId="3A4AACB0" w14:textId="77777777" w:rsidR="0008746D" w:rsidRPr="0098356D" w:rsidRDefault="0008746D" w:rsidP="00E1141B">
            <w:pPr>
              <w:pStyle w:val="TableText0"/>
              <w:rPr>
                <w:b/>
                <w:bCs/>
              </w:rPr>
            </w:pPr>
            <w:r w:rsidRPr="0098356D">
              <w:rPr>
                <w:b/>
                <w:bCs/>
              </w:rPr>
              <w:t>Country</w:t>
            </w:r>
          </w:p>
        </w:tc>
        <w:tc>
          <w:tcPr>
            <w:tcW w:w="630" w:type="pct"/>
          </w:tcPr>
          <w:p w14:paraId="5DCFC19D" w14:textId="77777777" w:rsidR="0008746D" w:rsidRPr="0098356D" w:rsidRDefault="0008746D" w:rsidP="00E1141B">
            <w:pPr>
              <w:pStyle w:val="TableText0"/>
              <w:rPr>
                <w:b/>
                <w:bCs/>
              </w:rPr>
            </w:pPr>
            <w:r w:rsidRPr="0098356D">
              <w:rPr>
                <w:b/>
                <w:bCs/>
              </w:rPr>
              <w:t>GT intervention</w:t>
            </w:r>
          </w:p>
        </w:tc>
        <w:tc>
          <w:tcPr>
            <w:tcW w:w="585" w:type="pct"/>
          </w:tcPr>
          <w:p w14:paraId="06439089" w14:textId="77777777" w:rsidR="0008746D" w:rsidRPr="0098356D" w:rsidRDefault="0008746D" w:rsidP="00E1141B">
            <w:pPr>
              <w:pStyle w:val="TableText0"/>
              <w:jc w:val="center"/>
              <w:rPr>
                <w:b/>
                <w:bCs/>
              </w:rPr>
            </w:pPr>
            <w:r w:rsidRPr="0098356D">
              <w:rPr>
                <w:b/>
                <w:bCs/>
              </w:rPr>
              <w:t>Couples counselled (N)</w:t>
            </w:r>
          </w:p>
        </w:tc>
        <w:tc>
          <w:tcPr>
            <w:tcW w:w="680" w:type="pct"/>
          </w:tcPr>
          <w:p w14:paraId="690C8BD8" w14:textId="77777777" w:rsidR="0008746D" w:rsidRPr="0098356D" w:rsidRDefault="0008746D" w:rsidP="00E1141B">
            <w:pPr>
              <w:pStyle w:val="TableText0"/>
              <w:jc w:val="center"/>
              <w:rPr>
                <w:b/>
                <w:bCs/>
              </w:rPr>
            </w:pPr>
            <w:r w:rsidRPr="0098356D">
              <w:rPr>
                <w:b/>
                <w:bCs/>
              </w:rPr>
              <w:t>Couples with at least one PGT cycle, n (%)</w:t>
            </w:r>
          </w:p>
        </w:tc>
        <w:tc>
          <w:tcPr>
            <w:tcW w:w="696" w:type="pct"/>
          </w:tcPr>
          <w:p w14:paraId="215DC087" w14:textId="77777777" w:rsidR="0008746D" w:rsidRPr="0098356D" w:rsidRDefault="0008746D" w:rsidP="00E1141B">
            <w:pPr>
              <w:pStyle w:val="TableText0"/>
              <w:jc w:val="center"/>
              <w:rPr>
                <w:b/>
                <w:bCs/>
              </w:rPr>
            </w:pPr>
            <w:r w:rsidRPr="0098356D">
              <w:rPr>
                <w:b/>
                <w:bCs/>
              </w:rPr>
              <w:t>Unaffected live births from PGT, n (%)</w:t>
            </w:r>
          </w:p>
        </w:tc>
        <w:tc>
          <w:tcPr>
            <w:tcW w:w="825" w:type="pct"/>
          </w:tcPr>
          <w:p w14:paraId="24AFB377" w14:textId="77777777" w:rsidR="0008746D" w:rsidRPr="0098356D" w:rsidRDefault="0008746D" w:rsidP="00E1141B">
            <w:pPr>
              <w:pStyle w:val="TableText0"/>
              <w:jc w:val="center"/>
              <w:rPr>
                <w:b/>
                <w:bCs/>
              </w:rPr>
            </w:pPr>
            <w:r w:rsidRPr="0098356D">
              <w:rPr>
                <w:b/>
                <w:bCs/>
              </w:rPr>
              <w:t>Unaffected live births in couples without PGT, n (%)</w:t>
            </w:r>
          </w:p>
        </w:tc>
      </w:tr>
      <w:tr w:rsidR="0008746D" w:rsidRPr="0098356D" w14:paraId="11CA7C68" w14:textId="77777777" w:rsidTr="00E1141B">
        <w:trPr>
          <w:trHeight w:val="492"/>
        </w:trPr>
        <w:tc>
          <w:tcPr>
            <w:tcW w:w="566" w:type="pct"/>
          </w:tcPr>
          <w:p w14:paraId="13FF1116" w14:textId="77777777" w:rsidR="0008746D" w:rsidRPr="0098356D" w:rsidRDefault="0008746D" w:rsidP="00344187">
            <w:pPr>
              <w:pStyle w:val="TableText0"/>
              <w:spacing w:before="0" w:after="0"/>
            </w:pPr>
            <w:r>
              <w:t xml:space="preserve">Snoek 2020 </w:t>
            </w:r>
            <w:r>
              <w:rPr>
                <w:rStyle w:val="FootnoteReference"/>
              </w:rPr>
              <w:footnoteReference w:id="33"/>
            </w:r>
          </w:p>
        </w:tc>
        <w:tc>
          <w:tcPr>
            <w:tcW w:w="527" w:type="pct"/>
          </w:tcPr>
          <w:p w14:paraId="3B3F3995" w14:textId="77777777" w:rsidR="0008746D" w:rsidRPr="0098356D" w:rsidRDefault="0008746D" w:rsidP="00344187">
            <w:pPr>
              <w:pStyle w:val="TableText0"/>
              <w:spacing w:before="0" w:after="0"/>
            </w:pPr>
            <w:r w:rsidRPr="000A51A0">
              <w:rPr>
                <w:i/>
              </w:rPr>
              <w:t>PKD1</w:t>
            </w:r>
            <w:r w:rsidRPr="0098356D">
              <w:t xml:space="preserve"> (n=35)</w:t>
            </w:r>
          </w:p>
          <w:p w14:paraId="0390D2A3" w14:textId="77777777" w:rsidR="0008746D" w:rsidRPr="0098356D" w:rsidRDefault="0008746D" w:rsidP="00344187">
            <w:pPr>
              <w:pStyle w:val="TableText0"/>
              <w:spacing w:before="0" w:after="0"/>
            </w:pPr>
            <w:r w:rsidRPr="000A51A0">
              <w:rPr>
                <w:i/>
              </w:rPr>
              <w:t>PKD2</w:t>
            </w:r>
            <w:r w:rsidRPr="0098356D">
              <w:t xml:space="preserve"> (n=2)</w:t>
            </w:r>
          </w:p>
        </w:tc>
        <w:tc>
          <w:tcPr>
            <w:tcW w:w="491" w:type="pct"/>
          </w:tcPr>
          <w:p w14:paraId="65ED71F5" w14:textId="77777777" w:rsidR="0008746D" w:rsidRPr="0098356D" w:rsidRDefault="0008746D" w:rsidP="00344187">
            <w:pPr>
              <w:pStyle w:val="TableText0"/>
              <w:spacing w:before="0" w:after="0"/>
            </w:pPr>
            <w:r w:rsidRPr="0098356D">
              <w:t>Netherlands</w:t>
            </w:r>
          </w:p>
        </w:tc>
        <w:tc>
          <w:tcPr>
            <w:tcW w:w="630" w:type="pct"/>
          </w:tcPr>
          <w:p w14:paraId="6139AD6D" w14:textId="77777777" w:rsidR="0008746D" w:rsidRPr="0098356D" w:rsidRDefault="0008746D" w:rsidP="00344187">
            <w:pPr>
              <w:pStyle w:val="TableText0"/>
              <w:spacing w:before="0" w:after="0"/>
            </w:pPr>
            <w:r w:rsidRPr="0098356D">
              <w:t>NR</w:t>
            </w:r>
          </w:p>
        </w:tc>
        <w:tc>
          <w:tcPr>
            <w:tcW w:w="585" w:type="pct"/>
          </w:tcPr>
          <w:p w14:paraId="7CBF1E3D" w14:textId="77777777" w:rsidR="0008746D" w:rsidRPr="0098356D" w:rsidRDefault="0008746D" w:rsidP="00344187">
            <w:pPr>
              <w:pStyle w:val="TableText0"/>
              <w:spacing w:before="0" w:after="0"/>
              <w:jc w:val="center"/>
            </w:pPr>
            <w:r w:rsidRPr="0098356D">
              <w:t>98 (out of which 37 were ADPKD)</w:t>
            </w:r>
          </w:p>
        </w:tc>
        <w:tc>
          <w:tcPr>
            <w:tcW w:w="680" w:type="pct"/>
          </w:tcPr>
          <w:p w14:paraId="4AF7FCBA" w14:textId="77777777" w:rsidR="0008746D" w:rsidRPr="0098356D" w:rsidRDefault="0008746D" w:rsidP="00344187">
            <w:pPr>
              <w:pStyle w:val="TableText0"/>
              <w:spacing w:before="0" w:after="0"/>
              <w:jc w:val="center"/>
            </w:pPr>
            <w:r w:rsidRPr="0098356D">
              <w:t>43 (44)</w:t>
            </w:r>
          </w:p>
        </w:tc>
        <w:tc>
          <w:tcPr>
            <w:tcW w:w="696" w:type="pct"/>
          </w:tcPr>
          <w:p w14:paraId="26A73B12" w14:textId="77777777" w:rsidR="0008746D" w:rsidRPr="0098356D" w:rsidRDefault="0008746D" w:rsidP="00344187">
            <w:pPr>
              <w:pStyle w:val="TableText0"/>
              <w:spacing w:before="0" w:after="0"/>
              <w:jc w:val="center"/>
            </w:pPr>
            <w:r w:rsidRPr="0098356D">
              <w:t>24 (56)</w:t>
            </w:r>
          </w:p>
        </w:tc>
        <w:tc>
          <w:tcPr>
            <w:tcW w:w="825" w:type="pct"/>
          </w:tcPr>
          <w:p w14:paraId="7891F0A9" w14:textId="77777777" w:rsidR="0008746D" w:rsidRPr="0098356D" w:rsidRDefault="0008746D" w:rsidP="00344187">
            <w:pPr>
              <w:pStyle w:val="TableText0"/>
              <w:spacing w:before="0" w:after="0"/>
              <w:jc w:val="center"/>
            </w:pPr>
            <w:r w:rsidRPr="0098356D">
              <w:t>15 (41)</w:t>
            </w:r>
            <w:r>
              <w:t xml:space="preserve"> *</w:t>
            </w:r>
          </w:p>
        </w:tc>
      </w:tr>
      <w:tr w:rsidR="0008746D" w:rsidRPr="0098356D" w14:paraId="560FEB8D" w14:textId="77777777" w:rsidTr="00E1141B">
        <w:trPr>
          <w:trHeight w:val="614"/>
        </w:trPr>
        <w:tc>
          <w:tcPr>
            <w:tcW w:w="566" w:type="pct"/>
          </w:tcPr>
          <w:p w14:paraId="201362BF" w14:textId="77777777" w:rsidR="0008746D" w:rsidRPr="0098356D" w:rsidRDefault="0008746D" w:rsidP="00344187">
            <w:pPr>
              <w:pStyle w:val="TableText0"/>
              <w:spacing w:before="0" w:after="0"/>
            </w:pPr>
            <w:proofErr w:type="spellStart"/>
            <w:r>
              <w:t>Berckmoes</w:t>
            </w:r>
            <w:proofErr w:type="spellEnd"/>
            <w:r>
              <w:t xml:space="preserve"> 2019 </w:t>
            </w:r>
            <w:r>
              <w:rPr>
                <w:rStyle w:val="FootnoteReference"/>
              </w:rPr>
              <w:footnoteReference w:id="34"/>
            </w:r>
          </w:p>
        </w:tc>
        <w:tc>
          <w:tcPr>
            <w:tcW w:w="527" w:type="pct"/>
          </w:tcPr>
          <w:p w14:paraId="22BFFF5F" w14:textId="77777777" w:rsidR="0008746D" w:rsidRPr="0098356D" w:rsidRDefault="0008746D" w:rsidP="00344187">
            <w:pPr>
              <w:pStyle w:val="TableText0"/>
              <w:spacing w:before="0" w:after="0"/>
            </w:pPr>
            <w:r w:rsidRPr="000A51A0">
              <w:rPr>
                <w:i/>
              </w:rPr>
              <w:t>PKD1</w:t>
            </w:r>
            <w:r w:rsidRPr="0098356D">
              <w:t xml:space="preserve"> (n=33)</w:t>
            </w:r>
          </w:p>
          <w:p w14:paraId="3AB4AC04" w14:textId="77777777" w:rsidR="0008746D" w:rsidRPr="0098356D" w:rsidRDefault="0008746D" w:rsidP="00344187">
            <w:pPr>
              <w:pStyle w:val="TableText0"/>
              <w:spacing w:before="0" w:after="0"/>
            </w:pPr>
            <w:r w:rsidRPr="000A51A0">
              <w:rPr>
                <w:i/>
              </w:rPr>
              <w:t>PKD2</w:t>
            </w:r>
            <w:r w:rsidRPr="0098356D">
              <w:t xml:space="preserve"> (n=2)</w:t>
            </w:r>
          </w:p>
        </w:tc>
        <w:tc>
          <w:tcPr>
            <w:tcW w:w="491" w:type="pct"/>
          </w:tcPr>
          <w:p w14:paraId="4037DA63" w14:textId="77777777" w:rsidR="0008746D" w:rsidRPr="0098356D" w:rsidRDefault="0008746D" w:rsidP="00344187">
            <w:pPr>
              <w:pStyle w:val="TableText0"/>
              <w:spacing w:before="0" w:after="0"/>
            </w:pPr>
            <w:r w:rsidRPr="0098356D">
              <w:t>Belgium</w:t>
            </w:r>
          </w:p>
        </w:tc>
        <w:tc>
          <w:tcPr>
            <w:tcW w:w="630" w:type="pct"/>
          </w:tcPr>
          <w:p w14:paraId="39C1E600" w14:textId="77777777" w:rsidR="0008746D" w:rsidRPr="0098356D" w:rsidRDefault="0008746D" w:rsidP="00344187">
            <w:pPr>
              <w:pStyle w:val="TableText0"/>
              <w:spacing w:before="0" w:after="0"/>
            </w:pPr>
            <w:r w:rsidRPr="0098356D">
              <w:t>Multiplex PCR</w:t>
            </w:r>
          </w:p>
        </w:tc>
        <w:tc>
          <w:tcPr>
            <w:tcW w:w="585" w:type="pct"/>
          </w:tcPr>
          <w:p w14:paraId="5EA16644" w14:textId="77777777" w:rsidR="0008746D" w:rsidRPr="0098356D" w:rsidRDefault="0008746D" w:rsidP="00344187">
            <w:pPr>
              <w:pStyle w:val="TableText0"/>
              <w:spacing w:before="0" w:after="0"/>
              <w:jc w:val="center"/>
            </w:pPr>
            <w:r w:rsidRPr="0098356D">
              <w:t>65</w:t>
            </w:r>
          </w:p>
        </w:tc>
        <w:tc>
          <w:tcPr>
            <w:tcW w:w="680" w:type="pct"/>
          </w:tcPr>
          <w:p w14:paraId="70DD177E" w14:textId="77777777" w:rsidR="0008746D" w:rsidRPr="0098356D" w:rsidRDefault="0008746D" w:rsidP="00344187">
            <w:pPr>
              <w:pStyle w:val="TableText0"/>
              <w:spacing w:before="0" w:after="0"/>
              <w:jc w:val="center"/>
            </w:pPr>
            <w:r w:rsidRPr="0098356D">
              <w:t>45</w:t>
            </w:r>
            <w:r>
              <w:t xml:space="preserve"> </w:t>
            </w:r>
            <w:r w:rsidRPr="00827772">
              <w:rPr>
                <w:vertAlign w:val="superscript"/>
              </w:rPr>
              <w:t>†</w:t>
            </w:r>
          </w:p>
        </w:tc>
        <w:tc>
          <w:tcPr>
            <w:tcW w:w="696" w:type="pct"/>
          </w:tcPr>
          <w:p w14:paraId="6CDB1FFA" w14:textId="77777777" w:rsidR="0008746D" w:rsidRPr="0098356D" w:rsidRDefault="0008746D" w:rsidP="00344187">
            <w:pPr>
              <w:pStyle w:val="TableText0"/>
              <w:spacing w:before="0" w:after="0"/>
              <w:jc w:val="center"/>
            </w:pPr>
            <w:r w:rsidRPr="0098356D">
              <w:t>26 (58)</w:t>
            </w:r>
          </w:p>
        </w:tc>
        <w:tc>
          <w:tcPr>
            <w:tcW w:w="825" w:type="pct"/>
          </w:tcPr>
          <w:p w14:paraId="2D66A68B" w14:textId="77777777" w:rsidR="0008746D" w:rsidRPr="0098356D" w:rsidRDefault="0008746D" w:rsidP="00344187">
            <w:pPr>
              <w:pStyle w:val="TableText0"/>
              <w:spacing w:before="0" w:after="0"/>
              <w:jc w:val="center"/>
            </w:pPr>
            <w:r w:rsidRPr="0098356D">
              <w:t>NR</w:t>
            </w:r>
          </w:p>
        </w:tc>
      </w:tr>
    </w:tbl>
    <w:p w14:paraId="3BCC5DE2" w14:textId="77777777" w:rsidR="0008746D" w:rsidRDefault="0008746D" w:rsidP="0008746D">
      <w:pPr>
        <w:pStyle w:val="Tablenotes1"/>
      </w:pPr>
      <w:r w:rsidRPr="0098356D">
        <w:t>PGT</w:t>
      </w:r>
      <w:r>
        <w:t xml:space="preserve"> </w:t>
      </w:r>
      <w:r w:rsidRPr="0098356D">
        <w:t>= preimplantation genetic testing; NR</w:t>
      </w:r>
      <w:r>
        <w:t xml:space="preserve"> </w:t>
      </w:r>
      <w:r w:rsidRPr="0098356D">
        <w:t>=</w:t>
      </w:r>
      <w:r>
        <w:t xml:space="preserve"> </w:t>
      </w:r>
      <w:r w:rsidRPr="0098356D">
        <w:t>not reported; GT</w:t>
      </w:r>
      <w:r>
        <w:t xml:space="preserve"> </w:t>
      </w:r>
      <w:r w:rsidRPr="0098356D">
        <w:t>=</w:t>
      </w:r>
      <w:r>
        <w:t xml:space="preserve"> </w:t>
      </w:r>
      <w:r w:rsidRPr="0098356D">
        <w:t>genetic testing;</w:t>
      </w:r>
      <w:r>
        <w:t xml:space="preserve"> PCR = polymerase chain reaction.</w:t>
      </w:r>
    </w:p>
    <w:p w14:paraId="2A3A82E4" w14:textId="77777777" w:rsidR="0008746D" w:rsidRPr="00827772" w:rsidRDefault="0008746D" w:rsidP="0008746D">
      <w:pPr>
        <w:pStyle w:val="Tablenotes1"/>
      </w:pPr>
      <w:r>
        <w:t xml:space="preserve">* </w:t>
      </w:r>
      <w:r w:rsidRPr="00827772">
        <w:t>37 couples did not undergo PGT, 15/37= 41%.</w:t>
      </w:r>
      <w:r>
        <w:t xml:space="preserve"> </w:t>
      </w:r>
      <w:r w:rsidRPr="00827772">
        <w:rPr>
          <w:vertAlign w:val="superscript"/>
        </w:rPr>
        <w:t>†</w:t>
      </w:r>
      <w:r>
        <w:rPr>
          <w:vertAlign w:val="superscript"/>
        </w:rPr>
        <w:t xml:space="preserve"> </w:t>
      </w:r>
      <w:r w:rsidRPr="00827772">
        <w:t>Source: Table III of the study.</w:t>
      </w:r>
    </w:p>
    <w:p w14:paraId="21BC2BDD" w14:textId="77777777" w:rsidR="0008746D" w:rsidRPr="0098356D" w:rsidRDefault="0008746D" w:rsidP="0008746D">
      <w:pPr>
        <w:pStyle w:val="Tablenotes1"/>
      </w:pPr>
      <w:r>
        <w:t>Source: DCAR, Table 42.</w:t>
      </w:r>
    </w:p>
    <w:p w14:paraId="4AEB7841" w14:textId="77777777" w:rsidR="0008746D" w:rsidRDefault="0008746D" w:rsidP="0008746D">
      <w:pPr>
        <w:rPr>
          <w:lang w:eastAsia="en-US"/>
        </w:rPr>
      </w:pPr>
      <w:r>
        <w:rPr>
          <w:lang w:eastAsia="en-US"/>
        </w:rPr>
        <w:t>The DCAR also found two studies investigating the prenatal diagnostic utility of WES in population 2 – CAKUT subpopulation (</w:t>
      </w:r>
      <w:r>
        <w:rPr>
          <w:lang w:eastAsia="en-US"/>
        </w:rPr>
        <w:fldChar w:fldCharType="begin"/>
      </w:r>
      <w:r>
        <w:rPr>
          <w:lang w:eastAsia="en-US"/>
        </w:rPr>
        <w:instrText xml:space="preserve"> REF _Ref64969724 </w:instrText>
      </w:r>
      <w:r>
        <w:rPr>
          <w:lang w:eastAsia="en-US"/>
        </w:rPr>
        <w:fldChar w:fldCharType="separate"/>
      </w:r>
      <w:r>
        <w:t xml:space="preserve">Table </w:t>
      </w:r>
      <w:r>
        <w:rPr>
          <w:noProof/>
        </w:rPr>
        <w:t>14</w:t>
      </w:r>
      <w:r>
        <w:rPr>
          <w:lang w:eastAsia="en-US"/>
        </w:rPr>
        <w:fldChar w:fldCharType="end"/>
      </w:r>
      <w:r>
        <w:rPr>
          <w:lang w:eastAsia="en-US"/>
        </w:rPr>
        <w:t>).</w:t>
      </w:r>
    </w:p>
    <w:p w14:paraId="46712D94" w14:textId="5E37BEAF" w:rsidR="0008746D" w:rsidRDefault="0008746D" w:rsidP="0008746D">
      <w:pPr>
        <w:pStyle w:val="Caption"/>
      </w:pPr>
      <w:bookmarkStart w:id="26" w:name="_Ref64969724"/>
      <w:r>
        <w:t xml:space="preserve">Table </w:t>
      </w:r>
      <w:fldSimple w:instr=" SEQ Table \* ARABIC ">
        <w:r w:rsidR="00627B6A">
          <w:rPr>
            <w:noProof/>
          </w:rPr>
          <w:t>14</w:t>
        </w:r>
      </w:fldSimple>
      <w:bookmarkEnd w:id="26"/>
      <w:r>
        <w:t xml:space="preserve"> </w:t>
      </w:r>
      <w:r>
        <w:tab/>
        <w:t>Key</w:t>
      </w:r>
      <w:r w:rsidRPr="00AB3EDE">
        <w:rPr>
          <w:snapToGrid w:val="0"/>
        </w:rPr>
        <w:t xml:space="preserve"> </w:t>
      </w:r>
      <w:r w:rsidRPr="0098356D">
        <w:rPr>
          <w:snapToGrid w:val="0"/>
        </w:rPr>
        <w:t>results of the included studies for genetic testing in population 2 - CAKUT subpopulation (impact on clinical management)</w:t>
      </w:r>
    </w:p>
    <w:tbl>
      <w:tblPr>
        <w:tblStyle w:val="TableGrid1"/>
        <w:tblW w:w="5131" w:type="pct"/>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672"/>
        <w:gridCol w:w="1697"/>
        <w:gridCol w:w="1055"/>
        <w:gridCol w:w="1518"/>
        <w:gridCol w:w="1606"/>
        <w:gridCol w:w="2704"/>
      </w:tblGrid>
      <w:tr w:rsidR="0008746D" w:rsidRPr="0098356D" w14:paraId="0855FAD9" w14:textId="77777777" w:rsidTr="005E3F29">
        <w:trPr>
          <w:tblHeader/>
        </w:trPr>
        <w:tc>
          <w:tcPr>
            <w:tcW w:w="289" w:type="pct"/>
          </w:tcPr>
          <w:p w14:paraId="7EEE6A0B" w14:textId="77777777" w:rsidR="0008746D" w:rsidRPr="0098356D" w:rsidRDefault="0008746D" w:rsidP="00E1141B">
            <w:pPr>
              <w:pStyle w:val="TableHeading"/>
              <w:rPr>
                <w:snapToGrid w:val="0"/>
                <w:highlight w:val="cyan"/>
              </w:rPr>
            </w:pPr>
            <w:r w:rsidRPr="0098356D">
              <w:rPr>
                <w:snapToGrid w:val="0"/>
              </w:rPr>
              <w:t>Study</w:t>
            </w:r>
          </w:p>
        </w:tc>
        <w:tc>
          <w:tcPr>
            <w:tcW w:w="969" w:type="pct"/>
          </w:tcPr>
          <w:p w14:paraId="1B671BB0" w14:textId="77777777" w:rsidR="0008746D" w:rsidRPr="0098356D" w:rsidRDefault="0008746D" w:rsidP="00E1141B">
            <w:pPr>
              <w:pStyle w:val="TableHeading"/>
              <w:rPr>
                <w:snapToGrid w:val="0"/>
                <w:highlight w:val="cyan"/>
              </w:rPr>
            </w:pPr>
            <w:r w:rsidRPr="0098356D">
              <w:rPr>
                <w:snapToGrid w:val="0"/>
              </w:rPr>
              <w:t>N</w:t>
            </w:r>
          </w:p>
        </w:tc>
        <w:tc>
          <w:tcPr>
            <w:tcW w:w="437" w:type="pct"/>
          </w:tcPr>
          <w:p w14:paraId="5D9DF3CC" w14:textId="77777777" w:rsidR="0008746D" w:rsidRPr="0098356D" w:rsidRDefault="0008746D" w:rsidP="00E1141B">
            <w:pPr>
              <w:pStyle w:val="TableHeading"/>
              <w:jc w:val="center"/>
              <w:rPr>
                <w:snapToGrid w:val="0"/>
                <w:highlight w:val="cyan"/>
              </w:rPr>
            </w:pPr>
            <w:r w:rsidRPr="0098356D">
              <w:rPr>
                <w:snapToGrid w:val="0"/>
              </w:rPr>
              <w:t>Diagnostic</w:t>
            </w:r>
            <w:r>
              <w:rPr>
                <w:snapToGrid w:val="0"/>
              </w:rPr>
              <w:t xml:space="preserve"> </w:t>
            </w:r>
            <w:r w:rsidRPr="0098356D">
              <w:rPr>
                <w:snapToGrid w:val="0"/>
              </w:rPr>
              <w:t>yield</w:t>
            </w:r>
            <w:r>
              <w:rPr>
                <w:snapToGrid w:val="0"/>
              </w:rPr>
              <w:t xml:space="preserve"> </w:t>
            </w:r>
            <w:r w:rsidRPr="0098356D">
              <w:rPr>
                <w:snapToGrid w:val="0"/>
              </w:rPr>
              <w:t>% (n/N)</w:t>
            </w:r>
          </w:p>
        </w:tc>
        <w:tc>
          <w:tcPr>
            <w:tcW w:w="872" w:type="pct"/>
          </w:tcPr>
          <w:p w14:paraId="0F9EB02E" w14:textId="77777777" w:rsidR="0008746D" w:rsidRPr="0098356D" w:rsidRDefault="0008746D" w:rsidP="00E1141B">
            <w:pPr>
              <w:pStyle w:val="TableHeading"/>
            </w:pPr>
            <w:r w:rsidRPr="0098356D">
              <w:t xml:space="preserve">Pregnancy outcome in patients with genetic </w:t>
            </w:r>
            <w:r>
              <w:t>variant</w:t>
            </w:r>
          </w:p>
        </w:tc>
        <w:tc>
          <w:tcPr>
            <w:tcW w:w="920" w:type="pct"/>
          </w:tcPr>
          <w:p w14:paraId="55D98ABC" w14:textId="77777777" w:rsidR="0008746D" w:rsidRPr="0098356D" w:rsidRDefault="0008746D" w:rsidP="00E1141B">
            <w:pPr>
              <w:pStyle w:val="TableHeading"/>
            </w:pPr>
            <w:r w:rsidRPr="0098356D">
              <w:t xml:space="preserve">Pregnancy outcome in patients without genetic </w:t>
            </w:r>
            <w:r>
              <w:t>variant</w:t>
            </w:r>
          </w:p>
        </w:tc>
        <w:tc>
          <w:tcPr>
            <w:tcW w:w="1513" w:type="pct"/>
          </w:tcPr>
          <w:p w14:paraId="15AC26B7" w14:textId="77777777" w:rsidR="0008746D" w:rsidRPr="0098356D" w:rsidRDefault="0008746D" w:rsidP="00E1141B">
            <w:pPr>
              <w:pStyle w:val="TableHeading"/>
            </w:pPr>
            <w:r w:rsidRPr="0098356D">
              <w:t>Study limitations</w:t>
            </w:r>
          </w:p>
        </w:tc>
      </w:tr>
      <w:tr w:rsidR="0008746D" w:rsidRPr="0098356D" w14:paraId="27FF595C" w14:textId="77777777" w:rsidTr="00E1141B">
        <w:tc>
          <w:tcPr>
            <w:tcW w:w="289" w:type="pct"/>
          </w:tcPr>
          <w:p w14:paraId="65850B6E" w14:textId="77777777" w:rsidR="0008746D" w:rsidRPr="00606350" w:rsidRDefault="0008746D" w:rsidP="00344187">
            <w:pPr>
              <w:pStyle w:val="TableText0"/>
              <w:spacing w:before="0" w:after="0"/>
              <w:rPr>
                <w:snapToGrid w:val="0"/>
              </w:rPr>
            </w:pPr>
            <w:r w:rsidRPr="00606350">
              <w:t xml:space="preserve">Lei 2017 </w:t>
            </w:r>
            <w:r w:rsidRPr="00606350">
              <w:rPr>
                <w:rStyle w:val="FootnoteReference"/>
              </w:rPr>
              <w:footnoteReference w:id="35"/>
            </w:r>
          </w:p>
        </w:tc>
        <w:tc>
          <w:tcPr>
            <w:tcW w:w="969" w:type="pct"/>
          </w:tcPr>
          <w:p w14:paraId="3C14686F" w14:textId="77777777" w:rsidR="0008746D" w:rsidRPr="0098356D" w:rsidRDefault="0008746D" w:rsidP="00344187">
            <w:pPr>
              <w:pStyle w:val="TableText0"/>
              <w:spacing w:before="0" w:after="0"/>
              <w:rPr>
                <w:snapToGrid w:val="0"/>
                <w:highlight w:val="cyan"/>
              </w:rPr>
            </w:pPr>
            <w:r w:rsidRPr="0098356D">
              <w:rPr>
                <w:szCs w:val="20"/>
              </w:rPr>
              <w:t xml:space="preserve">30 </w:t>
            </w:r>
            <w:proofErr w:type="spellStart"/>
            <w:r>
              <w:rPr>
                <w:szCs w:val="20"/>
              </w:rPr>
              <w:t>f</w:t>
            </w:r>
            <w:r w:rsidRPr="0098356D">
              <w:rPr>
                <w:szCs w:val="20"/>
              </w:rPr>
              <w:t>etuses</w:t>
            </w:r>
            <w:proofErr w:type="spellEnd"/>
            <w:r w:rsidRPr="0098356D">
              <w:rPr>
                <w:szCs w:val="20"/>
              </w:rPr>
              <w:t xml:space="preserve"> (all </w:t>
            </w:r>
            <w:proofErr w:type="spellStart"/>
            <w:r>
              <w:rPr>
                <w:szCs w:val="20"/>
              </w:rPr>
              <w:t>f</w:t>
            </w:r>
            <w:r w:rsidRPr="0098356D">
              <w:rPr>
                <w:szCs w:val="20"/>
              </w:rPr>
              <w:t>etuses</w:t>
            </w:r>
            <w:proofErr w:type="spellEnd"/>
            <w:r w:rsidRPr="0098356D">
              <w:rPr>
                <w:szCs w:val="20"/>
              </w:rPr>
              <w:t xml:space="preserve"> were diagnosed with echogenic kidneys by ultrasound examination)</w:t>
            </w:r>
          </w:p>
        </w:tc>
        <w:tc>
          <w:tcPr>
            <w:tcW w:w="437" w:type="pct"/>
          </w:tcPr>
          <w:p w14:paraId="75F72C42" w14:textId="77777777" w:rsidR="0008746D" w:rsidRPr="0098356D" w:rsidRDefault="0008746D" w:rsidP="00344187">
            <w:pPr>
              <w:pStyle w:val="TableText0"/>
              <w:spacing w:before="0" w:after="0"/>
              <w:jc w:val="center"/>
              <w:rPr>
                <w:snapToGrid w:val="0"/>
                <w:highlight w:val="cyan"/>
              </w:rPr>
            </w:pPr>
            <w:r w:rsidRPr="0098356D">
              <w:rPr>
                <w:snapToGrid w:val="0"/>
              </w:rPr>
              <w:t>20 (6/30)</w:t>
            </w:r>
          </w:p>
        </w:tc>
        <w:tc>
          <w:tcPr>
            <w:tcW w:w="872" w:type="pct"/>
          </w:tcPr>
          <w:p w14:paraId="2669DA30" w14:textId="77777777" w:rsidR="0008746D" w:rsidRPr="0098356D" w:rsidRDefault="0008746D" w:rsidP="00344187">
            <w:pPr>
              <w:pStyle w:val="TableText0"/>
              <w:spacing w:before="0" w:after="0"/>
              <w:rPr>
                <w:szCs w:val="20"/>
              </w:rPr>
            </w:pPr>
            <w:r w:rsidRPr="0098356D">
              <w:rPr>
                <w:szCs w:val="20"/>
              </w:rPr>
              <w:t>Live Birth: 33.3% (2/6)</w:t>
            </w:r>
          </w:p>
          <w:p w14:paraId="45E420CE" w14:textId="77777777" w:rsidR="0008746D" w:rsidRPr="0098356D" w:rsidRDefault="0008746D" w:rsidP="00344187">
            <w:pPr>
              <w:pStyle w:val="TableText0"/>
              <w:spacing w:before="0" w:after="0"/>
              <w:rPr>
                <w:szCs w:val="20"/>
              </w:rPr>
            </w:pPr>
            <w:r w:rsidRPr="0098356D">
              <w:rPr>
                <w:szCs w:val="20"/>
              </w:rPr>
              <w:t>Termination: 66.7% (4/6)</w:t>
            </w:r>
          </w:p>
        </w:tc>
        <w:tc>
          <w:tcPr>
            <w:tcW w:w="920" w:type="pct"/>
          </w:tcPr>
          <w:p w14:paraId="5BCB4F9B" w14:textId="77777777" w:rsidR="0008746D" w:rsidRPr="0098356D" w:rsidRDefault="0008746D" w:rsidP="00344187">
            <w:pPr>
              <w:pStyle w:val="TableText0"/>
              <w:spacing w:before="0" w:after="0"/>
              <w:rPr>
                <w:szCs w:val="20"/>
              </w:rPr>
            </w:pPr>
            <w:r w:rsidRPr="0098356D">
              <w:rPr>
                <w:szCs w:val="20"/>
              </w:rPr>
              <w:t>Live Birth: 50% (12/24)</w:t>
            </w:r>
          </w:p>
          <w:p w14:paraId="21B9E62C" w14:textId="77777777" w:rsidR="0008746D" w:rsidRPr="0098356D" w:rsidRDefault="0008746D" w:rsidP="00344187">
            <w:pPr>
              <w:pStyle w:val="TableText0"/>
              <w:spacing w:before="0" w:after="0"/>
              <w:rPr>
                <w:szCs w:val="20"/>
              </w:rPr>
            </w:pPr>
            <w:r w:rsidRPr="0098356D">
              <w:rPr>
                <w:szCs w:val="20"/>
              </w:rPr>
              <w:t>Termination: 38% (9/24)</w:t>
            </w:r>
          </w:p>
          <w:p w14:paraId="73BFD8EF" w14:textId="77777777" w:rsidR="0008746D" w:rsidRPr="0098356D" w:rsidRDefault="0008746D" w:rsidP="00344187">
            <w:pPr>
              <w:pStyle w:val="TableText0"/>
              <w:spacing w:before="0" w:after="0"/>
              <w:rPr>
                <w:szCs w:val="20"/>
              </w:rPr>
            </w:pPr>
            <w:r w:rsidRPr="0098356D">
              <w:rPr>
                <w:szCs w:val="20"/>
              </w:rPr>
              <w:t>None: 13% (3/24)</w:t>
            </w:r>
          </w:p>
        </w:tc>
        <w:tc>
          <w:tcPr>
            <w:tcW w:w="1513" w:type="pct"/>
          </w:tcPr>
          <w:p w14:paraId="21F23672" w14:textId="77777777" w:rsidR="0008746D" w:rsidRDefault="0008746D" w:rsidP="00344187">
            <w:pPr>
              <w:pStyle w:val="TableText0"/>
              <w:spacing w:before="0" w:after="0"/>
              <w:rPr>
                <w:szCs w:val="20"/>
              </w:rPr>
            </w:pPr>
            <w:r>
              <w:rPr>
                <w:szCs w:val="20"/>
              </w:rPr>
              <w:t>-</w:t>
            </w:r>
            <w:r w:rsidRPr="0098356D">
              <w:rPr>
                <w:szCs w:val="20"/>
              </w:rPr>
              <w:t>Prospective long-term follow-up information was missing.</w:t>
            </w:r>
          </w:p>
          <w:p w14:paraId="641F835C" w14:textId="77777777" w:rsidR="0008746D" w:rsidRPr="0098356D" w:rsidRDefault="0008746D" w:rsidP="00344187">
            <w:pPr>
              <w:pStyle w:val="TableText0"/>
              <w:spacing w:before="0" w:after="0"/>
              <w:rPr>
                <w:szCs w:val="20"/>
              </w:rPr>
            </w:pPr>
            <w:r>
              <w:rPr>
                <w:szCs w:val="20"/>
              </w:rPr>
              <w:t>-</w:t>
            </w:r>
            <w:r>
              <w:t xml:space="preserve"> </w:t>
            </w:r>
            <w:r w:rsidRPr="003E0470">
              <w:rPr>
                <w:szCs w:val="20"/>
              </w:rPr>
              <w:t>Study did not evaluate whether genetic testing results influenced patients</w:t>
            </w:r>
            <w:r>
              <w:rPr>
                <w:szCs w:val="20"/>
              </w:rPr>
              <w:t>’</w:t>
            </w:r>
            <w:r w:rsidRPr="003E0470">
              <w:rPr>
                <w:szCs w:val="20"/>
              </w:rPr>
              <w:t xml:space="preserve"> decision to terminate pregnancy</w:t>
            </w:r>
          </w:p>
        </w:tc>
      </w:tr>
      <w:tr w:rsidR="0008746D" w:rsidRPr="0098356D" w14:paraId="11AAD29C" w14:textId="77777777" w:rsidTr="00E1141B">
        <w:tc>
          <w:tcPr>
            <w:tcW w:w="289" w:type="pct"/>
          </w:tcPr>
          <w:p w14:paraId="0A13D858" w14:textId="77777777" w:rsidR="0008746D" w:rsidRPr="00606350" w:rsidRDefault="0008746D" w:rsidP="00344187">
            <w:pPr>
              <w:pStyle w:val="TableText0"/>
              <w:spacing w:before="0" w:after="0"/>
              <w:rPr>
                <w:snapToGrid w:val="0"/>
              </w:rPr>
            </w:pPr>
            <w:r w:rsidRPr="00606350">
              <w:t xml:space="preserve">Lei 2020 </w:t>
            </w:r>
            <w:r w:rsidRPr="00606350">
              <w:rPr>
                <w:rStyle w:val="FootnoteReference"/>
              </w:rPr>
              <w:footnoteReference w:id="36"/>
            </w:r>
          </w:p>
        </w:tc>
        <w:tc>
          <w:tcPr>
            <w:tcW w:w="969" w:type="pct"/>
          </w:tcPr>
          <w:p w14:paraId="365F6B1B" w14:textId="77777777" w:rsidR="0008746D" w:rsidRPr="0098356D" w:rsidRDefault="0008746D" w:rsidP="00344187">
            <w:pPr>
              <w:pStyle w:val="TableText0"/>
              <w:spacing w:before="0" w:after="0"/>
              <w:rPr>
                <w:snapToGrid w:val="0"/>
                <w:highlight w:val="cyan"/>
              </w:rPr>
            </w:pPr>
            <w:r w:rsidRPr="0098356D">
              <w:rPr>
                <w:szCs w:val="20"/>
              </w:rPr>
              <w:t xml:space="preserve">163 </w:t>
            </w:r>
            <w:proofErr w:type="spellStart"/>
            <w:r>
              <w:rPr>
                <w:szCs w:val="20"/>
              </w:rPr>
              <w:t>f</w:t>
            </w:r>
            <w:r w:rsidRPr="0098356D">
              <w:rPr>
                <w:szCs w:val="20"/>
              </w:rPr>
              <w:t>etuses</w:t>
            </w:r>
            <w:proofErr w:type="spellEnd"/>
            <w:r w:rsidRPr="0098356D">
              <w:rPr>
                <w:szCs w:val="20"/>
              </w:rPr>
              <w:t xml:space="preserve"> (all </w:t>
            </w:r>
            <w:proofErr w:type="spellStart"/>
            <w:r>
              <w:rPr>
                <w:szCs w:val="20"/>
              </w:rPr>
              <w:t>f</w:t>
            </w:r>
            <w:r w:rsidRPr="0098356D">
              <w:rPr>
                <w:szCs w:val="20"/>
              </w:rPr>
              <w:t>etuses</w:t>
            </w:r>
            <w:proofErr w:type="spellEnd"/>
            <w:r w:rsidRPr="0098356D">
              <w:rPr>
                <w:szCs w:val="20"/>
              </w:rPr>
              <w:t xml:space="preserve"> were diagnosed with echogenic kidneys by ultrasound examination)</w:t>
            </w:r>
          </w:p>
        </w:tc>
        <w:tc>
          <w:tcPr>
            <w:tcW w:w="437" w:type="pct"/>
          </w:tcPr>
          <w:p w14:paraId="059CBB10" w14:textId="77777777" w:rsidR="0008746D" w:rsidRPr="0098356D" w:rsidRDefault="0008746D" w:rsidP="00344187">
            <w:pPr>
              <w:pStyle w:val="TableText0"/>
              <w:spacing w:before="0" w:after="0"/>
              <w:jc w:val="center"/>
              <w:rPr>
                <w:snapToGrid w:val="0"/>
                <w:highlight w:val="cyan"/>
              </w:rPr>
            </w:pPr>
            <w:r w:rsidRPr="0098356D">
              <w:rPr>
                <w:szCs w:val="20"/>
              </w:rPr>
              <w:t>12 (20/163)</w:t>
            </w:r>
          </w:p>
        </w:tc>
        <w:tc>
          <w:tcPr>
            <w:tcW w:w="872" w:type="pct"/>
          </w:tcPr>
          <w:p w14:paraId="68C0F687" w14:textId="77777777" w:rsidR="0008746D" w:rsidRPr="0098356D" w:rsidRDefault="0008746D" w:rsidP="00344187">
            <w:pPr>
              <w:pStyle w:val="TableText0"/>
              <w:spacing w:before="0" w:after="0"/>
              <w:rPr>
                <w:snapToGrid w:val="0"/>
              </w:rPr>
            </w:pPr>
            <w:r w:rsidRPr="0098356D">
              <w:rPr>
                <w:snapToGrid w:val="0"/>
              </w:rPr>
              <w:t>Live Birth: 30% (6/20)</w:t>
            </w:r>
          </w:p>
          <w:p w14:paraId="4DBE8F34" w14:textId="77777777" w:rsidR="0008746D" w:rsidRPr="0098356D" w:rsidRDefault="0008746D" w:rsidP="00344187">
            <w:pPr>
              <w:pStyle w:val="TableText0"/>
              <w:spacing w:before="0" w:after="0"/>
              <w:rPr>
                <w:szCs w:val="20"/>
              </w:rPr>
            </w:pPr>
            <w:r w:rsidRPr="0098356D">
              <w:rPr>
                <w:szCs w:val="20"/>
              </w:rPr>
              <w:t>Termination: 65% (13</w:t>
            </w:r>
            <w:r>
              <w:rPr>
                <w:szCs w:val="20"/>
              </w:rPr>
              <w:t>*</w:t>
            </w:r>
            <w:r w:rsidRPr="0098356D">
              <w:rPr>
                <w:szCs w:val="20"/>
              </w:rPr>
              <w:t>/20)</w:t>
            </w:r>
          </w:p>
        </w:tc>
        <w:tc>
          <w:tcPr>
            <w:tcW w:w="920" w:type="pct"/>
          </w:tcPr>
          <w:p w14:paraId="2288A8E4" w14:textId="77777777" w:rsidR="0008746D" w:rsidRPr="0098356D" w:rsidRDefault="0008746D" w:rsidP="00344187">
            <w:pPr>
              <w:pStyle w:val="TableText0"/>
              <w:spacing w:before="0" w:after="0"/>
              <w:rPr>
                <w:snapToGrid w:val="0"/>
              </w:rPr>
            </w:pPr>
            <w:r w:rsidRPr="0098356D">
              <w:rPr>
                <w:snapToGrid w:val="0"/>
              </w:rPr>
              <w:t>Live Birth: 59% (93/158</w:t>
            </w:r>
            <w:r w:rsidRPr="00827772">
              <w:rPr>
                <w:vertAlign w:val="superscript"/>
              </w:rPr>
              <w:t>†</w:t>
            </w:r>
            <w:r w:rsidRPr="0098356D">
              <w:rPr>
                <w:snapToGrid w:val="0"/>
              </w:rPr>
              <w:t>)</w:t>
            </w:r>
          </w:p>
          <w:p w14:paraId="6FC3F4FD" w14:textId="77777777" w:rsidR="0008746D" w:rsidRPr="0098356D" w:rsidRDefault="0008746D" w:rsidP="00344187">
            <w:pPr>
              <w:pStyle w:val="TableText0"/>
              <w:spacing w:before="0" w:after="0"/>
              <w:rPr>
                <w:snapToGrid w:val="0"/>
              </w:rPr>
            </w:pPr>
            <w:r w:rsidRPr="0098356D">
              <w:rPr>
                <w:snapToGrid w:val="0"/>
              </w:rPr>
              <w:t>Termination: 29.1% (46/158)</w:t>
            </w:r>
          </w:p>
        </w:tc>
        <w:tc>
          <w:tcPr>
            <w:tcW w:w="1513" w:type="pct"/>
          </w:tcPr>
          <w:p w14:paraId="4B9A76A9" w14:textId="77777777" w:rsidR="0008746D" w:rsidRDefault="0008746D" w:rsidP="00344187">
            <w:pPr>
              <w:pStyle w:val="TableText0"/>
              <w:spacing w:before="0" w:after="0"/>
              <w:rPr>
                <w:szCs w:val="20"/>
              </w:rPr>
            </w:pPr>
            <w:r w:rsidRPr="0098356D">
              <w:rPr>
                <w:szCs w:val="20"/>
              </w:rPr>
              <w:t>Long-term prognosis remains unknown as the</w:t>
            </w:r>
            <w:r>
              <w:rPr>
                <w:szCs w:val="20"/>
              </w:rPr>
              <w:t xml:space="preserve"> </w:t>
            </w:r>
            <w:r w:rsidRPr="0098356D">
              <w:rPr>
                <w:szCs w:val="20"/>
              </w:rPr>
              <w:t>age of the oldest patient at follow-up was only 5 years</w:t>
            </w:r>
          </w:p>
          <w:p w14:paraId="7FC708D5" w14:textId="77777777" w:rsidR="0008746D" w:rsidRPr="0098356D" w:rsidRDefault="0008746D" w:rsidP="00344187">
            <w:pPr>
              <w:pStyle w:val="TableText0"/>
              <w:spacing w:before="0" w:after="0"/>
              <w:rPr>
                <w:szCs w:val="20"/>
              </w:rPr>
            </w:pPr>
            <w:r>
              <w:rPr>
                <w:szCs w:val="20"/>
              </w:rPr>
              <w:t>-</w:t>
            </w:r>
            <w:r w:rsidRPr="003E0470">
              <w:rPr>
                <w:szCs w:val="20"/>
              </w:rPr>
              <w:t>Study did not evaluate whether genetic testing results influenced patients</w:t>
            </w:r>
            <w:r>
              <w:rPr>
                <w:szCs w:val="20"/>
              </w:rPr>
              <w:t>’</w:t>
            </w:r>
            <w:r w:rsidRPr="003E0470">
              <w:rPr>
                <w:szCs w:val="20"/>
              </w:rPr>
              <w:t xml:space="preserve"> decision to terminate pregnancy</w:t>
            </w:r>
          </w:p>
        </w:tc>
      </w:tr>
    </w:tbl>
    <w:p w14:paraId="615E6EA1" w14:textId="77777777" w:rsidR="0008746D" w:rsidRDefault="0008746D" w:rsidP="0008746D">
      <w:pPr>
        <w:pStyle w:val="Tablenotes1"/>
      </w:pPr>
      <w:r>
        <w:t xml:space="preserve">* </w:t>
      </w:r>
      <w:r w:rsidRPr="00AB3EDE">
        <w:t>One patient was lost to follow up.</w:t>
      </w:r>
      <w:r>
        <w:t xml:space="preserve"> </w:t>
      </w:r>
    </w:p>
    <w:p w14:paraId="7EC70D05" w14:textId="77777777" w:rsidR="0008746D" w:rsidRPr="00AB3EDE" w:rsidRDefault="0008746D" w:rsidP="0008746D">
      <w:pPr>
        <w:pStyle w:val="Tablenotes1"/>
      </w:pPr>
      <w:r w:rsidRPr="00827772">
        <w:rPr>
          <w:vertAlign w:val="superscript"/>
        </w:rPr>
        <w:t>†</w:t>
      </w:r>
      <w:r>
        <w:t xml:space="preserve"> </w:t>
      </w:r>
      <w:r w:rsidRPr="00AB3EDE">
        <w:t>Pregnancy outcomes were not available for five patients</w:t>
      </w:r>
    </w:p>
    <w:p w14:paraId="4BFDF879" w14:textId="1B25B01A" w:rsidR="00FE495C" w:rsidRPr="00FE495C" w:rsidRDefault="0008746D" w:rsidP="00FE495C">
      <w:pPr>
        <w:pStyle w:val="Tablenotes1"/>
      </w:pPr>
      <w:r>
        <w:t>Source: DCAR, Table 53.</w:t>
      </w:r>
      <w:r w:rsidR="00FE495C">
        <w:br w:type="page"/>
      </w:r>
    </w:p>
    <w:p w14:paraId="303C6AC6" w14:textId="5CC9FD0E" w:rsidR="0008746D" w:rsidRDefault="0008746D" w:rsidP="002C5532">
      <w:pPr>
        <w:pStyle w:val="Heading2"/>
        <w:rPr>
          <w:lang w:eastAsia="en-US"/>
        </w:rPr>
      </w:pPr>
      <w:r>
        <w:rPr>
          <w:lang w:eastAsia="en-US"/>
        </w:rPr>
        <w:lastRenderedPageBreak/>
        <w:t>Translation issues</w:t>
      </w:r>
    </w:p>
    <w:p w14:paraId="18D8EF7F" w14:textId="77777777" w:rsidR="0008746D" w:rsidRDefault="0008746D" w:rsidP="0008746D">
      <w:r w:rsidRPr="00EC1F3A">
        <w:t xml:space="preserve">The </w:t>
      </w:r>
      <w:r>
        <w:t>DCAR</w:t>
      </w:r>
      <w:r w:rsidRPr="00EC1F3A">
        <w:t xml:space="preserve"> identified seven applicability issues, two extrapolation issues, and one transformation issue</w:t>
      </w:r>
      <w:r>
        <w:t xml:space="preserve"> (</w:t>
      </w:r>
      <w:fldSimple w:instr=" REF _Ref61256960 ">
        <w:r>
          <w:t xml:space="preserve">Table </w:t>
        </w:r>
        <w:r>
          <w:rPr>
            <w:noProof/>
          </w:rPr>
          <w:t>15</w:t>
        </w:r>
      </w:fldSimple>
      <w:r>
        <w:t>)</w:t>
      </w:r>
      <w:r w:rsidRPr="00EC1F3A">
        <w:t>.</w:t>
      </w:r>
      <w:r>
        <w:t xml:space="preserve"> These issues were addressed in pre-modelling studies.</w:t>
      </w:r>
    </w:p>
    <w:p w14:paraId="55688C24" w14:textId="02D35AEA" w:rsidR="0008746D" w:rsidRDefault="0008746D" w:rsidP="0008746D">
      <w:pPr>
        <w:pStyle w:val="Caption"/>
      </w:pPr>
      <w:bookmarkStart w:id="27" w:name="_Ref61256960"/>
      <w:r>
        <w:t xml:space="preserve">Table </w:t>
      </w:r>
      <w:fldSimple w:instr=" SEQ Table \* ARABIC ">
        <w:r w:rsidR="00627B6A">
          <w:rPr>
            <w:noProof/>
          </w:rPr>
          <w:t>15</w:t>
        </w:r>
      </w:fldSimple>
      <w:bookmarkEnd w:id="27"/>
      <w:r>
        <w:t xml:space="preserve"> </w:t>
      </w:r>
      <w:r>
        <w:tab/>
        <w:t>Summary of translation issues, pre-modelling studies, and their use in the economic evaluation</w:t>
      </w:r>
    </w:p>
    <w:tbl>
      <w:tblPr>
        <w:tblStyle w:val="TableGrid1"/>
        <w:tblW w:w="0" w:type="auto"/>
        <w:tblCellMar>
          <w:left w:w="115" w:type="dxa"/>
          <w:right w:w="115" w:type="dxa"/>
        </w:tblCellMar>
        <w:tblLook w:val="01E0" w:firstRow="1" w:lastRow="1" w:firstColumn="1" w:lastColumn="1" w:noHBand="0" w:noVBand="0"/>
        <w:tblCaption w:val="Table 18 Summary of results of pre-modelling studies and their uses in the economic evaluation"/>
        <w:tblDescription w:val="The table summarises how different evidence was used to address the translation issues identified with the clinical evidence base, including by referring to how this addition evidence is used in the economic evaluation."/>
      </w:tblPr>
      <w:tblGrid>
        <w:gridCol w:w="2263"/>
        <w:gridCol w:w="4962"/>
        <w:gridCol w:w="1791"/>
      </w:tblGrid>
      <w:tr w:rsidR="0008746D" w14:paraId="6B7624B2" w14:textId="77777777" w:rsidTr="00E1141B">
        <w:trPr>
          <w:cantSplit/>
          <w:tblHeader/>
        </w:trPr>
        <w:tc>
          <w:tcPr>
            <w:tcW w:w="2263" w:type="dxa"/>
            <w:tcBorders>
              <w:top w:val="single" w:sz="4" w:space="0" w:color="auto"/>
              <w:left w:val="single" w:sz="4" w:space="0" w:color="auto"/>
              <w:bottom w:val="single" w:sz="4" w:space="0" w:color="auto"/>
              <w:right w:val="single" w:sz="4" w:space="0" w:color="auto"/>
            </w:tcBorders>
            <w:hideMark/>
          </w:tcPr>
          <w:p w14:paraId="26D512FA" w14:textId="77777777" w:rsidR="0008746D" w:rsidRDefault="0008746D" w:rsidP="00E1141B">
            <w:pPr>
              <w:pStyle w:val="TableHeading"/>
            </w:pPr>
            <w:r>
              <w:t>Issue</w:t>
            </w:r>
          </w:p>
        </w:tc>
        <w:tc>
          <w:tcPr>
            <w:tcW w:w="4962" w:type="dxa"/>
            <w:tcBorders>
              <w:top w:val="single" w:sz="4" w:space="0" w:color="auto"/>
              <w:left w:val="single" w:sz="4" w:space="0" w:color="auto"/>
              <w:bottom w:val="single" w:sz="4" w:space="0" w:color="auto"/>
              <w:right w:val="single" w:sz="4" w:space="0" w:color="auto"/>
            </w:tcBorders>
            <w:hideMark/>
          </w:tcPr>
          <w:p w14:paraId="5745C8C0" w14:textId="77777777" w:rsidR="0008746D" w:rsidRDefault="0008746D" w:rsidP="00E1141B">
            <w:pPr>
              <w:pStyle w:val="TableHeading"/>
            </w:pPr>
            <w:r>
              <w:t>Pre-modelling study and use in economic evaluation</w:t>
            </w:r>
          </w:p>
        </w:tc>
        <w:tc>
          <w:tcPr>
            <w:tcW w:w="1791" w:type="dxa"/>
            <w:tcBorders>
              <w:top w:val="single" w:sz="4" w:space="0" w:color="auto"/>
              <w:left w:val="single" w:sz="4" w:space="0" w:color="auto"/>
              <w:bottom w:val="single" w:sz="4" w:space="0" w:color="auto"/>
              <w:right w:val="single" w:sz="4" w:space="0" w:color="auto"/>
            </w:tcBorders>
            <w:vAlign w:val="bottom"/>
            <w:hideMark/>
          </w:tcPr>
          <w:p w14:paraId="2B3355FA" w14:textId="77777777" w:rsidR="0008746D" w:rsidRDefault="0008746D" w:rsidP="00E1141B">
            <w:pPr>
              <w:pStyle w:val="TableHeading"/>
            </w:pPr>
            <w:r>
              <w:t>Results used in sensitivity analysis</w:t>
            </w:r>
          </w:p>
        </w:tc>
      </w:tr>
      <w:tr w:rsidR="0008746D" w14:paraId="4CCCC08E" w14:textId="77777777" w:rsidTr="00E1141B">
        <w:trPr>
          <w:cantSplit/>
        </w:trPr>
        <w:tc>
          <w:tcPr>
            <w:tcW w:w="9016" w:type="dxa"/>
            <w:gridSpan w:val="3"/>
            <w:tcBorders>
              <w:top w:val="single" w:sz="4" w:space="0" w:color="auto"/>
              <w:left w:val="single" w:sz="4" w:space="0" w:color="auto"/>
              <w:bottom w:val="nil"/>
              <w:right w:val="single" w:sz="4" w:space="0" w:color="auto"/>
            </w:tcBorders>
            <w:hideMark/>
          </w:tcPr>
          <w:p w14:paraId="2E6AA871" w14:textId="77777777" w:rsidR="0008746D" w:rsidRDefault="0008746D" w:rsidP="00E1141B">
            <w:pPr>
              <w:pStyle w:val="Tabletext"/>
              <w:rPr>
                <w:b/>
              </w:rPr>
            </w:pPr>
            <w:r>
              <w:rPr>
                <w:b/>
              </w:rPr>
              <w:t>Applicability issues</w:t>
            </w:r>
          </w:p>
        </w:tc>
      </w:tr>
      <w:tr w:rsidR="0008746D" w14:paraId="051F2E67" w14:textId="77777777" w:rsidTr="00E1141B">
        <w:trPr>
          <w:cantSplit/>
          <w:trHeight w:val="485"/>
        </w:trPr>
        <w:tc>
          <w:tcPr>
            <w:tcW w:w="2263" w:type="dxa"/>
            <w:vMerge w:val="restart"/>
            <w:tcBorders>
              <w:top w:val="single" w:sz="4" w:space="0" w:color="auto"/>
              <w:left w:val="single" w:sz="4" w:space="0" w:color="auto"/>
              <w:right w:val="single" w:sz="4" w:space="0" w:color="auto"/>
            </w:tcBorders>
            <w:hideMark/>
          </w:tcPr>
          <w:p w14:paraId="6603E8B1" w14:textId="77777777" w:rsidR="0008746D" w:rsidRDefault="0008746D" w:rsidP="00E1141B">
            <w:pPr>
              <w:pStyle w:val="Tabletext"/>
            </w:pPr>
            <w:r>
              <w:t>Exemplar genes and diagnostic yield for economic evaluation in population 2</w:t>
            </w:r>
          </w:p>
        </w:tc>
        <w:tc>
          <w:tcPr>
            <w:tcW w:w="4962" w:type="dxa"/>
            <w:tcBorders>
              <w:top w:val="single" w:sz="4" w:space="0" w:color="auto"/>
              <w:left w:val="single" w:sz="4" w:space="0" w:color="auto"/>
              <w:bottom w:val="single" w:sz="4" w:space="0" w:color="auto"/>
              <w:right w:val="single" w:sz="4" w:space="0" w:color="auto"/>
            </w:tcBorders>
            <w:hideMark/>
          </w:tcPr>
          <w:p w14:paraId="3F02B7BA" w14:textId="77777777" w:rsidR="0008746D" w:rsidRDefault="0008746D" w:rsidP="00E1141B">
            <w:pPr>
              <w:pStyle w:val="Tabletext"/>
            </w:pPr>
            <w:r>
              <w:t xml:space="preserve">Meta-analysis identified </w:t>
            </w:r>
            <w:r w:rsidRPr="00071609">
              <w:rPr>
                <w:i/>
              </w:rPr>
              <w:t>HNF1B</w:t>
            </w:r>
            <w:r>
              <w:t xml:space="preserve"> and </w:t>
            </w:r>
            <w:r w:rsidRPr="00DC34E4">
              <w:rPr>
                <w:i/>
              </w:rPr>
              <w:t>PAX2</w:t>
            </w:r>
            <w:r>
              <w:t xml:space="preserve"> as exemplar genes for CAKUT, with a combined diagnostic yield of 2%.</w:t>
            </w:r>
          </w:p>
        </w:tc>
        <w:tc>
          <w:tcPr>
            <w:tcW w:w="1791" w:type="dxa"/>
            <w:tcBorders>
              <w:top w:val="single" w:sz="4" w:space="0" w:color="auto"/>
              <w:left w:val="single" w:sz="4" w:space="0" w:color="auto"/>
              <w:bottom w:val="single" w:sz="4" w:space="0" w:color="auto"/>
              <w:right w:val="single" w:sz="4" w:space="0" w:color="auto"/>
            </w:tcBorders>
            <w:hideMark/>
          </w:tcPr>
          <w:p w14:paraId="664F23D9" w14:textId="77777777" w:rsidR="0008746D" w:rsidRDefault="0008746D" w:rsidP="00E1141B">
            <w:pPr>
              <w:pStyle w:val="Tabletext"/>
            </w:pPr>
            <w:r w:rsidRPr="00016740">
              <w:t>95% CI used in sensitivity analysis</w:t>
            </w:r>
          </w:p>
        </w:tc>
      </w:tr>
      <w:tr w:rsidR="0008746D" w14:paraId="0742D40B" w14:textId="77777777" w:rsidTr="00E1141B">
        <w:trPr>
          <w:cantSplit/>
        </w:trPr>
        <w:tc>
          <w:tcPr>
            <w:tcW w:w="2263" w:type="dxa"/>
            <w:vMerge/>
            <w:tcBorders>
              <w:left w:val="single" w:sz="4" w:space="0" w:color="auto"/>
              <w:right w:val="single" w:sz="4" w:space="0" w:color="auto"/>
            </w:tcBorders>
          </w:tcPr>
          <w:p w14:paraId="1843CE7B" w14:textId="77777777" w:rsidR="0008746D" w:rsidRDefault="0008746D" w:rsidP="00E1141B">
            <w:pPr>
              <w:pStyle w:val="Tabletext"/>
            </w:pPr>
          </w:p>
        </w:tc>
        <w:tc>
          <w:tcPr>
            <w:tcW w:w="4962" w:type="dxa"/>
            <w:tcBorders>
              <w:top w:val="single" w:sz="4" w:space="0" w:color="auto"/>
              <w:left w:val="single" w:sz="4" w:space="0" w:color="auto"/>
              <w:bottom w:val="single" w:sz="4" w:space="0" w:color="auto"/>
              <w:right w:val="single" w:sz="4" w:space="0" w:color="auto"/>
            </w:tcBorders>
            <w:hideMark/>
          </w:tcPr>
          <w:p w14:paraId="7C550CD6" w14:textId="77777777" w:rsidR="0008746D" w:rsidRDefault="0008746D" w:rsidP="00E1141B">
            <w:pPr>
              <w:pStyle w:val="Tabletext"/>
            </w:pPr>
            <w:r>
              <w:t xml:space="preserve">Meta-analysis identified </w:t>
            </w:r>
            <w:r w:rsidRPr="00DC34E4">
              <w:rPr>
                <w:i/>
              </w:rPr>
              <w:t>NPHS1</w:t>
            </w:r>
            <w:r>
              <w:t xml:space="preserve"> and </w:t>
            </w:r>
            <w:r w:rsidRPr="00DC34E4">
              <w:rPr>
                <w:i/>
              </w:rPr>
              <w:t>NPHS2</w:t>
            </w:r>
            <w:r>
              <w:t xml:space="preserve"> as exemplar genes for glomerular diseases, with a combined diagnostic yield of 16% </w:t>
            </w:r>
          </w:p>
        </w:tc>
        <w:tc>
          <w:tcPr>
            <w:tcW w:w="1791" w:type="dxa"/>
            <w:tcBorders>
              <w:top w:val="single" w:sz="4" w:space="0" w:color="auto"/>
              <w:left w:val="single" w:sz="4" w:space="0" w:color="auto"/>
              <w:bottom w:val="single" w:sz="4" w:space="0" w:color="auto"/>
              <w:right w:val="single" w:sz="4" w:space="0" w:color="auto"/>
            </w:tcBorders>
            <w:hideMark/>
          </w:tcPr>
          <w:p w14:paraId="65DA6ADF" w14:textId="77777777" w:rsidR="0008746D" w:rsidRDefault="0008746D" w:rsidP="00E1141B">
            <w:pPr>
              <w:pStyle w:val="Tabletext"/>
              <w:rPr>
                <w:highlight w:val="cyan"/>
              </w:rPr>
            </w:pPr>
            <w:r w:rsidRPr="00016740">
              <w:t>95% CI used in sensitivity analysis</w:t>
            </w:r>
          </w:p>
        </w:tc>
      </w:tr>
      <w:tr w:rsidR="0008746D" w14:paraId="32AE6D9E" w14:textId="77777777" w:rsidTr="00E1141B">
        <w:trPr>
          <w:cantSplit/>
        </w:trPr>
        <w:tc>
          <w:tcPr>
            <w:tcW w:w="2263" w:type="dxa"/>
            <w:vMerge/>
            <w:tcBorders>
              <w:left w:val="single" w:sz="4" w:space="0" w:color="auto"/>
              <w:right w:val="single" w:sz="4" w:space="0" w:color="auto"/>
            </w:tcBorders>
          </w:tcPr>
          <w:p w14:paraId="29CD541C" w14:textId="77777777" w:rsidR="0008746D" w:rsidRDefault="0008746D" w:rsidP="00E1141B">
            <w:pPr>
              <w:pStyle w:val="Tabletext"/>
            </w:pPr>
          </w:p>
        </w:tc>
        <w:tc>
          <w:tcPr>
            <w:tcW w:w="4962" w:type="dxa"/>
            <w:tcBorders>
              <w:top w:val="single" w:sz="4" w:space="0" w:color="auto"/>
              <w:left w:val="single" w:sz="4" w:space="0" w:color="auto"/>
              <w:bottom w:val="single" w:sz="4" w:space="0" w:color="auto"/>
              <w:right w:val="single" w:sz="4" w:space="0" w:color="auto"/>
            </w:tcBorders>
            <w:hideMark/>
          </w:tcPr>
          <w:p w14:paraId="45206CCB" w14:textId="77777777" w:rsidR="0008746D" w:rsidRDefault="0008746D" w:rsidP="00E1141B">
            <w:pPr>
              <w:pStyle w:val="Tabletext"/>
              <w:rPr>
                <w:highlight w:val="cyan"/>
              </w:rPr>
            </w:pPr>
            <w:r>
              <w:t xml:space="preserve">Meta-analysis Identified </w:t>
            </w:r>
            <w:r w:rsidRPr="00071609">
              <w:rPr>
                <w:i/>
              </w:rPr>
              <w:t>CFH</w:t>
            </w:r>
            <w:r>
              <w:t xml:space="preserve"> as exemplar gene for complement disorder, with a diagnostic yield of 21%.</w:t>
            </w:r>
          </w:p>
        </w:tc>
        <w:tc>
          <w:tcPr>
            <w:tcW w:w="1791" w:type="dxa"/>
            <w:tcBorders>
              <w:top w:val="single" w:sz="4" w:space="0" w:color="auto"/>
              <w:left w:val="single" w:sz="4" w:space="0" w:color="auto"/>
              <w:bottom w:val="single" w:sz="4" w:space="0" w:color="auto"/>
              <w:right w:val="single" w:sz="4" w:space="0" w:color="auto"/>
            </w:tcBorders>
            <w:hideMark/>
          </w:tcPr>
          <w:p w14:paraId="07FA918C" w14:textId="77777777" w:rsidR="0008746D" w:rsidRDefault="0008746D" w:rsidP="00E1141B">
            <w:pPr>
              <w:pStyle w:val="Tabletext"/>
              <w:rPr>
                <w:highlight w:val="cyan"/>
              </w:rPr>
            </w:pPr>
            <w:r w:rsidRPr="00016740">
              <w:t>95% CI used in sensitivity analysis</w:t>
            </w:r>
          </w:p>
        </w:tc>
      </w:tr>
      <w:tr w:rsidR="0008746D" w14:paraId="1E79BFF2" w14:textId="77777777" w:rsidTr="00E1141B">
        <w:trPr>
          <w:cantSplit/>
        </w:trPr>
        <w:tc>
          <w:tcPr>
            <w:tcW w:w="2263" w:type="dxa"/>
            <w:vMerge/>
            <w:tcBorders>
              <w:left w:val="single" w:sz="4" w:space="0" w:color="auto"/>
              <w:bottom w:val="single" w:sz="4" w:space="0" w:color="auto"/>
              <w:right w:val="single" w:sz="4" w:space="0" w:color="auto"/>
            </w:tcBorders>
          </w:tcPr>
          <w:p w14:paraId="68B0245B" w14:textId="77777777" w:rsidR="0008746D" w:rsidRDefault="0008746D" w:rsidP="00E1141B">
            <w:pPr>
              <w:pStyle w:val="Tabletext"/>
            </w:pPr>
          </w:p>
        </w:tc>
        <w:tc>
          <w:tcPr>
            <w:tcW w:w="4962" w:type="dxa"/>
            <w:tcBorders>
              <w:top w:val="single" w:sz="4" w:space="0" w:color="auto"/>
              <w:left w:val="single" w:sz="4" w:space="0" w:color="auto"/>
              <w:bottom w:val="single" w:sz="4" w:space="0" w:color="auto"/>
              <w:right w:val="single" w:sz="4" w:space="0" w:color="auto"/>
            </w:tcBorders>
            <w:hideMark/>
          </w:tcPr>
          <w:p w14:paraId="486FAEB8" w14:textId="77777777" w:rsidR="0008746D" w:rsidRDefault="0008746D" w:rsidP="00E1141B">
            <w:pPr>
              <w:pStyle w:val="Tabletext"/>
              <w:rPr>
                <w:highlight w:val="cyan"/>
              </w:rPr>
            </w:pPr>
            <w:r>
              <w:t xml:space="preserve">Meta-analysis identified </w:t>
            </w:r>
            <w:r w:rsidRPr="00624AE2">
              <w:rPr>
                <w:i/>
              </w:rPr>
              <w:t>SLC12A3</w:t>
            </w:r>
            <w:r>
              <w:t xml:space="preserve"> as exemplar gene for tubular diseases, with a diagnostic yield of 14%.</w:t>
            </w:r>
          </w:p>
        </w:tc>
        <w:tc>
          <w:tcPr>
            <w:tcW w:w="1791" w:type="dxa"/>
            <w:tcBorders>
              <w:top w:val="single" w:sz="4" w:space="0" w:color="auto"/>
              <w:left w:val="single" w:sz="4" w:space="0" w:color="auto"/>
              <w:bottom w:val="single" w:sz="4" w:space="0" w:color="auto"/>
              <w:right w:val="single" w:sz="4" w:space="0" w:color="auto"/>
            </w:tcBorders>
            <w:hideMark/>
          </w:tcPr>
          <w:p w14:paraId="7F8EA5C0" w14:textId="77777777" w:rsidR="0008746D" w:rsidRDefault="0008746D" w:rsidP="00E1141B">
            <w:pPr>
              <w:pStyle w:val="Tabletext"/>
              <w:rPr>
                <w:highlight w:val="cyan"/>
              </w:rPr>
            </w:pPr>
            <w:r w:rsidRPr="00016740">
              <w:t>95% CI used in sensitivity analysis</w:t>
            </w:r>
          </w:p>
        </w:tc>
      </w:tr>
      <w:tr w:rsidR="0008746D" w14:paraId="3ACDB90A" w14:textId="77777777" w:rsidTr="00E1141B">
        <w:trPr>
          <w:cantSplit/>
        </w:trPr>
        <w:tc>
          <w:tcPr>
            <w:tcW w:w="2263" w:type="dxa"/>
            <w:tcBorders>
              <w:top w:val="single" w:sz="4" w:space="0" w:color="auto"/>
              <w:left w:val="single" w:sz="4" w:space="0" w:color="auto"/>
              <w:bottom w:val="single" w:sz="4" w:space="0" w:color="auto"/>
              <w:right w:val="single" w:sz="4" w:space="0" w:color="auto"/>
            </w:tcBorders>
            <w:hideMark/>
          </w:tcPr>
          <w:p w14:paraId="3FC570DE" w14:textId="77777777" w:rsidR="0008746D" w:rsidRDefault="0008746D" w:rsidP="00E1141B">
            <w:pPr>
              <w:pStyle w:val="Tabletext"/>
            </w:pPr>
            <w:r>
              <w:t>Evidence of therapeutic effectiveness for population 2-CAKUT</w:t>
            </w:r>
          </w:p>
        </w:tc>
        <w:tc>
          <w:tcPr>
            <w:tcW w:w="4962" w:type="dxa"/>
            <w:tcBorders>
              <w:top w:val="single" w:sz="4" w:space="0" w:color="auto"/>
              <w:left w:val="single" w:sz="4" w:space="0" w:color="auto"/>
              <w:bottom w:val="single" w:sz="4" w:space="0" w:color="auto"/>
              <w:right w:val="single" w:sz="4" w:space="0" w:color="auto"/>
            </w:tcBorders>
            <w:hideMark/>
          </w:tcPr>
          <w:p w14:paraId="1487D935" w14:textId="77777777" w:rsidR="0008746D" w:rsidRDefault="0008746D" w:rsidP="00E1141B">
            <w:pPr>
              <w:pStyle w:val="Tabletext"/>
            </w:pPr>
            <w:r>
              <w:t>Literature review to identify treatments for CAKUT.</w:t>
            </w:r>
          </w:p>
          <w:p w14:paraId="3AA47097" w14:textId="77777777" w:rsidR="0008746D" w:rsidRDefault="0008746D" w:rsidP="00E1141B">
            <w:pPr>
              <w:pStyle w:val="Tabletext"/>
              <w:rPr>
                <w:highlight w:val="cyan"/>
              </w:rPr>
            </w:pPr>
            <w:r>
              <w:t xml:space="preserve">Screening, </w:t>
            </w:r>
            <w:proofErr w:type="gramStart"/>
            <w:r>
              <w:t>monitoring</w:t>
            </w:r>
            <w:proofErr w:type="gramEnd"/>
            <w:r>
              <w:t xml:space="preserve"> and medicines identified in the review are applied as interventions in the economic model.</w:t>
            </w:r>
          </w:p>
        </w:tc>
        <w:tc>
          <w:tcPr>
            <w:tcW w:w="1791" w:type="dxa"/>
            <w:tcBorders>
              <w:top w:val="single" w:sz="4" w:space="0" w:color="auto"/>
              <w:left w:val="single" w:sz="4" w:space="0" w:color="auto"/>
              <w:bottom w:val="single" w:sz="4" w:space="0" w:color="auto"/>
              <w:right w:val="single" w:sz="4" w:space="0" w:color="auto"/>
            </w:tcBorders>
            <w:hideMark/>
          </w:tcPr>
          <w:p w14:paraId="51801C62" w14:textId="77777777" w:rsidR="0008746D" w:rsidRDefault="0008746D" w:rsidP="00E1141B">
            <w:pPr>
              <w:pStyle w:val="Tabletext"/>
              <w:rPr>
                <w:highlight w:val="cyan"/>
              </w:rPr>
            </w:pPr>
            <w:r>
              <w:t>None</w:t>
            </w:r>
          </w:p>
        </w:tc>
      </w:tr>
      <w:tr w:rsidR="0008746D" w14:paraId="230E542B" w14:textId="77777777" w:rsidTr="00E1141B">
        <w:trPr>
          <w:cantSplit/>
        </w:trPr>
        <w:tc>
          <w:tcPr>
            <w:tcW w:w="2263" w:type="dxa"/>
            <w:tcBorders>
              <w:top w:val="single" w:sz="4" w:space="0" w:color="auto"/>
              <w:left w:val="single" w:sz="4" w:space="0" w:color="auto"/>
              <w:bottom w:val="single" w:sz="4" w:space="0" w:color="auto"/>
              <w:right w:val="single" w:sz="4" w:space="0" w:color="auto"/>
            </w:tcBorders>
            <w:hideMark/>
          </w:tcPr>
          <w:p w14:paraId="01407B85" w14:textId="77777777" w:rsidR="0008746D" w:rsidRDefault="0008746D" w:rsidP="00E1141B">
            <w:pPr>
              <w:pStyle w:val="Tabletext"/>
            </w:pPr>
            <w:r>
              <w:t>Baseline age and eGFR for populations 1, 2 &amp; 3</w:t>
            </w:r>
          </w:p>
        </w:tc>
        <w:tc>
          <w:tcPr>
            <w:tcW w:w="4962" w:type="dxa"/>
            <w:tcBorders>
              <w:top w:val="single" w:sz="4" w:space="0" w:color="auto"/>
              <w:left w:val="single" w:sz="4" w:space="0" w:color="auto"/>
              <w:bottom w:val="single" w:sz="4" w:space="0" w:color="auto"/>
              <w:right w:val="single" w:sz="4" w:space="0" w:color="auto"/>
            </w:tcBorders>
            <w:hideMark/>
          </w:tcPr>
          <w:p w14:paraId="21CF4A5A" w14:textId="77777777" w:rsidR="0008746D" w:rsidRDefault="0008746D" w:rsidP="00E1141B">
            <w:pPr>
              <w:pStyle w:val="Tabletext"/>
              <w:rPr>
                <w:highlight w:val="cyan"/>
              </w:rPr>
            </w:pPr>
            <w:r>
              <w:t>Section B informed baseline estimates of age and eGFR for populations 1, 2 &amp; 3.</w:t>
            </w:r>
          </w:p>
        </w:tc>
        <w:tc>
          <w:tcPr>
            <w:tcW w:w="1791" w:type="dxa"/>
            <w:tcBorders>
              <w:top w:val="single" w:sz="4" w:space="0" w:color="auto"/>
              <w:left w:val="single" w:sz="4" w:space="0" w:color="auto"/>
              <w:bottom w:val="single" w:sz="4" w:space="0" w:color="auto"/>
              <w:right w:val="single" w:sz="4" w:space="0" w:color="auto"/>
            </w:tcBorders>
            <w:hideMark/>
          </w:tcPr>
          <w:p w14:paraId="2864188B" w14:textId="77777777" w:rsidR="0008746D" w:rsidRDefault="0008746D" w:rsidP="00E1141B">
            <w:pPr>
              <w:pStyle w:val="Tabletext"/>
              <w:rPr>
                <w:highlight w:val="cyan"/>
              </w:rPr>
            </w:pPr>
            <w:r>
              <w:t>95% CI used in PSA</w:t>
            </w:r>
          </w:p>
        </w:tc>
      </w:tr>
      <w:tr w:rsidR="0008746D" w14:paraId="48AAC1BC" w14:textId="77777777" w:rsidTr="00E1141B">
        <w:trPr>
          <w:cantSplit/>
        </w:trPr>
        <w:tc>
          <w:tcPr>
            <w:tcW w:w="2263" w:type="dxa"/>
            <w:tcBorders>
              <w:top w:val="single" w:sz="4" w:space="0" w:color="auto"/>
              <w:left w:val="single" w:sz="4" w:space="0" w:color="auto"/>
              <w:bottom w:val="single" w:sz="4" w:space="0" w:color="auto"/>
              <w:right w:val="single" w:sz="4" w:space="0" w:color="auto"/>
            </w:tcBorders>
            <w:hideMark/>
          </w:tcPr>
          <w:p w14:paraId="77BFB246" w14:textId="77777777" w:rsidR="0008746D" w:rsidRDefault="0008746D" w:rsidP="00E1141B">
            <w:pPr>
              <w:pStyle w:val="Tabletext"/>
            </w:pPr>
            <w:r>
              <w:t>Estimating annual eGFR decline for populations 1, 2 &amp; 3</w:t>
            </w:r>
          </w:p>
        </w:tc>
        <w:tc>
          <w:tcPr>
            <w:tcW w:w="4962" w:type="dxa"/>
            <w:tcBorders>
              <w:top w:val="single" w:sz="4" w:space="0" w:color="auto"/>
              <w:left w:val="single" w:sz="4" w:space="0" w:color="auto"/>
              <w:bottom w:val="single" w:sz="4" w:space="0" w:color="auto"/>
              <w:right w:val="single" w:sz="4" w:space="0" w:color="auto"/>
            </w:tcBorders>
            <w:hideMark/>
          </w:tcPr>
          <w:p w14:paraId="102715EA" w14:textId="77777777" w:rsidR="0008746D" w:rsidRDefault="0008746D" w:rsidP="00E1141B">
            <w:pPr>
              <w:pStyle w:val="Tabletext"/>
              <w:rPr>
                <w:highlight w:val="cyan"/>
              </w:rPr>
            </w:pPr>
            <w:r>
              <w:t>Section B informed CKD progression. Literature review informed estimate of eGFR decline for the general population.</w:t>
            </w:r>
          </w:p>
        </w:tc>
        <w:tc>
          <w:tcPr>
            <w:tcW w:w="1791" w:type="dxa"/>
            <w:tcBorders>
              <w:top w:val="single" w:sz="4" w:space="0" w:color="auto"/>
              <w:left w:val="single" w:sz="4" w:space="0" w:color="auto"/>
              <w:bottom w:val="single" w:sz="4" w:space="0" w:color="auto"/>
              <w:right w:val="single" w:sz="4" w:space="0" w:color="auto"/>
            </w:tcBorders>
            <w:hideMark/>
          </w:tcPr>
          <w:p w14:paraId="46807239" w14:textId="77777777" w:rsidR="0008746D" w:rsidRDefault="0008746D" w:rsidP="00E1141B">
            <w:pPr>
              <w:pStyle w:val="Tabletext"/>
              <w:rPr>
                <w:highlight w:val="cyan"/>
              </w:rPr>
            </w:pPr>
            <w:r>
              <w:t>95% CI used in PSA</w:t>
            </w:r>
          </w:p>
        </w:tc>
      </w:tr>
      <w:tr w:rsidR="0008746D" w14:paraId="76F166E5" w14:textId="77777777" w:rsidTr="00E1141B">
        <w:trPr>
          <w:cantSplit/>
        </w:trPr>
        <w:tc>
          <w:tcPr>
            <w:tcW w:w="2263" w:type="dxa"/>
            <w:tcBorders>
              <w:top w:val="single" w:sz="4" w:space="0" w:color="auto"/>
              <w:left w:val="single" w:sz="4" w:space="0" w:color="auto"/>
              <w:bottom w:val="nil"/>
              <w:right w:val="single" w:sz="4" w:space="0" w:color="auto"/>
            </w:tcBorders>
            <w:hideMark/>
          </w:tcPr>
          <w:p w14:paraId="59D718A5" w14:textId="77777777" w:rsidR="0008746D" w:rsidRDefault="0008746D" w:rsidP="00E1141B">
            <w:pPr>
              <w:pStyle w:val="Tabletext"/>
            </w:pPr>
            <w:r>
              <w:t>Estimating event rates in ESKD</w:t>
            </w:r>
          </w:p>
        </w:tc>
        <w:tc>
          <w:tcPr>
            <w:tcW w:w="4962" w:type="dxa"/>
            <w:tcBorders>
              <w:top w:val="single" w:sz="4" w:space="0" w:color="auto"/>
              <w:left w:val="single" w:sz="4" w:space="0" w:color="auto"/>
              <w:bottom w:val="single" w:sz="4" w:space="0" w:color="auto"/>
              <w:right w:val="single" w:sz="4" w:space="0" w:color="auto"/>
            </w:tcBorders>
            <w:hideMark/>
          </w:tcPr>
          <w:p w14:paraId="2BD9597E" w14:textId="77777777" w:rsidR="0008746D" w:rsidRDefault="0008746D" w:rsidP="00E1141B">
            <w:pPr>
              <w:pStyle w:val="Tabletext"/>
              <w:rPr>
                <w:highlight w:val="cyan"/>
              </w:rPr>
            </w:pPr>
            <w:r>
              <w:t xml:space="preserve">ANZDATA informed ESKD event rates and outcomes </w:t>
            </w:r>
          </w:p>
        </w:tc>
        <w:tc>
          <w:tcPr>
            <w:tcW w:w="1791" w:type="dxa"/>
            <w:tcBorders>
              <w:top w:val="single" w:sz="4" w:space="0" w:color="auto"/>
              <w:left w:val="single" w:sz="4" w:space="0" w:color="auto"/>
              <w:bottom w:val="single" w:sz="4" w:space="0" w:color="auto"/>
              <w:right w:val="single" w:sz="4" w:space="0" w:color="auto"/>
            </w:tcBorders>
            <w:hideMark/>
          </w:tcPr>
          <w:p w14:paraId="4C4B11A9" w14:textId="77777777" w:rsidR="0008746D" w:rsidRDefault="0008746D" w:rsidP="00E1141B">
            <w:pPr>
              <w:pStyle w:val="Tabletext"/>
              <w:rPr>
                <w:highlight w:val="cyan"/>
              </w:rPr>
            </w:pPr>
            <w:r>
              <w:t>None</w:t>
            </w:r>
          </w:p>
        </w:tc>
      </w:tr>
      <w:tr w:rsidR="0008746D" w14:paraId="18A709F2" w14:textId="77777777" w:rsidTr="00E1141B">
        <w:trPr>
          <w:cantSplit/>
        </w:trPr>
        <w:tc>
          <w:tcPr>
            <w:tcW w:w="2263" w:type="dxa"/>
            <w:tcBorders>
              <w:top w:val="single" w:sz="4" w:space="0" w:color="auto"/>
              <w:left w:val="single" w:sz="4" w:space="0" w:color="auto"/>
              <w:bottom w:val="nil"/>
              <w:right w:val="single" w:sz="4" w:space="0" w:color="auto"/>
            </w:tcBorders>
            <w:hideMark/>
          </w:tcPr>
          <w:p w14:paraId="26054B9D" w14:textId="77777777" w:rsidR="0008746D" w:rsidRDefault="0008746D" w:rsidP="00E1141B">
            <w:pPr>
              <w:pStyle w:val="Tabletext"/>
            </w:pPr>
            <w:r>
              <w:t>Modelling changes to reproductive decision making</w:t>
            </w:r>
          </w:p>
        </w:tc>
        <w:tc>
          <w:tcPr>
            <w:tcW w:w="4962" w:type="dxa"/>
            <w:tcBorders>
              <w:top w:val="single" w:sz="4" w:space="0" w:color="auto"/>
              <w:left w:val="single" w:sz="4" w:space="0" w:color="auto"/>
              <w:bottom w:val="single" w:sz="4" w:space="0" w:color="auto"/>
              <w:right w:val="single" w:sz="4" w:space="0" w:color="auto"/>
            </w:tcBorders>
            <w:hideMark/>
          </w:tcPr>
          <w:p w14:paraId="34329995" w14:textId="77777777" w:rsidR="0008746D" w:rsidRDefault="0008746D" w:rsidP="00E1141B">
            <w:pPr>
              <w:pStyle w:val="Tabletext"/>
            </w:pPr>
            <w:r>
              <w:t xml:space="preserve">Literature review informed impact of genetic diagnosis on reproductive decision making. </w:t>
            </w:r>
          </w:p>
          <w:p w14:paraId="143AB0EA" w14:textId="77777777" w:rsidR="0008746D" w:rsidRDefault="0008746D" w:rsidP="00E1141B">
            <w:pPr>
              <w:pStyle w:val="Tabletext"/>
            </w:pPr>
            <w:r>
              <w:t>Uptake of PGD and prenatal diagnosis is an economic model input</w:t>
            </w:r>
          </w:p>
        </w:tc>
        <w:tc>
          <w:tcPr>
            <w:tcW w:w="1791" w:type="dxa"/>
            <w:tcBorders>
              <w:top w:val="single" w:sz="4" w:space="0" w:color="auto"/>
              <w:left w:val="single" w:sz="4" w:space="0" w:color="auto"/>
              <w:bottom w:val="single" w:sz="4" w:space="0" w:color="auto"/>
              <w:right w:val="single" w:sz="4" w:space="0" w:color="auto"/>
            </w:tcBorders>
            <w:hideMark/>
          </w:tcPr>
          <w:p w14:paraId="2AA1B4EF" w14:textId="77777777" w:rsidR="0008746D" w:rsidRDefault="0008746D" w:rsidP="00E1141B">
            <w:pPr>
              <w:pStyle w:val="Tabletext"/>
            </w:pPr>
            <w:r>
              <w:t>None</w:t>
            </w:r>
          </w:p>
        </w:tc>
      </w:tr>
      <w:tr w:rsidR="0008746D" w14:paraId="2F2AE948" w14:textId="77777777" w:rsidTr="00E1141B">
        <w:trPr>
          <w:cantSplit/>
        </w:trPr>
        <w:tc>
          <w:tcPr>
            <w:tcW w:w="2263" w:type="dxa"/>
            <w:tcBorders>
              <w:top w:val="single" w:sz="4" w:space="0" w:color="auto"/>
              <w:left w:val="single" w:sz="4" w:space="0" w:color="auto"/>
              <w:bottom w:val="nil"/>
              <w:right w:val="single" w:sz="4" w:space="0" w:color="auto"/>
            </w:tcBorders>
            <w:hideMark/>
          </w:tcPr>
          <w:p w14:paraId="5B354993" w14:textId="77777777" w:rsidR="0008746D" w:rsidRDefault="0008746D" w:rsidP="00E1141B">
            <w:pPr>
              <w:pStyle w:val="Tabletext"/>
            </w:pPr>
            <w:r>
              <w:t>Estimating health care resource use in Australia</w:t>
            </w:r>
          </w:p>
        </w:tc>
        <w:tc>
          <w:tcPr>
            <w:tcW w:w="4962" w:type="dxa"/>
            <w:tcBorders>
              <w:top w:val="single" w:sz="4" w:space="0" w:color="auto"/>
              <w:left w:val="single" w:sz="4" w:space="0" w:color="auto"/>
              <w:bottom w:val="single" w:sz="4" w:space="0" w:color="auto"/>
              <w:right w:val="single" w:sz="4" w:space="0" w:color="auto"/>
            </w:tcBorders>
            <w:hideMark/>
          </w:tcPr>
          <w:p w14:paraId="2654833E" w14:textId="77777777" w:rsidR="0008746D" w:rsidRDefault="0008746D" w:rsidP="00E1141B">
            <w:pPr>
              <w:pStyle w:val="Tabletext"/>
            </w:pPr>
            <w:r>
              <w:t>Literature review informed resource use relevant to Australia.</w:t>
            </w:r>
          </w:p>
          <w:p w14:paraId="133B9826" w14:textId="77777777" w:rsidR="0008746D" w:rsidRDefault="0008746D" w:rsidP="00E1141B">
            <w:pPr>
              <w:pStyle w:val="Tabletext"/>
              <w:rPr>
                <w:highlight w:val="cyan"/>
              </w:rPr>
            </w:pPr>
            <w:r>
              <w:t>Costs of treatment estimated in AU$</w:t>
            </w:r>
          </w:p>
        </w:tc>
        <w:tc>
          <w:tcPr>
            <w:tcW w:w="1791" w:type="dxa"/>
            <w:tcBorders>
              <w:top w:val="single" w:sz="4" w:space="0" w:color="auto"/>
              <w:left w:val="single" w:sz="4" w:space="0" w:color="auto"/>
              <w:bottom w:val="single" w:sz="4" w:space="0" w:color="auto"/>
              <w:right w:val="single" w:sz="4" w:space="0" w:color="auto"/>
            </w:tcBorders>
            <w:hideMark/>
          </w:tcPr>
          <w:p w14:paraId="7048AD3D" w14:textId="77777777" w:rsidR="0008746D" w:rsidRDefault="0008746D" w:rsidP="00E1141B">
            <w:pPr>
              <w:pStyle w:val="Tabletext"/>
            </w:pPr>
            <w:r>
              <w:t xml:space="preserve">None </w:t>
            </w:r>
          </w:p>
        </w:tc>
      </w:tr>
      <w:tr w:rsidR="0008746D" w14:paraId="03522912" w14:textId="77777777" w:rsidTr="00E1141B">
        <w:trPr>
          <w:cantSplit/>
        </w:trPr>
        <w:tc>
          <w:tcPr>
            <w:tcW w:w="9016" w:type="dxa"/>
            <w:gridSpan w:val="3"/>
            <w:tcBorders>
              <w:top w:val="single" w:sz="4" w:space="0" w:color="auto"/>
              <w:left w:val="single" w:sz="4" w:space="0" w:color="auto"/>
              <w:bottom w:val="single" w:sz="4" w:space="0" w:color="auto"/>
              <w:right w:val="single" w:sz="4" w:space="0" w:color="auto"/>
            </w:tcBorders>
            <w:hideMark/>
          </w:tcPr>
          <w:p w14:paraId="1C444D32" w14:textId="77777777" w:rsidR="0008746D" w:rsidRDefault="0008746D" w:rsidP="00E1141B">
            <w:pPr>
              <w:pStyle w:val="Tabletext"/>
              <w:rPr>
                <w:b/>
              </w:rPr>
            </w:pPr>
            <w:r>
              <w:rPr>
                <w:b/>
              </w:rPr>
              <w:t>Extrapolation issues</w:t>
            </w:r>
          </w:p>
        </w:tc>
      </w:tr>
      <w:tr w:rsidR="0008746D" w14:paraId="6451BA26" w14:textId="77777777" w:rsidTr="00E1141B">
        <w:trPr>
          <w:cantSplit/>
        </w:trPr>
        <w:tc>
          <w:tcPr>
            <w:tcW w:w="2263" w:type="dxa"/>
            <w:vMerge w:val="restart"/>
            <w:tcBorders>
              <w:top w:val="single" w:sz="4" w:space="0" w:color="auto"/>
              <w:left w:val="single" w:sz="4" w:space="0" w:color="auto"/>
              <w:bottom w:val="single" w:sz="4" w:space="0" w:color="auto"/>
              <w:right w:val="single" w:sz="4" w:space="0" w:color="auto"/>
            </w:tcBorders>
            <w:hideMark/>
          </w:tcPr>
          <w:p w14:paraId="01FE49F8" w14:textId="77777777" w:rsidR="0008746D" w:rsidRDefault="0008746D" w:rsidP="00E1141B">
            <w:pPr>
              <w:pStyle w:val="Tabletext"/>
            </w:pPr>
            <w:r>
              <w:t>Extrapolating treatment effect to the model time horizon</w:t>
            </w:r>
          </w:p>
        </w:tc>
        <w:tc>
          <w:tcPr>
            <w:tcW w:w="4962" w:type="dxa"/>
            <w:tcBorders>
              <w:top w:val="single" w:sz="4" w:space="0" w:color="auto"/>
              <w:left w:val="single" w:sz="4" w:space="0" w:color="auto"/>
              <w:bottom w:val="single" w:sz="4" w:space="0" w:color="auto"/>
              <w:right w:val="single" w:sz="4" w:space="0" w:color="auto"/>
            </w:tcBorders>
            <w:hideMark/>
          </w:tcPr>
          <w:p w14:paraId="13686BF1" w14:textId="77777777" w:rsidR="0008746D" w:rsidRDefault="0008746D" w:rsidP="00E1141B">
            <w:pPr>
              <w:pStyle w:val="Tabletext"/>
            </w:pPr>
            <w:r>
              <w:t>Glomerular diseases (SRNS): Assumed ‘complete response’ to treatment was maintained for patient’s lifetime.</w:t>
            </w:r>
          </w:p>
        </w:tc>
        <w:tc>
          <w:tcPr>
            <w:tcW w:w="1791" w:type="dxa"/>
            <w:tcBorders>
              <w:top w:val="single" w:sz="4" w:space="0" w:color="auto"/>
              <w:left w:val="single" w:sz="4" w:space="0" w:color="auto"/>
              <w:bottom w:val="single" w:sz="4" w:space="0" w:color="auto"/>
              <w:right w:val="single" w:sz="4" w:space="0" w:color="auto"/>
            </w:tcBorders>
            <w:hideMark/>
          </w:tcPr>
          <w:p w14:paraId="2801B38C" w14:textId="77777777" w:rsidR="0008746D" w:rsidRDefault="0008746D" w:rsidP="00E1141B">
            <w:pPr>
              <w:pStyle w:val="Tabletext"/>
            </w:pPr>
            <w:r>
              <w:t>N/A</w:t>
            </w:r>
          </w:p>
        </w:tc>
      </w:tr>
      <w:tr w:rsidR="0008746D" w14:paraId="15C9ED52" w14:textId="77777777" w:rsidTr="00E1141B">
        <w:trPr>
          <w:cantSplit/>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E5F2596" w14:textId="77777777" w:rsidR="0008746D" w:rsidRDefault="0008746D" w:rsidP="00E1141B">
            <w:pPr>
              <w:rPr>
                <w:rFonts w:ascii="Arial Narrow" w:hAnsi="Arial Narrow"/>
                <w:sz w:val="20"/>
              </w:rPr>
            </w:pPr>
          </w:p>
        </w:tc>
        <w:tc>
          <w:tcPr>
            <w:tcW w:w="4962" w:type="dxa"/>
            <w:tcBorders>
              <w:top w:val="single" w:sz="4" w:space="0" w:color="auto"/>
              <w:left w:val="single" w:sz="4" w:space="0" w:color="auto"/>
              <w:bottom w:val="single" w:sz="4" w:space="0" w:color="auto"/>
              <w:right w:val="single" w:sz="4" w:space="0" w:color="auto"/>
            </w:tcBorders>
            <w:hideMark/>
          </w:tcPr>
          <w:p w14:paraId="1331C6E8" w14:textId="77777777" w:rsidR="0008746D" w:rsidRDefault="0008746D" w:rsidP="00E1141B">
            <w:pPr>
              <w:pStyle w:val="Tabletext"/>
            </w:pPr>
            <w:r>
              <w:t>Complement disorders (</w:t>
            </w:r>
            <w:proofErr w:type="spellStart"/>
            <w:r>
              <w:t>aHUS</w:t>
            </w:r>
            <w:proofErr w:type="spellEnd"/>
            <w:r>
              <w:t>): Assumed ‘complete TMA response’ was maintained for patient’s lifetime.</w:t>
            </w:r>
          </w:p>
        </w:tc>
        <w:tc>
          <w:tcPr>
            <w:tcW w:w="1791" w:type="dxa"/>
            <w:tcBorders>
              <w:top w:val="single" w:sz="4" w:space="0" w:color="auto"/>
              <w:left w:val="single" w:sz="4" w:space="0" w:color="auto"/>
              <w:bottom w:val="single" w:sz="4" w:space="0" w:color="auto"/>
              <w:right w:val="single" w:sz="4" w:space="0" w:color="auto"/>
            </w:tcBorders>
            <w:hideMark/>
          </w:tcPr>
          <w:p w14:paraId="77A87CD5" w14:textId="77777777" w:rsidR="0008746D" w:rsidRDefault="0008746D" w:rsidP="00E1141B">
            <w:pPr>
              <w:pStyle w:val="Tabletext"/>
            </w:pPr>
            <w:r>
              <w:t>Time horizon truncated to 1 year</w:t>
            </w:r>
          </w:p>
        </w:tc>
      </w:tr>
      <w:tr w:rsidR="0008746D" w14:paraId="2AB30696" w14:textId="77777777" w:rsidTr="00E1141B">
        <w:trPr>
          <w:cantSplit/>
        </w:trPr>
        <w:tc>
          <w:tcPr>
            <w:tcW w:w="9016" w:type="dxa"/>
            <w:gridSpan w:val="3"/>
            <w:tcBorders>
              <w:top w:val="single" w:sz="4" w:space="0" w:color="auto"/>
              <w:left w:val="single" w:sz="4" w:space="0" w:color="auto"/>
              <w:bottom w:val="single" w:sz="4" w:space="0" w:color="auto"/>
              <w:right w:val="single" w:sz="4" w:space="0" w:color="auto"/>
            </w:tcBorders>
            <w:hideMark/>
          </w:tcPr>
          <w:p w14:paraId="7EA212AA" w14:textId="77777777" w:rsidR="0008746D" w:rsidRDefault="0008746D" w:rsidP="00E1141B">
            <w:pPr>
              <w:pStyle w:val="Tabletext"/>
              <w:rPr>
                <w:b/>
              </w:rPr>
            </w:pPr>
            <w:r>
              <w:rPr>
                <w:b/>
              </w:rPr>
              <w:t>Transformation issues</w:t>
            </w:r>
          </w:p>
        </w:tc>
      </w:tr>
      <w:tr w:rsidR="0008746D" w14:paraId="7B6896DA" w14:textId="77777777" w:rsidTr="00E1141B">
        <w:trPr>
          <w:cantSplit/>
        </w:trPr>
        <w:tc>
          <w:tcPr>
            <w:tcW w:w="2263" w:type="dxa"/>
            <w:tcBorders>
              <w:top w:val="single" w:sz="4" w:space="0" w:color="auto"/>
              <w:left w:val="single" w:sz="4" w:space="0" w:color="auto"/>
              <w:bottom w:val="single" w:sz="4" w:space="0" w:color="auto"/>
              <w:right w:val="single" w:sz="4" w:space="0" w:color="auto"/>
            </w:tcBorders>
            <w:hideMark/>
          </w:tcPr>
          <w:p w14:paraId="311061AA" w14:textId="77777777" w:rsidR="0008746D" w:rsidRDefault="0008746D" w:rsidP="00E1141B">
            <w:pPr>
              <w:pStyle w:val="Tabletext"/>
            </w:pPr>
            <w:r>
              <w:t>Identifying utilities for use in the economic evaluation</w:t>
            </w:r>
          </w:p>
        </w:tc>
        <w:tc>
          <w:tcPr>
            <w:tcW w:w="4962" w:type="dxa"/>
            <w:tcBorders>
              <w:top w:val="single" w:sz="4" w:space="0" w:color="auto"/>
              <w:left w:val="single" w:sz="4" w:space="0" w:color="auto"/>
              <w:bottom w:val="single" w:sz="4" w:space="0" w:color="auto"/>
              <w:right w:val="single" w:sz="4" w:space="0" w:color="auto"/>
            </w:tcBorders>
            <w:hideMark/>
          </w:tcPr>
          <w:p w14:paraId="5C7F80EF" w14:textId="77777777" w:rsidR="0008746D" w:rsidRDefault="0008746D" w:rsidP="00E1141B">
            <w:pPr>
              <w:pStyle w:val="Tabletext"/>
              <w:rPr>
                <w:highlight w:val="cyan"/>
              </w:rPr>
            </w:pPr>
            <w:r>
              <w:t xml:space="preserve">Literature review informed utility value inputs </w:t>
            </w:r>
          </w:p>
        </w:tc>
        <w:tc>
          <w:tcPr>
            <w:tcW w:w="1791" w:type="dxa"/>
            <w:tcBorders>
              <w:top w:val="single" w:sz="4" w:space="0" w:color="auto"/>
              <w:left w:val="single" w:sz="4" w:space="0" w:color="auto"/>
              <w:bottom w:val="single" w:sz="4" w:space="0" w:color="auto"/>
              <w:right w:val="single" w:sz="4" w:space="0" w:color="auto"/>
            </w:tcBorders>
            <w:hideMark/>
          </w:tcPr>
          <w:p w14:paraId="22824A49" w14:textId="77777777" w:rsidR="0008746D" w:rsidRDefault="0008746D" w:rsidP="00E1141B">
            <w:pPr>
              <w:pStyle w:val="Tabletext"/>
            </w:pPr>
            <w:r w:rsidRPr="00016740">
              <w:t>95% CI used in sensitivity analysis</w:t>
            </w:r>
          </w:p>
        </w:tc>
      </w:tr>
    </w:tbl>
    <w:p w14:paraId="76701C35" w14:textId="77777777" w:rsidR="0008746D" w:rsidRDefault="0008746D" w:rsidP="0008746D">
      <w:pPr>
        <w:pStyle w:val="Tablenotes1"/>
      </w:pPr>
      <w:bookmarkStart w:id="28" w:name="_Hlk57286871"/>
      <w:proofErr w:type="spellStart"/>
      <w:r w:rsidRPr="004B20CF">
        <w:rPr>
          <w:szCs w:val="18"/>
        </w:rPr>
        <w:t>aHUS</w:t>
      </w:r>
      <w:proofErr w:type="spellEnd"/>
      <w:r>
        <w:rPr>
          <w:szCs w:val="18"/>
        </w:rPr>
        <w:t xml:space="preserve"> </w:t>
      </w:r>
      <w:r w:rsidRPr="004B20CF">
        <w:rPr>
          <w:szCs w:val="18"/>
        </w:rPr>
        <w:t>=</w:t>
      </w:r>
      <w:r>
        <w:rPr>
          <w:szCs w:val="18"/>
        </w:rPr>
        <w:t xml:space="preserve"> </w:t>
      </w:r>
      <w:r w:rsidRPr="004B20CF">
        <w:rPr>
          <w:szCs w:val="18"/>
        </w:rPr>
        <w:t xml:space="preserve">atypical haemolytic uraemic syndrome; </w:t>
      </w:r>
      <w:r>
        <w:t>ANZDATA = Australia and New Zealand Dialysis &amp; Transplant Registry</w:t>
      </w:r>
      <w:bookmarkEnd w:id="28"/>
      <w:r>
        <w:t xml:space="preserve">; CAKUT = congenital abnormalities of the kidney and urinary tract; CI = confidence interval; CKD = chronic kidney disease; eGFR = estimated glomerular filtration rate; ESKD = end stage kidney disease; PGD = pre-implantation genetic diagnosis; PSA = </w:t>
      </w:r>
      <w:r w:rsidRPr="00283813">
        <w:t>probabilistic sensitivity analysis</w:t>
      </w:r>
      <w:r>
        <w:t>;</w:t>
      </w:r>
      <w:r w:rsidRPr="00283813">
        <w:t xml:space="preserve"> </w:t>
      </w:r>
      <w:r>
        <w:t>SD = standard deviation; SRNS = steroid-</w:t>
      </w:r>
      <w:r w:rsidRPr="008A7137">
        <w:t>resistant nephrotic syndrome</w:t>
      </w:r>
      <w:r>
        <w:t>; TMA = thrombotic microangiography.</w:t>
      </w:r>
    </w:p>
    <w:p w14:paraId="45F71690" w14:textId="77777777" w:rsidR="0008746D" w:rsidRDefault="0008746D" w:rsidP="0008746D">
      <w:pPr>
        <w:pStyle w:val="Tablenotes1"/>
      </w:pPr>
      <w:r>
        <w:t>Source: DCAR, Table 9.</w:t>
      </w:r>
    </w:p>
    <w:p w14:paraId="33296F26" w14:textId="77777777" w:rsidR="00BC1364" w:rsidRPr="00F715D1" w:rsidRDefault="00BC1364" w:rsidP="004C41BD">
      <w:pPr>
        <w:pStyle w:val="Heading1"/>
      </w:pPr>
      <w:r w:rsidRPr="00F715D1">
        <w:t>Economic evaluation</w:t>
      </w:r>
    </w:p>
    <w:p w14:paraId="454CCE1F" w14:textId="004D5C45" w:rsidR="00344187" w:rsidRDefault="00344187" w:rsidP="00344187">
      <w:r>
        <w:t>Cost-effectiveness and cost-utility analyses were presented for both analyses (populations 1 &amp; 3, and populations 2 and 3) (</w:t>
      </w:r>
      <w:fldSimple w:instr=" REF _Ref61257244 ">
        <w:r>
          <w:t xml:space="preserve">Table </w:t>
        </w:r>
        <w:r>
          <w:rPr>
            <w:noProof/>
          </w:rPr>
          <w:t>16</w:t>
        </w:r>
      </w:fldSimple>
      <w:r>
        <w:t>).</w:t>
      </w:r>
    </w:p>
    <w:p w14:paraId="2E8C5879" w14:textId="4BAF9EB3" w:rsidR="00344187" w:rsidRDefault="00344187" w:rsidP="00344187">
      <w:pPr>
        <w:pStyle w:val="Caption"/>
      </w:pPr>
      <w:bookmarkStart w:id="29" w:name="_Ref61257244"/>
      <w:r>
        <w:lastRenderedPageBreak/>
        <w:t xml:space="preserve">Table </w:t>
      </w:r>
      <w:fldSimple w:instr=" SEQ Table \* ARABIC ">
        <w:r w:rsidR="00627B6A">
          <w:rPr>
            <w:noProof/>
          </w:rPr>
          <w:t>16</w:t>
        </w:r>
      </w:fldSimple>
      <w:bookmarkEnd w:id="29"/>
      <w:r>
        <w:t xml:space="preserve"> </w:t>
      </w:r>
      <w:r>
        <w:tab/>
        <w:t>Summary of the economic evaluation</w:t>
      </w:r>
    </w:p>
    <w:tbl>
      <w:tblPr>
        <w:tblStyle w:val="TableGrid1"/>
        <w:tblW w:w="0" w:type="auto"/>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2693"/>
        <w:gridCol w:w="6323"/>
      </w:tblGrid>
      <w:tr w:rsidR="00344187" w14:paraId="523F4E3B" w14:textId="77777777" w:rsidTr="005E3F29">
        <w:trPr>
          <w:trHeight w:val="20"/>
          <w:tblHeader/>
        </w:trPr>
        <w:tc>
          <w:tcPr>
            <w:tcW w:w="2694" w:type="dxa"/>
            <w:hideMark/>
          </w:tcPr>
          <w:p w14:paraId="592AF24C" w14:textId="77777777" w:rsidR="00344187" w:rsidRDefault="00344187" w:rsidP="00344187">
            <w:pPr>
              <w:pStyle w:val="Tabletext"/>
              <w:rPr>
                <w:b/>
              </w:rPr>
            </w:pPr>
            <w:r>
              <w:rPr>
                <w:b/>
              </w:rPr>
              <w:t>Perspective</w:t>
            </w:r>
          </w:p>
        </w:tc>
        <w:tc>
          <w:tcPr>
            <w:tcW w:w="6327" w:type="dxa"/>
            <w:hideMark/>
          </w:tcPr>
          <w:p w14:paraId="5F9E2D5E" w14:textId="77777777" w:rsidR="00344187" w:rsidRDefault="00344187" w:rsidP="00344187">
            <w:pPr>
              <w:pStyle w:val="Tabletext"/>
            </w:pPr>
            <w:r>
              <w:t>Healthcare system</w:t>
            </w:r>
          </w:p>
        </w:tc>
      </w:tr>
      <w:tr w:rsidR="00344187" w14:paraId="4DD43EBC" w14:textId="77777777" w:rsidTr="005E3F29">
        <w:trPr>
          <w:trHeight w:val="20"/>
        </w:trPr>
        <w:tc>
          <w:tcPr>
            <w:tcW w:w="2694" w:type="dxa"/>
            <w:hideMark/>
          </w:tcPr>
          <w:p w14:paraId="61A91A87" w14:textId="77777777" w:rsidR="00344187" w:rsidRDefault="00344187" w:rsidP="00344187">
            <w:pPr>
              <w:pStyle w:val="Tabletext"/>
              <w:rPr>
                <w:b/>
              </w:rPr>
            </w:pPr>
            <w:r>
              <w:rPr>
                <w:b/>
              </w:rPr>
              <w:t>Comparator</w:t>
            </w:r>
          </w:p>
        </w:tc>
        <w:tc>
          <w:tcPr>
            <w:tcW w:w="6327" w:type="dxa"/>
            <w:hideMark/>
          </w:tcPr>
          <w:p w14:paraId="2F6B98DE" w14:textId="77777777" w:rsidR="00344187" w:rsidRPr="00051B21" w:rsidRDefault="00344187" w:rsidP="00344187">
            <w:pPr>
              <w:pStyle w:val="Tabletext"/>
              <w:keepNext/>
              <w:rPr>
                <w:vanish/>
              </w:rPr>
            </w:pPr>
            <w:r w:rsidRPr="00051B21">
              <w:t>No genetic testing, standard care treatment</w:t>
            </w:r>
          </w:p>
        </w:tc>
      </w:tr>
      <w:tr w:rsidR="00344187" w14:paraId="4E6C43C4" w14:textId="77777777" w:rsidTr="005E3F29">
        <w:trPr>
          <w:trHeight w:val="20"/>
        </w:trPr>
        <w:tc>
          <w:tcPr>
            <w:tcW w:w="2694" w:type="dxa"/>
            <w:hideMark/>
          </w:tcPr>
          <w:p w14:paraId="62779414" w14:textId="77777777" w:rsidR="00344187" w:rsidRDefault="00344187" w:rsidP="00344187">
            <w:pPr>
              <w:pStyle w:val="Tabletext"/>
              <w:rPr>
                <w:b/>
              </w:rPr>
            </w:pPr>
            <w:r>
              <w:rPr>
                <w:b/>
              </w:rPr>
              <w:t>Type of economic evaluation</w:t>
            </w:r>
          </w:p>
        </w:tc>
        <w:tc>
          <w:tcPr>
            <w:tcW w:w="6327" w:type="dxa"/>
            <w:hideMark/>
          </w:tcPr>
          <w:p w14:paraId="20789EAE" w14:textId="77777777" w:rsidR="00344187" w:rsidRPr="00051B21" w:rsidRDefault="00344187" w:rsidP="00344187">
            <w:pPr>
              <w:pStyle w:val="Tabletext"/>
              <w:keepNext/>
            </w:pPr>
            <w:r w:rsidRPr="00051B21">
              <w:t>Cost-effectiveness and cost-utility analysis</w:t>
            </w:r>
          </w:p>
        </w:tc>
      </w:tr>
      <w:tr w:rsidR="00344187" w14:paraId="6E14197D" w14:textId="77777777" w:rsidTr="005E3F29">
        <w:trPr>
          <w:trHeight w:val="20"/>
        </w:trPr>
        <w:tc>
          <w:tcPr>
            <w:tcW w:w="2694" w:type="dxa"/>
            <w:hideMark/>
          </w:tcPr>
          <w:p w14:paraId="2A7085C7" w14:textId="77777777" w:rsidR="00344187" w:rsidRDefault="00344187" w:rsidP="00344187">
            <w:pPr>
              <w:pStyle w:val="Tabletext"/>
              <w:rPr>
                <w:b/>
              </w:rPr>
            </w:pPr>
            <w:r>
              <w:rPr>
                <w:b/>
              </w:rPr>
              <w:t>Sources of evidence</w:t>
            </w:r>
          </w:p>
        </w:tc>
        <w:tc>
          <w:tcPr>
            <w:tcW w:w="6327" w:type="dxa"/>
            <w:hideMark/>
          </w:tcPr>
          <w:p w14:paraId="39C8F963" w14:textId="77777777" w:rsidR="00344187" w:rsidRPr="00051B21" w:rsidRDefault="00344187" w:rsidP="00344187">
            <w:pPr>
              <w:pStyle w:val="Tabletext"/>
              <w:keepNext/>
            </w:pPr>
            <w:r w:rsidRPr="00051B21">
              <w:t>Systematic review</w:t>
            </w:r>
          </w:p>
        </w:tc>
      </w:tr>
      <w:tr w:rsidR="00344187" w14:paraId="451C74E0" w14:textId="77777777" w:rsidTr="005E3F29">
        <w:trPr>
          <w:trHeight w:val="20"/>
        </w:trPr>
        <w:tc>
          <w:tcPr>
            <w:tcW w:w="2694" w:type="dxa"/>
            <w:hideMark/>
          </w:tcPr>
          <w:p w14:paraId="1422B80A" w14:textId="77777777" w:rsidR="00344187" w:rsidRDefault="00344187" w:rsidP="00344187">
            <w:pPr>
              <w:pStyle w:val="Tabletext"/>
              <w:rPr>
                <w:b/>
              </w:rPr>
            </w:pPr>
            <w:r>
              <w:rPr>
                <w:b/>
              </w:rPr>
              <w:t>Time horizon</w:t>
            </w:r>
          </w:p>
        </w:tc>
        <w:tc>
          <w:tcPr>
            <w:tcW w:w="6327" w:type="dxa"/>
            <w:hideMark/>
          </w:tcPr>
          <w:p w14:paraId="12FB1334" w14:textId="77777777" w:rsidR="00344187" w:rsidRPr="00051B21" w:rsidRDefault="00344187" w:rsidP="00344187">
            <w:pPr>
              <w:pStyle w:val="Tabletext"/>
              <w:keepNext/>
              <w:rPr>
                <w:vanish/>
              </w:rPr>
            </w:pPr>
            <w:r w:rsidRPr="00051B21">
              <w:t>50 years in the model base case</w:t>
            </w:r>
          </w:p>
        </w:tc>
      </w:tr>
      <w:tr w:rsidR="00344187" w14:paraId="7E1B8068" w14:textId="77777777" w:rsidTr="005E3F29">
        <w:trPr>
          <w:trHeight w:val="20"/>
        </w:trPr>
        <w:tc>
          <w:tcPr>
            <w:tcW w:w="2694" w:type="dxa"/>
            <w:hideMark/>
          </w:tcPr>
          <w:p w14:paraId="6FBC9E0C" w14:textId="77777777" w:rsidR="00344187" w:rsidRDefault="00344187" w:rsidP="00344187">
            <w:pPr>
              <w:pStyle w:val="Tabletext"/>
              <w:rPr>
                <w:b/>
              </w:rPr>
            </w:pPr>
            <w:r>
              <w:rPr>
                <w:b/>
              </w:rPr>
              <w:t>Outcomes</w:t>
            </w:r>
          </w:p>
        </w:tc>
        <w:tc>
          <w:tcPr>
            <w:tcW w:w="6327" w:type="dxa"/>
            <w:hideMark/>
          </w:tcPr>
          <w:p w14:paraId="3208290C" w14:textId="77777777" w:rsidR="00344187" w:rsidRPr="00051B21" w:rsidRDefault="00344187" w:rsidP="00344187">
            <w:pPr>
              <w:pStyle w:val="Tabletext"/>
              <w:keepNext/>
            </w:pPr>
            <w:r w:rsidRPr="00051B21">
              <w:t>QALYs and informed reproductive decisions</w:t>
            </w:r>
          </w:p>
        </w:tc>
      </w:tr>
      <w:tr w:rsidR="00344187" w14:paraId="15986E25" w14:textId="77777777" w:rsidTr="005E3F29">
        <w:trPr>
          <w:trHeight w:val="20"/>
        </w:trPr>
        <w:tc>
          <w:tcPr>
            <w:tcW w:w="2694" w:type="dxa"/>
            <w:hideMark/>
          </w:tcPr>
          <w:p w14:paraId="001A07D4" w14:textId="77777777" w:rsidR="00344187" w:rsidRDefault="00344187" w:rsidP="00344187">
            <w:pPr>
              <w:pStyle w:val="Tabletext"/>
              <w:rPr>
                <w:b/>
              </w:rPr>
            </w:pPr>
            <w:r>
              <w:rPr>
                <w:b/>
              </w:rPr>
              <w:t>Methods used to generate results</w:t>
            </w:r>
          </w:p>
        </w:tc>
        <w:tc>
          <w:tcPr>
            <w:tcW w:w="6327" w:type="dxa"/>
            <w:hideMark/>
          </w:tcPr>
          <w:p w14:paraId="01AAEED1" w14:textId="77777777" w:rsidR="00344187" w:rsidRPr="00051B21" w:rsidRDefault="00344187" w:rsidP="00344187">
            <w:pPr>
              <w:pStyle w:val="Tabletext"/>
              <w:keepNext/>
            </w:pPr>
            <w:r w:rsidRPr="00051B21">
              <w:t>Decision tree and Markov models, CKD progression modelled by eGFR decline, ESKD transitions modelled by transition probabilities</w:t>
            </w:r>
          </w:p>
        </w:tc>
      </w:tr>
      <w:tr w:rsidR="00344187" w14:paraId="48462A2E" w14:textId="77777777" w:rsidTr="005E3F29">
        <w:trPr>
          <w:trHeight w:val="20"/>
        </w:trPr>
        <w:tc>
          <w:tcPr>
            <w:tcW w:w="2694" w:type="dxa"/>
            <w:hideMark/>
          </w:tcPr>
          <w:p w14:paraId="13C6355C" w14:textId="77777777" w:rsidR="00344187" w:rsidRDefault="00344187" w:rsidP="00344187">
            <w:pPr>
              <w:pStyle w:val="Tabletext"/>
              <w:rPr>
                <w:b/>
              </w:rPr>
            </w:pPr>
            <w:r>
              <w:rPr>
                <w:b/>
              </w:rPr>
              <w:t>Health states in Markov model</w:t>
            </w:r>
          </w:p>
        </w:tc>
        <w:tc>
          <w:tcPr>
            <w:tcW w:w="6327" w:type="dxa"/>
            <w:hideMark/>
          </w:tcPr>
          <w:p w14:paraId="35F9B94A" w14:textId="77777777" w:rsidR="00344187" w:rsidRPr="00051B21" w:rsidRDefault="00344187" w:rsidP="00344187">
            <w:pPr>
              <w:pStyle w:val="Tabletext"/>
              <w:keepNext/>
            </w:pPr>
            <w:r w:rsidRPr="00051B21">
              <w:t>Normal kidney function, CKD Stage, CKD Stage 2, CKD Stage 3a, CKD Stage 3b, CKD Stage 4, ESKD on dialysis, ESKD after transplant, untreated ESKD, and dead</w:t>
            </w:r>
          </w:p>
        </w:tc>
      </w:tr>
      <w:tr w:rsidR="00344187" w14:paraId="0BDF593A" w14:textId="77777777" w:rsidTr="005E3F29">
        <w:trPr>
          <w:trHeight w:val="20"/>
        </w:trPr>
        <w:tc>
          <w:tcPr>
            <w:tcW w:w="2694" w:type="dxa"/>
            <w:hideMark/>
          </w:tcPr>
          <w:p w14:paraId="46CD0439" w14:textId="77777777" w:rsidR="00344187" w:rsidRDefault="00344187" w:rsidP="00344187">
            <w:pPr>
              <w:pStyle w:val="Tabletext"/>
              <w:rPr>
                <w:b/>
              </w:rPr>
            </w:pPr>
            <w:r>
              <w:rPr>
                <w:b/>
              </w:rPr>
              <w:t>Cycle length</w:t>
            </w:r>
          </w:p>
        </w:tc>
        <w:tc>
          <w:tcPr>
            <w:tcW w:w="6327" w:type="dxa"/>
            <w:hideMark/>
          </w:tcPr>
          <w:p w14:paraId="4227CC8F" w14:textId="77777777" w:rsidR="00344187" w:rsidRPr="00051B21" w:rsidRDefault="00344187" w:rsidP="00344187">
            <w:pPr>
              <w:pStyle w:val="Tabletext"/>
              <w:keepNext/>
              <w:rPr>
                <w:vanish/>
              </w:rPr>
            </w:pPr>
            <w:r w:rsidRPr="00051B21">
              <w:t>1 year</w:t>
            </w:r>
          </w:p>
        </w:tc>
      </w:tr>
      <w:tr w:rsidR="00344187" w14:paraId="7DF5D1F4" w14:textId="77777777" w:rsidTr="005E3F29">
        <w:trPr>
          <w:trHeight w:val="20"/>
        </w:trPr>
        <w:tc>
          <w:tcPr>
            <w:tcW w:w="2694" w:type="dxa"/>
            <w:hideMark/>
          </w:tcPr>
          <w:p w14:paraId="126EC04B" w14:textId="77777777" w:rsidR="00344187" w:rsidRDefault="00344187" w:rsidP="00344187">
            <w:pPr>
              <w:pStyle w:val="Tabletext"/>
              <w:rPr>
                <w:b/>
              </w:rPr>
            </w:pPr>
            <w:r>
              <w:rPr>
                <w:b/>
              </w:rPr>
              <w:t>Discount rate</w:t>
            </w:r>
          </w:p>
        </w:tc>
        <w:tc>
          <w:tcPr>
            <w:tcW w:w="6327" w:type="dxa"/>
            <w:hideMark/>
          </w:tcPr>
          <w:p w14:paraId="3DD3B5E4" w14:textId="77777777" w:rsidR="00344187" w:rsidRDefault="00344187" w:rsidP="00344187">
            <w:pPr>
              <w:pStyle w:val="Tabletext"/>
              <w:keepNext/>
            </w:pPr>
            <w:r>
              <w:t>5% for both costs and outcomes (QALYs)</w:t>
            </w:r>
          </w:p>
        </w:tc>
      </w:tr>
      <w:tr w:rsidR="00344187" w14:paraId="5B41D0EF" w14:textId="77777777" w:rsidTr="005E3F29">
        <w:trPr>
          <w:trHeight w:val="20"/>
        </w:trPr>
        <w:tc>
          <w:tcPr>
            <w:tcW w:w="2694" w:type="dxa"/>
            <w:hideMark/>
          </w:tcPr>
          <w:p w14:paraId="5A846D95" w14:textId="77777777" w:rsidR="00344187" w:rsidRDefault="00344187" w:rsidP="00344187">
            <w:pPr>
              <w:pStyle w:val="Tabletext"/>
              <w:rPr>
                <w:b/>
              </w:rPr>
            </w:pPr>
            <w:r>
              <w:rPr>
                <w:b/>
              </w:rPr>
              <w:t>Software packages used</w:t>
            </w:r>
          </w:p>
        </w:tc>
        <w:tc>
          <w:tcPr>
            <w:tcW w:w="6327" w:type="dxa"/>
            <w:hideMark/>
          </w:tcPr>
          <w:p w14:paraId="256CD55B" w14:textId="77777777" w:rsidR="00344187" w:rsidRDefault="00344187" w:rsidP="00344187">
            <w:pPr>
              <w:pStyle w:val="Tabletext"/>
              <w:keepNext/>
            </w:pPr>
            <w:proofErr w:type="spellStart"/>
            <w:r>
              <w:t>TreeAge</w:t>
            </w:r>
            <w:proofErr w:type="spellEnd"/>
            <w:r>
              <w:t xml:space="preserve"> Pro Healthcare 2020</w:t>
            </w:r>
          </w:p>
        </w:tc>
      </w:tr>
    </w:tbl>
    <w:p w14:paraId="06F9489B" w14:textId="77777777" w:rsidR="00344187" w:rsidRDefault="00344187" w:rsidP="00344187">
      <w:pPr>
        <w:pStyle w:val="Tablenotes1"/>
      </w:pPr>
      <w:r>
        <w:t xml:space="preserve">CKD = chronic kidney disease; eGFR = </w:t>
      </w:r>
      <w:bookmarkStart w:id="30" w:name="_Hlk57287001"/>
      <w:r>
        <w:t>estimated glomerular filtration rate</w:t>
      </w:r>
      <w:bookmarkEnd w:id="30"/>
      <w:r>
        <w:t>; ESKD = end stage kidney disease; QALYs = quality adjusted life years</w:t>
      </w:r>
    </w:p>
    <w:p w14:paraId="24630561" w14:textId="77777777" w:rsidR="00344187" w:rsidRDefault="00344187" w:rsidP="00344187">
      <w:pPr>
        <w:pStyle w:val="Tablenotes1"/>
      </w:pPr>
      <w:r>
        <w:t>Source: DCAR, Tables 10 and 14.</w:t>
      </w:r>
    </w:p>
    <w:p w14:paraId="05D20E05" w14:textId="77777777" w:rsidR="00344187" w:rsidRDefault="00344187" w:rsidP="00344187">
      <w:r>
        <w:t xml:space="preserve">The DCAR stated that the economic model consisted of a decision tree reflecting the results of genetic testing in populations 1 and 3 and subsequent reproductive decisions. Lifetime costs and outcomes for populations 1 and 3 were captured through Markov models attached to the decision tree. Reproductive decisions were recorded within the decision tree. The </w:t>
      </w:r>
      <w:r w:rsidRPr="004019F0">
        <w:t>Markov model for population 1 was a CKD model, where disease progression was modelled by estimated glomerular filtration rate (eGFR) decline</w:t>
      </w:r>
      <w:r>
        <w:t xml:space="preserve"> observed in a clinical trial. For population 2, affected individuals who experience a complete response to treatment entered the population risk model,</w:t>
      </w:r>
      <w:r w:rsidRPr="00DF1E26">
        <w:t xml:space="preserve"> </w:t>
      </w:r>
      <w:r>
        <w:t xml:space="preserve">where disease progression was modelled by eGFR decline based on age and comorbidities. The Markov model for population 3 was a population risk model, where disease progression was modelled by GFR decline based on age and comorbidities of the Australian general population. </w:t>
      </w:r>
    </w:p>
    <w:p w14:paraId="667076A2" w14:textId="77777777" w:rsidR="00344187" w:rsidRDefault="00344187" w:rsidP="002C5532">
      <w:pPr>
        <w:pStyle w:val="Heading2"/>
      </w:pPr>
      <w:r>
        <w:t>Populations 1 and 3</w:t>
      </w:r>
    </w:p>
    <w:p w14:paraId="03841420" w14:textId="77777777" w:rsidR="00344187" w:rsidRDefault="00344187" w:rsidP="00344187">
      <w:r w:rsidRPr="00183E4D">
        <w:t>The overall costs and outcomes</w:t>
      </w:r>
      <w:r>
        <w:t xml:space="preserve"> (QALYs)</w:t>
      </w:r>
      <w:r w:rsidRPr="00183E4D">
        <w:t>, and incremental costs and outcomes</w:t>
      </w:r>
      <w:r>
        <w:t xml:space="preserve"> </w:t>
      </w:r>
      <w:r w:rsidRPr="00183E4D">
        <w:t xml:space="preserve">as calculated for the </w:t>
      </w:r>
      <w:r>
        <w:t>testing strategy</w:t>
      </w:r>
      <w:r w:rsidRPr="00183E4D">
        <w:t xml:space="preserve"> and comparat</w:t>
      </w:r>
      <w:r>
        <w:t>ive testing strategy</w:t>
      </w:r>
      <w:r w:rsidRPr="00183E4D">
        <w:t xml:space="preserve"> in </w:t>
      </w:r>
      <w:r>
        <w:t>the model, and using</w:t>
      </w:r>
      <w:r w:rsidRPr="00183E4D">
        <w:t xml:space="preserve"> the base case assumptions, are shown in</w:t>
      </w:r>
      <w:r>
        <w:t xml:space="preserve"> </w:t>
      </w:r>
      <w:fldSimple w:instr=" REF _Ref61257902 ">
        <w:r>
          <w:t xml:space="preserve">Table </w:t>
        </w:r>
        <w:r>
          <w:rPr>
            <w:noProof/>
          </w:rPr>
          <w:t>17</w:t>
        </w:r>
      </w:fldSimple>
      <w:r w:rsidRPr="00183E4D">
        <w:t>.</w:t>
      </w:r>
      <w:r w:rsidRPr="00026C33">
        <w:t xml:space="preserve"> </w:t>
      </w:r>
      <w:r>
        <w:t>The total costs for the intervention (genetic testing) were higher than the comparator costs (no genetic testing) for populations 1 and 3. The incremental cost of genetic testing was partially offset by the avoided costs of unnecessary monitoring in first degree relatives.</w:t>
      </w:r>
      <w:r w:rsidRPr="00845997">
        <w:t xml:space="preserve"> </w:t>
      </w:r>
      <w:r>
        <w:t>Since it was assumed that WGS does not change the clinical management of individuals with ADPKD, there were no QALYs gained.</w:t>
      </w:r>
    </w:p>
    <w:p w14:paraId="7D04B8FB" w14:textId="425540A5" w:rsidR="00344187" w:rsidRDefault="00344187" w:rsidP="00344187">
      <w:pPr>
        <w:pStyle w:val="Caption"/>
      </w:pPr>
      <w:bookmarkStart w:id="31" w:name="_Ref61257902"/>
      <w:r>
        <w:lastRenderedPageBreak/>
        <w:t xml:space="preserve">Table </w:t>
      </w:r>
      <w:fldSimple w:instr=" SEQ Table \* ARABIC ">
        <w:r w:rsidR="00627B6A">
          <w:rPr>
            <w:noProof/>
          </w:rPr>
          <w:t>17</w:t>
        </w:r>
      </w:fldSimple>
      <w:bookmarkEnd w:id="31"/>
      <w:r>
        <w:t xml:space="preserve"> </w:t>
      </w:r>
      <w:r>
        <w:tab/>
      </w:r>
      <w:bookmarkStart w:id="32" w:name="_Hlk56509303"/>
      <w:r>
        <w:t>Incremental cost-effectiveness ratio of genetic testing versus no testing – populations 1 &amp; 3</w:t>
      </w:r>
      <w:bookmarkEnd w:id="32"/>
    </w:p>
    <w:tbl>
      <w:tblPr>
        <w:tblStyle w:val="TableGrid2"/>
        <w:tblW w:w="5000" w:type="pct"/>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688"/>
        <w:gridCol w:w="987"/>
        <w:gridCol w:w="1138"/>
        <w:gridCol w:w="1275"/>
        <w:gridCol w:w="1964"/>
        <w:gridCol w:w="964"/>
      </w:tblGrid>
      <w:tr w:rsidR="00344187" w:rsidRPr="00344187" w14:paraId="0449A6FA" w14:textId="77777777" w:rsidTr="00344187">
        <w:trPr>
          <w:cnfStyle w:val="100000000000" w:firstRow="1" w:lastRow="0" w:firstColumn="0" w:lastColumn="0" w:oddVBand="0" w:evenVBand="0" w:oddHBand="0" w:evenHBand="0" w:firstRowFirstColumn="0" w:firstRowLastColumn="0" w:lastRowFirstColumn="0" w:lastRowLastColumn="0"/>
          <w:tblHeader/>
        </w:trPr>
        <w:tc>
          <w:tcPr>
            <w:tcW w:w="1491" w:type="pct"/>
            <w:tcBorders>
              <w:top w:val="single" w:sz="4" w:space="0" w:color="auto"/>
              <w:left w:val="single" w:sz="4" w:space="0" w:color="auto"/>
              <w:bottom w:val="single" w:sz="4" w:space="0" w:color="auto"/>
              <w:right w:val="single" w:sz="4" w:space="0" w:color="auto"/>
            </w:tcBorders>
          </w:tcPr>
          <w:p w14:paraId="39397F94" w14:textId="77777777" w:rsidR="00344187" w:rsidRPr="00344187" w:rsidRDefault="00344187" w:rsidP="00344187">
            <w:pPr>
              <w:keepNext/>
              <w:spacing w:after="40"/>
              <w:jc w:val="both"/>
              <w:rPr>
                <w:rFonts w:ascii="Arial Narrow" w:hAnsi="Arial Narrow"/>
                <w:b/>
                <w:sz w:val="20"/>
                <w:szCs w:val="20"/>
              </w:rPr>
            </w:pPr>
          </w:p>
        </w:tc>
        <w:tc>
          <w:tcPr>
            <w:tcW w:w="548" w:type="pct"/>
            <w:tcBorders>
              <w:top w:val="single" w:sz="4" w:space="0" w:color="auto"/>
              <w:left w:val="single" w:sz="4" w:space="0" w:color="auto"/>
              <w:bottom w:val="single" w:sz="4" w:space="0" w:color="auto"/>
              <w:right w:val="single" w:sz="4" w:space="0" w:color="auto"/>
            </w:tcBorders>
            <w:hideMark/>
          </w:tcPr>
          <w:p w14:paraId="6DE0171F"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Cost</w:t>
            </w:r>
          </w:p>
        </w:tc>
        <w:tc>
          <w:tcPr>
            <w:tcW w:w="631" w:type="pct"/>
            <w:tcBorders>
              <w:top w:val="single" w:sz="4" w:space="0" w:color="auto"/>
              <w:left w:val="single" w:sz="4" w:space="0" w:color="auto"/>
              <w:bottom w:val="single" w:sz="4" w:space="0" w:color="auto"/>
              <w:right w:val="single" w:sz="4" w:space="0" w:color="auto"/>
            </w:tcBorders>
            <w:hideMark/>
          </w:tcPr>
          <w:p w14:paraId="48E3EF9B"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Incremental cost</w:t>
            </w:r>
          </w:p>
        </w:tc>
        <w:tc>
          <w:tcPr>
            <w:tcW w:w="707" w:type="pct"/>
            <w:tcBorders>
              <w:top w:val="single" w:sz="4" w:space="0" w:color="auto"/>
              <w:left w:val="single" w:sz="4" w:space="0" w:color="auto"/>
              <w:bottom w:val="single" w:sz="4" w:space="0" w:color="auto"/>
              <w:right w:val="single" w:sz="4" w:space="0" w:color="auto"/>
            </w:tcBorders>
            <w:hideMark/>
          </w:tcPr>
          <w:p w14:paraId="6B6BE426"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Effectiveness (QALYs)</w:t>
            </w:r>
          </w:p>
        </w:tc>
        <w:tc>
          <w:tcPr>
            <w:tcW w:w="1089" w:type="pct"/>
            <w:tcBorders>
              <w:top w:val="single" w:sz="4" w:space="0" w:color="auto"/>
              <w:left w:val="single" w:sz="4" w:space="0" w:color="auto"/>
              <w:bottom w:val="single" w:sz="4" w:space="0" w:color="auto"/>
              <w:right w:val="single" w:sz="4" w:space="0" w:color="auto"/>
            </w:tcBorders>
            <w:hideMark/>
          </w:tcPr>
          <w:p w14:paraId="251C73A7"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Incremental effectiveness (QALYs)</w:t>
            </w:r>
          </w:p>
        </w:tc>
        <w:tc>
          <w:tcPr>
            <w:tcW w:w="535" w:type="pct"/>
            <w:tcBorders>
              <w:top w:val="single" w:sz="4" w:space="0" w:color="auto"/>
              <w:left w:val="single" w:sz="4" w:space="0" w:color="auto"/>
              <w:bottom w:val="single" w:sz="4" w:space="0" w:color="auto"/>
              <w:right w:val="single" w:sz="4" w:space="0" w:color="auto"/>
            </w:tcBorders>
          </w:tcPr>
          <w:p w14:paraId="4F8D8C3C"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ICER</w:t>
            </w:r>
          </w:p>
        </w:tc>
      </w:tr>
      <w:tr w:rsidR="00344187" w:rsidRPr="00344187" w14:paraId="06730756" w14:textId="77777777" w:rsidTr="00344187">
        <w:tc>
          <w:tcPr>
            <w:tcW w:w="5000" w:type="pct"/>
            <w:gridSpan w:val="6"/>
            <w:tcBorders>
              <w:top w:val="single" w:sz="4" w:space="0" w:color="auto"/>
              <w:left w:val="single" w:sz="4" w:space="0" w:color="auto"/>
              <w:bottom w:val="single" w:sz="4" w:space="0" w:color="auto"/>
              <w:right w:val="single" w:sz="4" w:space="0" w:color="auto"/>
            </w:tcBorders>
            <w:hideMark/>
          </w:tcPr>
          <w:p w14:paraId="18977BBF" w14:textId="594548F3" w:rsidR="00344187" w:rsidRPr="00344187" w:rsidRDefault="00344187" w:rsidP="00344187">
            <w:pPr>
              <w:keepNext/>
              <w:spacing w:after="40"/>
              <w:rPr>
                <w:b/>
                <w:sz w:val="20"/>
                <w:szCs w:val="20"/>
              </w:rPr>
            </w:pPr>
            <w:r w:rsidRPr="00344187">
              <w:rPr>
                <w:b/>
                <w:sz w:val="20"/>
                <w:szCs w:val="20"/>
              </w:rPr>
              <w:t>Affected individuals (population 1)</w:t>
            </w:r>
          </w:p>
        </w:tc>
      </w:tr>
      <w:tr w:rsidR="00344187" w:rsidRPr="00344187" w14:paraId="1D372720" w14:textId="77777777" w:rsidTr="00344187">
        <w:tc>
          <w:tcPr>
            <w:tcW w:w="1491" w:type="pct"/>
            <w:tcBorders>
              <w:top w:val="single" w:sz="4" w:space="0" w:color="auto"/>
              <w:left w:val="single" w:sz="4" w:space="0" w:color="auto"/>
              <w:bottom w:val="single" w:sz="4" w:space="0" w:color="auto"/>
              <w:right w:val="single" w:sz="4" w:space="0" w:color="auto"/>
            </w:tcBorders>
            <w:hideMark/>
          </w:tcPr>
          <w:p w14:paraId="05ED2385" w14:textId="77777777" w:rsidR="00344187" w:rsidRPr="00344187" w:rsidRDefault="00344187" w:rsidP="00344187">
            <w:pPr>
              <w:keepNext/>
              <w:spacing w:after="40"/>
              <w:rPr>
                <w:sz w:val="20"/>
                <w:szCs w:val="20"/>
                <w:highlight w:val="cyan"/>
              </w:rPr>
            </w:pPr>
            <w:r w:rsidRPr="00344187">
              <w:rPr>
                <w:sz w:val="20"/>
                <w:szCs w:val="20"/>
              </w:rPr>
              <w:t>Index test and associated interventions</w:t>
            </w:r>
          </w:p>
        </w:tc>
        <w:tc>
          <w:tcPr>
            <w:tcW w:w="548" w:type="pct"/>
            <w:tcBorders>
              <w:top w:val="single" w:sz="4" w:space="0" w:color="auto"/>
              <w:left w:val="single" w:sz="4" w:space="0" w:color="auto"/>
              <w:bottom w:val="single" w:sz="4" w:space="0" w:color="auto"/>
              <w:right w:val="single" w:sz="4" w:space="0" w:color="auto"/>
            </w:tcBorders>
          </w:tcPr>
          <w:p w14:paraId="75785E69" w14:textId="77777777" w:rsidR="00344187" w:rsidRPr="00344187" w:rsidRDefault="00344187" w:rsidP="00344187">
            <w:pPr>
              <w:keepNext/>
              <w:spacing w:after="40"/>
              <w:jc w:val="center"/>
              <w:rPr>
                <w:sz w:val="20"/>
                <w:szCs w:val="20"/>
              </w:rPr>
            </w:pPr>
            <w:r w:rsidRPr="00344187">
              <w:rPr>
                <w:sz w:val="20"/>
                <w:szCs w:val="20"/>
              </w:rPr>
              <w:t>$86,139</w:t>
            </w:r>
          </w:p>
        </w:tc>
        <w:tc>
          <w:tcPr>
            <w:tcW w:w="631" w:type="pct"/>
            <w:tcBorders>
              <w:top w:val="single" w:sz="4" w:space="0" w:color="auto"/>
              <w:left w:val="single" w:sz="4" w:space="0" w:color="auto"/>
              <w:bottom w:val="single" w:sz="4" w:space="0" w:color="auto"/>
              <w:right w:val="single" w:sz="4" w:space="0" w:color="auto"/>
            </w:tcBorders>
          </w:tcPr>
          <w:p w14:paraId="25CACBB8" w14:textId="77777777" w:rsidR="00344187" w:rsidRPr="00344187" w:rsidRDefault="00344187" w:rsidP="00344187">
            <w:pPr>
              <w:keepNext/>
              <w:spacing w:after="40"/>
              <w:jc w:val="center"/>
              <w:rPr>
                <w:sz w:val="20"/>
                <w:szCs w:val="20"/>
              </w:rPr>
            </w:pPr>
            <w:r w:rsidRPr="00344187">
              <w:rPr>
                <w:sz w:val="20"/>
                <w:szCs w:val="20"/>
              </w:rPr>
              <w:t>$2,436</w:t>
            </w:r>
          </w:p>
        </w:tc>
        <w:tc>
          <w:tcPr>
            <w:tcW w:w="707" w:type="pct"/>
            <w:tcBorders>
              <w:top w:val="single" w:sz="4" w:space="0" w:color="auto"/>
              <w:left w:val="single" w:sz="4" w:space="0" w:color="auto"/>
              <w:bottom w:val="single" w:sz="4" w:space="0" w:color="auto"/>
              <w:right w:val="single" w:sz="4" w:space="0" w:color="auto"/>
            </w:tcBorders>
          </w:tcPr>
          <w:p w14:paraId="6FF62922" w14:textId="77777777" w:rsidR="00344187" w:rsidRPr="00344187" w:rsidRDefault="00344187" w:rsidP="00344187">
            <w:pPr>
              <w:keepNext/>
              <w:spacing w:after="40"/>
              <w:jc w:val="center"/>
              <w:rPr>
                <w:sz w:val="20"/>
                <w:szCs w:val="20"/>
              </w:rPr>
            </w:pPr>
            <w:r w:rsidRPr="00344187">
              <w:rPr>
                <w:sz w:val="20"/>
                <w:szCs w:val="20"/>
              </w:rPr>
              <w:t>11.11</w:t>
            </w:r>
          </w:p>
        </w:tc>
        <w:tc>
          <w:tcPr>
            <w:tcW w:w="1089" w:type="pct"/>
            <w:tcBorders>
              <w:top w:val="single" w:sz="4" w:space="0" w:color="auto"/>
              <w:left w:val="single" w:sz="4" w:space="0" w:color="auto"/>
              <w:bottom w:val="single" w:sz="4" w:space="0" w:color="auto"/>
              <w:right w:val="single" w:sz="4" w:space="0" w:color="auto"/>
            </w:tcBorders>
          </w:tcPr>
          <w:p w14:paraId="5194EEA4" w14:textId="77777777" w:rsidR="00344187" w:rsidRPr="00344187" w:rsidRDefault="00344187" w:rsidP="00344187">
            <w:pPr>
              <w:keepNext/>
              <w:spacing w:after="40"/>
              <w:jc w:val="center"/>
              <w:rPr>
                <w:sz w:val="20"/>
                <w:szCs w:val="20"/>
              </w:rPr>
            </w:pPr>
            <w:r w:rsidRPr="00344187">
              <w:rPr>
                <w:sz w:val="20"/>
                <w:szCs w:val="20"/>
              </w:rPr>
              <w:t>0.00</w:t>
            </w:r>
          </w:p>
        </w:tc>
        <w:tc>
          <w:tcPr>
            <w:tcW w:w="535" w:type="pct"/>
            <w:tcBorders>
              <w:top w:val="single" w:sz="4" w:space="0" w:color="auto"/>
              <w:left w:val="single" w:sz="4" w:space="0" w:color="auto"/>
              <w:bottom w:val="single" w:sz="4" w:space="0" w:color="auto"/>
              <w:right w:val="single" w:sz="4" w:space="0" w:color="auto"/>
            </w:tcBorders>
          </w:tcPr>
          <w:p w14:paraId="5993FBFE" w14:textId="77777777" w:rsidR="00344187" w:rsidRPr="00344187" w:rsidRDefault="00344187" w:rsidP="00344187">
            <w:pPr>
              <w:keepNext/>
              <w:spacing w:after="40"/>
              <w:jc w:val="center"/>
              <w:rPr>
                <w:sz w:val="20"/>
                <w:szCs w:val="20"/>
              </w:rPr>
            </w:pPr>
            <w:r w:rsidRPr="00344187">
              <w:rPr>
                <w:sz w:val="20"/>
                <w:szCs w:val="20"/>
              </w:rPr>
              <w:t>Undefined</w:t>
            </w:r>
          </w:p>
        </w:tc>
      </w:tr>
      <w:tr w:rsidR="00344187" w:rsidRPr="00344187" w14:paraId="24B55430" w14:textId="77777777" w:rsidTr="00344187">
        <w:tc>
          <w:tcPr>
            <w:tcW w:w="1491" w:type="pct"/>
            <w:tcBorders>
              <w:top w:val="single" w:sz="4" w:space="0" w:color="auto"/>
              <w:left w:val="single" w:sz="4" w:space="0" w:color="auto"/>
              <w:bottom w:val="single" w:sz="4" w:space="0" w:color="auto"/>
              <w:right w:val="single" w:sz="4" w:space="0" w:color="auto"/>
            </w:tcBorders>
            <w:hideMark/>
          </w:tcPr>
          <w:p w14:paraId="67E4C705" w14:textId="77777777" w:rsidR="00344187" w:rsidRPr="00344187" w:rsidRDefault="00344187" w:rsidP="00344187">
            <w:pPr>
              <w:keepNext/>
              <w:spacing w:after="40"/>
              <w:jc w:val="both"/>
              <w:rPr>
                <w:sz w:val="20"/>
                <w:szCs w:val="20"/>
                <w:highlight w:val="cyan"/>
              </w:rPr>
            </w:pPr>
            <w:r w:rsidRPr="00344187">
              <w:rPr>
                <w:sz w:val="20"/>
                <w:szCs w:val="20"/>
              </w:rPr>
              <w:t>Comparator</w:t>
            </w:r>
          </w:p>
        </w:tc>
        <w:tc>
          <w:tcPr>
            <w:tcW w:w="548" w:type="pct"/>
            <w:tcBorders>
              <w:top w:val="single" w:sz="4" w:space="0" w:color="auto"/>
              <w:left w:val="single" w:sz="4" w:space="0" w:color="auto"/>
              <w:bottom w:val="single" w:sz="4" w:space="0" w:color="auto"/>
              <w:right w:val="single" w:sz="4" w:space="0" w:color="auto"/>
            </w:tcBorders>
          </w:tcPr>
          <w:p w14:paraId="4EB40732" w14:textId="77777777" w:rsidR="00344187" w:rsidRPr="00344187" w:rsidRDefault="00344187" w:rsidP="00344187">
            <w:pPr>
              <w:keepNext/>
              <w:spacing w:after="40"/>
              <w:jc w:val="center"/>
              <w:rPr>
                <w:sz w:val="20"/>
                <w:szCs w:val="20"/>
              </w:rPr>
            </w:pPr>
            <w:r w:rsidRPr="00344187">
              <w:rPr>
                <w:sz w:val="20"/>
                <w:szCs w:val="20"/>
              </w:rPr>
              <w:t>$83,703</w:t>
            </w:r>
          </w:p>
        </w:tc>
        <w:tc>
          <w:tcPr>
            <w:tcW w:w="631" w:type="pct"/>
            <w:tcBorders>
              <w:top w:val="single" w:sz="4" w:space="0" w:color="auto"/>
              <w:left w:val="single" w:sz="4" w:space="0" w:color="auto"/>
              <w:bottom w:val="single" w:sz="4" w:space="0" w:color="auto"/>
              <w:right w:val="single" w:sz="4" w:space="0" w:color="auto"/>
            </w:tcBorders>
          </w:tcPr>
          <w:p w14:paraId="6B84F715" w14:textId="77777777" w:rsidR="00344187" w:rsidRPr="00344187" w:rsidRDefault="00344187" w:rsidP="00344187">
            <w:pPr>
              <w:keepNext/>
              <w:spacing w:after="40"/>
              <w:jc w:val="center"/>
              <w:rPr>
                <w:sz w:val="20"/>
                <w:szCs w:val="20"/>
              </w:rPr>
            </w:pPr>
          </w:p>
        </w:tc>
        <w:tc>
          <w:tcPr>
            <w:tcW w:w="707" w:type="pct"/>
            <w:tcBorders>
              <w:top w:val="single" w:sz="4" w:space="0" w:color="auto"/>
              <w:left w:val="single" w:sz="4" w:space="0" w:color="auto"/>
              <w:bottom w:val="single" w:sz="4" w:space="0" w:color="auto"/>
              <w:right w:val="single" w:sz="4" w:space="0" w:color="auto"/>
            </w:tcBorders>
          </w:tcPr>
          <w:p w14:paraId="6707CC60" w14:textId="77777777" w:rsidR="00344187" w:rsidRPr="00344187" w:rsidRDefault="00344187" w:rsidP="00344187">
            <w:pPr>
              <w:keepNext/>
              <w:spacing w:after="40"/>
              <w:jc w:val="center"/>
              <w:rPr>
                <w:sz w:val="20"/>
                <w:szCs w:val="20"/>
              </w:rPr>
            </w:pPr>
            <w:r w:rsidRPr="00344187">
              <w:rPr>
                <w:sz w:val="20"/>
                <w:szCs w:val="20"/>
              </w:rPr>
              <w:t>11.11</w:t>
            </w:r>
          </w:p>
        </w:tc>
        <w:tc>
          <w:tcPr>
            <w:tcW w:w="1089" w:type="pct"/>
            <w:tcBorders>
              <w:top w:val="single" w:sz="4" w:space="0" w:color="auto"/>
              <w:left w:val="single" w:sz="4" w:space="0" w:color="auto"/>
              <w:bottom w:val="single" w:sz="4" w:space="0" w:color="auto"/>
              <w:right w:val="single" w:sz="4" w:space="0" w:color="auto"/>
            </w:tcBorders>
          </w:tcPr>
          <w:p w14:paraId="31386082" w14:textId="77777777" w:rsidR="00344187" w:rsidRPr="00344187" w:rsidRDefault="00344187" w:rsidP="00344187">
            <w:pPr>
              <w:keepNext/>
              <w:spacing w:after="40"/>
              <w:jc w:val="center"/>
              <w:rPr>
                <w:sz w:val="20"/>
                <w:szCs w:val="20"/>
              </w:rPr>
            </w:pPr>
          </w:p>
        </w:tc>
        <w:tc>
          <w:tcPr>
            <w:tcW w:w="535" w:type="pct"/>
            <w:tcBorders>
              <w:top w:val="single" w:sz="4" w:space="0" w:color="auto"/>
              <w:left w:val="single" w:sz="4" w:space="0" w:color="auto"/>
              <w:bottom w:val="single" w:sz="4" w:space="0" w:color="auto"/>
              <w:right w:val="single" w:sz="4" w:space="0" w:color="auto"/>
            </w:tcBorders>
          </w:tcPr>
          <w:p w14:paraId="5ADB28B3" w14:textId="77777777" w:rsidR="00344187" w:rsidRPr="00344187" w:rsidRDefault="00344187" w:rsidP="00344187">
            <w:pPr>
              <w:keepNext/>
              <w:spacing w:after="40"/>
              <w:jc w:val="center"/>
              <w:rPr>
                <w:sz w:val="20"/>
                <w:szCs w:val="20"/>
              </w:rPr>
            </w:pPr>
          </w:p>
        </w:tc>
      </w:tr>
      <w:tr w:rsidR="00344187" w:rsidRPr="00344187" w14:paraId="7C99A8B0" w14:textId="77777777" w:rsidTr="00344187">
        <w:tc>
          <w:tcPr>
            <w:tcW w:w="4465" w:type="pct"/>
            <w:gridSpan w:val="5"/>
            <w:tcBorders>
              <w:top w:val="single" w:sz="4" w:space="0" w:color="auto"/>
              <w:left w:val="single" w:sz="4" w:space="0" w:color="auto"/>
              <w:bottom w:val="single" w:sz="4" w:space="0" w:color="auto"/>
              <w:right w:val="single" w:sz="4" w:space="0" w:color="auto"/>
            </w:tcBorders>
            <w:hideMark/>
          </w:tcPr>
          <w:p w14:paraId="5B6B8443" w14:textId="332E5834" w:rsidR="00344187" w:rsidRPr="00344187" w:rsidRDefault="00344187" w:rsidP="00344187">
            <w:pPr>
              <w:keepNext/>
              <w:spacing w:after="40"/>
              <w:jc w:val="both"/>
              <w:rPr>
                <w:b/>
                <w:sz w:val="20"/>
                <w:szCs w:val="20"/>
              </w:rPr>
            </w:pPr>
            <w:r w:rsidRPr="00344187">
              <w:rPr>
                <w:b/>
                <w:sz w:val="20"/>
                <w:szCs w:val="20"/>
              </w:rPr>
              <w:t>Affected individuals + cascade testing (populations 1 and 3)</w:t>
            </w:r>
          </w:p>
        </w:tc>
        <w:tc>
          <w:tcPr>
            <w:tcW w:w="535" w:type="pct"/>
            <w:tcBorders>
              <w:top w:val="single" w:sz="4" w:space="0" w:color="auto"/>
              <w:left w:val="single" w:sz="4" w:space="0" w:color="auto"/>
              <w:bottom w:val="single" w:sz="4" w:space="0" w:color="auto"/>
              <w:right w:val="single" w:sz="4" w:space="0" w:color="auto"/>
            </w:tcBorders>
          </w:tcPr>
          <w:p w14:paraId="46BDDB7A" w14:textId="77777777" w:rsidR="00344187" w:rsidRPr="00344187" w:rsidRDefault="00344187" w:rsidP="00344187">
            <w:pPr>
              <w:keepNext/>
              <w:spacing w:after="40"/>
              <w:jc w:val="both"/>
              <w:rPr>
                <w:b/>
                <w:sz w:val="20"/>
                <w:szCs w:val="20"/>
              </w:rPr>
            </w:pPr>
          </w:p>
        </w:tc>
      </w:tr>
      <w:tr w:rsidR="00344187" w:rsidRPr="00344187" w14:paraId="4C324B70" w14:textId="77777777" w:rsidTr="00344187">
        <w:tc>
          <w:tcPr>
            <w:tcW w:w="1491" w:type="pct"/>
            <w:tcBorders>
              <w:top w:val="single" w:sz="4" w:space="0" w:color="auto"/>
              <w:left w:val="single" w:sz="4" w:space="0" w:color="auto"/>
              <w:bottom w:val="single" w:sz="4" w:space="0" w:color="auto"/>
              <w:right w:val="single" w:sz="4" w:space="0" w:color="auto"/>
            </w:tcBorders>
            <w:hideMark/>
          </w:tcPr>
          <w:p w14:paraId="2DE9722E" w14:textId="77777777" w:rsidR="00344187" w:rsidRPr="00344187" w:rsidRDefault="00344187" w:rsidP="00344187">
            <w:pPr>
              <w:keepNext/>
              <w:spacing w:after="40"/>
              <w:rPr>
                <w:sz w:val="20"/>
                <w:szCs w:val="20"/>
                <w:highlight w:val="cyan"/>
              </w:rPr>
            </w:pPr>
            <w:r w:rsidRPr="00344187">
              <w:rPr>
                <w:sz w:val="20"/>
                <w:szCs w:val="20"/>
              </w:rPr>
              <w:t>Index test and associated interventions</w:t>
            </w:r>
          </w:p>
        </w:tc>
        <w:tc>
          <w:tcPr>
            <w:tcW w:w="548" w:type="pct"/>
            <w:tcBorders>
              <w:top w:val="single" w:sz="4" w:space="0" w:color="auto"/>
              <w:left w:val="single" w:sz="4" w:space="0" w:color="auto"/>
              <w:bottom w:val="single" w:sz="4" w:space="0" w:color="auto"/>
              <w:right w:val="single" w:sz="4" w:space="0" w:color="auto"/>
            </w:tcBorders>
          </w:tcPr>
          <w:p w14:paraId="6FCE2D7E" w14:textId="77777777" w:rsidR="00344187" w:rsidRPr="00344187" w:rsidRDefault="00344187" w:rsidP="00344187">
            <w:pPr>
              <w:keepNext/>
              <w:spacing w:after="40"/>
              <w:jc w:val="center"/>
              <w:rPr>
                <w:sz w:val="20"/>
                <w:szCs w:val="20"/>
              </w:rPr>
            </w:pPr>
            <w:r w:rsidRPr="00344187">
              <w:rPr>
                <w:sz w:val="20"/>
                <w:szCs w:val="20"/>
              </w:rPr>
              <w:t>$285,623</w:t>
            </w:r>
          </w:p>
        </w:tc>
        <w:tc>
          <w:tcPr>
            <w:tcW w:w="631" w:type="pct"/>
            <w:tcBorders>
              <w:top w:val="single" w:sz="4" w:space="0" w:color="auto"/>
              <w:left w:val="single" w:sz="4" w:space="0" w:color="auto"/>
              <w:bottom w:val="single" w:sz="4" w:space="0" w:color="auto"/>
              <w:right w:val="single" w:sz="4" w:space="0" w:color="auto"/>
            </w:tcBorders>
          </w:tcPr>
          <w:p w14:paraId="53B4325C" w14:textId="77777777" w:rsidR="00344187" w:rsidRPr="00344187" w:rsidRDefault="00344187" w:rsidP="00344187">
            <w:pPr>
              <w:keepNext/>
              <w:spacing w:after="40"/>
              <w:jc w:val="center"/>
              <w:rPr>
                <w:sz w:val="20"/>
                <w:szCs w:val="20"/>
              </w:rPr>
            </w:pPr>
            <w:r w:rsidRPr="00344187">
              <w:rPr>
                <w:sz w:val="20"/>
                <w:szCs w:val="20"/>
              </w:rPr>
              <w:t>$3,409</w:t>
            </w:r>
          </w:p>
        </w:tc>
        <w:tc>
          <w:tcPr>
            <w:tcW w:w="707" w:type="pct"/>
            <w:tcBorders>
              <w:top w:val="single" w:sz="4" w:space="0" w:color="auto"/>
              <w:left w:val="single" w:sz="4" w:space="0" w:color="auto"/>
              <w:bottom w:val="single" w:sz="4" w:space="0" w:color="auto"/>
              <w:right w:val="single" w:sz="4" w:space="0" w:color="auto"/>
            </w:tcBorders>
          </w:tcPr>
          <w:p w14:paraId="42FCC95D" w14:textId="77777777" w:rsidR="00344187" w:rsidRPr="00344187" w:rsidRDefault="00344187" w:rsidP="00344187">
            <w:pPr>
              <w:keepNext/>
              <w:spacing w:after="40"/>
              <w:jc w:val="center"/>
              <w:rPr>
                <w:sz w:val="20"/>
                <w:szCs w:val="20"/>
              </w:rPr>
            </w:pPr>
            <w:r w:rsidRPr="00344187">
              <w:rPr>
                <w:sz w:val="20"/>
                <w:szCs w:val="20"/>
              </w:rPr>
              <w:t>64.78</w:t>
            </w:r>
          </w:p>
        </w:tc>
        <w:tc>
          <w:tcPr>
            <w:tcW w:w="1089" w:type="pct"/>
            <w:tcBorders>
              <w:top w:val="single" w:sz="4" w:space="0" w:color="auto"/>
              <w:left w:val="single" w:sz="4" w:space="0" w:color="auto"/>
              <w:bottom w:val="single" w:sz="4" w:space="0" w:color="auto"/>
              <w:right w:val="single" w:sz="4" w:space="0" w:color="auto"/>
            </w:tcBorders>
          </w:tcPr>
          <w:p w14:paraId="76C5DBBC" w14:textId="77777777" w:rsidR="00344187" w:rsidRPr="00344187" w:rsidRDefault="00344187" w:rsidP="00344187">
            <w:pPr>
              <w:keepNext/>
              <w:spacing w:after="40"/>
              <w:jc w:val="center"/>
              <w:rPr>
                <w:sz w:val="20"/>
                <w:szCs w:val="20"/>
              </w:rPr>
            </w:pPr>
            <w:r w:rsidRPr="00344187">
              <w:rPr>
                <w:sz w:val="20"/>
                <w:szCs w:val="20"/>
              </w:rPr>
              <w:t>0.00</w:t>
            </w:r>
          </w:p>
        </w:tc>
        <w:tc>
          <w:tcPr>
            <w:tcW w:w="535" w:type="pct"/>
            <w:tcBorders>
              <w:top w:val="single" w:sz="4" w:space="0" w:color="auto"/>
              <w:left w:val="single" w:sz="4" w:space="0" w:color="auto"/>
              <w:bottom w:val="single" w:sz="4" w:space="0" w:color="auto"/>
              <w:right w:val="single" w:sz="4" w:space="0" w:color="auto"/>
            </w:tcBorders>
          </w:tcPr>
          <w:p w14:paraId="1F8BAB2B" w14:textId="77777777" w:rsidR="00344187" w:rsidRPr="00344187" w:rsidRDefault="00344187" w:rsidP="00344187">
            <w:pPr>
              <w:keepNext/>
              <w:spacing w:after="40"/>
              <w:jc w:val="center"/>
              <w:rPr>
                <w:sz w:val="20"/>
                <w:szCs w:val="20"/>
              </w:rPr>
            </w:pPr>
            <w:r w:rsidRPr="00344187">
              <w:rPr>
                <w:sz w:val="20"/>
                <w:szCs w:val="20"/>
              </w:rPr>
              <w:t>Undefined</w:t>
            </w:r>
          </w:p>
        </w:tc>
      </w:tr>
      <w:tr w:rsidR="00344187" w:rsidRPr="00344187" w14:paraId="6693ACEB" w14:textId="77777777" w:rsidTr="00344187">
        <w:tc>
          <w:tcPr>
            <w:tcW w:w="1491" w:type="pct"/>
            <w:tcBorders>
              <w:top w:val="single" w:sz="4" w:space="0" w:color="auto"/>
              <w:left w:val="single" w:sz="4" w:space="0" w:color="auto"/>
              <w:bottom w:val="single" w:sz="4" w:space="0" w:color="auto"/>
              <w:right w:val="single" w:sz="4" w:space="0" w:color="auto"/>
            </w:tcBorders>
            <w:hideMark/>
          </w:tcPr>
          <w:p w14:paraId="4084F815" w14:textId="77777777" w:rsidR="00344187" w:rsidRPr="00344187" w:rsidRDefault="00344187" w:rsidP="00344187">
            <w:pPr>
              <w:keepNext/>
              <w:spacing w:after="40"/>
              <w:jc w:val="both"/>
              <w:rPr>
                <w:sz w:val="20"/>
                <w:szCs w:val="20"/>
                <w:highlight w:val="cyan"/>
              </w:rPr>
            </w:pPr>
            <w:r w:rsidRPr="00344187">
              <w:rPr>
                <w:sz w:val="20"/>
                <w:szCs w:val="20"/>
              </w:rPr>
              <w:t>Comparator</w:t>
            </w:r>
          </w:p>
        </w:tc>
        <w:tc>
          <w:tcPr>
            <w:tcW w:w="548" w:type="pct"/>
            <w:tcBorders>
              <w:top w:val="single" w:sz="4" w:space="0" w:color="auto"/>
              <w:left w:val="single" w:sz="4" w:space="0" w:color="auto"/>
              <w:bottom w:val="single" w:sz="4" w:space="0" w:color="auto"/>
              <w:right w:val="single" w:sz="4" w:space="0" w:color="auto"/>
            </w:tcBorders>
          </w:tcPr>
          <w:p w14:paraId="482E02CA" w14:textId="77777777" w:rsidR="00344187" w:rsidRPr="00344187" w:rsidRDefault="00344187" w:rsidP="00344187">
            <w:pPr>
              <w:keepNext/>
              <w:spacing w:after="40"/>
              <w:jc w:val="center"/>
              <w:rPr>
                <w:sz w:val="20"/>
                <w:szCs w:val="20"/>
              </w:rPr>
            </w:pPr>
            <w:r w:rsidRPr="00344187">
              <w:rPr>
                <w:sz w:val="20"/>
                <w:szCs w:val="20"/>
              </w:rPr>
              <w:t>$282,214</w:t>
            </w:r>
          </w:p>
        </w:tc>
        <w:tc>
          <w:tcPr>
            <w:tcW w:w="631" w:type="pct"/>
            <w:tcBorders>
              <w:top w:val="single" w:sz="4" w:space="0" w:color="auto"/>
              <w:left w:val="single" w:sz="4" w:space="0" w:color="auto"/>
              <w:bottom w:val="single" w:sz="4" w:space="0" w:color="auto"/>
              <w:right w:val="single" w:sz="4" w:space="0" w:color="auto"/>
            </w:tcBorders>
          </w:tcPr>
          <w:p w14:paraId="282DCBF6" w14:textId="77777777" w:rsidR="00344187" w:rsidRPr="00344187" w:rsidRDefault="00344187" w:rsidP="00344187">
            <w:pPr>
              <w:keepNext/>
              <w:spacing w:after="40"/>
              <w:jc w:val="center"/>
              <w:rPr>
                <w:sz w:val="20"/>
                <w:szCs w:val="20"/>
              </w:rPr>
            </w:pPr>
          </w:p>
        </w:tc>
        <w:tc>
          <w:tcPr>
            <w:tcW w:w="707" w:type="pct"/>
            <w:tcBorders>
              <w:top w:val="single" w:sz="4" w:space="0" w:color="auto"/>
              <w:left w:val="single" w:sz="4" w:space="0" w:color="auto"/>
              <w:bottom w:val="single" w:sz="4" w:space="0" w:color="auto"/>
              <w:right w:val="single" w:sz="4" w:space="0" w:color="auto"/>
            </w:tcBorders>
          </w:tcPr>
          <w:p w14:paraId="7FF66844" w14:textId="77777777" w:rsidR="00344187" w:rsidRPr="00344187" w:rsidRDefault="00344187" w:rsidP="00344187">
            <w:pPr>
              <w:keepNext/>
              <w:spacing w:after="40"/>
              <w:jc w:val="center"/>
              <w:rPr>
                <w:sz w:val="20"/>
                <w:szCs w:val="20"/>
              </w:rPr>
            </w:pPr>
            <w:r w:rsidRPr="00344187">
              <w:rPr>
                <w:sz w:val="20"/>
                <w:szCs w:val="20"/>
              </w:rPr>
              <w:t>64.78</w:t>
            </w:r>
          </w:p>
        </w:tc>
        <w:tc>
          <w:tcPr>
            <w:tcW w:w="1089" w:type="pct"/>
            <w:tcBorders>
              <w:top w:val="single" w:sz="4" w:space="0" w:color="auto"/>
              <w:left w:val="single" w:sz="4" w:space="0" w:color="auto"/>
              <w:bottom w:val="single" w:sz="4" w:space="0" w:color="auto"/>
              <w:right w:val="single" w:sz="4" w:space="0" w:color="auto"/>
            </w:tcBorders>
          </w:tcPr>
          <w:p w14:paraId="2B0AF8FB" w14:textId="77777777" w:rsidR="00344187" w:rsidRPr="00344187" w:rsidRDefault="00344187" w:rsidP="00344187">
            <w:pPr>
              <w:keepNext/>
              <w:spacing w:after="40"/>
              <w:jc w:val="center"/>
              <w:rPr>
                <w:sz w:val="20"/>
                <w:szCs w:val="20"/>
              </w:rPr>
            </w:pPr>
          </w:p>
        </w:tc>
        <w:tc>
          <w:tcPr>
            <w:tcW w:w="535" w:type="pct"/>
            <w:tcBorders>
              <w:top w:val="single" w:sz="4" w:space="0" w:color="auto"/>
              <w:left w:val="single" w:sz="4" w:space="0" w:color="auto"/>
              <w:bottom w:val="single" w:sz="4" w:space="0" w:color="auto"/>
              <w:right w:val="single" w:sz="4" w:space="0" w:color="auto"/>
            </w:tcBorders>
          </w:tcPr>
          <w:p w14:paraId="5EFE8DD2" w14:textId="77777777" w:rsidR="00344187" w:rsidRPr="00344187" w:rsidRDefault="00344187" w:rsidP="00344187">
            <w:pPr>
              <w:keepNext/>
              <w:spacing w:after="40"/>
              <w:jc w:val="center"/>
              <w:rPr>
                <w:sz w:val="20"/>
                <w:szCs w:val="20"/>
              </w:rPr>
            </w:pPr>
          </w:p>
        </w:tc>
      </w:tr>
    </w:tbl>
    <w:p w14:paraId="4A5DA855" w14:textId="77777777" w:rsidR="00344187" w:rsidRDefault="00344187" w:rsidP="00344187">
      <w:pPr>
        <w:pStyle w:val="Tablenotes1"/>
      </w:pPr>
      <w:r>
        <w:t>ICER = incremental cost-effectiveness ratio; QALY = quality adjusted life year</w:t>
      </w:r>
    </w:p>
    <w:p w14:paraId="060FB37A" w14:textId="77777777" w:rsidR="00344187" w:rsidRDefault="00344187" w:rsidP="00344187">
      <w:pPr>
        <w:pStyle w:val="Tablenotes1"/>
      </w:pPr>
      <w:r>
        <w:t>Source: DCAR Table 11, as revised in the rejoinder.</w:t>
      </w:r>
    </w:p>
    <w:p w14:paraId="236506B2" w14:textId="77777777" w:rsidR="00344187" w:rsidRDefault="00344187" w:rsidP="00344187">
      <w:r w:rsidRPr="00183E4D">
        <w:t>The overall costs and outcomes</w:t>
      </w:r>
      <w:r>
        <w:t xml:space="preserve"> in terms of the number of informed reproductive decisions,</w:t>
      </w:r>
      <w:r w:rsidRPr="00183E4D">
        <w:t xml:space="preserve"> and</w:t>
      </w:r>
      <w:r>
        <w:t xml:space="preserve"> associated ICER,</w:t>
      </w:r>
      <w:r w:rsidRPr="00183E4D">
        <w:t xml:space="preserve"> are shown in</w:t>
      </w:r>
      <w:r>
        <w:t xml:space="preserve"> </w:t>
      </w:r>
      <w:fldSimple w:instr=" REF _Ref61257990 ">
        <w:r>
          <w:t xml:space="preserve">Table </w:t>
        </w:r>
        <w:r>
          <w:rPr>
            <w:noProof/>
          </w:rPr>
          <w:t>18</w:t>
        </w:r>
      </w:fldSimple>
      <w:r w:rsidRPr="00183E4D">
        <w:t>.</w:t>
      </w:r>
      <w:r w:rsidRPr="00470175">
        <w:t xml:space="preserve"> </w:t>
      </w:r>
      <w:r>
        <w:t xml:space="preserve">When only reproductive decision making is considered, each genetic test of an affected individual plus associated cascade testing results in 2.24 informed reproductive decisions made by affected individuals and their </w:t>
      </w:r>
      <w:proofErr w:type="gramStart"/>
      <w:r>
        <w:t>first degree</w:t>
      </w:r>
      <w:proofErr w:type="gramEnd"/>
      <w:r>
        <w:t xml:space="preserve"> relatives. This translates to an ICER of $3,351 per informed reproductive decision.</w:t>
      </w:r>
    </w:p>
    <w:p w14:paraId="75BE970E" w14:textId="6B40BEF2" w:rsidR="00344187" w:rsidRDefault="00344187" w:rsidP="00344187">
      <w:pPr>
        <w:pStyle w:val="Caption"/>
      </w:pPr>
      <w:bookmarkStart w:id="33" w:name="_Ref61257990"/>
      <w:r>
        <w:t xml:space="preserve">Table </w:t>
      </w:r>
      <w:fldSimple w:instr=" SEQ Table \* ARABIC ">
        <w:r w:rsidR="00627B6A">
          <w:rPr>
            <w:noProof/>
          </w:rPr>
          <w:t>18</w:t>
        </w:r>
      </w:fldSimple>
      <w:bookmarkEnd w:id="33"/>
      <w:r>
        <w:t xml:space="preserve"> </w:t>
      </w:r>
      <w:r>
        <w:tab/>
      </w:r>
      <w:r w:rsidRPr="001F3CFB">
        <w:t xml:space="preserve">Incremental cost-effectiveness ratio of genetic testing versus no testing – </w:t>
      </w:r>
      <w:r>
        <w:t>informed reproductive decisions for populations 1 &amp; 3</w:t>
      </w:r>
    </w:p>
    <w:tbl>
      <w:tblPr>
        <w:tblStyle w:val="TableGrid2"/>
        <w:tblW w:w="5000" w:type="pct"/>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459"/>
        <w:gridCol w:w="902"/>
        <w:gridCol w:w="1138"/>
        <w:gridCol w:w="1275"/>
        <w:gridCol w:w="2018"/>
        <w:gridCol w:w="1224"/>
      </w:tblGrid>
      <w:tr w:rsidR="00344187" w:rsidRPr="00344187" w14:paraId="57981B29" w14:textId="77777777" w:rsidTr="00344187">
        <w:trPr>
          <w:cnfStyle w:val="100000000000" w:firstRow="1" w:lastRow="0" w:firstColumn="0" w:lastColumn="0" w:oddVBand="0" w:evenVBand="0" w:oddHBand="0" w:evenHBand="0" w:firstRowFirstColumn="0" w:firstRowLastColumn="0" w:lastRowFirstColumn="0" w:lastRowLastColumn="0"/>
          <w:tblHeader/>
        </w:trPr>
        <w:tc>
          <w:tcPr>
            <w:tcW w:w="1364" w:type="pct"/>
            <w:tcBorders>
              <w:top w:val="single" w:sz="4" w:space="0" w:color="auto"/>
              <w:left w:val="single" w:sz="4" w:space="0" w:color="auto"/>
              <w:bottom w:val="single" w:sz="4" w:space="0" w:color="auto"/>
              <w:right w:val="single" w:sz="4" w:space="0" w:color="auto"/>
            </w:tcBorders>
          </w:tcPr>
          <w:p w14:paraId="2BB5DD5D" w14:textId="77777777" w:rsidR="00344187" w:rsidRPr="00344187" w:rsidRDefault="00344187" w:rsidP="00344187">
            <w:pPr>
              <w:keepNext/>
              <w:spacing w:after="40"/>
              <w:jc w:val="both"/>
              <w:rPr>
                <w:rFonts w:ascii="Arial Narrow" w:hAnsi="Arial Narrow"/>
                <w:b/>
                <w:sz w:val="20"/>
                <w:szCs w:val="20"/>
              </w:rPr>
            </w:pPr>
          </w:p>
        </w:tc>
        <w:tc>
          <w:tcPr>
            <w:tcW w:w="500" w:type="pct"/>
            <w:tcBorders>
              <w:top w:val="single" w:sz="4" w:space="0" w:color="auto"/>
              <w:left w:val="single" w:sz="4" w:space="0" w:color="auto"/>
              <w:bottom w:val="single" w:sz="4" w:space="0" w:color="auto"/>
              <w:right w:val="single" w:sz="4" w:space="0" w:color="auto"/>
            </w:tcBorders>
            <w:hideMark/>
          </w:tcPr>
          <w:p w14:paraId="7AF9F433"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Cost</w:t>
            </w:r>
          </w:p>
        </w:tc>
        <w:tc>
          <w:tcPr>
            <w:tcW w:w="631" w:type="pct"/>
            <w:tcBorders>
              <w:top w:val="single" w:sz="4" w:space="0" w:color="auto"/>
              <w:left w:val="single" w:sz="4" w:space="0" w:color="auto"/>
              <w:bottom w:val="single" w:sz="4" w:space="0" w:color="auto"/>
              <w:right w:val="single" w:sz="4" w:space="0" w:color="auto"/>
            </w:tcBorders>
            <w:hideMark/>
          </w:tcPr>
          <w:p w14:paraId="621A4A4D"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Incremental cost</w:t>
            </w:r>
          </w:p>
        </w:tc>
        <w:tc>
          <w:tcPr>
            <w:tcW w:w="707" w:type="pct"/>
            <w:tcBorders>
              <w:top w:val="single" w:sz="4" w:space="0" w:color="auto"/>
              <w:left w:val="single" w:sz="4" w:space="0" w:color="auto"/>
              <w:bottom w:val="single" w:sz="4" w:space="0" w:color="auto"/>
              <w:right w:val="single" w:sz="4" w:space="0" w:color="auto"/>
            </w:tcBorders>
            <w:hideMark/>
          </w:tcPr>
          <w:p w14:paraId="25A15CE4"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Effectiveness (informed reproductive decision)</w:t>
            </w:r>
          </w:p>
        </w:tc>
        <w:tc>
          <w:tcPr>
            <w:tcW w:w="1119" w:type="pct"/>
            <w:tcBorders>
              <w:top w:val="single" w:sz="4" w:space="0" w:color="auto"/>
              <w:left w:val="single" w:sz="4" w:space="0" w:color="auto"/>
              <w:bottom w:val="single" w:sz="4" w:space="0" w:color="auto"/>
              <w:right w:val="single" w:sz="4" w:space="0" w:color="auto"/>
            </w:tcBorders>
            <w:hideMark/>
          </w:tcPr>
          <w:p w14:paraId="3A756667"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Incremental effectiveness (informed reproductive decision)</w:t>
            </w:r>
          </w:p>
        </w:tc>
        <w:tc>
          <w:tcPr>
            <w:tcW w:w="679" w:type="pct"/>
            <w:tcBorders>
              <w:top w:val="single" w:sz="4" w:space="0" w:color="auto"/>
              <w:left w:val="single" w:sz="4" w:space="0" w:color="auto"/>
              <w:bottom w:val="single" w:sz="4" w:space="0" w:color="auto"/>
              <w:right w:val="single" w:sz="4" w:space="0" w:color="auto"/>
            </w:tcBorders>
          </w:tcPr>
          <w:p w14:paraId="44E65383"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ICER</w:t>
            </w:r>
          </w:p>
          <w:p w14:paraId="531E971D"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($/informed reproductive decision)</w:t>
            </w:r>
          </w:p>
        </w:tc>
      </w:tr>
      <w:tr w:rsidR="00344187" w:rsidRPr="00344187" w14:paraId="7B530921" w14:textId="77777777" w:rsidTr="00344187">
        <w:tc>
          <w:tcPr>
            <w:tcW w:w="5000" w:type="pct"/>
            <w:gridSpan w:val="6"/>
            <w:tcBorders>
              <w:top w:val="single" w:sz="4" w:space="0" w:color="auto"/>
              <w:left w:val="single" w:sz="4" w:space="0" w:color="auto"/>
              <w:bottom w:val="single" w:sz="4" w:space="0" w:color="auto"/>
              <w:right w:val="single" w:sz="4" w:space="0" w:color="auto"/>
            </w:tcBorders>
          </w:tcPr>
          <w:p w14:paraId="0156D5C1" w14:textId="32F97203" w:rsidR="00344187" w:rsidRPr="00344187" w:rsidRDefault="00344187" w:rsidP="00344187">
            <w:pPr>
              <w:keepNext/>
              <w:spacing w:after="40"/>
              <w:jc w:val="both"/>
              <w:rPr>
                <w:b/>
                <w:sz w:val="20"/>
                <w:szCs w:val="20"/>
              </w:rPr>
            </w:pPr>
            <w:r w:rsidRPr="00344187">
              <w:rPr>
                <w:b/>
                <w:sz w:val="20"/>
                <w:szCs w:val="20"/>
              </w:rPr>
              <w:t>Cost per informed reproductive decision made</w:t>
            </w:r>
            <w:r w:rsidR="00D118DF">
              <w:rPr>
                <w:b/>
                <w:sz w:val="20"/>
                <w:szCs w:val="20"/>
              </w:rPr>
              <w:t xml:space="preserve"> </w:t>
            </w:r>
            <w:r w:rsidR="00D118DF" w:rsidRPr="00344187">
              <w:rPr>
                <w:b/>
                <w:sz w:val="20"/>
                <w:szCs w:val="20"/>
              </w:rPr>
              <w:t>(populations 1 and 3)</w:t>
            </w:r>
          </w:p>
        </w:tc>
      </w:tr>
      <w:tr w:rsidR="00344187" w:rsidRPr="00344187" w14:paraId="09ED13B2" w14:textId="77777777" w:rsidTr="00344187">
        <w:tc>
          <w:tcPr>
            <w:tcW w:w="1364" w:type="pct"/>
            <w:tcBorders>
              <w:top w:val="single" w:sz="4" w:space="0" w:color="auto"/>
              <w:left w:val="single" w:sz="4" w:space="0" w:color="auto"/>
              <w:bottom w:val="single" w:sz="4" w:space="0" w:color="auto"/>
              <w:right w:val="single" w:sz="4" w:space="0" w:color="auto"/>
            </w:tcBorders>
          </w:tcPr>
          <w:p w14:paraId="3B9223C9" w14:textId="77777777" w:rsidR="00344187" w:rsidRPr="00344187" w:rsidRDefault="00344187" w:rsidP="00344187">
            <w:pPr>
              <w:keepNext/>
              <w:spacing w:after="40"/>
              <w:rPr>
                <w:sz w:val="20"/>
                <w:szCs w:val="20"/>
              </w:rPr>
            </w:pPr>
            <w:r w:rsidRPr="00344187">
              <w:rPr>
                <w:sz w:val="20"/>
                <w:szCs w:val="20"/>
              </w:rPr>
              <w:t>Index test and associated interventions</w:t>
            </w:r>
          </w:p>
        </w:tc>
        <w:tc>
          <w:tcPr>
            <w:tcW w:w="500" w:type="pct"/>
            <w:tcBorders>
              <w:top w:val="single" w:sz="4" w:space="0" w:color="auto"/>
              <w:left w:val="single" w:sz="4" w:space="0" w:color="auto"/>
              <w:bottom w:val="single" w:sz="4" w:space="0" w:color="auto"/>
              <w:right w:val="single" w:sz="4" w:space="0" w:color="auto"/>
            </w:tcBorders>
          </w:tcPr>
          <w:p w14:paraId="7073B181" w14:textId="77777777" w:rsidR="00344187" w:rsidRPr="00344187" w:rsidRDefault="00344187" w:rsidP="00344187">
            <w:pPr>
              <w:keepNext/>
              <w:spacing w:after="40"/>
              <w:jc w:val="center"/>
              <w:rPr>
                <w:sz w:val="20"/>
                <w:szCs w:val="20"/>
              </w:rPr>
            </w:pPr>
            <w:r w:rsidRPr="00344187">
              <w:rPr>
                <w:sz w:val="20"/>
                <w:szCs w:val="20"/>
              </w:rPr>
              <w:t>$326,578</w:t>
            </w:r>
          </w:p>
        </w:tc>
        <w:tc>
          <w:tcPr>
            <w:tcW w:w="631" w:type="pct"/>
            <w:tcBorders>
              <w:top w:val="single" w:sz="4" w:space="0" w:color="auto"/>
              <w:left w:val="single" w:sz="4" w:space="0" w:color="auto"/>
              <w:bottom w:val="single" w:sz="4" w:space="0" w:color="auto"/>
              <w:right w:val="single" w:sz="4" w:space="0" w:color="auto"/>
            </w:tcBorders>
          </w:tcPr>
          <w:p w14:paraId="216D99C0" w14:textId="77777777" w:rsidR="00344187" w:rsidRPr="00344187" w:rsidRDefault="00344187" w:rsidP="00344187">
            <w:pPr>
              <w:keepNext/>
              <w:spacing w:after="40"/>
              <w:jc w:val="center"/>
              <w:rPr>
                <w:sz w:val="20"/>
                <w:szCs w:val="20"/>
              </w:rPr>
            </w:pPr>
            <w:r w:rsidRPr="00344187">
              <w:rPr>
                <w:sz w:val="20"/>
                <w:szCs w:val="20"/>
              </w:rPr>
              <w:t>$7,500</w:t>
            </w:r>
          </w:p>
        </w:tc>
        <w:tc>
          <w:tcPr>
            <w:tcW w:w="707" w:type="pct"/>
            <w:tcBorders>
              <w:top w:val="single" w:sz="4" w:space="0" w:color="auto"/>
              <w:left w:val="single" w:sz="4" w:space="0" w:color="auto"/>
              <w:bottom w:val="single" w:sz="4" w:space="0" w:color="auto"/>
              <w:right w:val="single" w:sz="4" w:space="0" w:color="auto"/>
            </w:tcBorders>
          </w:tcPr>
          <w:p w14:paraId="04B02635" w14:textId="77777777" w:rsidR="00344187" w:rsidRPr="00344187" w:rsidRDefault="00344187" w:rsidP="00344187">
            <w:pPr>
              <w:keepNext/>
              <w:spacing w:after="40"/>
              <w:jc w:val="center"/>
              <w:rPr>
                <w:sz w:val="20"/>
                <w:szCs w:val="20"/>
              </w:rPr>
            </w:pPr>
            <w:r w:rsidRPr="00344187">
              <w:rPr>
                <w:sz w:val="20"/>
                <w:szCs w:val="20"/>
              </w:rPr>
              <w:t>2.24</w:t>
            </w:r>
          </w:p>
        </w:tc>
        <w:tc>
          <w:tcPr>
            <w:tcW w:w="1119" w:type="pct"/>
            <w:tcBorders>
              <w:top w:val="single" w:sz="4" w:space="0" w:color="auto"/>
              <w:left w:val="single" w:sz="4" w:space="0" w:color="auto"/>
              <w:bottom w:val="single" w:sz="4" w:space="0" w:color="auto"/>
              <w:right w:val="single" w:sz="4" w:space="0" w:color="auto"/>
            </w:tcBorders>
          </w:tcPr>
          <w:p w14:paraId="74B66F5B" w14:textId="77777777" w:rsidR="00344187" w:rsidRPr="00344187" w:rsidRDefault="00344187" w:rsidP="00344187">
            <w:pPr>
              <w:keepNext/>
              <w:spacing w:after="40"/>
              <w:jc w:val="center"/>
              <w:rPr>
                <w:sz w:val="20"/>
                <w:szCs w:val="20"/>
              </w:rPr>
            </w:pPr>
            <w:r w:rsidRPr="00344187">
              <w:rPr>
                <w:sz w:val="20"/>
                <w:szCs w:val="20"/>
              </w:rPr>
              <w:t>2.24</w:t>
            </w:r>
          </w:p>
        </w:tc>
        <w:tc>
          <w:tcPr>
            <w:tcW w:w="679" w:type="pct"/>
            <w:tcBorders>
              <w:top w:val="single" w:sz="4" w:space="0" w:color="auto"/>
              <w:left w:val="single" w:sz="4" w:space="0" w:color="auto"/>
              <w:bottom w:val="single" w:sz="4" w:space="0" w:color="auto"/>
              <w:right w:val="single" w:sz="4" w:space="0" w:color="auto"/>
            </w:tcBorders>
          </w:tcPr>
          <w:p w14:paraId="15DAE76E" w14:textId="77777777" w:rsidR="00344187" w:rsidRPr="00344187" w:rsidRDefault="00344187" w:rsidP="00344187">
            <w:pPr>
              <w:keepNext/>
              <w:spacing w:after="40"/>
              <w:jc w:val="center"/>
              <w:rPr>
                <w:sz w:val="20"/>
                <w:szCs w:val="20"/>
              </w:rPr>
            </w:pPr>
            <w:r w:rsidRPr="00344187">
              <w:rPr>
                <w:sz w:val="20"/>
                <w:szCs w:val="20"/>
              </w:rPr>
              <w:t>$3,351</w:t>
            </w:r>
          </w:p>
        </w:tc>
      </w:tr>
      <w:tr w:rsidR="00344187" w:rsidRPr="00344187" w14:paraId="1A091D84" w14:textId="77777777" w:rsidTr="00344187">
        <w:tc>
          <w:tcPr>
            <w:tcW w:w="1364" w:type="pct"/>
            <w:tcBorders>
              <w:top w:val="single" w:sz="4" w:space="0" w:color="auto"/>
              <w:left w:val="single" w:sz="4" w:space="0" w:color="auto"/>
              <w:bottom w:val="single" w:sz="4" w:space="0" w:color="auto"/>
              <w:right w:val="single" w:sz="4" w:space="0" w:color="auto"/>
            </w:tcBorders>
          </w:tcPr>
          <w:p w14:paraId="671957FF" w14:textId="77777777" w:rsidR="00344187" w:rsidRPr="00344187" w:rsidRDefault="00344187" w:rsidP="00344187">
            <w:pPr>
              <w:keepNext/>
              <w:spacing w:after="40"/>
              <w:jc w:val="both"/>
              <w:rPr>
                <w:sz w:val="20"/>
                <w:szCs w:val="20"/>
              </w:rPr>
            </w:pPr>
            <w:r w:rsidRPr="00344187">
              <w:rPr>
                <w:sz w:val="20"/>
                <w:szCs w:val="20"/>
              </w:rPr>
              <w:t>Comparator</w:t>
            </w:r>
          </w:p>
        </w:tc>
        <w:tc>
          <w:tcPr>
            <w:tcW w:w="500" w:type="pct"/>
            <w:tcBorders>
              <w:top w:val="single" w:sz="4" w:space="0" w:color="auto"/>
              <w:left w:val="single" w:sz="4" w:space="0" w:color="auto"/>
              <w:bottom w:val="single" w:sz="4" w:space="0" w:color="auto"/>
              <w:right w:val="single" w:sz="4" w:space="0" w:color="auto"/>
            </w:tcBorders>
          </w:tcPr>
          <w:p w14:paraId="5251C4A7" w14:textId="77777777" w:rsidR="00344187" w:rsidRPr="00344187" w:rsidRDefault="00344187" w:rsidP="00344187">
            <w:pPr>
              <w:keepNext/>
              <w:spacing w:after="40"/>
              <w:jc w:val="center"/>
              <w:rPr>
                <w:sz w:val="20"/>
                <w:szCs w:val="20"/>
              </w:rPr>
            </w:pPr>
            <w:r w:rsidRPr="00344187">
              <w:rPr>
                <w:sz w:val="20"/>
                <w:szCs w:val="20"/>
              </w:rPr>
              <w:t>$319,078</w:t>
            </w:r>
          </w:p>
        </w:tc>
        <w:tc>
          <w:tcPr>
            <w:tcW w:w="631" w:type="pct"/>
            <w:tcBorders>
              <w:top w:val="single" w:sz="4" w:space="0" w:color="auto"/>
              <w:left w:val="single" w:sz="4" w:space="0" w:color="auto"/>
              <w:bottom w:val="single" w:sz="4" w:space="0" w:color="auto"/>
              <w:right w:val="single" w:sz="4" w:space="0" w:color="auto"/>
            </w:tcBorders>
          </w:tcPr>
          <w:p w14:paraId="25F20D8A" w14:textId="77777777" w:rsidR="00344187" w:rsidRPr="00344187" w:rsidRDefault="00344187" w:rsidP="00344187">
            <w:pPr>
              <w:keepNext/>
              <w:spacing w:after="40"/>
              <w:jc w:val="center"/>
              <w:rPr>
                <w:sz w:val="20"/>
                <w:szCs w:val="20"/>
              </w:rPr>
            </w:pPr>
          </w:p>
        </w:tc>
        <w:tc>
          <w:tcPr>
            <w:tcW w:w="707" w:type="pct"/>
            <w:tcBorders>
              <w:top w:val="single" w:sz="4" w:space="0" w:color="auto"/>
              <w:left w:val="single" w:sz="4" w:space="0" w:color="auto"/>
              <w:bottom w:val="single" w:sz="4" w:space="0" w:color="auto"/>
              <w:right w:val="single" w:sz="4" w:space="0" w:color="auto"/>
            </w:tcBorders>
          </w:tcPr>
          <w:p w14:paraId="51FE3CED" w14:textId="77777777" w:rsidR="00344187" w:rsidRPr="00344187" w:rsidRDefault="00344187" w:rsidP="00344187">
            <w:pPr>
              <w:keepNext/>
              <w:spacing w:after="40"/>
              <w:jc w:val="center"/>
              <w:rPr>
                <w:sz w:val="20"/>
                <w:szCs w:val="20"/>
              </w:rPr>
            </w:pPr>
            <w:r w:rsidRPr="00344187">
              <w:rPr>
                <w:sz w:val="20"/>
                <w:szCs w:val="20"/>
              </w:rPr>
              <w:t>0.00</w:t>
            </w:r>
          </w:p>
        </w:tc>
        <w:tc>
          <w:tcPr>
            <w:tcW w:w="1119" w:type="pct"/>
            <w:tcBorders>
              <w:top w:val="single" w:sz="4" w:space="0" w:color="auto"/>
              <w:left w:val="single" w:sz="4" w:space="0" w:color="auto"/>
              <w:bottom w:val="single" w:sz="4" w:space="0" w:color="auto"/>
              <w:right w:val="single" w:sz="4" w:space="0" w:color="auto"/>
            </w:tcBorders>
          </w:tcPr>
          <w:p w14:paraId="2174291D" w14:textId="77777777" w:rsidR="00344187" w:rsidRPr="00344187" w:rsidRDefault="00344187" w:rsidP="00344187">
            <w:pPr>
              <w:keepNext/>
              <w:spacing w:after="40"/>
              <w:jc w:val="center"/>
              <w:rPr>
                <w:sz w:val="20"/>
                <w:szCs w:val="20"/>
              </w:rPr>
            </w:pPr>
          </w:p>
        </w:tc>
        <w:tc>
          <w:tcPr>
            <w:tcW w:w="679" w:type="pct"/>
            <w:tcBorders>
              <w:top w:val="single" w:sz="4" w:space="0" w:color="auto"/>
              <w:left w:val="single" w:sz="4" w:space="0" w:color="auto"/>
              <w:bottom w:val="single" w:sz="4" w:space="0" w:color="auto"/>
              <w:right w:val="single" w:sz="4" w:space="0" w:color="auto"/>
            </w:tcBorders>
          </w:tcPr>
          <w:p w14:paraId="005A0F49" w14:textId="77777777" w:rsidR="00344187" w:rsidRPr="00344187" w:rsidRDefault="00344187" w:rsidP="00344187">
            <w:pPr>
              <w:keepNext/>
              <w:spacing w:after="40"/>
              <w:jc w:val="center"/>
              <w:rPr>
                <w:sz w:val="20"/>
                <w:szCs w:val="20"/>
              </w:rPr>
            </w:pPr>
          </w:p>
        </w:tc>
      </w:tr>
    </w:tbl>
    <w:p w14:paraId="6ABE1B0E" w14:textId="77777777" w:rsidR="00344187" w:rsidRDefault="00344187" w:rsidP="00344187">
      <w:pPr>
        <w:pStyle w:val="Tablenotes1"/>
      </w:pPr>
      <w:r>
        <w:t>ICER = incremental cost-effectiveness ratio</w:t>
      </w:r>
    </w:p>
    <w:p w14:paraId="1A20E8F2" w14:textId="77777777" w:rsidR="00344187" w:rsidRDefault="00344187" w:rsidP="00344187">
      <w:pPr>
        <w:pStyle w:val="Tablenotes1"/>
      </w:pPr>
      <w:r>
        <w:t>Source: DCAR Table 12, as revised in the rejoinder.</w:t>
      </w:r>
    </w:p>
    <w:p w14:paraId="7B955770" w14:textId="77777777" w:rsidR="00344187" w:rsidRDefault="00344187" w:rsidP="00344187">
      <w:r>
        <w:t xml:space="preserve">Key drivers of the economic model for populations 1 and 3 are presented in </w:t>
      </w:r>
      <w:fldSimple w:instr=" REF _Ref61258064 ">
        <w:r>
          <w:t xml:space="preserve">Table </w:t>
        </w:r>
        <w:r>
          <w:rPr>
            <w:noProof/>
          </w:rPr>
          <w:t>19</w:t>
        </w:r>
      </w:fldSimple>
      <w:r>
        <w:t>.</w:t>
      </w:r>
    </w:p>
    <w:p w14:paraId="2B48677D" w14:textId="564FC266" w:rsidR="00344187" w:rsidRDefault="00344187" w:rsidP="00344187">
      <w:pPr>
        <w:pStyle w:val="Caption"/>
      </w:pPr>
      <w:bookmarkStart w:id="34" w:name="_Ref61258064"/>
      <w:r>
        <w:t xml:space="preserve">Table </w:t>
      </w:r>
      <w:fldSimple w:instr=" SEQ Table \* ARABIC ">
        <w:r w:rsidR="00627B6A">
          <w:rPr>
            <w:noProof/>
          </w:rPr>
          <w:t>19</w:t>
        </w:r>
      </w:fldSimple>
      <w:bookmarkEnd w:id="34"/>
      <w:r>
        <w:t xml:space="preserve"> </w:t>
      </w:r>
      <w:r>
        <w:tab/>
      </w:r>
      <w:r>
        <w:rPr>
          <w:snapToGrid w:val="0"/>
          <w:szCs w:val="16"/>
        </w:rPr>
        <w:t>Key drivers of the economic model for populations 1 &amp; 3</w:t>
      </w:r>
    </w:p>
    <w:tbl>
      <w:tblPr>
        <w:tblStyle w:val="TableGrid1"/>
        <w:tblW w:w="5000" w:type="pct"/>
        <w:tblLook w:val="04A0" w:firstRow="1" w:lastRow="0" w:firstColumn="1" w:lastColumn="0" w:noHBand="0" w:noVBand="1"/>
        <w:tblCaption w:val="Table 8 Key drivers of the economic model"/>
        <w:tblDescription w:val="This table describes what factors and assumptions in the economic model affect the incremental cost-effectiveness to the greatest extent."/>
      </w:tblPr>
      <w:tblGrid>
        <w:gridCol w:w="2123"/>
        <w:gridCol w:w="5386"/>
        <w:gridCol w:w="1507"/>
      </w:tblGrid>
      <w:tr w:rsidR="00344187" w14:paraId="269349D4" w14:textId="77777777" w:rsidTr="005E3F29">
        <w:trPr>
          <w:tblHeader/>
        </w:trPr>
        <w:tc>
          <w:tcPr>
            <w:tcW w:w="1177" w:type="pct"/>
            <w:hideMark/>
          </w:tcPr>
          <w:p w14:paraId="13B6ED5F" w14:textId="77777777" w:rsidR="00344187" w:rsidRDefault="00344187" w:rsidP="00344187">
            <w:pPr>
              <w:pStyle w:val="TableHeading"/>
              <w:rPr>
                <w:snapToGrid w:val="0"/>
                <w:lang w:eastAsia="en-US"/>
              </w:rPr>
            </w:pPr>
            <w:r>
              <w:rPr>
                <w:snapToGrid w:val="0"/>
                <w:lang w:eastAsia="en-US"/>
              </w:rPr>
              <w:t>Description</w:t>
            </w:r>
          </w:p>
        </w:tc>
        <w:tc>
          <w:tcPr>
            <w:tcW w:w="2987" w:type="pct"/>
            <w:hideMark/>
          </w:tcPr>
          <w:p w14:paraId="6BBD0982" w14:textId="77777777" w:rsidR="00344187" w:rsidRDefault="00344187" w:rsidP="00344187">
            <w:pPr>
              <w:pStyle w:val="TableHeading"/>
              <w:rPr>
                <w:snapToGrid w:val="0"/>
                <w:lang w:eastAsia="en-US"/>
              </w:rPr>
            </w:pPr>
            <w:r>
              <w:rPr>
                <w:snapToGrid w:val="0"/>
                <w:lang w:eastAsia="en-US"/>
              </w:rPr>
              <w:t>Method/Value</w:t>
            </w:r>
          </w:p>
        </w:tc>
        <w:tc>
          <w:tcPr>
            <w:tcW w:w="836" w:type="pct"/>
            <w:hideMark/>
          </w:tcPr>
          <w:p w14:paraId="4E22C2AD" w14:textId="77777777" w:rsidR="00344187" w:rsidRDefault="00344187" w:rsidP="00344187">
            <w:pPr>
              <w:pStyle w:val="TableHeading"/>
              <w:rPr>
                <w:snapToGrid w:val="0"/>
                <w:lang w:eastAsia="en-US"/>
              </w:rPr>
            </w:pPr>
            <w:r>
              <w:rPr>
                <w:snapToGrid w:val="0"/>
                <w:lang w:eastAsia="en-US"/>
              </w:rPr>
              <w:t>Impact</w:t>
            </w:r>
          </w:p>
        </w:tc>
      </w:tr>
      <w:tr w:rsidR="00344187" w14:paraId="743C7145" w14:textId="77777777" w:rsidTr="005E3F29">
        <w:tc>
          <w:tcPr>
            <w:tcW w:w="1177" w:type="pct"/>
          </w:tcPr>
          <w:p w14:paraId="7B8421D4" w14:textId="77777777" w:rsidR="00344187" w:rsidRPr="00F32BED" w:rsidRDefault="00344187" w:rsidP="00344187">
            <w:pPr>
              <w:pStyle w:val="Tabletext"/>
            </w:pPr>
            <w:r w:rsidRPr="00F32BED">
              <w:rPr>
                <w:snapToGrid w:val="0"/>
              </w:rPr>
              <w:t>No discounting of reproductive decisions</w:t>
            </w:r>
          </w:p>
        </w:tc>
        <w:tc>
          <w:tcPr>
            <w:tcW w:w="2987" w:type="pct"/>
          </w:tcPr>
          <w:p w14:paraId="1712BDBA" w14:textId="77777777" w:rsidR="00344187" w:rsidRPr="00F32BED" w:rsidRDefault="00344187" w:rsidP="00344187">
            <w:pPr>
              <w:pStyle w:val="Tabletext"/>
            </w:pPr>
            <w:r w:rsidRPr="00F32BED">
              <w:rPr>
                <w:snapToGrid w:val="0"/>
              </w:rPr>
              <w:t>The model registers all reproductive decisions in the first model cycle, so no discounting is applied. Discounting future reproductive decisions would increase the ICER. The size of the impact is uncertain.</w:t>
            </w:r>
          </w:p>
        </w:tc>
        <w:tc>
          <w:tcPr>
            <w:tcW w:w="836" w:type="pct"/>
          </w:tcPr>
          <w:p w14:paraId="450537DA" w14:textId="77777777" w:rsidR="00344187" w:rsidRPr="00F32BED" w:rsidRDefault="00344187" w:rsidP="00344187">
            <w:pPr>
              <w:pStyle w:val="Tabletext"/>
            </w:pPr>
            <w:r w:rsidRPr="00F32BED">
              <w:rPr>
                <w:snapToGrid w:val="0"/>
              </w:rPr>
              <w:t>Uncertain, favours intervention</w:t>
            </w:r>
          </w:p>
        </w:tc>
      </w:tr>
      <w:tr w:rsidR="00344187" w14:paraId="0F5D233F" w14:textId="77777777" w:rsidTr="005E3F29">
        <w:tc>
          <w:tcPr>
            <w:tcW w:w="1177" w:type="pct"/>
          </w:tcPr>
          <w:p w14:paraId="4DD2646B" w14:textId="77777777" w:rsidR="00344187" w:rsidRDefault="00344187" w:rsidP="00344187">
            <w:pPr>
              <w:pStyle w:val="Tabletext"/>
            </w:pPr>
            <w:r>
              <w:t xml:space="preserve">Diagnostic yield of </w:t>
            </w:r>
            <w:r w:rsidRPr="00612420">
              <w:rPr>
                <w:i/>
              </w:rPr>
              <w:t>PKD1/2</w:t>
            </w:r>
          </w:p>
        </w:tc>
        <w:tc>
          <w:tcPr>
            <w:tcW w:w="2987" w:type="pct"/>
          </w:tcPr>
          <w:p w14:paraId="1B633C8F" w14:textId="77777777" w:rsidR="00344187" w:rsidRDefault="00344187" w:rsidP="00344187">
            <w:pPr>
              <w:pStyle w:val="Tabletext"/>
            </w:pPr>
            <w:r>
              <w:t>The model used the mean diagnostic yield for exemplar genes.</w:t>
            </w:r>
          </w:p>
        </w:tc>
        <w:tc>
          <w:tcPr>
            <w:tcW w:w="836" w:type="pct"/>
          </w:tcPr>
          <w:p w14:paraId="4916EBB4" w14:textId="77777777" w:rsidR="00344187" w:rsidRDefault="00344187" w:rsidP="00344187">
            <w:pPr>
              <w:pStyle w:val="Tabletext"/>
            </w:pPr>
            <w:r>
              <w:t>Low, uncertain</w:t>
            </w:r>
          </w:p>
        </w:tc>
      </w:tr>
      <w:tr w:rsidR="00344187" w14:paraId="69D7E311" w14:textId="77777777" w:rsidTr="005E3F29">
        <w:tc>
          <w:tcPr>
            <w:tcW w:w="1177" w:type="pct"/>
          </w:tcPr>
          <w:p w14:paraId="031DECFA" w14:textId="77777777" w:rsidR="00344187" w:rsidRDefault="00344187" w:rsidP="00344187">
            <w:pPr>
              <w:pStyle w:val="Tabletext"/>
            </w:pPr>
            <w:r>
              <w:t>Costs of ADPKD monitoring in first degree relatives</w:t>
            </w:r>
          </w:p>
        </w:tc>
        <w:tc>
          <w:tcPr>
            <w:tcW w:w="2987" w:type="pct"/>
          </w:tcPr>
          <w:p w14:paraId="2E18D211" w14:textId="77777777" w:rsidR="00344187" w:rsidRDefault="00344187" w:rsidP="00344187">
            <w:pPr>
              <w:pStyle w:val="Tabletext"/>
            </w:pPr>
            <w:r>
              <w:t xml:space="preserve">The costs of monitoring for ADPKD were applied to all </w:t>
            </w:r>
            <w:proofErr w:type="gramStart"/>
            <w:r>
              <w:t>first degree</w:t>
            </w:r>
            <w:proofErr w:type="gramEnd"/>
            <w:r>
              <w:t xml:space="preserve"> relatives in the ‘NO TEST’ scenario but only relatives who test positive in the ‘TEST’ scenario</w:t>
            </w:r>
          </w:p>
        </w:tc>
        <w:tc>
          <w:tcPr>
            <w:tcW w:w="836" w:type="pct"/>
          </w:tcPr>
          <w:p w14:paraId="093FA635" w14:textId="77777777" w:rsidR="00344187" w:rsidRDefault="00344187" w:rsidP="00344187">
            <w:pPr>
              <w:pStyle w:val="Tabletext"/>
            </w:pPr>
            <w:r>
              <w:t>Low, favours intervention</w:t>
            </w:r>
          </w:p>
        </w:tc>
      </w:tr>
    </w:tbl>
    <w:p w14:paraId="1A2EFCA3" w14:textId="77777777" w:rsidR="00344187" w:rsidRDefault="00344187" w:rsidP="00344187">
      <w:pPr>
        <w:pStyle w:val="Tablenotes1"/>
      </w:pPr>
      <w:r>
        <w:t>ADPKD = autosomal dominant polycystic kidney disease; CI = confidence interval.</w:t>
      </w:r>
    </w:p>
    <w:p w14:paraId="179EBD8D" w14:textId="77777777" w:rsidR="00344187" w:rsidRDefault="00344187" w:rsidP="00344187">
      <w:pPr>
        <w:pStyle w:val="Tablenotes1"/>
      </w:pPr>
      <w:r>
        <w:t>Source: DCAR, Table 13</w:t>
      </w:r>
    </w:p>
    <w:p w14:paraId="3FDA96E0" w14:textId="77777777" w:rsidR="00344187" w:rsidRDefault="00344187" w:rsidP="002C5532">
      <w:pPr>
        <w:pStyle w:val="Heading2"/>
      </w:pPr>
      <w:r>
        <w:t>Populations 2 and 3</w:t>
      </w:r>
    </w:p>
    <w:p w14:paraId="3FDAE23F" w14:textId="77777777" w:rsidR="00344187" w:rsidRDefault="00344187" w:rsidP="00344187">
      <w:r>
        <w:t xml:space="preserve">The overall costs and outcomes (QALYs), and incremental costs and outcomes as calculated for the testing strategy and comparative testing strategy in the model, while using the base case assumptions, are shown in </w:t>
      </w:r>
      <w:fldSimple w:instr=" REF _Ref61258366 ">
        <w:r>
          <w:t xml:space="preserve">Table </w:t>
        </w:r>
        <w:r>
          <w:rPr>
            <w:noProof/>
          </w:rPr>
          <w:t>20</w:t>
        </w:r>
      </w:fldSimple>
      <w:r>
        <w:t>.</w:t>
      </w:r>
      <w:r w:rsidRPr="00470175">
        <w:t xml:space="preserve"> </w:t>
      </w:r>
      <w:r>
        <w:t>For the population 2-glomerular diseases sub-</w:t>
      </w:r>
      <w:r>
        <w:lastRenderedPageBreak/>
        <w:t>population, the clinical evidence highlights the therapeutic futility of treating patients with genetically determined SRNS with calcineurin inhibitors. The economic model for population 2 reflected these findings. However, the survival benefit achieved by 2% of patients with genetically determined SRNS in the comparator arm caused the ICER for genetic testing in populations 2 and 3 to be more costly and less effective.</w:t>
      </w:r>
    </w:p>
    <w:p w14:paraId="4B2660AE" w14:textId="0D655A2E" w:rsidR="00344187" w:rsidRDefault="00344187" w:rsidP="00344187">
      <w:pPr>
        <w:pStyle w:val="Caption"/>
      </w:pPr>
      <w:bookmarkStart w:id="35" w:name="_Ref61258366"/>
      <w:r>
        <w:t xml:space="preserve">Table </w:t>
      </w:r>
      <w:fldSimple w:instr=" SEQ Table \* ARABIC ">
        <w:r w:rsidR="00627B6A">
          <w:rPr>
            <w:noProof/>
          </w:rPr>
          <w:t>20</w:t>
        </w:r>
      </w:fldSimple>
      <w:bookmarkEnd w:id="35"/>
      <w:r>
        <w:t xml:space="preserve"> </w:t>
      </w:r>
      <w:r>
        <w:tab/>
      </w:r>
      <w:bookmarkStart w:id="36" w:name="_Hlk56509376"/>
      <w:r>
        <w:t>Incremental cost-effectiveness ratio of genetic testing versus no testing – QALYs for populations 2 &amp; 3</w:t>
      </w:r>
      <w:bookmarkEnd w:id="36"/>
    </w:p>
    <w:tbl>
      <w:tblPr>
        <w:tblStyle w:val="TableGrid2"/>
        <w:tblW w:w="5000" w:type="pct"/>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545"/>
        <w:gridCol w:w="990"/>
        <w:gridCol w:w="1138"/>
        <w:gridCol w:w="1275"/>
        <w:gridCol w:w="1984"/>
        <w:gridCol w:w="1084"/>
      </w:tblGrid>
      <w:tr w:rsidR="00344187" w:rsidRPr="00344187" w14:paraId="2EDD5CD1" w14:textId="77777777" w:rsidTr="00344187">
        <w:trPr>
          <w:cnfStyle w:val="100000000000" w:firstRow="1" w:lastRow="0" w:firstColumn="0" w:lastColumn="0" w:oddVBand="0" w:evenVBand="0" w:oddHBand="0" w:evenHBand="0" w:firstRowFirstColumn="0" w:firstRowLastColumn="0" w:lastRowFirstColumn="0" w:lastRowLastColumn="0"/>
          <w:tblHeader/>
        </w:trPr>
        <w:tc>
          <w:tcPr>
            <w:tcW w:w="1412" w:type="pct"/>
            <w:tcBorders>
              <w:bottom w:val="single" w:sz="4" w:space="0" w:color="auto"/>
            </w:tcBorders>
          </w:tcPr>
          <w:p w14:paraId="1A57CC3A" w14:textId="77777777" w:rsidR="00344187" w:rsidRPr="00344187" w:rsidRDefault="00344187" w:rsidP="00344187">
            <w:pPr>
              <w:keepNext/>
              <w:spacing w:after="40"/>
              <w:jc w:val="both"/>
              <w:rPr>
                <w:rFonts w:ascii="Arial Narrow" w:hAnsi="Arial Narrow"/>
                <w:b/>
                <w:sz w:val="20"/>
                <w:szCs w:val="20"/>
              </w:rPr>
            </w:pPr>
          </w:p>
        </w:tc>
        <w:tc>
          <w:tcPr>
            <w:tcW w:w="549" w:type="pct"/>
            <w:tcBorders>
              <w:bottom w:val="single" w:sz="4" w:space="0" w:color="auto"/>
            </w:tcBorders>
          </w:tcPr>
          <w:p w14:paraId="35429ED1"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Cost</w:t>
            </w:r>
          </w:p>
        </w:tc>
        <w:tc>
          <w:tcPr>
            <w:tcW w:w="631" w:type="pct"/>
            <w:tcBorders>
              <w:bottom w:val="single" w:sz="4" w:space="0" w:color="auto"/>
            </w:tcBorders>
          </w:tcPr>
          <w:p w14:paraId="57D39848"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Incremental cost</w:t>
            </w:r>
          </w:p>
        </w:tc>
        <w:tc>
          <w:tcPr>
            <w:tcW w:w="707" w:type="pct"/>
            <w:tcBorders>
              <w:bottom w:val="single" w:sz="4" w:space="0" w:color="auto"/>
            </w:tcBorders>
          </w:tcPr>
          <w:p w14:paraId="6B85F29F"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Effectiveness (QALYs)</w:t>
            </w:r>
          </w:p>
        </w:tc>
        <w:tc>
          <w:tcPr>
            <w:tcW w:w="1100" w:type="pct"/>
            <w:tcBorders>
              <w:bottom w:val="single" w:sz="4" w:space="0" w:color="auto"/>
            </w:tcBorders>
          </w:tcPr>
          <w:p w14:paraId="0CB9B041"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Incremental effectiveness (QALYs)</w:t>
            </w:r>
          </w:p>
        </w:tc>
        <w:tc>
          <w:tcPr>
            <w:tcW w:w="601" w:type="pct"/>
            <w:tcBorders>
              <w:bottom w:val="single" w:sz="4" w:space="0" w:color="auto"/>
            </w:tcBorders>
          </w:tcPr>
          <w:p w14:paraId="4AAB7612"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ICER</w:t>
            </w:r>
          </w:p>
        </w:tc>
      </w:tr>
      <w:tr w:rsidR="00344187" w:rsidRPr="00344187" w14:paraId="64CCD1D2" w14:textId="77777777" w:rsidTr="00344187">
        <w:tc>
          <w:tcPr>
            <w:tcW w:w="5000" w:type="pct"/>
            <w:gridSpan w:val="6"/>
          </w:tcPr>
          <w:p w14:paraId="7D3E9451" w14:textId="7AF8933E" w:rsidR="00344187" w:rsidRPr="00344187" w:rsidRDefault="00344187" w:rsidP="00344187">
            <w:pPr>
              <w:spacing w:after="40"/>
              <w:rPr>
                <w:b/>
                <w:sz w:val="20"/>
                <w:szCs w:val="20"/>
              </w:rPr>
            </w:pPr>
            <w:r w:rsidRPr="00344187">
              <w:rPr>
                <w:b/>
                <w:sz w:val="20"/>
                <w:szCs w:val="20"/>
              </w:rPr>
              <w:t>Affected individuals (population 2)</w:t>
            </w:r>
          </w:p>
        </w:tc>
      </w:tr>
      <w:tr w:rsidR="00344187" w:rsidRPr="00344187" w14:paraId="20E84BFE" w14:textId="77777777" w:rsidTr="00344187">
        <w:tc>
          <w:tcPr>
            <w:tcW w:w="1412" w:type="pct"/>
          </w:tcPr>
          <w:p w14:paraId="209A62CC" w14:textId="77777777" w:rsidR="00344187" w:rsidRPr="00344187" w:rsidRDefault="00344187" w:rsidP="00344187">
            <w:pPr>
              <w:spacing w:after="40"/>
              <w:rPr>
                <w:sz w:val="20"/>
                <w:szCs w:val="20"/>
                <w:highlight w:val="cyan"/>
              </w:rPr>
            </w:pPr>
            <w:r w:rsidRPr="00344187">
              <w:rPr>
                <w:sz w:val="20"/>
                <w:szCs w:val="20"/>
              </w:rPr>
              <w:t>Index test and associated interventions</w:t>
            </w:r>
          </w:p>
        </w:tc>
        <w:tc>
          <w:tcPr>
            <w:tcW w:w="549" w:type="pct"/>
          </w:tcPr>
          <w:p w14:paraId="5DCCE919" w14:textId="77777777" w:rsidR="00344187" w:rsidRPr="00344187" w:rsidRDefault="00344187" w:rsidP="00344187">
            <w:pPr>
              <w:spacing w:after="40"/>
              <w:jc w:val="center"/>
              <w:rPr>
                <w:sz w:val="20"/>
                <w:szCs w:val="20"/>
              </w:rPr>
            </w:pPr>
            <w:r w:rsidRPr="00344187">
              <w:rPr>
                <w:sz w:val="20"/>
                <w:szCs w:val="20"/>
              </w:rPr>
              <w:t>$352,277</w:t>
            </w:r>
          </w:p>
        </w:tc>
        <w:tc>
          <w:tcPr>
            <w:tcW w:w="631" w:type="pct"/>
          </w:tcPr>
          <w:p w14:paraId="19175EBE" w14:textId="77777777" w:rsidR="00344187" w:rsidRPr="00344187" w:rsidRDefault="00344187" w:rsidP="00344187">
            <w:pPr>
              <w:spacing w:after="40"/>
              <w:jc w:val="center"/>
              <w:rPr>
                <w:sz w:val="20"/>
                <w:szCs w:val="20"/>
              </w:rPr>
            </w:pPr>
            <w:r w:rsidRPr="00344187">
              <w:rPr>
                <w:sz w:val="20"/>
                <w:szCs w:val="20"/>
              </w:rPr>
              <w:t>$1,739</w:t>
            </w:r>
          </w:p>
        </w:tc>
        <w:tc>
          <w:tcPr>
            <w:tcW w:w="707" w:type="pct"/>
          </w:tcPr>
          <w:p w14:paraId="309A5FC3" w14:textId="77777777" w:rsidR="00344187" w:rsidRPr="00344187" w:rsidRDefault="00344187" w:rsidP="00344187">
            <w:pPr>
              <w:spacing w:after="40"/>
              <w:jc w:val="center"/>
              <w:rPr>
                <w:sz w:val="20"/>
                <w:szCs w:val="20"/>
              </w:rPr>
            </w:pPr>
            <w:r w:rsidRPr="00344187">
              <w:rPr>
                <w:sz w:val="20"/>
                <w:szCs w:val="20"/>
              </w:rPr>
              <w:t>11.52</w:t>
            </w:r>
          </w:p>
        </w:tc>
        <w:tc>
          <w:tcPr>
            <w:tcW w:w="1100" w:type="pct"/>
          </w:tcPr>
          <w:p w14:paraId="2D589348" w14:textId="77777777" w:rsidR="00344187" w:rsidRPr="00344187" w:rsidRDefault="00344187" w:rsidP="00344187">
            <w:pPr>
              <w:spacing w:after="40"/>
              <w:jc w:val="center"/>
              <w:rPr>
                <w:sz w:val="20"/>
                <w:szCs w:val="20"/>
              </w:rPr>
            </w:pPr>
            <w:r w:rsidRPr="00344187">
              <w:rPr>
                <w:sz w:val="20"/>
                <w:szCs w:val="20"/>
              </w:rPr>
              <w:t>-0.00</w:t>
            </w:r>
          </w:p>
        </w:tc>
        <w:tc>
          <w:tcPr>
            <w:tcW w:w="601" w:type="pct"/>
          </w:tcPr>
          <w:p w14:paraId="3A170A06" w14:textId="77777777" w:rsidR="00344187" w:rsidRPr="00344187" w:rsidRDefault="00344187" w:rsidP="00344187">
            <w:pPr>
              <w:spacing w:after="40"/>
              <w:jc w:val="center"/>
              <w:rPr>
                <w:sz w:val="20"/>
                <w:szCs w:val="20"/>
              </w:rPr>
            </w:pPr>
            <w:r w:rsidRPr="00344187">
              <w:rPr>
                <w:sz w:val="20"/>
                <w:szCs w:val="20"/>
              </w:rPr>
              <w:t>-$360,828</w:t>
            </w:r>
          </w:p>
        </w:tc>
      </w:tr>
      <w:tr w:rsidR="00344187" w:rsidRPr="00344187" w14:paraId="5EBF2B6C" w14:textId="77777777" w:rsidTr="00344187">
        <w:tc>
          <w:tcPr>
            <w:tcW w:w="1412" w:type="pct"/>
          </w:tcPr>
          <w:p w14:paraId="0AB81183" w14:textId="77777777" w:rsidR="00344187" w:rsidRPr="00344187" w:rsidRDefault="00344187" w:rsidP="00344187">
            <w:pPr>
              <w:spacing w:after="40"/>
              <w:jc w:val="both"/>
              <w:rPr>
                <w:sz w:val="20"/>
                <w:szCs w:val="20"/>
                <w:highlight w:val="cyan"/>
              </w:rPr>
            </w:pPr>
            <w:r w:rsidRPr="00344187">
              <w:rPr>
                <w:sz w:val="20"/>
                <w:szCs w:val="20"/>
              </w:rPr>
              <w:t>Comparator</w:t>
            </w:r>
          </w:p>
        </w:tc>
        <w:tc>
          <w:tcPr>
            <w:tcW w:w="549" w:type="pct"/>
          </w:tcPr>
          <w:p w14:paraId="528497F2" w14:textId="77777777" w:rsidR="00344187" w:rsidRPr="00344187" w:rsidRDefault="00344187" w:rsidP="00344187">
            <w:pPr>
              <w:spacing w:after="40"/>
              <w:jc w:val="center"/>
              <w:rPr>
                <w:sz w:val="20"/>
                <w:szCs w:val="20"/>
              </w:rPr>
            </w:pPr>
            <w:r w:rsidRPr="00344187">
              <w:rPr>
                <w:sz w:val="20"/>
                <w:szCs w:val="20"/>
              </w:rPr>
              <w:t>$350,538</w:t>
            </w:r>
          </w:p>
        </w:tc>
        <w:tc>
          <w:tcPr>
            <w:tcW w:w="631" w:type="pct"/>
          </w:tcPr>
          <w:p w14:paraId="43C5F216" w14:textId="77777777" w:rsidR="00344187" w:rsidRPr="00344187" w:rsidRDefault="00344187" w:rsidP="00344187">
            <w:pPr>
              <w:spacing w:after="40"/>
              <w:jc w:val="center"/>
              <w:rPr>
                <w:sz w:val="20"/>
                <w:szCs w:val="20"/>
              </w:rPr>
            </w:pPr>
          </w:p>
        </w:tc>
        <w:tc>
          <w:tcPr>
            <w:tcW w:w="707" w:type="pct"/>
          </w:tcPr>
          <w:p w14:paraId="1BE5014C" w14:textId="77777777" w:rsidR="00344187" w:rsidRPr="00344187" w:rsidRDefault="00344187" w:rsidP="00344187">
            <w:pPr>
              <w:spacing w:after="40"/>
              <w:jc w:val="center"/>
              <w:rPr>
                <w:sz w:val="20"/>
                <w:szCs w:val="20"/>
              </w:rPr>
            </w:pPr>
            <w:r w:rsidRPr="00344187">
              <w:rPr>
                <w:sz w:val="20"/>
                <w:szCs w:val="20"/>
              </w:rPr>
              <w:t>11.53</w:t>
            </w:r>
          </w:p>
        </w:tc>
        <w:tc>
          <w:tcPr>
            <w:tcW w:w="1100" w:type="pct"/>
          </w:tcPr>
          <w:p w14:paraId="3B6F8924" w14:textId="77777777" w:rsidR="00344187" w:rsidRPr="00344187" w:rsidRDefault="00344187" w:rsidP="00344187">
            <w:pPr>
              <w:spacing w:after="40"/>
              <w:jc w:val="center"/>
              <w:rPr>
                <w:sz w:val="20"/>
                <w:szCs w:val="20"/>
              </w:rPr>
            </w:pPr>
          </w:p>
        </w:tc>
        <w:tc>
          <w:tcPr>
            <w:tcW w:w="601" w:type="pct"/>
          </w:tcPr>
          <w:p w14:paraId="40ECFD53" w14:textId="77777777" w:rsidR="00344187" w:rsidRPr="00344187" w:rsidRDefault="00344187" w:rsidP="00344187">
            <w:pPr>
              <w:spacing w:after="40"/>
              <w:jc w:val="center"/>
              <w:rPr>
                <w:sz w:val="20"/>
                <w:szCs w:val="20"/>
              </w:rPr>
            </w:pPr>
          </w:p>
        </w:tc>
      </w:tr>
      <w:tr w:rsidR="00344187" w:rsidRPr="00344187" w14:paraId="62535558" w14:textId="77777777" w:rsidTr="00344187">
        <w:tc>
          <w:tcPr>
            <w:tcW w:w="5000" w:type="pct"/>
            <w:gridSpan w:val="6"/>
          </w:tcPr>
          <w:p w14:paraId="66F1B901" w14:textId="39385EB1" w:rsidR="00344187" w:rsidRPr="00344187" w:rsidRDefault="00344187" w:rsidP="00344187">
            <w:pPr>
              <w:spacing w:after="40"/>
              <w:jc w:val="both"/>
              <w:rPr>
                <w:b/>
                <w:sz w:val="20"/>
                <w:szCs w:val="20"/>
              </w:rPr>
            </w:pPr>
            <w:r w:rsidRPr="00344187">
              <w:rPr>
                <w:b/>
                <w:sz w:val="20"/>
                <w:szCs w:val="20"/>
              </w:rPr>
              <w:t>Affected individuals + cascade testing (populations 2 and 3)</w:t>
            </w:r>
          </w:p>
        </w:tc>
      </w:tr>
      <w:tr w:rsidR="00344187" w:rsidRPr="00344187" w14:paraId="52BFAEE2" w14:textId="77777777" w:rsidTr="00344187">
        <w:tc>
          <w:tcPr>
            <w:tcW w:w="1412" w:type="pct"/>
          </w:tcPr>
          <w:p w14:paraId="31FE0615" w14:textId="77777777" w:rsidR="00344187" w:rsidRPr="00344187" w:rsidRDefault="00344187" w:rsidP="00344187">
            <w:pPr>
              <w:spacing w:after="40"/>
              <w:rPr>
                <w:sz w:val="20"/>
                <w:szCs w:val="20"/>
                <w:highlight w:val="cyan"/>
              </w:rPr>
            </w:pPr>
            <w:r w:rsidRPr="00344187">
              <w:rPr>
                <w:sz w:val="20"/>
                <w:szCs w:val="20"/>
              </w:rPr>
              <w:t>Index test and associated interventions</w:t>
            </w:r>
          </w:p>
        </w:tc>
        <w:tc>
          <w:tcPr>
            <w:tcW w:w="549" w:type="pct"/>
          </w:tcPr>
          <w:p w14:paraId="793C29CB" w14:textId="77777777" w:rsidR="00344187" w:rsidRPr="00344187" w:rsidRDefault="00344187" w:rsidP="00344187">
            <w:pPr>
              <w:spacing w:after="40"/>
              <w:jc w:val="center"/>
              <w:rPr>
                <w:sz w:val="20"/>
                <w:szCs w:val="20"/>
              </w:rPr>
            </w:pPr>
            <w:r w:rsidRPr="00344187">
              <w:rPr>
                <w:sz w:val="20"/>
                <w:szCs w:val="20"/>
              </w:rPr>
              <w:t>$379,058</w:t>
            </w:r>
          </w:p>
        </w:tc>
        <w:tc>
          <w:tcPr>
            <w:tcW w:w="631" w:type="pct"/>
          </w:tcPr>
          <w:p w14:paraId="141C4C9B" w14:textId="77777777" w:rsidR="00344187" w:rsidRPr="00344187" w:rsidRDefault="00344187" w:rsidP="00344187">
            <w:pPr>
              <w:spacing w:after="40"/>
              <w:jc w:val="center"/>
              <w:rPr>
                <w:sz w:val="20"/>
                <w:szCs w:val="20"/>
              </w:rPr>
            </w:pPr>
            <w:r w:rsidRPr="00344187">
              <w:rPr>
                <w:sz w:val="20"/>
                <w:szCs w:val="20"/>
              </w:rPr>
              <w:t>$1,977</w:t>
            </w:r>
          </w:p>
        </w:tc>
        <w:tc>
          <w:tcPr>
            <w:tcW w:w="707" w:type="pct"/>
          </w:tcPr>
          <w:p w14:paraId="1CB39387" w14:textId="77777777" w:rsidR="00344187" w:rsidRPr="00344187" w:rsidRDefault="00344187" w:rsidP="00344187">
            <w:pPr>
              <w:spacing w:after="40"/>
              <w:jc w:val="center"/>
              <w:rPr>
                <w:sz w:val="20"/>
                <w:szCs w:val="20"/>
              </w:rPr>
            </w:pPr>
            <w:r w:rsidRPr="00344187">
              <w:rPr>
                <w:sz w:val="20"/>
                <w:szCs w:val="20"/>
              </w:rPr>
              <w:t>16.92</w:t>
            </w:r>
          </w:p>
        </w:tc>
        <w:tc>
          <w:tcPr>
            <w:tcW w:w="1100" w:type="pct"/>
          </w:tcPr>
          <w:p w14:paraId="302F64E1" w14:textId="77777777" w:rsidR="00344187" w:rsidRPr="00344187" w:rsidRDefault="00344187" w:rsidP="00344187">
            <w:pPr>
              <w:spacing w:after="40"/>
              <w:jc w:val="center"/>
              <w:rPr>
                <w:sz w:val="20"/>
                <w:szCs w:val="20"/>
              </w:rPr>
            </w:pPr>
            <w:r w:rsidRPr="00344187">
              <w:rPr>
                <w:sz w:val="20"/>
                <w:szCs w:val="20"/>
              </w:rPr>
              <w:t>-0.01</w:t>
            </w:r>
          </w:p>
        </w:tc>
        <w:tc>
          <w:tcPr>
            <w:tcW w:w="601" w:type="pct"/>
          </w:tcPr>
          <w:p w14:paraId="253DE67A" w14:textId="77777777" w:rsidR="00344187" w:rsidRPr="00344187" w:rsidRDefault="00344187" w:rsidP="00344187">
            <w:pPr>
              <w:spacing w:after="40"/>
              <w:jc w:val="center"/>
              <w:rPr>
                <w:sz w:val="20"/>
                <w:szCs w:val="20"/>
              </w:rPr>
            </w:pPr>
            <w:r w:rsidRPr="00344187">
              <w:rPr>
                <w:sz w:val="20"/>
                <w:szCs w:val="20"/>
              </w:rPr>
              <w:t>-$285,999</w:t>
            </w:r>
          </w:p>
        </w:tc>
      </w:tr>
      <w:tr w:rsidR="00344187" w:rsidRPr="00344187" w14:paraId="747BCC13" w14:textId="77777777" w:rsidTr="00344187">
        <w:tc>
          <w:tcPr>
            <w:tcW w:w="1412" w:type="pct"/>
          </w:tcPr>
          <w:p w14:paraId="1EA508C4" w14:textId="77777777" w:rsidR="00344187" w:rsidRPr="00344187" w:rsidRDefault="00344187" w:rsidP="00344187">
            <w:pPr>
              <w:spacing w:after="40"/>
              <w:jc w:val="both"/>
              <w:rPr>
                <w:sz w:val="20"/>
                <w:szCs w:val="20"/>
                <w:highlight w:val="cyan"/>
              </w:rPr>
            </w:pPr>
            <w:r w:rsidRPr="00344187">
              <w:rPr>
                <w:sz w:val="20"/>
                <w:szCs w:val="20"/>
              </w:rPr>
              <w:t>Comparator</w:t>
            </w:r>
          </w:p>
        </w:tc>
        <w:tc>
          <w:tcPr>
            <w:tcW w:w="549" w:type="pct"/>
          </w:tcPr>
          <w:p w14:paraId="3C4E19ED" w14:textId="77777777" w:rsidR="00344187" w:rsidRPr="00344187" w:rsidRDefault="00344187" w:rsidP="00344187">
            <w:pPr>
              <w:spacing w:after="40"/>
              <w:jc w:val="center"/>
              <w:rPr>
                <w:sz w:val="20"/>
                <w:szCs w:val="20"/>
              </w:rPr>
            </w:pPr>
            <w:r w:rsidRPr="00344187">
              <w:rPr>
                <w:sz w:val="20"/>
                <w:szCs w:val="20"/>
              </w:rPr>
              <w:t>$377,082</w:t>
            </w:r>
          </w:p>
        </w:tc>
        <w:tc>
          <w:tcPr>
            <w:tcW w:w="631" w:type="pct"/>
          </w:tcPr>
          <w:p w14:paraId="1B4560F5" w14:textId="77777777" w:rsidR="00344187" w:rsidRPr="00344187" w:rsidRDefault="00344187" w:rsidP="00344187">
            <w:pPr>
              <w:spacing w:after="40"/>
              <w:jc w:val="center"/>
              <w:rPr>
                <w:sz w:val="20"/>
                <w:szCs w:val="20"/>
              </w:rPr>
            </w:pPr>
          </w:p>
        </w:tc>
        <w:tc>
          <w:tcPr>
            <w:tcW w:w="707" w:type="pct"/>
          </w:tcPr>
          <w:p w14:paraId="4FA551E6" w14:textId="77777777" w:rsidR="00344187" w:rsidRPr="00344187" w:rsidRDefault="00344187" w:rsidP="00344187">
            <w:pPr>
              <w:spacing w:after="40"/>
              <w:jc w:val="center"/>
              <w:rPr>
                <w:sz w:val="20"/>
                <w:szCs w:val="20"/>
              </w:rPr>
            </w:pPr>
            <w:r w:rsidRPr="00344187">
              <w:rPr>
                <w:sz w:val="20"/>
                <w:szCs w:val="20"/>
              </w:rPr>
              <w:t>16.92</w:t>
            </w:r>
          </w:p>
        </w:tc>
        <w:tc>
          <w:tcPr>
            <w:tcW w:w="1100" w:type="pct"/>
          </w:tcPr>
          <w:p w14:paraId="1443B58E" w14:textId="77777777" w:rsidR="00344187" w:rsidRPr="00344187" w:rsidRDefault="00344187" w:rsidP="00344187">
            <w:pPr>
              <w:spacing w:after="40"/>
              <w:jc w:val="center"/>
              <w:rPr>
                <w:sz w:val="20"/>
                <w:szCs w:val="20"/>
              </w:rPr>
            </w:pPr>
          </w:p>
        </w:tc>
        <w:tc>
          <w:tcPr>
            <w:tcW w:w="601" w:type="pct"/>
          </w:tcPr>
          <w:p w14:paraId="0498C9A1" w14:textId="77777777" w:rsidR="00344187" w:rsidRPr="00344187" w:rsidRDefault="00344187" w:rsidP="00344187">
            <w:pPr>
              <w:spacing w:after="40"/>
              <w:jc w:val="center"/>
              <w:rPr>
                <w:sz w:val="20"/>
                <w:szCs w:val="20"/>
              </w:rPr>
            </w:pPr>
          </w:p>
        </w:tc>
      </w:tr>
    </w:tbl>
    <w:p w14:paraId="4C50E3A5" w14:textId="77777777" w:rsidR="00344187" w:rsidRDefault="00344187" w:rsidP="00344187">
      <w:pPr>
        <w:pStyle w:val="Tablenotes1"/>
      </w:pPr>
      <w:r w:rsidRPr="00183E4D">
        <w:t xml:space="preserve">ICER = </w:t>
      </w:r>
      <w:r>
        <w:t>i</w:t>
      </w:r>
      <w:r w:rsidRPr="00183E4D">
        <w:t xml:space="preserve">ncremental </w:t>
      </w:r>
      <w:r>
        <w:t>c</w:t>
      </w:r>
      <w:r w:rsidRPr="00183E4D">
        <w:t>ost</w:t>
      </w:r>
      <w:r>
        <w:t>-e</w:t>
      </w:r>
      <w:r w:rsidRPr="00183E4D">
        <w:t xml:space="preserve">ffectiveness </w:t>
      </w:r>
      <w:r>
        <w:t>r</w:t>
      </w:r>
      <w:r w:rsidRPr="00183E4D">
        <w:t>atio</w:t>
      </w:r>
      <w:r>
        <w:t>; QALYs = quality adjusted life years</w:t>
      </w:r>
    </w:p>
    <w:p w14:paraId="563A1CC3" w14:textId="77777777" w:rsidR="00344187" w:rsidRDefault="00344187" w:rsidP="00344187">
      <w:pPr>
        <w:pStyle w:val="Tablenotes1"/>
      </w:pPr>
      <w:r>
        <w:t>Source: DCAR Table 15, as revised in the rejoinder.</w:t>
      </w:r>
    </w:p>
    <w:p w14:paraId="0E6E4D4B" w14:textId="77777777" w:rsidR="00344187" w:rsidRPr="00183E4D" w:rsidRDefault="00344187" w:rsidP="00344187">
      <w:r w:rsidRPr="00183E4D">
        <w:t>The overall costs and outcomes, and incremental costs and outcomes</w:t>
      </w:r>
      <w:r>
        <w:t xml:space="preserve"> (number of informed reproductive decisions)</w:t>
      </w:r>
      <w:r w:rsidRPr="00183E4D">
        <w:t xml:space="preserve"> are shown in</w:t>
      </w:r>
      <w:r>
        <w:t xml:space="preserve"> </w:t>
      </w:r>
      <w:fldSimple w:instr=" REF _Ref61258516 ">
        <w:r>
          <w:t xml:space="preserve">Table </w:t>
        </w:r>
        <w:r>
          <w:rPr>
            <w:noProof/>
          </w:rPr>
          <w:t>21</w:t>
        </w:r>
      </w:fldSimple>
      <w:r>
        <w:t>.</w:t>
      </w:r>
      <w:r w:rsidRPr="00470175">
        <w:t xml:space="preserve"> </w:t>
      </w:r>
      <w:r>
        <w:t xml:space="preserve">When only reproductive decision making is considered, each genetic test of an affected individual plus associated cascade testing results in 1.08 informed reproductive decisions made by affected individuals and their </w:t>
      </w:r>
      <w:proofErr w:type="gramStart"/>
      <w:r>
        <w:t>first degree</w:t>
      </w:r>
      <w:proofErr w:type="gramEnd"/>
      <w:r>
        <w:t xml:space="preserve"> relatives. This translates to an ICER of $1,990 per informed reproductive decision.</w:t>
      </w:r>
    </w:p>
    <w:p w14:paraId="3897F1AA" w14:textId="5D0957CF" w:rsidR="00344187" w:rsidRDefault="00344187" w:rsidP="00344187">
      <w:pPr>
        <w:pStyle w:val="Caption"/>
      </w:pPr>
      <w:bookmarkStart w:id="37" w:name="_Ref61258516"/>
      <w:r>
        <w:t xml:space="preserve">Table </w:t>
      </w:r>
      <w:fldSimple w:instr=" SEQ Table \* ARABIC ">
        <w:r w:rsidR="00627B6A">
          <w:rPr>
            <w:noProof/>
          </w:rPr>
          <w:t>21</w:t>
        </w:r>
      </w:fldSimple>
      <w:bookmarkEnd w:id="37"/>
      <w:r>
        <w:t xml:space="preserve"> </w:t>
      </w:r>
      <w:r>
        <w:tab/>
      </w:r>
      <w:r w:rsidRPr="001F3CFB">
        <w:t>Incremental cost-effectiveness ratio of genetic testing versus no testing –</w:t>
      </w:r>
      <w:r>
        <w:t xml:space="preserve"> informed reproductive decisions for</w:t>
      </w:r>
      <w:r w:rsidRPr="001F3CFB">
        <w:t xml:space="preserve"> populations 2 &amp; 3</w:t>
      </w:r>
    </w:p>
    <w:tbl>
      <w:tblPr>
        <w:tblStyle w:val="TableGrid2"/>
        <w:tblW w:w="5000" w:type="pct"/>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829"/>
        <w:gridCol w:w="992"/>
        <w:gridCol w:w="1138"/>
        <w:gridCol w:w="1275"/>
        <w:gridCol w:w="1985"/>
        <w:gridCol w:w="797"/>
      </w:tblGrid>
      <w:tr w:rsidR="00344187" w:rsidRPr="00344187" w14:paraId="71840A6E" w14:textId="77777777" w:rsidTr="00344187">
        <w:trPr>
          <w:cnfStyle w:val="100000000000" w:firstRow="1" w:lastRow="0" w:firstColumn="0" w:lastColumn="0" w:oddVBand="0" w:evenVBand="0" w:oddHBand="0" w:evenHBand="0" w:firstRowFirstColumn="0" w:firstRowLastColumn="0" w:lastRowFirstColumn="0" w:lastRowLastColumn="0"/>
          <w:tblHeader/>
        </w:trPr>
        <w:tc>
          <w:tcPr>
            <w:tcW w:w="1569" w:type="pct"/>
            <w:tcBorders>
              <w:bottom w:val="single" w:sz="4" w:space="0" w:color="auto"/>
            </w:tcBorders>
          </w:tcPr>
          <w:p w14:paraId="381EE22C" w14:textId="77777777" w:rsidR="00344187" w:rsidRPr="00344187" w:rsidRDefault="00344187" w:rsidP="00344187">
            <w:pPr>
              <w:keepNext/>
              <w:spacing w:after="40"/>
              <w:jc w:val="both"/>
              <w:rPr>
                <w:rFonts w:ascii="Arial Narrow" w:hAnsi="Arial Narrow"/>
                <w:b/>
                <w:sz w:val="20"/>
                <w:szCs w:val="20"/>
              </w:rPr>
            </w:pPr>
          </w:p>
        </w:tc>
        <w:tc>
          <w:tcPr>
            <w:tcW w:w="550" w:type="pct"/>
            <w:tcBorders>
              <w:bottom w:val="single" w:sz="4" w:space="0" w:color="auto"/>
            </w:tcBorders>
          </w:tcPr>
          <w:p w14:paraId="13D77C8B"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Cost</w:t>
            </w:r>
          </w:p>
        </w:tc>
        <w:tc>
          <w:tcPr>
            <w:tcW w:w="631" w:type="pct"/>
            <w:tcBorders>
              <w:bottom w:val="single" w:sz="4" w:space="0" w:color="auto"/>
            </w:tcBorders>
          </w:tcPr>
          <w:p w14:paraId="4CD189B5"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Incremental cost</w:t>
            </w:r>
          </w:p>
        </w:tc>
        <w:tc>
          <w:tcPr>
            <w:tcW w:w="707" w:type="pct"/>
            <w:tcBorders>
              <w:bottom w:val="single" w:sz="4" w:space="0" w:color="auto"/>
            </w:tcBorders>
          </w:tcPr>
          <w:p w14:paraId="1D9CBAD9"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Effectiveness (informed reproductive decision)</w:t>
            </w:r>
          </w:p>
        </w:tc>
        <w:tc>
          <w:tcPr>
            <w:tcW w:w="1101" w:type="pct"/>
            <w:tcBorders>
              <w:bottom w:val="single" w:sz="4" w:space="0" w:color="auto"/>
            </w:tcBorders>
          </w:tcPr>
          <w:p w14:paraId="20B8E55C"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Incremental effectiveness (informed reproductive decision)</w:t>
            </w:r>
          </w:p>
        </w:tc>
        <w:tc>
          <w:tcPr>
            <w:tcW w:w="443" w:type="pct"/>
            <w:tcBorders>
              <w:bottom w:val="single" w:sz="4" w:space="0" w:color="auto"/>
            </w:tcBorders>
          </w:tcPr>
          <w:p w14:paraId="7043BBAF" w14:textId="77777777" w:rsidR="00344187" w:rsidRPr="00344187" w:rsidRDefault="00344187" w:rsidP="00344187">
            <w:pPr>
              <w:keepNext/>
              <w:spacing w:after="40"/>
              <w:jc w:val="center"/>
              <w:rPr>
                <w:rFonts w:ascii="Arial Narrow" w:hAnsi="Arial Narrow"/>
                <w:b/>
                <w:sz w:val="20"/>
                <w:szCs w:val="20"/>
              </w:rPr>
            </w:pPr>
            <w:r w:rsidRPr="00344187">
              <w:rPr>
                <w:rFonts w:ascii="Arial Narrow" w:hAnsi="Arial Narrow"/>
                <w:b/>
                <w:sz w:val="20"/>
                <w:szCs w:val="20"/>
              </w:rPr>
              <w:t>ICER</w:t>
            </w:r>
          </w:p>
        </w:tc>
      </w:tr>
      <w:tr w:rsidR="00344187" w:rsidRPr="00344187" w14:paraId="62CCB637" w14:textId="77777777" w:rsidTr="00344187">
        <w:tc>
          <w:tcPr>
            <w:tcW w:w="5000" w:type="pct"/>
            <w:gridSpan w:val="6"/>
          </w:tcPr>
          <w:p w14:paraId="7191007D" w14:textId="12488A9E" w:rsidR="00344187" w:rsidRPr="00344187" w:rsidRDefault="00344187" w:rsidP="00344187">
            <w:pPr>
              <w:spacing w:after="40"/>
              <w:jc w:val="both"/>
              <w:rPr>
                <w:b/>
                <w:sz w:val="20"/>
                <w:szCs w:val="20"/>
              </w:rPr>
            </w:pPr>
            <w:r w:rsidRPr="00344187">
              <w:rPr>
                <w:b/>
                <w:sz w:val="20"/>
                <w:szCs w:val="20"/>
              </w:rPr>
              <w:t>Cost per informed reproductive decision made</w:t>
            </w:r>
            <w:r w:rsidR="00D118DF">
              <w:rPr>
                <w:b/>
                <w:sz w:val="20"/>
                <w:szCs w:val="20"/>
              </w:rPr>
              <w:t xml:space="preserve"> </w:t>
            </w:r>
            <w:r w:rsidR="00D118DF" w:rsidRPr="00344187">
              <w:rPr>
                <w:b/>
                <w:sz w:val="20"/>
                <w:szCs w:val="20"/>
              </w:rPr>
              <w:t>(populations 2 and 3)</w:t>
            </w:r>
          </w:p>
        </w:tc>
      </w:tr>
      <w:tr w:rsidR="00344187" w:rsidRPr="00344187" w14:paraId="74CD21F9" w14:textId="77777777" w:rsidTr="00344187">
        <w:tc>
          <w:tcPr>
            <w:tcW w:w="1569" w:type="pct"/>
          </w:tcPr>
          <w:p w14:paraId="62775117" w14:textId="77777777" w:rsidR="00344187" w:rsidRPr="00344187" w:rsidRDefault="00344187" w:rsidP="00344187">
            <w:pPr>
              <w:spacing w:after="40"/>
              <w:rPr>
                <w:sz w:val="20"/>
                <w:szCs w:val="20"/>
              </w:rPr>
            </w:pPr>
            <w:r w:rsidRPr="00344187">
              <w:rPr>
                <w:sz w:val="20"/>
                <w:szCs w:val="20"/>
              </w:rPr>
              <w:t>Index test and associated interventions</w:t>
            </w:r>
          </w:p>
        </w:tc>
        <w:tc>
          <w:tcPr>
            <w:tcW w:w="550" w:type="pct"/>
          </w:tcPr>
          <w:p w14:paraId="166EDBE4" w14:textId="77777777" w:rsidR="00344187" w:rsidRPr="00344187" w:rsidRDefault="00344187" w:rsidP="00344187">
            <w:pPr>
              <w:spacing w:after="40"/>
              <w:jc w:val="center"/>
              <w:rPr>
                <w:sz w:val="20"/>
                <w:szCs w:val="20"/>
              </w:rPr>
            </w:pPr>
            <w:r w:rsidRPr="00344187">
              <w:rPr>
                <w:sz w:val="20"/>
                <w:szCs w:val="20"/>
              </w:rPr>
              <w:t>$395,961</w:t>
            </w:r>
          </w:p>
        </w:tc>
        <w:tc>
          <w:tcPr>
            <w:tcW w:w="631" w:type="pct"/>
          </w:tcPr>
          <w:p w14:paraId="35F668F5" w14:textId="77777777" w:rsidR="00344187" w:rsidRPr="00344187" w:rsidRDefault="00344187" w:rsidP="00344187">
            <w:pPr>
              <w:spacing w:after="40"/>
              <w:jc w:val="center"/>
              <w:rPr>
                <w:sz w:val="20"/>
                <w:szCs w:val="20"/>
              </w:rPr>
            </w:pPr>
            <w:r w:rsidRPr="00344187">
              <w:rPr>
                <w:sz w:val="20"/>
                <w:szCs w:val="20"/>
              </w:rPr>
              <w:t>$2,151</w:t>
            </w:r>
          </w:p>
        </w:tc>
        <w:tc>
          <w:tcPr>
            <w:tcW w:w="707" w:type="pct"/>
          </w:tcPr>
          <w:p w14:paraId="49256282" w14:textId="77777777" w:rsidR="00344187" w:rsidRPr="00344187" w:rsidRDefault="00344187" w:rsidP="00344187">
            <w:pPr>
              <w:spacing w:after="40"/>
              <w:jc w:val="center"/>
              <w:rPr>
                <w:sz w:val="20"/>
                <w:szCs w:val="20"/>
              </w:rPr>
            </w:pPr>
            <w:r w:rsidRPr="00344187">
              <w:rPr>
                <w:sz w:val="20"/>
                <w:szCs w:val="20"/>
              </w:rPr>
              <w:t>1.08</w:t>
            </w:r>
          </w:p>
        </w:tc>
        <w:tc>
          <w:tcPr>
            <w:tcW w:w="1101" w:type="pct"/>
          </w:tcPr>
          <w:p w14:paraId="3A40F775" w14:textId="77777777" w:rsidR="00344187" w:rsidRPr="00344187" w:rsidRDefault="00344187" w:rsidP="00344187">
            <w:pPr>
              <w:spacing w:after="40"/>
              <w:jc w:val="center"/>
              <w:rPr>
                <w:sz w:val="20"/>
                <w:szCs w:val="20"/>
              </w:rPr>
            </w:pPr>
            <w:r w:rsidRPr="00344187">
              <w:rPr>
                <w:sz w:val="20"/>
                <w:szCs w:val="20"/>
              </w:rPr>
              <w:t>1.08</w:t>
            </w:r>
          </w:p>
        </w:tc>
        <w:tc>
          <w:tcPr>
            <w:tcW w:w="443" w:type="pct"/>
          </w:tcPr>
          <w:p w14:paraId="6962225C" w14:textId="77777777" w:rsidR="00344187" w:rsidRPr="00344187" w:rsidRDefault="00344187" w:rsidP="00344187">
            <w:pPr>
              <w:spacing w:after="40"/>
              <w:jc w:val="center"/>
              <w:rPr>
                <w:sz w:val="20"/>
                <w:szCs w:val="20"/>
              </w:rPr>
            </w:pPr>
            <w:r w:rsidRPr="00344187">
              <w:rPr>
                <w:sz w:val="20"/>
                <w:szCs w:val="20"/>
              </w:rPr>
              <w:t>$1,990</w:t>
            </w:r>
          </w:p>
        </w:tc>
      </w:tr>
      <w:tr w:rsidR="00344187" w:rsidRPr="00344187" w14:paraId="1C974860" w14:textId="77777777" w:rsidTr="00344187">
        <w:tc>
          <w:tcPr>
            <w:tcW w:w="1569" w:type="pct"/>
          </w:tcPr>
          <w:p w14:paraId="7C9D45A3" w14:textId="77777777" w:rsidR="00344187" w:rsidRPr="00344187" w:rsidRDefault="00344187" w:rsidP="00344187">
            <w:pPr>
              <w:spacing w:after="40"/>
              <w:jc w:val="both"/>
              <w:rPr>
                <w:sz w:val="20"/>
                <w:szCs w:val="20"/>
              </w:rPr>
            </w:pPr>
            <w:r w:rsidRPr="00344187">
              <w:rPr>
                <w:sz w:val="20"/>
                <w:szCs w:val="20"/>
              </w:rPr>
              <w:t>Comparator</w:t>
            </w:r>
          </w:p>
        </w:tc>
        <w:tc>
          <w:tcPr>
            <w:tcW w:w="550" w:type="pct"/>
          </w:tcPr>
          <w:p w14:paraId="38858BE8" w14:textId="77777777" w:rsidR="00344187" w:rsidRPr="00344187" w:rsidRDefault="00344187" w:rsidP="00344187">
            <w:pPr>
              <w:spacing w:after="40"/>
              <w:jc w:val="center"/>
              <w:rPr>
                <w:sz w:val="20"/>
                <w:szCs w:val="20"/>
              </w:rPr>
            </w:pPr>
            <w:r w:rsidRPr="00344187">
              <w:rPr>
                <w:sz w:val="20"/>
                <w:szCs w:val="20"/>
              </w:rPr>
              <w:t>$393,810</w:t>
            </w:r>
          </w:p>
        </w:tc>
        <w:tc>
          <w:tcPr>
            <w:tcW w:w="631" w:type="pct"/>
          </w:tcPr>
          <w:p w14:paraId="76550956" w14:textId="77777777" w:rsidR="00344187" w:rsidRPr="00344187" w:rsidRDefault="00344187" w:rsidP="00344187">
            <w:pPr>
              <w:spacing w:after="40"/>
              <w:jc w:val="center"/>
              <w:rPr>
                <w:sz w:val="20"/>
                <w:szCs w:val="20"/>
              </w:rPr>
            </w:pPr>
          </w:p>
        </w:tc>
        <w:tc>
          <w:tcPr>
            <w:tcW w:w="707" w:type="pct"/>
          </w:tcPr>
          <w:p w14:paraId="37542214" w14:textId="77777777" w:rsidR="00344187" w:rsidRPr="00344187" w:rsidRDefault="00344187" w:rsidP="00344187">
            <w:pPr>
              <w:spacing w:after="40"/>
              <w:jc w:val="center"/>
              <w:rPr>
                <w:sz w:val="20"/>
                <w:szCs w:val="20"/>
              </w:rPr>
            </w:pPr>
            <w:r w:rsidRPr="00344187">
              <w:rPr>
                <w:sz w:val="20"/>
                <w:szCs w:val="20"/>
              </w:rPr>
              <w:t>0.00</w:t>
            </w:r>
          </w:p>
        </w:tc>
        <w:tc>
          <w:tcPr>
            <w:tcW w:w="1101" w:type="pct"/>
          </w:tcPr>
          <w:p w14:paraId="31AC1A3B" w14:textId="77777777" w:rsidR="00344187" w:rsidRPr="00344187" w:rsidRDefault="00344187" w:rsidP="00344187">
            <w:pPr>
              <w:spacing w:after="40"/>
              <w:jc w:val="center"/>
              <w:rPr>
                <w:sz w:val="20"/>
                <w:szCs w:val="20"/>
              </w:rPr>
            </w:pPr>
          </w:p>
        </w:tc>
        <w:tc>
          <w:tcPr>
            <w:tcW w:w="443" w:type="pct"/>
          </w:tcPr>
          <w:p w14:paraId="32770F6B" w14:textId="77777777" w:rsidR="00344187" w:rsidRPr="00344187" w:rsidRDefault="00344187" w:rsidP="00344187">
            <w:pPr>
              <w:spacing w:after="40"/>
              <w:jc w:val="center"/>
              <w:rPr>
                <w:sz w:val="20"/>
                <w:szCs w:val="20"/>
              </w:rPr>
            </w:pPr>
          </w:p>
        </w:tc>
      </w:tr>
    </w:tbl>
    <w:p w14:paraId="72C04FCE" w14:textId="77777777" w:rsidR="00344187" w:rsidRDefault="00344187" w:rsidP="00344187">
      <w:pPr>
        <w:pStyle w:val="Tablenotes1"/>
      </w:pPr>
      <w:r w:rsidRPr="00183E4D">
        <w:t xml:space="preserve">ICER = </w:t>
      </w:r>
      <w:r>
        <w:t>i</w:t>
      </w:r>
      <w:r w:rsidRPr="00183E4D">
        <w:t xml:space="preserve">ncremental </w:t>
      </w:r>
      <w:r>
        <w:t>c</w:t>
      </w:r>
      <w:r w:rsidRPr="00183E4D">
        <w:t>ost</w:t>
      </w:r>
      <w:r>
        <w:t>-e</w:t>
      </w:r>
      <w:r w:rsidRPr="00183E4D">
        <w:t xml:space="preserve">ffectiveness </w:t>
      </w:r>
      <w:r>
        <w:t>r</w:t>
      </w:r>
      <w:r w:rsidRPr="00183E4D">
        <w:t>atio</w:t>
      </w:r>
    </w:p>
    <w:p w14:paraId="56C2963C" w14:textId="77777777" w:rsidR="00344187" w:rsidRDefault="00344187" w:rsidP="00344187">
      <w:pPr>
        <w:pStyle w:val="Tablenotes1"/>
      </w:pPr>
      <w:r>
        <w:t>Source: DCAR Table 16, as revised in the rejoinder.</w:t>
      </w:r>
    </w:p>
    <w:p w14:paraId="020A5424" w14:textId="77777777" w:rsidR="00344187" w:rsidRDefault="00344187" w:rsidP="00344187">
      <w:r>
        <w:t xml:space="preserve">Key drivers of the economic model for populations 2 and 3 are presented in </w:t>
      </w:r>
      <w:fldSimple w:instr=" REF _Ref61258540 ">
        <w:r>
          <w:t xml:space="preserve">Table </w:t>
        </w:r>
        <w:r>
          <w:rPr>
            <w:noProof/>
          </w:rPr>
          <w:t>22</w:t>
        </w:r>
      </w:fldSimple>
      <w:r>
        <w:t>.</w:t>
      </w:r>
    </w:p>
    <w:p w14:paraId="614AA279" w14:textId="207E0F08" w:rsidR="00344187" w:rsidRDefault="00344187" w:rsidP="00344187">
      <w:pPr>
        <w:pStyle w:val="Caption"/>
      </w:pPr>
      <w:bookmarkStart w:id="38" w:name="_Ref61258540"/>
      <w:r>
        <w:lastRenderedPageBreak/>
        <w:t xml:space="preserve">Table </w:t>
      </w:r>
      <w:fldSimple w:instr=" SEQ Table \* ARABIC ">
        <w:r w:rsidR="00627B6A">
          <w:rPr>
            <w:noProof/>
          </w:rPr>
          <w:t>22</w:t>
        </w:r>
      </w:fldSimple>
      <w:bookmarkEnd w:id="38"/>
      <w:r>
        <w:t xml:space="preserve"> </w:t>
      </w:r>
      <w:r>
        <w:tab/>
      </w:r>
      <w:r>
        <w:rPr>
          <w:snapToGrid w:val="0"/>
          <w:szCs w:val="16"/>
        </w:rPr>
        <w:t>Key drivers of the economic model for populations 2 &amp; 3</w:t>
      </w:r>
    </w:p>
    <w:tbl>
      <w:tblPr>
        <w:tblStyle w:val="TableGrid1"/>
        <w:tblW w:w="5000" w:type="pct"/>
        <w:tblLook w:val="04A0" w:firstRow="1" w:lastRow="0" w:firstColumn="1" w:lastColumn="0" w:noHBand="0" w:noVBand="1"/>
        <w:tblCaption w:val="Table 8 Key drivers of the economic model"/>
        <w:tblDescription w:val="This table describes what factors and assumptions in the economic model affect the incremental cost-effectiveness to the greatest extent."/>
      </w:tblPr>
      <w:tblGrid>
        <w:gridCol w:w="1837"/>
        <w:gridCol w:w="5246"/>
        <w:gridCol w:w="1933"/>
      </w:tblGrid>
      <w:tr w:rsidR="00344187" w14:paraId="060EB337" w14:textId="77777777" w:rsidTr="005E3F29">
        <w:trPr>
          <w:tblHeader/>
        </w:trPr>
        <w:tc>
          <w:tcPr>
            <w:tcW w:w="1019" w:type="pct"/>
            <w:hideMark/>
          </w:tcPr>
          <w:p w14:paraId="0747DB0C" w14:textId="77777777" w:rsidR="00344187" w:rsidRDefault="00344187" w:rsidP="00FE495C">
            <w:pPr>
              <w:pStyle w:val="TableHeading"/>
              <w:spacing w:before="0" w:after="0"/>
              <w:rPr>
                <w:snapToGrid w:val="0"/>
                <w:lang w:eastAsia="en-US"/>
              </w:rPr>
            </w:pPr>
            <w:r>
              <w:rPr>
                <w:snapToGrid w:val="0"/>
                <w:lang w:eastAsia="en-US"/>
              </w:rPr>
              <w:t>Description</w:t>
            </w:r>
          </w:p>
        </w:tc>
        <w:tc>
          <w:tcPr>
            <w:tcW w:w="2909" w:type="pct"/>
            <w:hideMark/>
          </w:tcPr>
          <w:p w14:paraId="6AAB12BB" w14:textId="77777777" w:rsidR="00344187" w:rsidRDefault="00344187" w:rsidP="00FE495C">
            <w:pPr>
              <w:pStyle w:val="TableHeading"/>
              <w:spacing w:before="0" w:after="0"/>
              <w:rPr>
                <w:snapToGrid w:val="0"/>
                <w:lang w:eastAsia="en-US"/>
              </w:rPr>
            </w:pPr>
            <w:r>
              <w:rPr>
                <w:snapToGrid w:val="0"/>
                <w:lang w:eastAsia="en-US"/>
              </w:rPr>
              <w:t>Method/Value</w:t>
            </w:r>
          </w:p>
        </w:tc>
        <w:tc>
          <w:tcPr>
            <w:tcW w:w="1072" w:type="pct"/>
            <w:hideMark/>
          </w:tcPr>
          <w:p w14:paraId="3FFA72B0" w14:textId="77777777" w:rsidR="00344187" w:rsidRDefault="00344187" w:rsidP="00FE495C">
            <w:pPr>
              <w:pStyle w:val="TableHeading"/>
              <w:spacing w:before="0" w:after="0"/>
              <w:rPr>
                <w:snapToGrid w:val="0"/>
                <w:lang w:eastAsia="en-US"/>
              </w:rPr>
            </w:pPr>
            <w:r>
              <w:rPr>
                <w:snapToGrid w:val="0"/>
                <w:lang w:eastAsia="en-US"/>
              </w:rPr>
              <w:t xml:space="preserve">Impact </w:t>
            </w:r>
          </w:p>
        </w:tc>
      </w:tr>
      <w:tr w:rsidR="00344187" w14:paraId="4FFD430C" w14:textId="77777777" w:rsidTr="005E3F29">
        <w:tc>
          <w:tcPr>
            <w:tcW w:w="1019" w:type="pct"/>
          </w:tcPr>
          <w:p w14:paraId="7CFE0052" w14:textId="77777777" w:rsidR="00344187" w:rsidRPr="0026283F" w:rsidRDefault="00344187" w:rsidP="00FE495C">
            <w:pPr>
              <w:pStyle w:val="Tabletext"/>
              <w:keepNext/>
              <w:spacing w:before="0" w:after="0"/>
            </w:pPr>
            <w:r w:rsidRPr="0026283F">
              <w:rPr>
                <w:snapToGrid w:val="0"/>
              </w:rPr>
              <w:t>No discounting of reproductive decisions</w:t>
            </w:r>
          </w:p>
        </w:tc>
        <w:tc>
          <w:tcPr>
            <w:tcW w:w="2909" w:type="pct"/>
          </w:tcPr>
          <w:p w14:paraId="375F4499" w14:textId="77777777" w:rsidR="00344187" w:rsidRPr="0026283F" w:rsidRDefault="00344187" w:rsidP="00FE495C">
            <w:pPr>
              <w:pStyle w:val="Tabletext"/>
              <w:keepNext/>
              <w:spacing w:before="0" w:after="0"/>
              <w:rPr>
                <w:snapToGrid w:val="0"/>
              </w:rPr>
            </w:pPr>
            <w:r w:rsidRPr="0026283F">
              <w:rPr>
                <w:snapToGrid w:val="0"/>
              </w:rPr>
              <w:t>The model registered all reproductive decisions in the first model cycle, so no discounting is applied. Discounting future reproductive decisions would increase the ICER. The size of the impact is uncertain.</w:t>
            </w:r>
          </w:p>
        </w:tc>
        <w:tc>
          <w:tcPr>
            <w:tcW w:w="1072" w:type="pct"/>
          </w:tcPr>
          <w:p w14:paraId="5CD77055" w14:textId="77777777" w:rsidR="00344187" w:rsidRPr="0026283F" w:rsidRDefault="00344187" w:rsidP="00FE495C">
            <w:pPr>
              <w:pStyle w:val="Tabletext"/>
              <w:keepNext/>
              <w:spacing w:before="0" w:after="0"/>
              <w:rPr>
                <w:snapToGrid w:val="0"/>
              </w:rPr>
            </w:pPr>
            <w:r w:rsidRPr="0026283F">
              <w:rPr>
                <w:snapToGrid w:val="0"/>
              </w:rPr>
              <w:t>Uncertain, favours intervention</w:t>
            </w:r>
          </w:p>
        </w:tc>
      </w:tr>
      <w:tr w:rsidR="00344187" w14:paraId="03C5D9D7" w14:textId="77777777" w:rsidTr="005E3F29">
        <w:tc>
          <w:tcPr>
            <w:tcW w:w="1019" w:type="pct"/>
          </w:tcPr>
          <w:p w14:paraId="4201F8DA" w14:textId="77777777" w:rsidR="00344187" w:rsidRDefault="00344187" w:rsidP="00FE495C">
            <w:pPr>
              <w:pStyle w:val="Tabletext"/>
              <w:keepNext/>
              <w:spacing w:before="0" w:after="0"/>
              <w:rPr>
                <w:snapToGrid w:val="0"/>
              </w:rPr>
            </w:pPr>
            <w:r>
              <w:t>Uptake of kidney biopsy for SRNS</w:t>
            </w:r>
          </w:p>
        </w:tc>
        <w:tc>
          <w:tcPr>
            <w:tcW w:w="2909" w:type="pct"/>
          </w:tcPr>
          <w:p w14:paraId="60B4A6B3" w14:textId="77777777" w:rsidR="00344187" w:rsidRDefault="00344187" w:rsidP="00FE495C">
            <w:pPr>
              <w:pStyle w:val="Tabletext"/>
              <w:keepNext/>
              <w:spacing w:before="0" w:after="0"/>
              <w:rPr>
                <w:snapToGrid w:val="0"/>
              </w:rPr>
            </w:pPr>
            <w:r>
              <w:rPr>
                <w:snapToGrid w:val="0"/>
              </w:rPr>
              <w:t>The model assumed 100% patients with SRNS in the ‘NO TEST’ scenario receive a kidney biopsy to establish a definitive diagnosis</w:t>
            </w:r>
          </w:p>
        </w:tc>
        <w:tc>
          <w:tcPr>
            <w:tcW w:w="1072" w:type="pct"/>
          </w:tcPr>
          <w:p w14:paraId="0D6C0343" w14:textId="77777777" w:rsidR="00344187" w:rsidRDefault="00344187" w:rsidP="00FE495C">
            <w:pPr>
              <w:pStyle w:val="Tabletext"/>
              <w:keepNext/>
              <w:spacing w:before="0" w:after="0"/>
              <w:rPr>
                <w:snapToGrid w:val="0"/>
              </w:rPr>
            </w:pPr>
            <w:r>
              <w:rPr>
                <w:snapToGrid w:val="0"/>
              </w:rPr>
              <w:t>Moderate, favours the intervention</w:t>
            </w:r>
          </w:p>
        </w:tc>
      </w:tr>
      <w:tr w:rsidR="00344187" w14:paraId="4D9CF939" w14:textId="77777777" w:rsidTr="005E3F29">
        <w:tc>
          <w:tcPr>
            <w:tcW w:w="1019" w:type="pct"/>
          </w:tcPr>
          <w:p w14:paraId="5842BEEE" w14:textId="77777777" w:rsidR="00344187" w:rsidRDefault="00344187" w:rsidP="00FE495C">
            <w:pPr>
              <w:pStyle w:val="Tabletext"/>
              <w:keepNext/>
              <w:spacing w:before="0" w:after="0"/>
            </w:pPr>
            <w:r>
              <w:rPr>
                <w:snapToGrid w:val="0"/>
              </w:rPr>
              <w:t>Time horizon</w:t>
            </w:r>
          </w:p>
        </w:tc>
        <w:tc>
          <w:tcPr>
            <w:tcW w:w="2909" w:type="pct"/>
          </w:tcPr>
          <w:p w14:paraId="13A3A8A6" w14:textId="77777777" w:rsidR="00344187" w:rsidRDefault="00344187" w:rsidP="00FE495C">
            <w:pPr>
              <w:pStyle w:val="Tabletext"/>
              <w:keepNext/>
              <w:spacing w:before="0" w:after="0"/>
              <w:rPr>
                <w:snapToGrid w:val="0"/>
              </w:rPr>
            </w:pPr>
            <w:r>
              <w:rPr>
                <w:snapToGrid w:val="0"/>
              </w:rPr>
              <w:t>The model applied an annual eGFR decline calculated for each sub-population based on limited trial evidence.</w:t>
            </w:r>
          </w:p>
          <w:p w14:paraId="0889A945" w14:textId="77777777" w:rsidR="00344187" w:rsidRDefault="00344187" w:rsidP="00FE495C">
            <w:pPr>
              <w:pStyle w:val="Tabletext"/>
              <w:keepNext/>
              <w:spacing w:before="0" w:after="0"/>
            </w:pPr>
            <w:r>
              <w:rPr>
                <w:snapToGrid w:val="0"/>
              </w:rPr>
              <w:t xml:space="preserve">The model extrapolated lifetime benefits for patients with </w:t>
            </w:r>
            <w:proofErr w:type="spellStart"/>
            <w:r>
              <w:rPr>
                <w:snapToGrid w:val="0"/>
              </w:rPr>
              <w:t>aHUS</w:t>
            </w:r>
            <w:proofErr w:type="spellEnd"/>
            <w:r>
              <w:rPr>
                <w:snapToGrid w:val="0"/>
              </w:rPr>
              <w:t xml:space="preserve"> who respond to eculizumab based on a 26-week trial.</w:t>
            </w:r>
          </w:p>
        </w:tc>
        <w:tc>
          <w:tcPr>
            <w:tcW w:w="1072" w:type="pct"/>
          </w:tcPr>
          <w:p w14:paraId="242F820D" w14:textId="77777777" w:rsidR="00344187" w:rsidRDefault="00344187" w:rsidP="00FE495C">
            <w:pPr>
              <w:pStyle w:val="Tabletext"/>
              <w:keepNext/>
              <w:spacing w:before="0" w:after="0"/>
              <w:rPr>
                <w:snapToGrid w:val="0"/>
              </w:rPr>
            </w:pPr>
            <w:r>
              <w:rPr>
                <w:snapToGrid w:val="0"/>
              </w:rPr>
              <w:t>Low, favours comparator</w:t>
            </w:r>
          </w:p>
        </w:tc>
      </w:tr>
    </w:tbl>
    <w:p w14:paraId="1A11EB02" w14:textId="77777777" w:rsidR="00344187" w:rsidRDefault="00344187" w:rsidP="00344187">
      <w:pPr>
        <w:pStyle w:val="Tablenotes1"/>
      </w:pPr>
      <w:r>
        <w:t>ICER = incremental cost effectiveness ratio; SRNS = steroid resistant nephrotic syndrome</w:t>
      </w:r>
    </w:p>
    <w:p w14:paraId="3C716366" w14:textId="77777777" w:rsidR="00BC1364" w:rsidRPr="00344187" w:rsidRDefault="00344187" w:rsidP="00344187">
      <w:pPr>
        <w:pStyle w:val="Tablenotes1"/>
      </w:pPr>
      <w:r>
        <w:t>Source: DCAR, Table 17</w:t>
      </w:r>
      <w:r w:rsidR="00DB5833" w:rsidRPr="00344187">
        <w:t xml:space="preserve"> </w:t>
      </w:r>
    </w:p>
    <w:p w14:paraId="64FF1851" w14:textId="77777777" w:rsidR="00BC1364" w:rsidRPr="00F715D1" w:rsidRDefault="00BC1364" w:rsidP="004C41BD">
      <w:pPr>
        <w:pStyle w:val="Heading1"/>
      </w:pPr>
      <w:r w:rsidRPr="00F715D1">
        <w:t>Financial/budgetary impacts</w:t>
      </w:r>
    </w:p>
    <w:p w14:paraId="2954DA95" w14:textId="77777777" w:rsidR="00344187" w:rsidRDefault="00344187" w:rsidP="00344187">
      <w:r>
        <w:t xml:space="preserve">The DCAR used an epidemiological approach </w:t>
      </w:r>
      <w:r w:rsidRPr="00A057B8">
        <w:t>and prevalence rate</w:t>
      </w:r>
      <w:r>
        <w:t>s</w:t>
      </w:r>
      <w:r w:rsidRPr="00A057B8">
        <w:t xml:space="preserve"> of relevant kidney disease for each population to estimate the number of patients eligible for WGS.</w:t>
      </w:r>
    </w:p>
    <w:p w14:paraId="375242F9" w14:textId="77777777" w:rsidR="00344187" w:rsidRDefault="00344187" w:rsidP="00344187">
      <w:r>
        <w:t>For population 1, the financial implications to the MBS were estimated to be $1.61 million in 2021 and remaining approximately steady until 2025 due to capacity constraints</w:t>
      </w:r>
      <w:r w:rsidRPr="00186A28">
        <w:t xml:space="preserve"> </w:t>
      </w:r>
      <w:r>
        <w:t>(</w:t>
      </w:r>
      <w:fldSimple w:instr=" REF _Ref61272291 ">
        <w:r>
          <w:t xml:space="preserve">Table </w:t>
        </w:r>
        <w:r>
          <w:rPr>
            <w:noProof/>
          </w:rPr>
          <w:t>23</w:t>
        </w:r>
      </w:fldSimple>
      <w:r>
        <w:t>). The total financial implication to the MBS was estimated to be $7.91 million over five years.</w:t>
      </w:r>
    </w:p>
    <w:p w14:paraId="69E010D0" w14:textId="4CD9B0B1" w:rsidR="00344187" w:rsidRDefault="00344187" w:rsidP="00344187">
      <w:pPr>
        <w:pStyle w:val="Caption"/>
        <w:jc w:val="left"/>
      </w:pPr>
      <w:bookmarkStart w:id="39" w:name="_Ref61272291"/>
      <w:r>
        <w:t xml:space="preserve">Table </w:t>
      </w:r>
      <w:fldSimple w:instr=" SEQ Table \* ARABIC ">
        <w:r w:rsidR="00627B6A">
          <w:rPr>
            <w:noProof/>
          </w:rPr>
          <w:t>23</w:t>
        </w:r>
      </w:fldSimple>
      <w:bookmarkEnd w:id="39"/>
      <w:r>
        <w:t xml:space="preserve"> </w:t>
      </w:r>
      <w:r>
        <w:tab/>
        <w:t>Estimated number of population 1 patients that are likely to receive WGS and the financial implications to the MBS, PBS, and the Government</w:t>
      </w:r>
    </w:p>
    <w:tbl>
      <w:tblPr>
        <w:tblStyle w:val="TableGrid"/>
        <w:tblW w:w="9205" w:type="dxa"/>
        <w:tblLook w:val="04A0" w:firstRow="1" w:lastRow="0" w:firstColumn="1" w:lastColumn="0" w:noHBand="0" w:noVBand="1"/>
        <w:tblDescription w:val="Estimated number of population 1 patients that are likely to receive WGS and the financial implications to the MBS, PBS, and the Government"/>
      </w:tblPr>
      <w:tblGrid>
        <w:gridCol w:w="3256"/>
        <w:gridCol w:w="1189"/>
        <w:gridCol w:w="1190"/>
        <w:gridCol w:w="1190"/>
        <w:gridCol w:w="1190"/>
        <w:gridCol w:w="1190"/>
      </w:tblGrid>
      <w:tr w:rsidR="00344187" w14:paraId="090BF812" w14:textId="77777777" w:rsidTr="005E3F29">
        <w:trPr>
          <w:tblHeader/>
        </w:trPr>
        <w:tc>
          <w:tcPr>
            <w:tcW w:w="3256" w:type="dxa"/>
            <w:tcBorders>
              <w:top w:val="single" w:sz="4" w:space="0" w:color="auto"/>
              <w:left w:val="single" w:sz="4" w:space="0" w:color="auto"/>
              <w:bottom w:val="single" w:sz="4" w:space="0" w:color="auto"/>
              <w:right w:val="single" w:sz="4" w:space="0" w:color="auto"/>
            </w:tcBorders>
            <w:vAlign w:val="center"/>
            <w:hideMark/>
          </w:tcPr>
          <w:p w14:paraId="53F1EAE8" w14:textId="77777777" w:rsidR="00344187" w:rsidRDefault="00344187" w:rsidP="00344187">
            <w:pPr>
              <w:spacing w:after="0"/>
              <w:rPr>
                <w:rFonts w:ascii="Arial Narrow" w:hAnsi="Arial Narrow"/>
                <w:b/>
                <w:bCs/>
                <w:sz w:val="20"/>
              </w:rPr>
            </w:pPr>
            <w:r>
              <w:rPr>
                <w:rFonts w:ascii="Arial Narrow" w:hAnsi="Arial Narrow"/>
                <w:b/>
                <w:bCs/>
                <w:sz w:val="20"/>
              </w:rPr>
              <w:t>Description</w:t>
            </w:r>
          </w:p>
        </w:tc>
        <w:tc>
          <w:tcPr>
            <w:tcW w:w="1189" w:type="dxa"/>
            <w:tcBorders>
              <w:top w:val="single" w:sz="4" w:space="0" w:color="auto"/>
              <w:left w:val="single" w:sz="4" w:space="0" w:color="auto"/>
              <w:bottom w:val="single" w:sz="4" w:space="0" w:color="auto"/>
              <w:right w:val="single" w:sz="4" w:space="0" w:color="auto"/>
            </w:tcBorders>
            <w:hideMark/>
          </w:tcPr>
          <w:p w14:paraId="02CD9CFA" w14:textId="77777777" w:rsidR="00344187" w:rsidRDefault="00344187" w:rsidP="00344187">
            <w:pPr>
              <w:spacing w:after="0"/>
              <w:jc w:val="center"/>
              <w:rPr>
                <w:rFonts w:ascii="Arial Narrow" w:hAnsi="Arial Narrow"/>
                <w:b/>
                <w:bCs/>
                <w:sz w:val="20"/>
              </w:rPr>
            </w:pPr>
            <w:r>
              <w:rPr>
                <w:rFonts w:ascii="Arial Narrow" w:hAnsi="Arial Narrow" w:cs="Arial"/>
                <w:b/>
                <w:bCs/>
                <w:sz w:val="20"/>
              </w:rPr>
              <w:t>2021-2022</w:t>
            </w:r>
          </w:p>
        </w:tc>
        <w:tc>
          <w:tcPr>
            <w:tcW w:w="1190" w:type="dxa"/>
            <w:tcBorders>
              <w:top w:val="single" w:sz="4" w:space="0" w:color="auto"/>
              <w:left w:val="single" w:sz="4" w:space="0" w:color="auto"/>
              <w:bottom w:val="single" w:sz="4" w:space="0" w:color="auto"/>
              <w:right w:val="single" w:sz="4" w:space="0" w:color="auto"/>
            </w:tcBorders>
            <w:hideMark/>
          </w:tcPr>
          <w:p w14:paraId="250BDC5E" w14:textId="77777777" w:rsidR="00344187" w:rsidRDefault="00344187" w:rsidP="00344187">
            <w:pPr>
              <w:spacing w:after="0"/>
              <w:jc w:val="center"/>
              <w:rPr>
                <w:rFonts w:ascii="Arial Narrow" w:hAnsi="Arial Narrow"/>
                <w:b/>
                <w:bCs/>
                <w:sz w:val="20"/>
              </w:rPr>
            </w:pPr>
            <w:r>
              <w:rPr>
                <w:rFonts w:ascii="Arial Narrow" w:hAnsi="Arial Narrow" w:cs="Arial"/>
                <w:b/>
                <w:bCs/>
                <w:sz w:val="20"/>
              </w:rPr>
              <w:t>2022-2023</w:t>
            </w:r>
          </w:p>
        </w:tc>
        <w:tc>
          <w:tcPr>
            <w:tcW w:w="1190" w:type="dxa"/>
            <w:tcBorders>
              <w:top w:val="single" w:sz="4" w:space="0" w:color="auto"/>
              <w:left w:val="single" w:sz="4" w:space="0" w:color="auto"/>
              <w:bottom w:val="single" w:sz="4" w:space="0" w:color="auto"/>
              <w:right w:val="single" w:sz="4" w:space="0" w:color="auto"/>
            </w:tcBorders>
            <w:hideMark/>
          </w:tcPr>
          <w:p w14:paraId="5311C8CF" w14:textId="77777777" w:rsidR="00344187" w:rsidRDefault="00344187" w:rsidP="00344187">
            <w:pPr>
              <w:spacing w:after="0"/>
              <w:jc w:val="center"/>
              <w:rPr>
                <w:rFonts w:ascii="Arial Narrow" w:hAnsi="Arial Narrow"/>
                <w:b/>
                <w:bCs/>
                <w:sz w:val="20"/>
              </w:rPr>
            </w:pPr>
            <w:r>
              <w:rPr>
                <w:rFonts w:ascii="Arial Narrow" w:hAnsi="Arial Narrow" w:cs="Arial"/>
                <w:b/>
                <w:bCs/>
                <w:sz w:val="20"/>
              </w:rPr>
              <w:t>2023-2024</w:t>
            </w:r>
          </w:p>
        </w:tc>
        <w:tc>
          <w:tcPr>
            <w:tcW w:w="1190" w:type="dxa"/>
            <w:tcBorders>
              <w:top w:val="single" w:sz="4" w:space="0" w:color="auto"/>
              <w:left w:val="single" w:sz="4" w:space="0" w:color="auto"/>
              <w:bottom w:val="single" w:sz="4" w:space="0" w:color="auto"/>
              <w:right w:val="single" w:sz="4" w:space="0" w:color="auto"/>
            </w:tcBorders>
            <w:hideMark/>
          </w:tcPr>
          <w:p w14:paraId="6C5182B1" w14:textId="77777777" w:rsidR="00344187" w:rsidRDefault="00344187" w:rsidP="00344187">
            <w:pPr>
              <w:spacing w:after="0"/>
              <w:jc w:val="center"/>
              <w:rPr>
                <w:rFonts w:ascii="Arial Narrow" w:hAnsi="Arial Narrow"/>
                <w:b/>
                <w:bCs/>
                <w:sz w:val="20"/>
              </w:rPr>
            </w:pPr>
            <w:r>
              <w:rPr>
                <w:rFonts w:ascii="Arial Narrow" w:hAnsi="Arial Narrow" w:cs="Arial"/>
                <w:b/>
                <w:bCs/>
                <w:sz w:val="20"/>
              </w:rPr>
              <w:t>2024-2025</w:t>
            </w:r>
          </w:p>
        </w:tc>
        <w:tc>
          <w:tcPr>
            <w:tcW w:w="1190" w:type="dxa"/>
            <w:tcBorders>
              <w:top w:val="single" w:sz="4" w:space="0" w:color="auto"/>
              <w:left w:val="single" w:sz="4" w:space="0" w:color="auto"/>
              <w:bottom w:val="single" w:sz="4" w:space="0" w:color="auto"/>
              <w:right w:val="single" w:sz="4" w:space="0" w:color="auto"/>
            </w:tcBorders>
            <w:hideMark/>
          </w:tcPr>
          <w:p w14:paraId="0E0FA3CF" w14:textId="77777777" w:rsidR="00344187" w:rsidRDefault="00344187" w:rsidP="00344187">
            <w:pPr>
              <w:spacing w:after="0"/>
              <w:jc w:val="center"/>
              <w:rPr>
                <w:rFonts w:ascii="Arial Narrow" w:hAnsi="Arial Narrow"/>
                <w:b/>
                <w:bCs/>
                <w:sz w:val="20"/>
              </w:rPr>
            </w:pPr>
            <w:r>
              <w:rPr>
                <w:rFonts w:ascii="Arial Narrow" w:hAnsi="Arial Narrow" w:cs="Arial"/>
                <w:b/>
                <w:bCs/>
                <w:sz w:val="20"/>
              </w:rPr>
              <w:t>2025-2026</w:t>
            </w:r>
          </w:p>
        </w:tc>
      </w:tr>
      <w:tr w:rsidR="00344187" w14:paraId="17834AE1" w14:textId="77777777" w:rsidTr="00344187">
        <w:tc>
          <w:tcPr>
            <w:tcW w:w="3256" w:type="dxa"/>
            <w:tcBorders>
              <w:top w:val="single" w:sz="4" w:space="0" w:color="auto"/>
              <w:left w:val="single" w:sz="4" w:space="0" w:color="auto"/>
              <w:bottom w:val="single" w:sz="4" w:space="0" w:color="auto"/>
              <w:right w:val="single" w:sz="4" w:space="0" w:color="auto"/>
            </w:tcBorders>
            <w:vAlign w:val="center"/>
            <w:hideMark/>
          </w:tcPr>
          <w:p w14:paraId="2B388309" w14:textId="77777777" w:rsidR="00344187" w:rsidRDefault="00344187" w:rsidP="00344187">
            <w:pPr>
              <w:spacing w:after="0"/>
              <w:rPr>
                <w:rFonts w:ascii="Arial Narrow" w:hAnsi="Arial Narrow"/>
                <w:sz w:val="20"/>
              </w:rPr>
            </w:pPr>
            <w:r>
              <w:rPr>
                <w:rFonts w:ascii="Arial Narrow" w:hAnsi="Arial Narrow"/>
                <w:sz w:val="20"/>
              </w:rPr>
              <w:t xml:space="preserve">Number of patients likely to require WGS </w:t>
            </w:r>
          </w:p>
        </w:tc>
        <w:tc>
          <w:tcPr>
            <w:tcW w:w="1189" w:type="dxa"/>
            <w:tcBorders>
              <w:top w:val="single" w:sz="4" w:space="0" w:color="auto"/>
              <w:left w:val="single" w:sz="4" w:space="0" w:color="auto"/>
              <w:bottom w:val="single" w:sz="4" w:space="0" w:color="auto"/>
              <w:right w:val="single" w:sz="4" w:space="0" w:color="auto"/>
            </w:tcBorders>
            <w:vAlign w:val="center"/>
            <w:hideMark/>
          </w:tcPr>
          <w:p w14:paraId="3207C876"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789</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FA228B0"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723</w:t>
            </w:r>
          </w:p>
        </w:tc>
        <w:tc>
          <w:tcPr>
            <w:tcW w:w="1190" w:type="dxa"/>
            <w:tcBorders>
              <w:top w:val="single" w:sz="4" w:space="0" w:color="auto"/>
              <w:left w:val="single" w:sz="4" w:space="0" w:color="auto"/>
              <w:bottom w:val="single" w:sz="4" w:space="0" w:color="auto"/>
              <w:right w:val="single" w:sz="4" w:space="0" w:color="auto"/>
            </w:tcBorders>
            <w:vAlign w:val="center"/>
            <w:hideMark/>
          </w:tcPr>
          <w:p w14:paraId="3AFFCF44"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796</w:t>
            </w:r>
          </w:p>
        </w:tc>
        <w:tc>
          <w:tcPr>
            <w:tcW w:w="1190" w:type="dxa"/>
            <w:tcBorders>
              <w:top w:val="single" w:sz="4" w:space="0" w:color="auto"/>
              <w:left w:val="single" w:sz="4" w:space="0" w:color="auto"/>
              <w:bottom w:val="single" w:sz="4" w:space="0" w:color="auto"/>
              <w:right w:val="single" w:sz="4" w:space="0" w:color="auto"/>
            </w:tcBorders>
            <w:vAlign w:val="center"/>
            <w:hideMark/>
          </w:tcPr>
          <w:p w14:paraId="02BF29C4"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715</w:t>
            </w:r>
          </w:p>
        </w:tc>
        <w:tc>
          <w:tcPr>
            <w:tcW w:w="1190" w:type="dxa"/>
            <w:tcBorders>
              <w:top w:val="single" w:sz="4" w:space="0" w:color="auto"/>
              <w:left w:val="single" w:sz="4" w:space="0" w:color="auto"/>
              <w:bottom w:val="single" w:sz="4" w:space="0" w:color="auto"/>
              <w:right w:val="single" w:sz="4" w:space="0" w:color="auto"/>
            </w:tcBorders>
            <w:vAlign w:val="center"/>
            <w:hideMark/>
          </w:tcPr>
          <w:p w14:paraId="7AB1F14F"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805</w:t>
            </w:r>
          </w:p>
        </w:tc>
      </w:tr>
      <w:tr w:rsidR="00344187" w14:paraId="74C6CBA8" w14:textId="77777777" w:rsidTr="00344187">
        <w:tc>
          <w:tcPr>
            <w:tcW w:w="3256" w:type="dxa"/>
            <w:tcBorders>
              <w:top w:val="single" w:sz="4" w:space="0" w:color="auto"/>
              <w:left w:val="single" w:sz="4" w:space="0" w:color="auto"/>
              <w:bottom w:val="single" w:sz="4" w:space="0" w:color="auto"/>
              <w:right w:val="single" w:sz="4" w:space="0" w:color="auto"/>
            </w:tcBorders>
            <w:vAlign w:val="center"/>
            <w:hideMark/>
          </w:tcPr>
          <w:p w14:paraId="22DC68CA" w14:textId="77777777" w:rsidR="00344187" w:rsidRDefault="00344187" w:rsidP="00344187">
            <w:pPr>
              <w:spacing w:after="0"/>
              <w:rPr>
                <w:rFonts w:ascii="Arial Narrow" w:hAnsi="Arial Narrow"/>
                <w:sz w:val="20"/>
              </w:rPr>
            </w:pPr>
            <w:r>
              <w:rPr>
                <w:rFonts w:ascii="Arial Narrow" w:hAnsi="Arial Narrow"/>
                <w:sz w:val="20"/>
              </w:rPr>
              <w:t>Cost of WGS</w:t>
            </w:r>
          </w:p>
        </w:tc>
        <w:tc>
          <w:tcPr>
            <w:tcW w:w="1189" w:type="dxa"/>
            <w:tcBorders>
              <w:top w:val="single" w:sz="4" w:space="0" w:color="auto"/>
              <w:left w:val="single" w:sz="4" w:space="0" w:color="auto"/>
              <w:bottom w:val="single" w:sz="4" w:space="0" w:color="auto"/>
              <w:right w:val="single" w:sz="4" w:space="0" w:color="auto"/>
            </w:tcBorders>
            <w:vAlign w:val="center"/>
            <w:hideMark/>
          </w:tcPr>
          <w:p w14:paraId="7CACD90F"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$1,609,638</w:t>
            </w:r>
          </w:p>
        </w:tc>
        <w:tc>
          <w:tcPr>
            <w:tcW w:w="1190" w:type="dxa"/>
            <w:tcBorders>
              <w:top w:val="single" w:sz="4" w:space="0" w:color="auto"/>
              <w:left w:val="single" w:sz="4" w:space="0" w:color="auto"/>
              <w:bottom w:val="single" w:sz="4" w:space="0" w:color="auto"/>
              <w:right w:val="single" w:sz="4" w:space="0" w:color="auto"/>
            </w:tcBorders>
            <w:vAlign w:val="center"/>
            <w:hideMark/>
          </w:tcPr>
          <w:p w14:paraId="0E0FFFD3"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$1,474,730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6D6005F"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$1,623,566</w:t>
            </w:r>
          </w:p>
        </w:tc>
        <w:tc>
          <w:tcPr>
            <w:tcW w:w="1190" w:type="dxa"/>
            <w:tcBorders>
              <w:top w:val="single" w:sz="4" w:space="0" w:color="auto"/>
              <w:left w:val="single" w:sz="4" w:space="0" w:color="auto"/>
              <w:bottom w:val="single" w:sz="4" w:space="0" w:color="auto"/>
              <w:right w:val="single" w:sz="4" w:space="0" w:color="auto"/>
            </w:tcBorders>
            <w:vAlign w:val="center"/>
            <w:hideMark/>
          </w:tcPr>
          <w:p w14:paraId="2AD8F143"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$1,459,215</w:t>
            </w:r>
          </w:p>
        </w:tc>
        <w:tc>
          <w:tcPr>
            <w:tcW w:w="1190" w:type="dxa"/>
            <w:tcBorders>
              <w:top w:val="single" w:sz="4" w:space="0" w:color="auto"/>
              <w:left w:val="single" w:sz="4" w:space="0" w:color="auto"/>
              <w:bottom w:val="single" w:sz="4" w:space="0" w:color="auto"/>
              <w:right w:val="single" w:sz="4" w:space="0" w:color="auto"/>
            </w:tcBorders>
            <w:vAlign w:val="center"/>
            <w:hideMark/>
          </w:tcPr>
          <w:p w14:paraId="5FAC6C62"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$1,642,613</w:t>
            </w:r>
          </w:p>
        </w:tc>
      </w:tr>
      <w:tr w:rsidR="00344187" w14:paraId="3899DC7E" w14:textId="77777777" w:rsidTr="00344187">
        <w:tc>
          <w:tcPr>
            <w:tcW w:w="3256" w:type="dxa"/>
            <w:tcBorders>
              <w:top w:val="single" w:sz="4" w:space="0" w:color="auto"/>
              <w:left w:val="single" w:sz="4" w:space="0" w:color="auto"/>
              <w:bottom w:val="single" w:sz="4" w:space="0" w:color="auto"/>
              <w:right w:val="single" w:sz="4" w:space="0" w:color="auto"/>
            </w:tcBorders>
          </w:tcPr>
          <w:p w14:paraId="097FE6FE" w14:textId="77777777" w:rsidR="00344187" w:rsidRDefault="00344187" w:rsidP="00344187">
            <w:pPr>
              <w:spacing w:after="0"/>
              <w:rPr>
                <w:rFonts w:ascii="Arial Narrow" w:hAnsi="Arial Narrow"/>
                <w:sz w:val="20"/>
              </w:rPr>
            </w:pPr>
            <w:r>
              <w:rPr>
                <w:rFonts w:ascii="Arial Narrow" w:hAnsi="Arial Narrow" w:cs="Arial"/>
                <w:sz w:val="20"/>
              </w:rPr>
              <w:t>Cost of the reinterrogation test</w:t>
            </w:r>
          </w:p>
        </w:tc>
        <w:tc>
          <w:tcPr>
            <w:tcW w:w="1189" w:type="dxa"/>
            <w:tcBorders>
              <w:top w:val="single" w:sz="4" w:space="0" w:color="auto"/>
              <w:left w:val="single" w:sz="4" w:space="0" w:color="auto"/>
              <w:bottom w:val="single" w:sz="4" w:space="0" w:color="auto"/>
              <w:right w:val="single" w:sz="4" w:space="0" w:color="auto"/>
            </w:tcBorders>
            <w:vAlign w:val="center"/>
          </w:tcPr>
          <w:p w14:paraId="0ACD549A" w14:textId="77777777" w:rsidR="00344187" w:rsidRDefault="00344187" w:rsidP="00344187">
            <w:pPr>
              <w:spacing w:after="0"/>
              <w:jc w:val="center"/>
              <w:rPr>
                <w:rFonts w:ascii="Arial Narrow" w:hAnsi="Arial Narrow" w:cs="Calibri"/>
                <w:color w:val="000000"/>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02333F83" w14:textId="77777777" w:rsidR="00344187" w:rsidRDefault="00344187" w:rsidP="00344187">
            <w:pPr>
              <w:spacing w:after="0"/>
              <w:jc w:val="center"/>
              <w:rPr>
                <w:rFonts w:ascii="Arial Narrow" w:hAnsi="Arial Narrow" w:cs="Calibri"/>
                <w:color w:val="000000"/>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03183479" w14:textId="77777777" w:rsidR="00344187" w:rsidRDefault="00344187" w:rsidP="00344187">
            <w:pPr>
              <w:spacing w:after="0"/>
              <w:jc w:val="center"/>
              <w:rPr>
                <w:rFonts w:ascii="Arial Narrow" w:hAnsi="Arial Narrow" w:cs="Calibri"/>
                <w:color w:val="000000"/>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52A1BC0F" w14:textId="77777777" w:rsidR="00344187" w:rsidRDefault="00344187" w:rsidP="00344187">
            <w:pPr>
              <w:spacing w:after="0"/>
              <w:jc w:val="center"/>
              <w:rPr>
                <w:rFonts w:ascii="Arial Narrow" w:hAnsi="Arial Narrow" w:cs="Calibri"/>
                <w:color w:val="000000"/>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21B85B78" w14:textId="77777777" w:rsidR="00344187" w:rsidRDefault="00344187" w:rsidP="00344187">
            <w:pPr>
              <w:spacing w:after="0"/>
              <w:jc w:val="center"/>
              <w:rPr>
                <w:rFonts w:ascii="Arial Narrow" w:hAnsi="Arial Narrow" w:cs="Calibri"/>
                <w:color w:val="000000"/>
                <w:sz w:val="20"/>
              </w:rPr>
            </w:pPr>
            <w:r w:rsidRPr="009A08EC">
              <w:rPr>
                <w:rFonts w:ascii="Arial Narrow" w:hAnsi="Arial Narrow" w:cs="Calibri"/>
                <w:sz w:val="20"/>
              </w:rPr>
              <w:t>$100,441</w:t>
            </w:r>
          </w:p>
        </w:tc>
      </w:tr>
      <w:tr w:rsidR="00344187" w14:paraId="5A94BFE9" w14:textId="77777777" w:rsidTr="00344187">
        <w:tc>
          <w:tcPr>
            <w:tcW w:w="3256" w:type="dxa"/>
            <w:tcBorders>
              <w:top w:val="single" w:sz="4" w:space="0" w:color="auto"/>
              <w:left w:val="single" w:sz="4" w:space="0" w:color="auto"/>
              <w:bottom w:val="single" w:sz="4" w:space="0" w:color="auto"/>
              <w:right w:val="single" w:sz="4" w:space="0" w:color="auto"/>
            </w:tcBorders>
            <w:hideMark/>
          </w:tcPr>
          <w:p w14:paraId="01AC95B5" w14:textId="77777777" w:rsidR="00344187" w:rsidRDefault="00344187" w:rsidP="00344187">
            <w:pPr>
              <w:spacing w:after="0"/>
              <w:rPr>
                <w:rFonts w:ascii="Arial Narrow" w:hAnsi="Arial Narrow"/>
                <w:sz w:val="20"/>
              </w:rPr>
            </w:pPr>
            <w:r w:rsidRPr="00AF3482">
              <w:rPr>
                <w:rFonts w:ascii="Arial Narrow" w:hAnsi="Arial Narrow" w:cs="Calibri"/>
                <w:color w:val="000000"/>
                <w:sz w:val="20"/>
              </w:rPr>
              <w:t>MBS-listed IVF services that are likely to be affected by listing the WGS</w:t>
            </w:r>
          </w:p>
        </w:tc>
        <w:tc>
          <w:tcPr>
            <w:tcW w:w="1189" w:type="dxa"/>
            <w:tcBorders>
              <w:top w:val="single" w:sz="4" w:space="0" w:color="auto"/>
              <w:left w:val="single" w:sz="4" w:space="0" w:color="auto"/>
              <w:bottom w:val="single" w:sz="4" w:space="0" w:color="auto"/>
              <w:right w:val="single" w:sz="4" w:space="0" w:color="auto"/>
            </w:tcBorders>
            <w:vAlign w:val="center"/>
          </w:tcPr>
          <w:p w14:paraId="54F8029D"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49893447"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2FA76036"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4322B7FB"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25F8F326"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r>
      <w:tr w:rsidR="00344187" w14:paraId="2910BD5A" w14:textId="77777777" w:rsidTr="00344187">
        <w:tc>
          <w:tcPr>
            <w:tcW w:w="3256" w:type="dxa"/>
            <w:tcBorders>
              <w:top w:val="single" w:sz="4" w:space="0" w:color="auto"/>
              <w:left w:val="single" w:sz="4" w:space="0" w:color="auto"/>
              <w:bottom w:val="single" w:sz="4" w:space="0" w:color="auto"/>
              <w:right w:val="single" w:sz="4" w:space="0" w:color="auto"/>
            </w:tcBorders>
            <w:hideMark/>
          </w:tcPr>
          <w:p w14:paraId="179335F3" w14:textId="77777777" w:rsidR="00344187" w:rsidRDefault="00344187" w:rsidP="00344187">
            <w:pPr>
              <w:spacing w:after="0"/>
              <w:rPr>
                <w:rFonts w:ascii="Arial Narrow" w:hAnsi="Arial Narrow"/>
                <w:sz w:val="20"/>
              </w:rPr>
            </w:pPr>
            <w:r>
              <w:rPr>
                <w:rFonts w:ascii="Arial Narrow" w:hAnsi="Arial Narrow" w:cs="Arial"/>
                <w:sz w:val="20"/>
              </w:rPr>
              <w:t>Financial implications to the PBS</w:t>
            </w:r>
          </w:p>
        </w:tc>
        <w:tc>
          <w:tcPr>
            <w:tcW w:w="1189" w:type="dxa"/>
            <w:tcBorders>
              <w:top w:val="single" w:sz="4" w:space="0" w:color="auto"/>
              <w:left w:val="single" w:sz="4" w:space="0" w:color="auto"/>
              <w:bottom w:val="single" w:sz="4" w:space="0" w:color="auto"/>
              <w:right w:val="single" w:sz="4" w:space="0" w:color="auto"/>
            </w:tcBorders>
            <w:vAlign w:val="center"/>
          </w:tcPr>
          <w:p w14:paraId="058958C3"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011EEE23"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1AA25829"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611CCD26"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c>
          <w:tcPr>
            <w:tcW w:w="1190" w:type="dxa"/>
            <w:tcBorders>
              <w:top w:val="single" w:sz="4" w:space="0" w:color="auto"/>
              <w:left w:val="single" w:sz="4" w:space="0" w:color="auto"/>
              <w:bottom w:val="single" w:sz="4" w:space="0" w:color="auto"/>
              <w:right w:val="single" w:sz="4" w:space="0" w:color="auto"/>
            </w:tcBorders>
            <w:vAlign w:val="center"/>
          </w:tcPr>
          <w:p w14:paraId="28F70F3F"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$0</w:t>
            </w:r>
          </w:p>
        </w:tc>
      </w:tr>
      <w:tr w:rsidR="00344187" w14:paraId="0711F160" w14:textId="77777777" w:rsidTr="00344187">
        <w:tc>
          <w:tcPr>
            <w:tcW w:w="3256" w:type="dxa"/>
            <w:tcBorders>
              <w:top w:val="single" w:sz="4" w:space="0" w:color="auto"/>
              <w:left w:val="single" w:sz="4" w:space="0" w:color="auto"/>
              <w:bottom w:val="single" w:sz="4" w:space="0" w:color="auto"/>
              <w:right w:val="single" w:sz="4" w:space="0" w:color="auto"/>
            </w:tcBorders>
            <w:hideMark/>
          </w:tcPr>
          <w:p w14:paraId="023CFAE5" w14:textId="77777777" w:rsidR="00344187" w:rsidRDefault="00344187" w:rsidP="00344187">
            <w:pPr>
              <w:spacing w:after="0"/>
              <w:rPr>
                <w:rFonts w:ascii="Arial Narrow" w:hAnsi="Arial Narrow"/>
                <w:sz w:val="20"/>
              </w:rPr>
            </w:pPr>
            <w:r>
              <w:rPr>
                <w:rFonts w:ascii="Arial Narrow" w:hAnsi="Arial Narrow" w:cs="Arial"/>
                <w:sz w:val="20"/>
              </w:rPr>
              <w:t>Financial implications to the Government</w:t>
            </w:r>
          </w:p>
        </w:tc>
        <w:tc>
          <w:tcPr>
            <w:tcW w:w="1189" w:type="dxa"/>
            <w:tcBorders>
              <w:top w:val="single" w:sz="4" w:space="0" w:color="auto"/>
              <w:left w:val="single" w:sz="4" w:space="0" w:color="auto"/>
              <w:bottom w:val="single" w:sz="4" w:space="0" w:color="auto"/>
              <w:right w:val="single" w:sz="4" w:space="0" w:color="auto"/>
            </w:tcBorders>
            <w:vAlign w:val="bottom"/>
          </w:tcPr>
          <w:p w14:paraId="7871C475"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$1,609,638</w:t>
            </w:r>
          </w:p>
        </w:tc>
        <w:tc>
          <w:tcPr>
            <w:tcW w:w="1190" w:type="dxa"/>
            <w:tcBorders>
              <w:top w:val="single" w:sz="4" w:space="0" w:color="auto"/>
              <w:left w:val="single" w:sz="4" w:space="0" w:color="auto"/>
              <w:bottom w:val="single" w:sz="4" w:space="0" w:color="auto"/>
              <w:right w:val="single" w:sz="4" w:space="0" w:color="auto"/>
            </w:tcBorders>
            <w:vAlign w:val="bottom"/>
          </w:tcPr>
          <w:p w14:paraId="3F8AAF39"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$1,474,730</w:t>
            </w:r>
          </w:p>
        </w:tc>
        <w:tc>
          <w:tcPr>
            <w:tcW w:w="1190" w:type="dxa"/>
            <w:tcBorders>
              <w:top w:val="single" w:sz="4" w:space="0" w:color="auto"/>
              <w:left w:val="single" w:sz="4" w:space="0" w:color="auto"/>
              <w:bottom w:val="single" w:sz="4" w:space="0" w:color="auto"/>
              <w:right w:val="single" w:sz="4" w:space="0" w:color="auto"/>
            </w:tcBorders>
            <w:vAlign w:val="bottom"/>
          </w:tcPr>
          <w:p w14:paraId="4670EBB5"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$1,623,566</w:t>
            </w:r>
          </w:p>
        </w:tc>
        <w:tc>
          <w:tcPr>
            <w:tcW w:w="1190" w:type="dxa"/>
            <w:tcBorders>
              <w:top w:val="single" w:sz="4" w:space="0" w:color="auto"/>
              <w:left w:val="single" w:sz="4" w:space="0" w:color="auto"/>
              <w:bottom w:val="single" w:sz="4" w:space="0" w:color="auto"/>
              <w:right w:val="single" w:sz="4" w:space="0" w:color="auto"/>
            </w:tcBorders>
            <w:vAlign w:val="bottom"/>
          </w:tcPr>
          <w:p w14:paraId="750F5BF6"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$1,459,215</w:t>
            </w:r>
          </w:p>
        </w:tc>
        <w:tc>
          <w:tcPr>
            <w:tcW w:w="1190" w:type="dxa"/>
            <w:tcBorders>
              <w:top w:val="single" w:sz="4" w:space="0" w:color="auto"/>
              <w:left w:val="single" w:sz="4" w:space="0" w:color="auto"/>
              <w:bottom w:val="single" w:sz="4" w:space="0" w:color="auto"/>
              <w:right w:val="single" w:sz="4" w:space="0" w:color="auto"/>
            </w:tcBorders>
            <w:vAlign w:val="bottom"/>
          </w:tcPr>
          <w:p w14:paraId="6947EB12" w14:textId="77777777" w:rsidR="00344187" w:rsidRDefault="00344187" w:rsidP="00344187">
            <w:pPr>
              <w:spacing w:after="0"/>
              <w:jc w:val="center"/>
              <w:rPr>
                <w:rFonts w:ascii="Arial Narrow" w:hAnsi="Arial Narrow"/>
                <w:sz w:val="20"/>
              </w:rPr>
            </w:pPr>
            <w:r w:rsidRPr="009A08EC">
              <w:rPr>
                <w:rFonts w:ascii="Arial Narrow" w:hAnsi="Arial Narrow" w:cs="Calibri"/>
                <w:sz w:val="20"/>
              </w:rPr>
              <w:t>$1,743,055</w:t>
            </w:r>
          </w:p>
        </w:tc>
      </w:tr>
    </w:tbl>
    <w:p w14:paraId="5665AF90" w14:textId="77777777" w:rsidR="00344187" w:rsidRDefault="00344187" w:rsidP="00344187">
      <w:pPr>
        <w:pStyle w:val="Tablenotes1"/>
      </w:pPr>
      <w:r>
        <w:t xml:space="preserve">IVF = </w:t>
      </w:r>
      <w:r w:rsidRPr="00E975D9">
        <w:rPr>
          <w:i/>
        </w:rPr>
        <w:t>in vitro</w:t>
      </w:r>
      <w:r>
        <w:t xml:space="preserve"> fertilisation; MBS = Medicare Benefits Schedule; PBS = Pharmaceutical Benefits Schedule; WGS = Whole genome sequencing</w:t>
      </w:r>
    </w:p>
    <w:p w14:paraId="160D104A" w14:textId="77777777" w:rsidR="00344187" w:rsidRDefault="00344187" w:rsidP="00344187">
      <w:pPr>
        <w:pStyle w:val="Tablenotes1"/>
        <w:rPr>
          <w:rFonts w:cstheme="minorBidi"/>
        </w:rPr>
      </w:pPr>
      <w:r>
        <w:t>Source: DCAR Table 18, as revised in the rejoinder.</w:t>
      </w:r>
    </w:p>
    <w:p w14:paraId="0E36ACB8" w14:textId="77777777" w:rsidR="00344187" w:rsidRDefault="00344187" w:rsidP="00344187">
      <w:r>
        <w:t>For population 2, t</w:t>
      </w:r>
      <w:r w:rsidRPr="00186A28">
        <w:t>he estimated total financial implication to the Government was $265,682 over five years</w:t>
      </w:r>
      <w:r>
        <w:t xml:space="preserve"> (</w:t>
      </w:r>
      <w:fldSimple w:instr=" REF _Ref61272296 ">
        <w:r>
          <w:t xml:space="preserve">Table </w:t>
        </w:r>
        <w:r>
          <w:rPr>
            <w:noProof/>
          </w:rPr>
          <w:t>24</w:t>
        </w:r>
      </w:fldSimple>
      <w:r>
        <w:t>).</w:t>
      </w:r>
    </w:p>
    <w:p w14:paraId="628CCD68" w14:textId="5F21D4C3" w:rsidR="00344187" w:rsidRDefault="00344187" w:rsidP="00344187">
      <w:pPr>
        <w:pStyle w:val="Caption"/>
        <w:jc w:val="left"/>
      </w:pPr>
      <w:bookmarkStart w:id="40" w:name="_Ref61272296"/>
      <w:r>
        <w:t xml:space="preserve">Table </w:t>
      </w:r>
      <w:fldSimple w:instr=" SEQ Table \* ARABIC ">
        <w:r w:rsidR="00627B6A">
          <w:rPr>
            <w:noProof/>
          </w:rPr>
          <w:t>24</w:t>
        </w:r>
      </w:fldSimple>
      <w:bookmarkEnd w:id="40"/>
      <w:r>
        <w:t xml:space="preserve"> </w:t>
      </w:r>
      <w:r>
        <w:tab/>
        <w:t>Estimated number of population 2 patients that are likely to receive WGS and the financial implications to the MBS, PBS, and the Government</w:t>
      </w:r>
    </w:p>
    <w:tbl>
      <w:tblPr>
        <w:tblStyle w:val="TableGrid1"/>
        <w:tblW w:w="9209" w:type="dxa"/>
        <w:tblLayout w:type="fixed"/>
        <w:tblLook w:val="04A0" w:firstRow="1" w:lastRow="0" w:firstColumn="1" w:lastColumn="0" w:noHBand="0" w:noVBand="1"/>
        <w:tblDescription w:val="Estimated number of population 2 patients that are likely to receive WGS and the financial implications to the MBS, PBS, and the Government"/>
      </w:tblPr>
      <w:tblGrid>
        <w:gridCol w:w="3256"/>
        <w:gridCol w:w="1190"/>
        <w:gridCol w:w="1191"/>
        <w:gridCol w:w="1190"/>
        <w:gridCol w:w="1191"/>
        <w:gridCol w:w="1191"/>
      </w:tblGrid>
      <w:tr w:rsidR="00344187" w14:paraId="0F8364C1" w14:textId="77777777" w:rsidTr="005E3F29">
        <w:trPr>
          <w:trHeight w:val="20"/>
          <w:tblHeader/>
        </w:trPr>
        <w:tc>
          <w:tcPr>
            <w:tcW w:w="3256" w:type="dxa"/>
            <w:noWrap/>
            <w:hideMark/>
          </w:tcPr>
          <w:p w14:paraId="4EB10252" w14:textId="77777777" w:rsidR="00344187" w:rsidRDefault="00344187" w:rsidP="00344187">
            <w:pPr>
              <w:widowControl w:val="0"/>
              <w:spacing w:after="0"/>
              <w:rPr>
                <w:rFonts w:ascii="Arial Narrow" w:hAnsi="Arial Narrow" w:cs="Arial"/>
                <w:b/>
                <w:bCs/>
                <w:i/>
                <w:iCs/>
                <w:color w:val="000000"/>
                <w:sz w:val="20"/>
              </w:rPr>
            </w:pPr>
            <w:r>
              <w:rPr>
                <w:rFonts w:ascii="Arial Narrow" w:hAnsi="Arial Narrow"/>
                <w:b/>
                <w:bCs/>
                <w:sz w:val="20"/>
              </w:rPr>
              <w:t>Description</w:t>
            </w:r>
          </w:p>
        </w:tc>
        <w:tc>
          <w:tcPr>
            <w:tcW w:w="1190" w:type="dxa"/>
            <w:noWrap/>
            <w:hideMark/>
          </w:tcPr>
          <w:p w14:paraId="77B2E112" w14:textId="77777777" w:rsidR="00344187" w:rsidRDefault="00344187" w:rsidP="00344187">
            <w:pPr>
              <w:widowControl w:val="0"/>
              <w:spacing w:after="0"/>
              <w:jc w:val="center"/>
              <w:rPr>
                <w:rFonts w:ascii="Arial Narrow" w:hAnsi="Arial Narrow" w:cs="Arial"/>
                <w:b/>
                <w:bCs/>
                <w:color w:val="000000"/>
                <w:sz w:val="20"/>
              </w:rPr>
            </w:pPr>
            <w:r>
              <w:rPr>
                <w:rFonts w:ascii="Arial Narrow" w:hAnsi="Arial Narrow" w:cs="Arial"/>
                <w:b/>
                <w:bCs/>
                <w:sz w:val="20"/>
              </w:rPr>
              <w:t>2021-2022</w:t>
            </w:r>
          </w:p>
        </w:tc>
        <w:tc>
          <w:tcPr>
            <w:tcW w:w="1191" w:type="dxa"/>
            <w:noWrap/>
            <w:hideMark/>
          </w:tcPr>
          <w:p w14:paraId="24717537" w14:textId="77777777" w:rsidR="00344187" w:rsidRDefault="00344187" w:rsidP="00344187">
            <w:pPr>
              <w:widowControl w:val="0"/>
              <w:spacing w:after="0"/>
              <w:jc w:val="center"/>
              <w:rPr>
                <w:rFonts w:ascii="Arial Narrow" w:hAnsi="Arial Narrow" w:cs="Arial"/>
                <w:b/>
                <w:bCs/>
                <w:color w:val="000000"/>
                <w:sz w:val="20"/>
              </w:rPr>
            </w:pPr>
            <w:r>
              <w:rPr>
                <w:rFonts w:ascii="Arial Narrow" w:hAnsi="Arial Narrow" w:cs="Arial"/>
                <w:b/>
                <w:bCs/>
                <w:sz w:val="20"/>
              </w:rPr>
              <w:t>2022-2023</w:t>
            </w:r>
          </w:p>
        </w:tc>
        <w:tc>
          <w:tcPr>
            <w:tcW w:w="1190" w:type="dxa"/>
            <w:noWrap/>
            <w:hideMark/>
          </w:tcPr>
          <w:p w14:paraId="2FAA7441" w14:textId="77777777" w:rsidR="00344187" w:rsidRDefault="00344187" w:rsidP="00344187">
            <w:pPr>
              <w:widowControl w:val="0"/>
              <w:spacing w:after="0"/>
              <w:jc w:val="center"/>
              <w:rPr>
                <w:rFonts w:ascii="Arial Narrow" w:hAnsi="Arial Narrow" w:cs="Arial"/>
                <w:b/>
                <w:bCs/>
                <w:color w:val="000000"/>
                <w:sz w:val="20"/>
              </w:rPr>
            </w:pPr>
            <w:r>
              <w:rPr>
                <w:rFonts w:ascii="Arial Narrow" w:hAnsi="Arial Narrow" w:cs="Arial"/>
                <w:b/>
                <w:bCs/>
                <w:sz w:val="20"/>
              </w:rPr>
              <w:t>2023-2024</w:t>
            </w:r>
          </w:p>
        </w:tc>
        <w:tc>
          <w:tcPr>
            <w:tcW w:w="1191" w:type="dxa"/>
            <w:noWrap/>
            <w:hideMark/>
          </w:tcPr>
          <w:p w14:paraId="393AC113" w14:textId="77777777" w:rsidR="00344187" w:rsidRDefault="00344187" w:rsidP="00344187">
            <w:pPr>
              <w:widowControl w:val="0"/>
              <w:spacing w:after="0"/>
              <w:jc w:val="center"/>
              <w:rPr>
                <w:rFonts w:ascii="Arial Narrow" w:hAnsi="Arial Narrow" w:cs="Arial"/>
                <w:b/>
                <w:bCs/>
                <w:color w:val="000000"/>
                <w:sz w:val="20"/>
              </w:rPr>
            </w:pPr>
            <w:r>
              <w:rPr>
                <w:rFonts w:ascii="Arial Narrow" w:hAnsi="Arial Narrow" w:cs="Arial"/>
                <w:b/>
                <w:bCs/>
                <w:sz w:val="20"/>
              </w:rPr>
              <w:t>2024-2025</w:t>
            </w:r>
          </w:p>
        </w:tc>
        <w:tc>
          <w:tcPr>
            <w:tcW w:w="1191" w:type="dxa"/>
            <w:noWrap/>
            <w:hideMark/>
          </w:tcPr>
          <w:p w14:paraId="1E0DB91E" w14:textId="77777777" w:rsidR="00344187" w:rsidRDefault="00344187" w:rsidP="00344187">
            <w:pPr>
              <w:widowControl w:val="0"/>
              <w:spacing w:after="0"/>
              <w:jc w:val="center"/>
              <w:rPr>
                <w:rFonts w:ascii="Arial Narrow" w:hAnsi="Arial Narrow" w:cs="Arial"/>
                <w:b/>
                <w:bCs/>
                <w:color w:val="000000"/>
                <w:sz w:val="20"/>
              </w:rPr>
            </w:pPr>
            <w:r>
              <w:rPr>
                <w:rFonts w:ascii="Arial Narrow" w:hAnsi="Arial Narrow" w:cs="Arial"/>
                <w:b/>
                <w:bCs/>
                <w:sz w:val="20"/>
              </w:rPr>
              <w:t>2025-2026</w:t>
            </w:r>
          </w:p>
        </w:tc>
      </w:tr>
      <w:tr w:rsidR="00344187" w14:paraId="7CC5F43F" w14:textId="77777777" w:rsidTr="005E3F29">
        <w:trPr>
          <w:trHeight w:val="20"/>
        </w:trPr>
        <w:tc>
          <w:tcPr>
            <w:tcW w:w="3256" w:type="dxa"/>
            <w:hideMark/>
          </w:tcPr>
          <w:p w14:paraId="3EBD0413" w14:textId="77777777" w:rsidR="00344187" w:rsidRDefault="00344187" w:rsidP="00344187">
            <w:pPr>
              <w:spacing w:after="0"/>
              <w:rPr>
                <w:rFonts w:ascii="Arial Narrow" w:hAnsi="Arial Narrow" w:cs="Calibri"/>
                <w:color w:val="000000"/>
                <w:sz w:val="20"/>
              </w:rPr>
            </w:pPr>
            <w:r>
              <w:rPr>
                <w:rFonts w:ascii="Arial Narrow" w:hAnsi="Arial Narrow" w:cs="Calibri"/>
                <w:color w:val="000000"/>
                <w:sz w:val="20"/>
              </w:rPr>
              <w:t>Total number of patients likely to require WGS each year</w:t>
            </w:r>
          </w:p>
        </w:tc>
        <w:tc>
          <w:tcPr>
            <w:tcW w:w="1190" w:type="dxa"/>
            <w:noWrap/>
            <w:hideMark/>
          </w:tcPr>
          <w:p w14:paraId="74521D13"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 xml:space="preserve">27 </w:t>
            </w:r>
          </w:p>
        </w:tc>
        <w:tc>
          <w:tcPr>
            <w:tcW w:w="1191" w:type="dxa"/>
            <w:noWrap/>
            <w:hideMark/>
          </w:tcPr>
          <w:p w14:paraId="0D324962"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 xml:space="preserve">25 </w:t>
            </w:r>
          </w:p>
        </w:tc>
        <w:tc>
          <w:tcPr>
            <w:tcW w:w="1190" w:type="dxa"/>
            <w:noWrap/>
            <w:hideMark/>
          </w:tcPr>
          <w:p w14:paraId="5D35E23B"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 xml:space="preserve">28 </w:t>
            </w:r>
          </w:p>
        </w:tc>
        <w:tc>
          <w:tcPr>
            <w:tcW w:w="1191" w:type="dxa"/>
            <w:noWrap/>
            <w:hideMark/>
          </w:tcPr>
          <w:p w14:paraId="7734E306"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 xml:space="preserve">25 </w:t>
            </w:r>
          </w:p>
        </w:tc>
        <w:tc>
          <w:tcPr>
            <w:tcW w:w="1191" w:type="dxa"/>
            <w:noWrap/>
            <w:hideMark/>
          </w:tcPr>
          <w:p w14:paraId="42F6451B"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 xml:space="preserve">28 </w:t>
            </w:r>
          </w:p>
        </w:tc>
      </w:tr>
      <w:tr w:rsidR="00344187" w14:paraId="4BBA2BB4" w14:textId="77777777" w:rsidTr="005E3F29">
        <w:trPr>
          <w:trHeight w:val="20"/>
        </w:trPr>
        <w:tc>
          <w:tcPr>
            <w:tcW w:w="3256" w:type="dxa"/>
            <w:hideMark/>
          </w:tcPr>
          <w:p w14:paraId="5138141D" w14:textId="77777777" w:rsidR="00344187" w:rsidRDefault="00344187" w:rsidP="00344187">
            <w:pPr>
              <w:spacing w:after="0"/>
              <w:rPr>
                <w:rFonts w:ascii="Arial Narrow" w:hAnsi="Arial Narrow" w:cs="Calibri"/>
                <w:color w:val="000000"/>
                <w:sz w:val="20"/>
              </w:rPr>
            </w:pPr>
            <w:r>
              <w:rPr>
                <w:rFonts w:ascii="Arial Narrow" w:hAnsi="Arial Narrow" w:cs="Calibri"/>
                <w:color w:val="000000"/>
                <w:sz w:val="20"/>
              </w:rPr>
              <w:t>Cost of WGS</w:t>
            </w:r>
          </w:p>
        </w:tc>
        <w:tc>
          <w:tcPr>
            <w:tcW w:w="1190" w:type="dxa"/>
            <w:noWrap/>
            <w:hideMark/>
          </w:tcPr>
          <w:p w14:paraId="6F6886DB"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$55,906</w:t>
            </w:r>
          </w:p>
        </w:tc>
        <w:tc>
          <w:tcPr>
            <w:tcW w:w="1191" w:type="dxa"/>
            <w:noWrap/>
            <w:hideMark/>
          </w:tcPr>
          <w:p w14:paraId="180A7619"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$51,246</w:t>
            </w:r>
          </w:p>
        </w:tc>
        <w:tc>
          <w:tcPr>
            <w:tcW w:w="1190" w:type="dxa"/>
            <w:noWrap/>
            <w:hideMark/>
          </w:tcPr>
          <w:p w14:paraId="64615E58"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$56,439</w:t>
            </w:r>
          </w:p>
        </w:tc>
        <w:tc>
          <w:tcPr>
            <w:tcW w:w="1191" w:type="dxa"/>
            <w:noWrap/>
            <w:hideMark/>
          </w:tcPr>
          <w:p w14:paraId="066D37D4"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$50,644</w:t>
            </w:r>
          </w:p>
        </w:tc>
        <w:tc>
          <w:tcPr>
            <w:tcW w:w="1191" w:type="dxa"/>
            <w:noWrap/>
            <w:hideMark/>
          </w:tcPr>
          <w:p w14:paraId="27037C09"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$56,788</w:t>
            </w:r>
          </w:p>
        </w:tc>
      </w:tr>
      <w:tr w:rsidR="00344187" w14:paraId="22D50B9F" w14:textId="77777777" w:rsidTr="005E3F29">
        <w:trPr>
          <w:trHeight w:val="20"/>
        </w:trPr>
        <w:tc>
          <w:tcPr>
            <w:tcW w:w="3256" w:type="dxa"/>
          </w:tcPr>
          <w:p w14:paraId="402B6857" w14:textId="77777777" w:rsidR="00344187" w:rsidRDefault="00344187" w:rsidP="00344187">
            <w:pPr>
              <w:spacing w:after="0"/>
              <w:rPr>
                <w:rFonts w:ascii="Arial Narrow" w:hAnsi="Arial Narrow" w:cs="Calibri"/>
                <w:color w:val="000000"/>
                <w:sz w:val="20"/>
              </w:rPr>
            </w:pPr>
            <w:r w:rsidRPr="00067F33">
              <w:rPr>
                <w:rFonts w:ascii="Arial Narrow" w:hAnsi="Arial Narrow" w:cs="Calibri"/>
                <w:color w:val="000000"/>
                <w:sz w:val="20"/>
              </w:rPr>
              <w:t xml:space="preserve">Cost of the reinterrogation test (with a negative WGS </w:t>
            </w:r>
            <w:r>
              <w:rPr>
                <w:rFonts w:ascii="Arial Narrow" w:hAnsi="Arial Narrow" w:cs="Calibri"/>
                <w:color w:val="000000"/>
                <w:sz w:val="20"/>
              </w:rPr>
              <w:t>result</w:t>
            </w:r>
            <w:r w:rsidRPr="00067F33">
              <w:rPr>
                <w:rFonts w:ascii="Arial Narrow" w:hAnsi="Arial Narrow" w:cs="Calibri"/>
                <w:color w:val="000000"/>
                <w:sz w:val="20"/>
              </w:rPr>
              <w:t xml:space="preserve">) </w:t>
            </w:r>
          </w:p>
        </w:tc>
        <w:tc>
          <w:tcPr>
            <w:tcW w:w="1190" w:type="dxa"/>
            <w:noWrap/>
          </w:tcPr>
          <w:p w14:paraId="5C4EA42D"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$0</w:t>
            </w:r>
          </w:p>
        </w:tc>
        <w:tc>
          <w:tcPr>
            <w:tcW w:w="1191" w:type="dxa"/>
            <w:noWrap/>
          </w:tcPr>
          <w:p w14:paraId="4FFD32A1"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$0</w:t>
            </w:r>
          </w:p>
        </w:tc>
        <w:tc>
          <w:tcPr>
            <w:tcW w:w="1190" w:type="dxa"/>
            <w:noWrap/>
          </w:tcPr>
          <w:p w14:paraId="3F8C33FD"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$0</w:t>
            </w:r>
          </w:p>
        </w:tc>
        <w:tc>
          <w:tcPr>
            <w:tcW w:w="1191" w:type="dxa"/>
            <w:noWrap/>
          </w:tcPr>
          <w:p w14:paraId="00B3412A"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$0</w:t>
            </w:r>
          </w:p>
        </w:tc>
        <w:tc>
          <w:tcPr>
            <w:tcW w:w="1191" w:type="dxa"/>
            <w:noWrap/>
          </w:tcPr>
          <w:p w14:paraId="77D789F9"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$11,767</w:t>
            </w:r>
          </w:p>
        </w:tc>
      </w:tr>
      <w:tr w:rsidR="00344187" w14:paraId="17F5EF84" w14:textId="77777777" w:rsidTr="005E3F29">
        <w:trPr>
          <w:trHeight w:val="20"/>
        </w:trPr>
        <w:tc>
          <w:tcPr>
            <w:tcW w:w="3256" w:type="dxa"/>
            <w:hideMark/>
          </w:tcPr>
          <w:p w14:paraId="622BA302" w14:textId="77777777" w:rsidR="00344187" w:rsidRDefault="00344187" w:rsidP="00344187">
            <w:pPr>
              <w:spacing w:after="0"/>
              <w:rPr>
                <w:rFonts w:ascii="Arial Narrow" w:hAnsi="Arial Narrow" w:cs="Calibri"/>
                <w:b/>
                <w:bCs/>
                <w:color w:val="000000"/>
                <w:sz w:val="20"/>
              </w:rPr>
            </w:pPr>
            <w:r>
              <w:rPr>
                <w:rFonts w:ascii="Arial Narrow" w:hAnsi="Arial Narrow"/>
                <w:sz w:val="20"/>
              </w:rPr>
              <w:t>Other cost to the MBS</w:t>
            </w:r>
          </w:p>
        </w:tc>
        <w:tc>
          <w:tcPr>
            <w:tcW w:w="1190" w:type="dxa"/>
            <w:noWrap/>
            <w:hideMark/>
          </w:tcPr>
          <w:p w14:paraId="3F19722C"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-$1,547</w:t>
            </w:r>
          </w:p>
        </w:tc>
        <w:tc>
          <w:tcPr>
            <w:tcW w:w="1191" w:type="dxa"/>
            <w:noWrap/>
            <w:hideMark/>
          </w:tcPr>
          <w:p w14:paraId="4E3DD1C8"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-$1,768</w:t>
            </w:r>
          </w:p>
        </w:tc>
        <w:tc>
          <w:tcPr>
            <w:tcW w:w="1190" w:type="dxa"/>
            <w:noWrap/>
            <w:hideMark/>
          </w:tcPr>
          <w:p w14:paraId="34A5D0A8"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-$2,233</w:t>
            </w:r>
          </w:p>
        </w:tc>
        <w:tc>
          <w:tcPr>
            <w:tcW w:w="1191" w:type="dxa"/>
            <w:noWrap/>
            <w:hideMark/>
          </w:tcPr>
          <w:p w14:paraId="58427F31"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-$2,426</w:t>
            </w:r>
          </w:p>
        </w:tc>
        <w:tc>
          <w:tcPr>
            <w:tcW w:w="1191" w:type="dxa"/>
            <w:noWrap/>
            <w:hideMark/>
          </w:tcPr>
          <w:p w14:paraId="0A16638E"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-$2,910</w:t>
            </w:r>
          </w:p>
        </w:tc>
      </w:tr>
      <w:tr w:rsidR="00344187" w14:paraId="5D53A1BD" w14:textId="77777777" w:rsidTr="005E3F29">
        <w:trPr>
          <w:trHeight w:val="20"/>
        </w:trPr>
        <w:tc>
          <w:tcPr>
            <w:tcW w:w="3256" w:type="dxa"/>
            <w:hideMark/>
          </w:tcPr>
          <w:p w14:paraId="50F265E1" w14:textId="77777777" w:rsidR="00344187" w:rsidRDefault="00344187" w:rsidP="00344187">
            <w:pPr>
              <w:spacing w:after="0"/>
              <w:rPr>
                <w:rFonts w:ascii="Arial Narrow" w:hAnsi="Arial Narrow" w:cs="Calibri"/>
                <w:b/>
                <w:bCs/>
                <w:color w:val="000000"/>
                <w:sz w:val="20"/>
              </w:rPr>
            </w:pPr>
            <w:r>
              <w:rPr>
                <w:rFonts w:ascii="Arial Narrow" w:hAnsi="Arial Narrow" w:cs="Arial"/>
                <w:sz w:val="20"/>
              </w:rPr>
              <w:t>Financial implications</w:t>
            </w:r>
            <w:r>
              <w:rPr>
                <w:rFonts w:ascii="Arial Narrow" w:hAnsi="Arial Narrow" w:cs="Calibri"/>
                <w:color w:val="000000"/>
                <w:sz w:val="20"/>
              </w:rPr>
              <w:t xml:space="preserve"> to the PBS</w:t>
            </w:r>
          </w:p>
        </w:tc>
        <w:tc>
          <w:tcPr>
            <w:tcW w:w="1190" w:type="dxa"/>
            <w:noWrap/>
            <w:hideMark/>
          </w:tcPr>
          <w:p w14:paraId="7E3B5B26"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-$833</w:t>
            </w:r>
          </w:p>
        </w:tc>
        <w:tc>
          <w:tcPr>
            <w:tcW w:w="1191" w:type="dxa"/>
            <w:noWrap/>
            <w:hideMark/>
          </w:tcPr>
          <w:p w14:paraId="4624CF05"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-$1,596</w:t>
            </w:r>
          </w:p>
        </w:tc>
        <w:tc>
          <w:tcPr>
            <w:tcW w:w="1190" w:type="dxa"/>
            <w:noWrap/>
            <w:hideMark/>
          </w:tcPr>
          <w:p w14:paraId="0D26C35E"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-$2,437</w:t>
            </w:r>
          </w:p>
        </w:tc>
        <w:tc>
          <w:tcPr>
            <w:tcW w:w="1191" w:type="dxa"/>
            <w:noWrap/>
            <w:hideMark/>
          </w:tcPr>
          <w:p w14:paraId="2321AABE"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-$3,191</w:t>
            </w:r>
          </w:p>
        </w:tc>
        <w:tc>
          <w:tcPr>
            <w:tcW w:w="1191" w:type="dxa"/>
            <w:noWrap/>
            <w:hideMark/>
          </w:tcPr>
          <w:p w14:paraId="5D9FFA56"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-$4,037</w:t>
            </w:r>
          </w:p>
        </w:tc>
      </w:tr>
      <w:tr w:rsidR="00344187" w14:paraId="41F345B8" w14:textId="77777777" w:rsidTr="005E3F29">
        <w:trPr>
          <w:trHeight w:val="20"/>
        </w:trPr>
        <w:tc>
          <w:tcPr>
            <w:tcW w:w="3256" w:type="dxa"/>
            <w:hideMark/>
          </w:tcPr>
          <w:p w14:paraId="6C70AA19" w14:textId="77777777" w:rsidR="00344187" w:rsidRDefault="00344187" w:rsidP="00344187">
            <w:pPr>
              <w:spacing w:after="0"/>
              <w:rPr>
                <w:rFonts w:ascii="Arial Narrow" w:hAnsi="Arial Narrow" w:cs="Calibri"/>
                <w:b/>
                <w:bCs/>
                <w:color w:val="000000"/>
                <w:sz w:val="20"/>
              </w:rPr>
            </w:pPr>
            <w:r>
              <w:rPr>
                <w:rFonts w:ascii="Arial Narrow" w:hAnsi="Arial Narrow" w:cs="Arial"/>
                <w:sz w:val="20"/>
              </w:rPr>
              <w:t>Financial implications</w:t>
            </w:r>
            <w:r>
              <w:rPr>
                <w:rFonts w:ascii="Arial Narrow" w:hAnsi="Arial Narrow" w:cs="Calibri"/>
                <w:color w:val="000000"/>
                <w:sz w:val="20"/>
              </w:rPr>
              <w:t xml:space="preserve"> to the Government</w:t>
            </w:r>
          </w:p>
        </w:tc>
        <w:tc>
          <w:tcPr>
            <w:tcW w:w="1190" w:type="dxa"/>
            <w:noWrap/>
            <w:hideMark/>
          </w:tcPr>
          <w:p w14:paraId="393A6423"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$53,526</w:t>
            </w:r>
          </w:p>
        </w:tc>
        <w:tc>
          <w:tcPr>
            <w:tcW w:w="1191" w:type="dxa"/>
            <w:noWrap/>
            <w:hideMark/>
          </w:tcPr>
          <w:p w14:paraId="102071A7"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$47,882</w:t>
            </w:r>
          </w:p>
        </w:tc>
        <w:tc>
          <w:tcPr>
            <w:tcW w:w="1190" w:type="dxa"/>
            <w:noWrap/>
            <w:hideMark/>
          </w:tcPr>
          <w:p w14:paraId="47B4CC77"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$51,769</w:t>
            </w:r>
          </w:p>
        </w:tc>
        <w:tc>
          <w:tcPr>
            <w:tcW w:w="1191" w:type="dxa"/>
            <w:noWrap/>
            <w:hideMark/>
          </w:tcPr>
          <w:p w14:paraId="7E14BEED"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$45,027</w:t>
            </w:r>
          </w:p>
        </w:tc>
        <w:tc>
          <w:tcPr>
            <w:tcW w:w="1191" w:type="dxa"/>
            <w:noWrap/>
            <w:hideMark/>
          </w:tcPr>
          <w:p w14:paraId="7CED9829" w14:textId="77777777" w:rsidR="00344187" w:rsidRDefault="00344187" w:rsidP="00344187">
            <w:pPr>
              <w:widowControl w:val="0"/>
              <w:spacing w:after="0"/>
              <w:jc w:val="center"/>
              <w:rPr>
                <w:rFonts w:ascii="Arial Narrow" w:hAnsi="Arial Narrow" w:cs="Calibri"/>
                <w:color w:val="000000"/>
                <w:sz w:val="20"/>
              </w:rPr>
            </w:pPr>
            <w:r w:rsidRPr="009A08EC">
              <w:rPr>
                <w:rFonts w:ascii="Arial Narrow" w:hAnsi="Arial Narrow" w:cs="Calibri"/>
                <w:sz w:val="20"/>
              </w:rPr>
              <w:t>$61,608</w:t>
            </w:r>
          </w:p>
        </w:tc>
      </w:tr>
    </w:tbl>
    <w:p w14:paraId="2CC6822E" w14:textId="77777777" w:rsidR="00344187" w:rsidRDefault="00344187" w:rsidP="00344187">
      <w:pPr>
        <w:pStyle w:val="Tablenotes1"/>
      </w:pPr>
      <w:r>
        <w:t>MBS = Medicare Benefits Schedule; PBS = Pharmaceutical Benefits Schedule; WGS = Whole genome sequencing</w:t>
      </w:r>
    </w:p>
    <w:p w14:paraId="567CEC7C" w14:textId="77777777" w:rsidR="00344187" w:rsidRDefault="00344187" w:rsidP="00344187">
      <w:pPr>
        <w:pStyle w:val="Tablenotes1"/>
        <w:rPr>
          <w:rFonts w:cstheme="minorBidi"/>
        </w:rPr>
      </w:pPr>
      <w:r>
        <w:t>Source: DCAR Table 19 (unchanged in the rejoinder).</w:t>
      </w:r>
    </w:p>
    <w:p w14:paraId="595E342F" w14:textId="78B7D0BC" w:rsidR="00344187" w:rsidRDefault="00344187" w:rsidP="00344187">
      <w:r>
        <w:t xml:space="preserve">For population 3 (cascade testing), the estimated total financial implication to the Government was estimated to be $8.08 million over </w:t>
      </w:r>
      <w:r w:rsidRPr="00D36B56">
        <w:t>five years</w:t>
      </w:r>
      <w:r w:rsidRPr="00186A28">
        <w:t xml:space="preserve"> </w:t>
      </w:r>
      <w:r>
        <w:t>(</w:t>
      </w:r>
      <w:fldSimple w:instr=" REF _Ref61272302 ">
        <w:r>
          <w:t xml:space="preserve">Table </w:t>
        </w:r>
        <w:r>
          <w:rPr>
            <w:noProof/>
          </w:rPr>
          <w:t>25</w:t>
        </w:r>
      </w:fldSimple>
      <w:r w:rsidR="002C5532">
        <w:t>).</w:t>
      </w:r>
    </w:p>
    <w:p w14:paraId="0E04CDB6" w14:textId="154D245B" w:rsidR="00344187" w:rsidRDefault="00344187" w:rsidP="00344187">
      <w:pPr>
        <w:pStyle w:val="Caption"/>
        <w:jc w:val="left"/>
      </w:pPr>
      <w:bookmarkStart w:id="41" w:name="_Ref61272302"/>
      <w:r>
        <w:lastRenderedPageBreak/>
        <w:t xml:space="preserve">Table </w:t>
      </w:r>
      <w:fldSimple w:instr=" SEQ Table \* ARABIC ">
        <w:r w:rsidR="00627B6A">
          <w:rPr>
            <w:noProof/>
          </w:rPr>
          <w:t>25</w:t>
        </w:r>
      </w:fldSimple>
      <w:bookmarkEnd w:id="41"/>
      <w:r>
        <w:t xml:space="preserve"> </w:t>
      </w:r>
      <w:r>
        <w:tab/>
        <w:t>Estimated number of population 3 individuals that are likely to receive cascade testing and the financial implications to the MBS, PBS, and the Government</w:t>
      </w:r>
    </w:p>
    <w:tbl>
      <w:tblPr>
        <w:tblStyle w:val="TableGrid1"/>
        <w:tblW w:w="9209" w:type="dxa"/>
        <w:tblLayout w:type="fixed"/>
        <w:tblLook w:val="04A0" w:firstRow="1" w:lastRow="0" w:firstColumn="1" w:lastColumn="0" w:noHBand="0" w:noVBand="1"/>
        <w:tblDescription w:val="Estimated number of population 3 individuals that are likely to receive cascade testing and the financial implications to the MBS, PBS, and the Government"/>
      </w:tblPr>
      <w:tblGrid>
        <w:gridCol w:w="3256"/>
        <w:gridCol w:w="1190"/>
        <w:gridCol w:w="1191"/>
        <w:gridCol w:w="1190"/>
        <w:gridCol w:w="1191"/>
        <w:gridCol w:w="1191"/>
      </w:tblGrid>
      <w:tr w:rsidR="00344187" w14:paraId="2D4019C2" w14:textId="77777777" w:rsidTr="005E3F29">
        <w:trPr>
          <w:trHeight w:val="207"/>
          <w:tblHeader/>
        </w:trPr>
        <w:tc>
          <w:tcPr>
            <w:tcW w:w="3256" w:type="dxa"/>
          </w:tcPr>
          <w:p w14:paraId="69548267" w14:textId="77777777" w:rsidR="00344187" w:rsidRPr="007F3545" w:rsidRDefault="00344187" w:rsidP="00344187">
            <w:pPr>
              <w:widowControl w:val="0"/>
              <w:spacing w:after="0"/>
              <w:rPr>
                <w:rFonts w:ascii="Arial Narrow" w:hAnsi="Arial Narrow" w:cs="Calibri"/>
                <w:b/>
                <w:color w:val="000000"/>
                <w:sz w:val="20"/>
              </w:rPr>
            </w:pPr>
            <w:r w:rsidRPr="007F3545">
              <w:rPr>
                <w:rFonts w:ascii="Arial Narrow" w:hAnsi="Arial Narrow" w:cs="Calibri"/>
                <w:b/>
                <w:color w:val="000000"/>
                <w:sz w:val="20"/>
              </w:rPr>
              <w:t>D</w:t>
            </w:r>
            <w:r w:rsidRPr="00FB1E57">
              <w:rPr>
                <w:rFonts w:ascii="Arial Narrow" w:hAnsi="Arial Narrow"/>
                <w:b/>
                <w:bCs/>
                <w:sz w:val="20"/>
              </w:rPr>
              <w:t>escription</w:t>
            </w:r>
          </w:p>
        </w:tc>
        <w:tc>
          <w:tcPr>
            <w:tcW w:w="1190" w:type="dxa"/>
            <w:noWrap/>
            <w:hideMark/>
          </w:tcPr>
          <w:p w14:paraId="6A1B879A" w14:textId="77777777" w:rsidR="00344187" w:rsidRDefault="00344187" w:rsidP="00344187">
            <w:pPr>
              <w:keepNext/>
              <w:spacing w:after="0"/>
              <w:jc w:val="center"/>
              <w:rPr>
                <w:rFonts w:ascii="Arial Narrow" w:hAnsi="Arial Narrow" w:cs="Calibri"/>
                <w:color w:val="000000"/>
                <w:sz w:val="20"/>
              </w:rPr>
            </w:pPr>
            <w:r>
              <w:rPr>
                <w:rFonts w:ascii="Arial Narrow" w:hAnsi="Arial Narrow" w:cs="Arial"/>
                <w:b/>
                <w:bCs/>
                <w:sz w:val="20"/>
              </w:rPr>
              <w:t>2021</w:t>
            </w:r>
          </w:p>
        </w:tc>
        <w:tc>
          <w:tcPr>
            <w:tcW w:w="1191" w:type="dxa"/>
            <w:noWrap/>
            <w:hideMark/>
          </w:tcPr>
          <w:p w14:paraId="3D2E0526" w14:textId="77777777" w:rsidR="00344187" w:rsidRDefault="00344187" w:rsidP="00344187">
            <w:pPr>
              <w:keepNext/>
              <w:spacing w:after="0"/>
              <w:jc w:val="center"/>
              <w:rPr>
                <w:rFonts w:ascii="Arial Narrow" w:hAnsi="Arial Narrow" w:cs="Calibri"/>
                <w:color w:val="000000"/>
                <w:sz w:val="20"/>
              </w:rPr>
            </w:pPr>
            <w:r>
              <w:rPr>
                <w:rFonts w:ascii="Arial Narrow" w:hAnsi="Arial Narrow" w:cs="Arial"/>
                <w:b/>
                <w:bCs/>
                <w:sz w:val="20"/>
              </w:rPr>
              <w:t>2022</w:t>
            </w:r>
          </w:p>
        </w:tc>
        <w:tc>
          <w:tcPr>
            <w:tcW w:w="1190" w:type="dxa"/>
            <w:noWrap/>
            <w:hideMark/>
          </w:tcPr>
          <w:p w14:paraId="2988535B" w14:textId="77777777" w:rsidR="00344187" w:rsidRDefault="00344187" w:rsidP="00344187">
            <w:pPr>
              <w:keepNext/>
              <w:spacing w:after="0"/>
              <w:jc w:val="center"/>
              <w:rPr>
                <w:rFonts w:ascii="Arial Narrow" w:hAnsi="Arial Narrow" w:cs="Calibri"/>
                <w:color w:val="000000"/>
                <w:sz w:val="20"/>
              </w:rPr>
            </w:pPr>
            <w:r>
              <w:rPr>
                <w:rFonts w:ascii="Arial Narrow" w:hAnsi="Arial Narrow" w:cs="Arial"/>
                <w:b/>
                <w:bCs/>
                <w:sz w:val="20"/>
              </w:rPr>
              <w:t>2023</w:t>
            </w:r>
          </w:p>
        </w:tc>
        <w:tc>
          <w:tcPr>
            <w:tcW w:w="1191" w:type="dxa"/>
            <w:noWrap/>
            <w:hideMark/>
          </w:tcPr>
          <w:p w14:paraId="6DF287A6" w14:textId="77777777" w:rsidR="00344187" w:rsidRDefault="00344187" w:rsidP="00344187">
            <w:pPr>
              <w:keepNext/>
              <w:spacing w:after="0"/>
              <w:jc w:val="center"/>
              <w:rPr>
                <w:rFonts w:ascii="Arial Narrow" w:hAnsi="Arial Narrow" w:cs="Calibri"/>
                <w:color w:val="000000"/>
                <w:sz w:val="20"/>
              </w:rPr>
            </w:pPr>
            <w:r>
              <w:rPr>
                <w:rFonts w:ascii="Arial Narrow" w:hAnsi="Arial Narrow" w:cs="Arial"/>
                <w:b/>
                <w:bCs/>
                <w:sz w:val="20"/>
              </w:rPr>
              <w:t>2024</w:t>
            </w:r>
          </w:p>
        </w:tc>
        <w:tc>
          <w:tcPr>
            <w:tcW w:w="1191" w:type="dxa"/>
            <w:noWrap/>
            <w:hideMark/>
          </w:tcPr>
          <w:p w14:paraId="0C4AD0FC" w14:textId="77777777" w:rsidR="00344187" w:rsidRDefault="00344187" w:rsidP="00344187">
            <w:pPr>
              <w:keepNext/>
              <w:spacing w:after="0"/>
              <w:jc w:val="center"/>
              <w:rPr>
                <w:rFonts w:ascii="Arial Narrow" w:hAnsi="Arial Narrow" w:cs="Calibri"/>
                <w:color w:val="000000"/>
                <w:sz w:val="20"/>
              </w:rPr>
            </w:pPr>
            <w:r>
              <w:rPr>
                <w:rFonts w:ascii="Arial Narrow" w:hAnsi="Arial Narrow" w:cs="Arial"/>
                <w:b/>
                <w:bCs/>
                <w:sz w:val="20"/>
              </w:rPr>
              <w:t>2025</w:t>
            </w:r>
          </w:p>
        </w:tc>
      </w:tr>
      <w:tr w:rsidR="00344187" w14:paraId="18AA79AD" w14:textId="77777777" w:rsidTr="005E3F29">
        <w:trPr>
          <w:trHeight w:val="50"/>
        </w:trPr>
        <w:tc>
          <w:tcPr>
            <w:tcW w:w="3256" w:type="dxa"/>
            <w:hideMark/>
          </w:tcPr>
          <w:p w14:paraId="0F28E286" w14:textId="77777777" w:rsidR="00344187" w:rsidRDefault="00344187" w:rsidP="00344187">
            <w:pPr>
              <w:spacing w:after="0"/>
              <w:rPr>
                <w:rFonts w:ascii="Arial Narrow" w:hAnsi="Arial Narrow" w:cs="Calibri"/>
                <w:color w:val="000000"/>
                <w:sz w:val="20"/>
              </w:rPr>
            </w:pPr>
            <w:r>
              <w:rPr>
                <w:rFonts w:ascii="Arial Narrow" w:hAnsi="Arial Narrow" w:cs="Calibri"/>
                <w:color w:val="000000"/>
                <w:sz w:val="20"/>
              </w:rPr>
              <w:t>Estimated number of cascade tests required</w:t>
            </w:r>
          </w:p>
        </w:tc>
        <w:tc>
          <w:tcPr>
            <w:tcW w:w="1190" w:type="dxa"/>
            <w:noWrap/>
            <w:hideMark/>
          </w:tcPr>
          <w:p w14:paraId="2E86E740"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2,774</w:t>
            </w:r>
          </w:p>
        </w:tc>
        <w:tc>
          <w:tcPr>
            <w:tcW w:w="1191" w:type="dxa"/>
            <w:noWrap/>
            <w:hideMark/>
          </w:tcPr>
          <w:p w14:paraId="0862616A"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2,542</w:t>
            </w:r>
          </w:p>
        </w:tc>
        <w:tc>
          <w:tcPr>
            <w:tcW w:w="1190" w:type="dxa"/>
            <w:noWrap/>
            <w:hideMark/>
          </w:tcPr>
          <w:p w14:paraId="413FC6D8"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2,798</w:t>
            </w:r>
          </w:p>
        </w:tc>
        <w:tc>
          <w:tcPr>
            <w:tcW w:w="1191" w:type="dxa"/>
            <w:noWrap/>
            <w:hideMark/>
          </w:tcPr>
          <w:p w14:paraId="46BC342B"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2,515</w:t>
            </w:r>
          </w:p>
        </w:tc>
        <w:tc>
          <w:tcPr>
            <w:tcW w:w="1191" w:type="dxa"/>
            <w:noWrap/>
            <w:hideMark/>
          </w:tcPr>
          <w:p w14:paraId="3D2A3E72"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2,831</w:t>
            </w:r>
          </w:p>
        </w:tc>
      </w:tr>
      <w:tr w:rsidR="00344187" w14:paraId="2CC488FC" w14:textId="77777777" w:rsidTr="005E3F29">
        <w:trPr>
          <w:trHeight w:val="50"/>
        </w:trPr>
        <w:tc>
          <w:tcPr>
            <w:tcW w:w="3256" w:type="dxa"/>
            <w:hideMark/>
          </w:tcPr>
          <w:p w14:paraId="5F0AA8A7" w14:textId="77777777" w:rsidR="00344187" w:rsidRDefault="00344187" w:rsidP="00344187">
            <w:pPr>
              <w:spacing w:after="0"/>
              <w:rPr>
                <w:rFonts w:ascii="Arial Narrow" w:hAnsi="Arial Narrow" w:cs="Calibri"/>
                <w:color w:val="000000"/>
                <w:sz w:val="20"/>
              </w:rPr>
            </w:pPr>
            <w:r>
              <w:rPr>
                <w:rFonts w:ascii="Arial Narrow" w:hAnsi="Arial Narrow" w:cs="Calibri"/>
                <w:color w:val="000000"/>
                <w:sz w:val="20"/>
              </w:rPr>
              <w:t>Cost of cascade testing</w:t>
            </w:r>
          </w:p>
        </w:tc>
        <w:tc>
          <w:tcPr>
            <w:tcW w:w="1190" w:type="dxa"/>
            <w:noWrap/>
            <w:hideMark/>
          </w:tcPr>
          <w:p w14:paraId="36F50176"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$943,236</w:t>
            </w:r>
          </w:p>
        </w:tc>
        <w:tc>
          <w:tcPr>
            <w:tcW w:w="1191" w:type="dxa"/>
            <w:noWrap/>
            <w:hideMark/>
          </w:tcPr>
          <w:p w14:paraId="7045C9D5"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$864,183</w:t>
            </w:r>
          </w:p>
        </w:tc>
        <w:tc>
          <w:tcPr>
            <w:tcW w:w="1190" w:type="dxa"/>
            <w:noWrap/>
            <w:hideMark/>
          </w:tcPr>
          <w:p w14:paraId="405CD289"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$951,401</w:t>
            </w:r>
          </w:p>
        </w:tc>
        <w:tc>
          <w:tcPr>
            <w:tcW w:w="1191" w:type="dxa"/>
            <w:noWrap/>
            <w:hideMark/>
          </w:tcPr>
          <w:p w14:paraId="4405A9CF"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$855,088</w:t>
            </w:r>
          </w:p>
        </w:tc>
        <w:tc>
          <w:tcPr>
            <w:tcW w:w="1191" w:type="dxa"/>
            <w:noWrap/>
            <w:hideMark/>
          </w:tcPr>
          <w:p w14:paraId="28505473"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$962,544</w:t>
            </w:r>
          </w:p>
        </w:tc>
      </w:tr>
      <w:tr w:rsidR="00344187" w14:paraId="2526FE55" w14:textId="77777777" w:rsidTr="005E3F29">
        <w:trPr>
          <w:trHeight w:val="50"/>
        </w:trPr>
        <w:tc>
          <w:tcPr>
            <w:tcW w:w="3256" w:type="dxa"/>
            <w:hideMark/>
          </w:tcPr>
          <w:p w14:paraId="0AC7F0C9" w14:textId="77777777" w:rsidR="00344187" w:rsidRDefault="00344187" w:rsidP="00344187">
            <w:pPr>
              <w:spacing w:after="0"/>
              <w:rPr>
                <w:rFonts w:ascii="Arial Narrow" w:hAnsi="Arial Narrow" w:cs="Calibri"/>
                <w:color w:val="000000"/>
                <w:sz w:val="20"/>
              </w:rPr>
            </w:pPr>
            <w:r>
              <w:rPr>
                <w:rFonts w:ascii="Arial Narrow" w:hAnsi="Arial Narrow" w:cs="Calibri"/>
                <w:color w:val="000000"/>
                <w:sz w:val="20"/>
              </w:rPr>
              <w:t xml:space="preserve">Other cost to MBS-listed services </w:t>
            </w:r>
          </w:p>
        </w:tc>
        <w:tc>
          <w:tcPr>
            <w:tcW w:w="1190" w:type="dxa"/>
            <w:noWrap/>
          </w:tcPr>
          <w:p w14:paraId="336CFC34"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$722,133</w:t>
            </w:r>
          </w:p>
        </w:tc>
        <w:tc>
          <w:tcPr>
            <w:tcW w:w="1191" w:type="dxa"/>
            <w:noWrap/>
          </w:tcPr>
          <w:p w14:paraId="77141EAB"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$661,379</w:t>
            </w:r>
          </w:p>
        </w:tc>
        <w:tc>
          <w:tcPr>
            <w:tcW w:w="1190" w:type="dxa"/>
            <w:noWrap/>
          </w:tcPr>
          <w:p w14:paraId="59E986C6"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$727,940</w:t>
            </w:r>
          </w:p>
        </w:tc>
        <w:tc>
          <w:tcPr>
            <w:tcW w:w="1191" w:type="dxa"/>
            <w:noWrap/>
          </w:tcPr>
          <w:p w14:paraId="6EE42F1F"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$653,971</w:t>
            </w:r>
          </w:p>
        </w:tc>
        <w:tc>
          <w:tcPr>
            <w:tcW w:w="1191" w:type="dxa"/>
            <w:noWrap/>
          </w:tcPr>
          <w:p w14:paraId="42F0A642" w14:textId="77777777" w:rsidR="00344187" w:rsidRDefault="00344187" w:rsidP="00344187">
            <w:pPr>
              <w:keepNext/>
              <w:spacing w:after="0"/>
              <w:jc w:val="center"/>
              <w:rPr>
                <w:rFonts w:ascii="Arial Narrow" w:hAnsi="Arial Narrow" w:cs="Calibri"/>
                <w:color w:val="000000"/>
                <w:sz w:val="20"/>
              </w:rPr>
            </w:pPr>
            <w:r w:rsidRPr="00152A65">
              <w:rPr>
                <w:rFonts w:ascii="Arial Narrow" w:hAnsi="Arial Narrow" w:cs="Calibri"/>
                <w:sz w:val="20"/>
              </w:rPr>
              <w:t>$736,031</w:t>
            </w:r>
          </w:p>
        </w:tc>
      </w:tr>
      <w:tr w:rsidR="00344187" w14:paraId="0D49CE23" w14:textId="77777777" w:rsidTr="005E3F29">
        <w:trPr>
          <w:trHeight w:val="50"/>
        </w:trPr>
        <w:tc>
          <w:tcPr>
            <w:tcW w:w="3256" w:type="dxa"/>
            <w:hideMark/>
          </w:tcPr>
          <w:p w14:paraId="63F7B9E0" w14:textId="77777777" w:rsidR="00344187" w:rsidRDefault="00344187" w:rsidP="00344187">
            <w:pPr>
              <w:spacing w:after="0"/>
              <w:rPr>
                <w:rFonts w:ascii="Arial Narrow" w:hAnsi="Arial Narrow" w:cs="Calibri"/>
                <w:color w:val="000000"/>
                <w:sz w:val="20"/>
              </w:rPr>
            </w:pPr>
            <w:r>
              <w:rPr>
                <w:rFonts w:ascii="Arial Narrow" w:hAnsi="Arial Narrow" w:cs="Arial"/>
                <w:sz w:val="20"/>
              </w:rPr>
              <w:t>Financial implications</w:t>
            </w:r>
            <w:r>
              <w:rPr>
                <w:rFonts w:ascii="Arial Narrow" w:hAnsi="Arial Narrow" w:cs="Calibri"/>
                <w:color w:val="000000"/>
                <w:sz w:val="20"/>
              </w:rPr>
              <w:t xml:space="preserve"> to PBS</w:t>
            </w:r>
          </w:p>
        </w:tc>
        <w:tc>
          <w:tcPr>
            <w:tcW w:w="1190" w:type="dxa"/>
            <w:noWrap/>
          </w:tcPr>
          <w:p w14:paraId="31A2ACA7" w14:textId="77777777" w:rsidR="00344187" w:rsidRDefault="00344187" w:rsidP="00344187">
            <w:pPr>
              <w:keepNext/>
              <w:spacing w:after="0"/>
              <w:jc w:val="center"/>
              <w:rPr>
                <w:rFonts w:ascii="Arial Narrow" w:hAnsi="Arial Narrow" w:cs="Calibri"/>
                <w:color w:val="000000"/>
                <w:sz w:val="20"/>
              </w:rPr>
            </w:pPr>
            <w:r w:rsidRPr="009A08EC">
              <w:rPr>
                <w:rFonts w:ascii="Arial Narrow" w:hAnsi="Arial Narrow" w:cs="Calibri"/>
                <w:sz w:val="20"/>
              </w:rPr>
              <w:t>$0</w:t>
            </w:r>
          </w:p>
        </w:tc>
        <w:tc>
          <w:tcPr>
            <w:tcW w:w="1191" w:type="dxa"/>
            <w:noWrap/>
          </w:tcPr>
          <w:p w14:paraId="48C65A2F" w14:textId="77777777" w:rsidR="00344187" w:rsidRDefault="00344187" w:rsidP="00344187">
            <w:pPr>
              <w:keepNext/>
              <w:spacing w:after="0"/>
              <w:jc w:val="center"/>
              <w:rPr>
                <w:rFonts w:ascii="Arial Narrow" w:hAnsi="Arial Narrow" w:cs="Calibri"/>
                <w:color w:val="000000"/>
                <w:sz w:val="20"/>
              </w:rPr>
            </w:pPr>
            <w:r w:rsidRPr="009A08EC">
              <w:rPr>
                <w:rFonts w:ascii="Arial Narrow" w:hAnsi="Arial Narrow" w:cs="Calibri"/>
                <w:sz w:val="20"/>
              </w:rPr>
              <w:t>$0</w:t>
            </w:r>
          </w:p>
        </w:tc>
        <w:tc>
          <w:tcPr>
            <w:tcW w:w="1190" w:type="dxa"/>
            <w:noWrap/>
          </w:tcPr>
          <w:p w14:paraId="7C7E9CE7" w14:textId="77777777" w:rsidR="00344187" w:rsidRDefault="00344187" w:rsidP="00344187">
            <w:pPr>
              <w:keepNext/>
              <w:spacing w:after="0"/>
              <w:jc w:val="center"/>
              <w:rPr>
                <w:rFonts w:ascii="Arial Narrow" w:hAnsi="Arial Narrow" w:cs="Calibri"/>
                <w:color w:val="000000"/>
                <w:sz w:val="20"/>
              </w:rPr>
            </w:pPr>
            <w:r w:rsidRPr="009A08EC">
              <w:rPr>
                <w:rFonts w:ascii="Arial Narrow" w:hAnsi="Arial Narrow" w:cs="Calibri"/>
                <w:sz w:val="20"/>
              </w:rPr>
              <w:t>$0</w:t>
            </w:r>
          </w:p>
        </w:tc>
        <w:tc>
          <w:tcPr>
            <w:tcW w:w="1191" w:type="dxa"/>
            <w:noWrap/>
          </w:tcPr>
          <w:p w14:paraId="20565656" w14:textId="77777777" w:rsidR="00344187" w:rsidRDefault="00344187" w:rsidP="00344187">
            <w:pPr>
              <w:keepNext/>
              <w:spacing w:after="0"/>
              <w:jc w:val="center"/>
              <w:rPr>
                <w:rFonts w:ascii="Arial Narrow" w:hAnsi="Arial Narrow" w:cs="Calibri"/>
                <w:color w:val="000000"/>
                <w:sz w:val="20"/>
              </w:rPr>
            </w:pPr>
            <w:r w:rsidRPr="009A08EC">
              <w:rPr>
                <w:rFonts w:ascii="Arial Narrow" w:hAnsi="Arial Narrow" w:cs="Calibri"/>
                <w:sz w:val="20"/>
              </w:rPr>
              <w:t>$0</w:t>
            </w:r>
          </w:p>
        </w:tc>
        <w:tc>
          <w:tcPr>
            <w:tcW w:w="1191" w:type="dxa"/>
            <w:noWrap/>
          </w:tcPr>
          <w:p w14:paraId="2B3AE401" w14:textId="77777777" w:rsidR="00344187" w:rsidRDefault="00344187" w:rsidP="00344187">
            <w:pPr>
              <w:keepNext/>
              <w:spacing w:after="0"/>
              <w:jc w:val="center"/>
              <w:rPr>
                <w:rFonts w:ascii="Arial Narrow" w:hAnsi="Arial Narrow" w:cs="Calibri"/>
                <w:color w:val="000000"/>
                <w:sz w:val="20"/>
              </w:rPr>
            </w:pPr>
            <w:r w:rsidRPr="009A08EC">
              <w:rPr>
                <w:rFonts w:ascii="Arial Narrow" w:hAnsi="Arial Narrow" w:cs="Calibri"/>
                <w:sz w:val="20"/>
              </w:rPr>
              <w:t>$0</w:t>
            </w:r>
          </w:p>
        </w:tc>
      </w:tr>
      <w:tr w:rsidR="00344187" w14:paraId="6784EAE6" w14:textId="77777777" w:rsidTr="005E3F29">
        <w:trPr>
          <w:trHeight w:val="50"/>
        </w:trPr>
        <w:tc>
          <w:tcPr>
            <w:tcW w:w="3256" w:type="dxa"/>
            <w:hideMark/>
          </w:tcPr>
          <w:p w14:paraId="6375CB09" w14:textId="77777777" w:rsidR="00344187" w:rsidRDefault="00344187" w:rsidP="00344187">
            <w:pPr>
              <w:spacing w:after="0"/>
              <w:rPr>
                <w:rFonts w:ascii="Arial Narrow" w:hAnsi="Arial Narrow" w:cs="Calibri"/>
                <w:color w:val="000000"/>
                <w:sz w:val="20"/>
              </w:rPr>
            </w:pPr>
            <w:r>
              <w:rPr>
                <w:rFonts w:ascii="Arial Narrow" w:hAnsi="Arial Narrow" w:cs="Arial"/>
                <w:sz w:val="20"/>
              </w:rPr>
              <w:t>Financial implications</w:t>
            </w:r>
            <w:r>
              <w:rPr>
                <w:rFonts w:ascii="Arial Narrow" w:hAnsi="Arial Narrow" w:cs="Calibri"/>
                <w:color w:val="000000"/>
                <w:sz w:val="20"/>
              </w:rPr>
              <w:t xml:space="preserve"> to the Government</w:t>
            </w:r>
          </w:p>
        </w:tc>
        <w:tc>
          <w:tcPr>
            <w:tcW w:w="1190" w:type="dxa"/>
            <w:noWrap/>
          </w:tcPr>
          <w:p w14:paraId="38FB0C8F" w14:textId="77777777" w:rsidR="00344187" w:rsidRDefault="00344187" w:rsidP="00344187">
            <w:pPr>
              <w:keepNext/>
              <w:spacing w:after="0"/>
              <w:jc w:val="center"/>
              <w:rPr>
                <w:rFonts w:ascii="Arial Narrow" w:hAnsi="Arial Narrow" w:cs="Calibri"/>
                <w:color w:val="000000"/>
                <w:sz w:val="20"/>
                <w:szCs w:val="18"/>
              </w:rPr>
            </w:pPr>
            <w:r w:rsidRPr="00152A65">
              <w:rPr>
                <w:rFonts w:ascii="Arial Narrow" w:hAnsi="Arial Narrow" w:cs="Calibri"/>
                <w:sz w:val="20"/>
              </w:rPr>
              <w:t>$1,665,369</w:t>
            </w:r>
          </w:p>
        </w:tc>
        <w:tc>
          <w:tcPr>
            <w:tcW w:w="1191" w:type="dxa"/>
            <w:noWrap/>
          </w:tcPr>
          <w:p w14:paraId="121DA032" w14:textId="77777777" w:rsidR="00344187" w:rsidRDefault="00344187" w:rsidP="00344187">
            <w:pPr>
              <w:keepNext/>
              <w:spacing w:after="0"/>
              <w:jc w:val="center"/>
              <w:rPr>
                <w:rFonts w:ascii="Arial Narrow" w:hAnsi="Arial Narrow" w:cs="Calibri"/>
                <w:color w:val="000000"/>
                <w:sz w:val="20"/>
                <w:szCs w:val="18"/>
              </w:rPr>
            </w:pPr>
            <w:r w:rsidRPr="00152A65">
              <w:rPr>
                <w:rFonts w:ascii="Arial Narrow" w:hAnsi="Arial Narrow" w:cs="Calibri"/>
                <w:sz w:val="20"/>
              </w:rPr>
              <w:t>$1,525,562</w:t>
            </w:r>
          </w:p>
        </w:tc>
        <w:tc>
          <w:tcPr>
            <w:tcW w:w="1190" w:type="dxa"/>
            <w:noWrap/>
          </w:tcPr>
          <w:p w14:paraId="15975444" w14:textId="77777777" w:rsidR="00344187" w:rsidRDefault="00344187" w:rsidP="00344187">
            <w:pPr>
              <w:keepNext/>
              <w:spacing w:after="0"/>
              <w:jc w:val="center"/>
              <w:rPr>
                <w:rFonts w:ascii="Arial Narrow" w:hAnsi="Arial Narrow" w:cs="Calibri"/>
                <w:color w:val="000000"/>
                <w:sz w:val="20"/>
                <w:szCs w:val="18"/>
              </w:rPr>
            </w:pPr>
            <w:r w:rsidRPr="00152A65">
              <w:rPr>
                <w:rFonts w:ascii="Arial Narrow" w:hAnsi="Arial Narrow" w:cs="Calibri"/>
                <w:color w:val="000000"/>
                <w:sz w:val="20"/>
              </w:rPr>
              <w:t>$1,679,341</w:t>
            </w:r>
          </w:p>
        </w:tc>
        <w:tc>
          <w:tcPr>
            <w:tcW w:w="1191" w:type="dxa"/>
            <w:noWrap/>
          </w:tcPr>
          <w:p w14:paraId="69886DB9" w14:textId="77777777" w:rsidR="00344187" w:rsidRDefault="00344187" w:rsidP="00344187">
            <w:pPr>
              <w:keepNext/>
              <w:spacing w:after="0"/>
              <w:jc w:val="center"/>
              <w:rPr>
                <w:rFonts w:ascii="Arial Narrow" w:hAnsi="Arial Narrow" w:cs="Calibri"/>
                <w:color w:val="000000"/>
                <w:sz w:val="20"/>
                <w:szCs w:val="18"/>
              </w:rPr>
            </w:pPr>
            <w:r w:rsidRPr="00152A65">
              <w:rPr>
                <w:rFonts w:ascii="Arial Narrow" w:hAnsi="Arial Narrow" w:cs="Calibri"/>
                <w:sz w:val="20"/>
              </w:rPr>
              <w:t>$1,509,058</w:t>
            </w:r>
          </w:p>
        </w:tc>
        <w:tc>
          <w:tcPr>
            <w:tcW w:w="1191" w:type="dxa"/>
            <w:noWrap/>
          </w:tcPr>
          <w:p w14:paraId="31E634D0" w14:textId="77777777" w:rsidR="00344187" w:rsidRDefault="00344187" w:rsidP="00344187">
            <w:pPr>
              <w:keepNext/>
              <w:spacing w:after="0"/>
              <w:jc w:val="center"/>
              <w:rPr>
                <w:rFonts w:ascii="Arial Narrow" w:hAnsi="Arial Narrow" w:cs="Calibri"/>
                <w:color w:val="000000"/>
                <w:sz w:val="20"/>
                <w:szCs w:val="18"/>
              </w:rPr>
            </w:pPr>
            <w:r w:rsidRPr="00152A65">
              <w:rPr>
                <w:rFonts w:ascii="Arial Narrow" w:hAnsi="Arial Narrow" w:cs="Calibri"/>
                <w:sz w:val="20"/>
              </w:rPr>
              <w:t>$1,698,574</w:t>
            </w:r>
          </w:p>
        </w:tc>
      </w:tr>
    </w:tbl>
    <w:p w14:paraId="71346380" w14:textId="77777777" w:rsidR="00344187" w:rsidRDefault="00344187" w:rsidP="00344187">
      <w:pPr>
        <w:pStyle w:val="Tablenotes1"/>
      </w:pPr>
      <w:r>
        <w:t>MBS = Medicare Benefits Schedule; PBS = Pharmaceutical Benefits Schedule</w:t>
      </w:r>
    </w:p>
    <w:p w14:paraId="01DA1F90" w14:textId="27165BE2" w:rsidR="00BC1364" w:rsidRDefault="00344187" w:rsidP="00344187">
      <w:pPr>
        <w:pStyle w:val="Tablenotes1"/>
      </w:pPr>
      <w:r>
        <w:t>Source: DCAR Table 20, as revised in the rejoinder.</w:t>
      </w:r>
    </w:p>
    <w:p w14:paraId="5FE65D28" w14:textId="3AFB2758" w:rsidR="00627B6A" w:rsidRDefault="00627B6A" w:rsidP="001D08C5">
      <w:r>
        <w:t xml:space="preserve">The </w:t>
      </w:r>
      <w:r w:rsidR="005019A9">
        <w:t>cost of</w:t>
      </w:r>
      <w:r>
        <w:t xml:space="preserve"> reproductive partner testing </w:t>
      </w:r>
      <w:r w:rsidR="005019A9">
        <w:t xml:space="preserve">was </w:t>
      </w:r>
      <w:r w:rsidR="001058CE">
        <w:t xml:space="preserve">estimated to be </w:t>
      </w:r>
      <w:r w:rsidR="005019A9">
        <w:t xml:space="preserve">approximately $600k per annum </w:t>
      </w:r>
      <w:r>
        <w:t>(</w:t>
      </w:r>
      <w:r>
        <w:fldChar w:fldCharType="begin"/>
      </w:r>
      <w:r>
        <w:instrText xml:space="preserve"> REF _Ref71722666 </w:instrText>
      </w:r>
      <w:r w:rsidR="001D08C5">
        <w:instrText xml:space="preserve"> \* MERGEFORMAT </w:instrText>
      </w:r>
      <w:r>
        <w:fldChar w:fldCharType="separate"/>
      </w:r>
      <w:r>
        <w:t>Table 26</w:t>
      </w:r>
      <w:r>
        <w:fldChar w:fldCharType="end"/>
      </w:r>
      <w:r>
        <w:t>).</w:t>
      </w:r>
    </w:p>
    <w:p w14:paraId="0846411F" w14:textId="2DF160FD" w:rsidR="00627B6A" w:rsidRDefault="00627B6A" w:rsidP="005019A9">
      <w:pPr>
        <w:pStyle w:val="Caption"/>
      </w:pPr>
      <w:bookmarkStart w:id="42" w:name="_Ref71722666"/>
      <w:r>
        <w:t xml:space="preserve">Table </w:t>
      </w:r>
      <w:fldSimple w:instr=" SEQ Table \* ARABIC ">
        <w:r>
          <w:rPr>
            <w:noProof/>
          </w:rPr>
          <w:t>26</w:t>
        </w:r>
      </w:fldSimple>
      <w:bookmarkEnd w:id="42"/>
      <w:r>
        <w:t xml:space="preserve"> Estimated </w:t>
      </w:r>
      <w:r w:rsidR="007C7507">
        <w:t>cost</w:t>
      </w:r>
      <w:r>
        <w:t xml:space="preserve"> of reproductive partner testing</w:t>
      </w:r>
    </w:p>
    <w:tbl>
      <w:tblPr>
        <w:tblStyle w:val="TableGrid1"/>
        <w:tblW w:w="9209" w:type="dxa"/>
        <w:tblLayout w:type="fixed"/>
        <w:tblLook w:val="04A0" w:firstRow="1" w:lastRow="0" w:firstColumn="1" w:lastColumn="0" w:noHBand="0" w:noVBand="1"/>
        <w:tblDescription w:val="Estimated cost of reproductive partner testing"/>
      </w:tblPr>
      <w:tblGrid>
        <w:gridCol w:w="3256"/>
        <w:gridCol w:w="1190"/>
        <w:gridCol w:w="1191"/>
        <w:gridCol w:w="1190"/>
        <w:gridCol w:w="1191"/>
        <w:gridCol w:w="1191"/>
      </w:tblGrid>
      <w:tr w:rsidR="00627B6A" w14:paraId="48A92035" w14:textId="77777777" w:rsidTr="005E3F29">
        <w:trPr>
          <w:trHeight w:val="207"/>
          <w:tblHeader/>
        </w:trPr>
        <w:tc>
          <w:tcPr>
            <w:tcW w:w="3256" w:type="dxa"/>
          </w:tcPr>
          <w:p w14:paraId="135F8DA9" w14:textId="77777777" w:rsidR="00627B6A" w:rsidRPr="007F3545" w:rsidRDefault="00627B6A" w:rsidP="00627B6A">
            <w:pPr>
              <w:widowControl w:val="0"/>
              <w:spacing w:after="0"/>
              <w:rPr>
                <w:rFonts w:ascii="Arial Narrow" w:hAnsi="Arial Narrow" w:cs="Calibri"/>
                <w:b/>
                <w:color w:val="000000"/>
                <w:sz w:val="20"/>
              </w:rPr>
            </w:pPr>
            <w:r w:rsidRPr="007F3545">
              <w:rPr>
                <w:rFonts w:ascii="Arial Narrow" w:hAnsi="Arial Narrow" w:cs="Calibri"/>
                <w:b/>
                <w:color w:val="000000"/>
                <w:sz w:val="20"/>
              </w:rPr>
              <w:t>D</w:t>
            </w:r>
            <w:r w:rsidRPr="00FB1E57">
              <w:rPr>
                <w:rFonts w:ascii="Arial Narrow" w:hAnsi="Arial Narrow"/>
                <w:b/>
                <w:bCs/>
                <w:sz w:val="20"/>
              </w:rPr>
              <w:t>escription</w:t>
            </w:r>
          </w:p>
        </w:tc>
        <w:tc>
          <w:tcPr>
            <w:tcW w:w="1190" w:type="dxa"/>
            <w:noWrap/>
            <w:hideMark/>
          </w:tcPr>
          <w:p w14:paraId="53CA41AB" w14:textId="77777777" w:rsidR="00627B6A" w:rsidRDefault="00627B6A" w:rsidP="00627B6A">
            <w:pPr>
              <w:keepNext/>
              <w:spacing w:after="0"/>
              <w:jc w:val="center"/>
              <w:rPr>
                <w:rFonts w:ascii="Arial Narrow" w:hAnsi="Arial Narrow" w:cs="Calibri"/>
                <w:color w:val="000000"/>
                <w:sz w:val="20"/>
              </w:rPr>
            </w:pPr>
            <w:r>
              <w:rPr>
                <w:rFonts w:ascii="Arial Narrow" w:hAnsi="Arial Narrow" w:cs="Arial"/>
                <w:b/>
                <w:bCs/>
                <w:sz w:val="20"/>
              </w:rPr>
              <w:t>2021</w:t>
            </w:r>
          </w:p>
        </w:tc>
        <w:tc>
          <w:tcPr>
            <w:tcW w:w="1191" w:type="dxa"/>
            <w:noWrap/>
            <w:hideMark/>
          </w:tcPr>
          <w:p w14:paraId="11461C95" w14:textId="77777777" w:rsidR="00627B6A" w:rsidRDefault="00627B6A" w:rsidP="00627B6A">
            <w:pPr>
              <w:keepNext/>
              <w:spacing w:after="0"/>
              <w:jc w:val="center"/>
              <w:rPr>
                <w:rFonts w:ascii="Arial Narrow" w:hAnsi="Arial Narrow" w:cs="Calibri"/>
                <w:color w:val="000000"/>
                <w:sz w:val="20"/>
              </w:rPr>
            </w:pPr>
            <w:r>
              <w:rPr>
                <w:rFonts w:ascii="Arial Narrow" w:hAnsi="Arial Narrow" w:cs="Arial"/>
                <w:b/>
                <w:bCs/>
                <w:sz w:val="20"/>
              </w:rPr>
              <w:t>2022</w:t>
            </w:r>
          </w:p>
        </w:tc>
        <w:tc>
          <w:tcPr>
            <w:tcW w:w="1190" w:type="dxa"/>
            <w:noWrap/>
            <w:hideMark/>
          </w:tcPr>
          <w:p w14:paraId="49C34357" w14:textId="77777777" w:rsidR="00627B6A" w:rsidRDefault="00627B6A" w:rsidP="00627B6A">
            <w:pPr>
              <w:keepNext/>
              <w:spacing w:after="0"/>
              <w:jc w:val="center"/>
              <w:rPr>
                <w:rFonts w:ascii="Arial Narrow" w:hAnsi="Arial Narrow" w:cs="Calibri"/>
                <w:color w:val="000000"/>
                <w:sz w:val="20"/>
              </w:rPr>
            </w:pPr>
            <w:r>
              <w:rPr>
                <w:rFonts w:ascii="Arial Narrow" w:hAnsi="Arial Narrow" w:cs="Arial"/>
                <w:b/>
                <w:bCs/>
                <w:sz w:val="20"/>
              </w:rPr>
              <w:t>2023</w:t>
            </w:r>
          </w:p>
        </w:tc>
        <w:tc>
          <w:tcPr>
            <w:tcW w:w="1191" w:type="dxa"/>
            <w:noWrap/>
            <w:hideMark/>
          </w:tcPr>
          <w:p w14:paraId="62FB37D2" w14:textId="77777777" w:rsidR="00627B6A" w:rsidRDefault="00627B6A" w:rsidP="00627B6A">
            <w:pPr>
              <w:keepNext/>
              <w:spacing w:after="0"/>
              <w:jc w:val="center"/>
              <w:rPr>
                <w:rFonts w:ascii="Arial Narrow" w:hAnsi="Arial Narrow" w:cs="Calibri"/>
                <w:color w:val="000000"/>
                <w:sz w:val="20"/>
              </w:rPr>
            </w:pPr>
            <w:r>
              <w:rPr>
                <w:rFonts w:ascii="Arial Narrow" w:hAnsi="Arial Narrow" w:cs="Arial"/>
                <w:b/>
                <w:bCs/>
                <w:sz w:val="20"/>
              </w:rPr>
              <w:t>2024</w:t>
            </w:r>
          </w:p>
        </w:tc>
        <w:tc>
          <w:tcPr>
            <w:tcW w:w="1191" w:type="dxa"/>
            <w:noWrap/>
            <w:hideMark/>
          </w:tcPr>
          <w:p w14:paraId="5A995D9C" w14:textId="77777777" w:rsidR="00627B6A" w:rsidRDefault="00627B6A" w:rsidP="00627B6A">
            <w:pPr>
              <w:keepNext/>
              <w:spacing w:after="0"/>
              <w:jc w:val="center"/>
              <w:rPr>
                <w:rFonts w:ascii="Arial Narrow" w:hAnsi="Arial Narrow" w:cs="Calibri"/>
                <w:color w:val="000000"/>
                <w:sz w:val="20"/>
              </w:rPr>
            </w:pPr>
            <w:r>
              <w:rPr>
                <w:rFonts w:ascii="Arial Narrow" w:hAnsi="Arial Narrow" w:cs="Arial"/>
                <w:b/>
                <w:bCs/>
                <w:sz w:val="20"/>
              </w:rPr>
              <w:t>2025</w:t>
            </w:r>
          </w:p>
        </w:tc>
      </w:tr>
      <w:tr w:rsidR="00627B6A" w14:paraId="00D699B4" w14:textId="77777777" w:rsidTr="005E3F29">
        <w:trPr>
          <w:trHeight w:val="50"/>
        </w:trPr>
        <w:tc>
          <w:tcPr>
            <w:tcW w:w="3256" w:type="dxa"/>
            <w:hideMark/>
          </w:tcPr>
          <w:p w14:paraId="1B4578BC" w14:textId="58B63E94" w:rsidR="00627B6A" w:rsidRDefault="00627B6A" w:rsidP="005019A9">
            <w:pPr>
              <w:spacing w:after="0"/>
              <w:rPr>
                <w:rFonts w:ascii="Arial Narrow" w:hAnsi="Arial Narrow" w:cs="Calibri"/>
                <w:color w:val="000000"/>
                <w:sz w:val="20"/>
              </w:rPr>
            </w:pPr>
            <w:r>
              <w:rPr>
                <w:rFonts w:ascii="Arial Narrow" w:hAnsi="Arial Narrow" w:cs="Calibri"/>
                <w:color w:val="000000"/>
                <w:sz w:val="20"/>
              </w:rPr>
              <w:t xml:space="preserve">Number of </w:t>
            </w:r>
            <w:r w:rsidR="005019A9">
              <w:rPr>
                <w:rFonts w:ascii="Arial Narrow" w:hAnsi="Arial Narrow" w:cs="Calibri"/>
                <w:color w:val="000000"/>
                <w:sz w:val="20"/>
              </w:rPr>
              <w:t>cascade tests</w:t>
            </w:r>
          </w:p>
        </w:tc>
        <w:tc>
          <w:tcPr>
            <w:tcW w:w="1190" w:type="dxa"/>
            <w:noWrap/>
            <w:hideMark/>
          </w:tcPr>
          <w:p w14:paraId="533571DA" w14:textId="77777777" w:rsidR="00627B6A" w:rsidRDefault="00627B6A" w:rsidP="00627B6A">
            <w:pPr>
              <w:keepNext/>
              <w:spacing w:after="0"/>
              <w:jc w:val="center"/>
              <w:rPr>
                <w:rFonts w:ascii="Arial Narrow" w:hAnsi="Arial Narrow" w:cs="Calibri"/>
                <w:color w:val="000000"/>
                <w:sz w:val="20"/>
              </w:rPr>
            </w:pPr>
            <w:r w:rsidRPr="00152A65">
              <w:rPr>
                <w:rFonts w:ascii="Arial Narrow" w:hAnsi="Arial Narrow" w:cs="Calibri"/>
                <w:sz w:val="20"/>
              </w:rPr>
              <w:t>2,774</w:t>
            </w:r>
          </w:p>
        </w:tc>
        <w:tc>
          <w:tcPr>
            <w:tcW w:w="1191" w:type="dxa"/>
            <w:noWrap/>
            <w:hideMark/>
          </w:tcPr>
          <w:p w14:paraId="445DA2D1" w14:textId="77777777" w:rsidR="00627B6A" w:rsidRDefault="00627B6A" w:rsidP="00627B6A">
            <w:pPr>
              <w:keepNext/>
              <w:spacing w:after="0"/>
              <w:jc w:val="center"/>
              <w:rPr>
                <w:rFonts w:ascii="Arial Narrow" w:hAnsi="Arial Narrow" w:cs="Calibri"/>
                <w:color w:val="000000"/>
                <w:sz w:val="20"/>
              </w:rPr>
            </w:pPr>
            <w:r w:rsidRPr="00152A65">
              <w:rPr>
                <w:rFonts w:ascii="Arial Narrow" w:hAnsi="Arial Narrow" w:cs="Calibri"/>
                <w:sz w:val="20"/>
              </w:rPr>
              <w:t>2,542</w:t>
            </w:r>
          </w:p>
        </w:tc>
        <w:tc>
          <w:tcPr>
            <w:tcW w:w="1190" w:type="dxa"/>
            <w:noWrap/>
            <w:hideMark/>
          </w:tcPr>
          <w:p w14:paraId="573C17F9" w14:textId="77777777" w:rsidR="00627B6A" w:rsidRDefault="00627B6A" w:rsidP="00627B6A">
            <w:pPr>
              <w:keepNext/>
              <w:spacing w:after="0"/>
              <w:jc w:val="center"/>
              <w:rPr>
                <w:rFonts w:ascii="Arial Narrow" w:hAnsi="Arial Narrow" w:cs="Calibri"/>
                <w:color w:val="000000"/>
                <w:sz w:val="20"/>
              </w:rPr>
            </w:pPr>
            <w:r w:rsidRPr="00152A65">
              <w:rPr>
                <w:rFonts w:ascii="Arial Narrow" w:hAnsi="Arial Narrow" w:cs="Calibri"/>
                <w:sz w:val="20"/>
              </w:rPr>
              <w:t>2,798</w:t>
            </w:r>
          </w:p>
        </w:tc>
        <w:tc>
          <w:tcPr>
            <w:tcW w:w="1191" w:type="dxa"/>
            <w:noWrap/>
            <w:hideMark/>
          </w:tcPr>
          <w:p w14:paraId="37708273" w14:textId="77777777" w:rsidR="00627B6A" w:rsidRDefault="00627B6A" w:rsidP="00627B6A">
            <w:pPr>
              <w:keepNext/>
              <w:spacing w:after="0"/>
              <w:jc w:val="center"/>
              <w:rPr>
                <w:rFonts w:ascii="Arial Narrow" w:hAnsi="Arial Narrow" w:cs="Calibri"/>
                <w:color w:val="000000"/>
                <w:sz w:val="20"/>
              </w:rPr>
            </w:pPr>
            <w:r w:rsidRPr="00152A65">
              <w:rPr>
                <w:rFonts w:ascii="Arial Narrow" w:hAnsi="Arial Narrow" w:cs="Calibri"/>
                <w:sz w:val="20"/>
              </w:rPr>
              <w:t>2,515</w:t>
            </w:r>
          </w:p>
        </w:tc>
        <w:tc>
          <w:tcPr>
            <w:tcW w:w="1191" w:type="dxa"/>
            <w:noWrap/>
            <w:hideMark/>
          </w:tcPr>
          <w:p w14:paraId="72494B31" w14:textId="77777777" w:rsidR="00627B6A" w:rsidRDefault="00627B6A" w:rsidP="00627B6A">
            <w:pPr>
              <w:keepNext/>
              <w:spacing w:after="0"/>
              <w:jc w:val="center"/>
              <w:rPr>
                <w:rFonts w:ascii="Arial Narrow" w:hAnsi="Arial Narrow" w:cs="Calibri"/>
                <w:color w:val="000000"/>
                <w:sz w:val="20"/>
              </w:rPr>
            </w:pPr>
            <w:r w:rsidRPr="00152A65">
              <w:rPr>
                <w:rFonts w:ascii="Arial Narrow" w:hAnsi="Arial Narrow" w:cs="Calibri"/>
                <w:sz w:val="20"/>
              </w:rPr>
              <w:t>2,831</w:t>
            </w:r>
          </w:p>
        </w:tc>
      </w:tr>
      <w:tr w:rsidR="00CA61EB" w14:paraId="4D0DA854" w14:textId="77777777" w:rsidTr="005E3F29">
        <w:trPr>
          <w:trHeight w:val="50"/>
        </w:trPr>
        <w:tc>
          <w:tcPr>
            <w:tcW w:w="3256" w:type="dxa"/>
          </w:tcPr>
          <w:p w14:paraId="43D34E74" w14:textId="0567938D" w:rsidR="00CA61EB" w:rsidRDefault="00CA61EB" w:rsidP="005019A9">
            <w:pPr>
              <w:spacing w:after="0"/>
              <w:rPr>
                <w:rFonts w:ascii="Arial Narrow" w:hAnsi="Arial Narrow" w:cs="Calibri"/>
                <w:color w:val="000000"/>
                <w:sz w:val="20"/>
              </w:rPr>
            </w:pPr>
            <w:r>
              <w:rPr>
                <w:rFonts w:ascii="Arial Narrow" w:hAnsi="Arial Narrow" w:cs="Calibri"/>
                <w:color w:val="000000"/>
                <w:sz w:val="20"/>
              </w:rPr>
              <w:t xml:space="preserve">Number of </w:t>
            </w:r>
            <w:r w:rsidR="007C7507">
              <w:rPr>
                <w:rFonts w:ascii="Arial Narrow" w:hAnsi="Arial Narrow" w:cs="Calibri"/>
                <w:color w:val="000000"/>
                <w:sz w:val="20"/>
              </w:rPr>
              <w:t xml:space="preserve">FDR </w:t>
            </w:r>
            <w:r>
              <w:rPr>
                <w:rFonts w:ascii="Arial Narrow" w:hAnsi="Arial Narrow" w:cs="Calibri"/>
                <w:color w:val="000000"/>
                <w:sz w:val="20"/>
              </w:rPr>
              <w:t>probands detected via cascade testing (25% of those tested)</w:t>
            </w:r>
          </w:p>
        </w:tc>
        <w:tc>
          <w:tcPr>
            <w:tcW w:w="1190" w:type="dxa"/>
            <w:noWrap/>
          </w:tcPr>
          <w:p w14:paraId="1C759D99" w14:textId="51F58E80"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694</w:t>
            </w:r>
          </w:p>
        </w:tc>
        <w:tc>
          <w:tcPr>
            <w:tcW w:w="1191" w:type="dxa"/>
            <w:noWrap/>
          </w:tcPr>
          <w:p w14:paraId="672BB346" w14:textId="5468AFDF"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635</w:t>
            </w:r>
          </w:p>
        </w:tc>
        <w:tc>
          <w:tcPr>
            <w:tcW w:w="1190" w:type="dxa"/>
            <w:noWrap/>
          </w:tcPr>
          <w:p w14:paraId="12896338" w14:textId="4F2FE304"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700</w:t>
            </w:r>
          </w:p>
        </w:tc>
        <w:tc>
          <w:tcPr>
            <w:tcW w:w="1191" w:type="dxa"/>
            <w:noWrap/>
          </w:tcPr>
          <w:p w14:paraId="3BB00634" w14:textId="7B24E498"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629</w:t>
            </w:r>
          </w:p>
        </w:tc>
        <w:tc>
          <w:tcPr>
            <w:tcW w:w="1191" w:type="dxa"/>
            <w:noWrap/>
          </w:tcPr>
          <w:p w14:paraId="6AEACED5" w14:textId="51629ABF"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708</w:t>
            </w:r>
          </w:p>
        </w:tc>
      </w:tr>
      <w:tr w:rsidR="00CA61EB" w14:paraId="38D4E701" w14:textId="77777777" w:rsidTr="005E3F29">
        <w:trPr>
          <w:trHeight w:val="50"/>
        </w:trPr>
        <w:tc>
          <w:tcPr>
            <w:tcW w:w="3256" w:type="dxa"/>
          </w:tcPr>
          <w:p w14:paraId="1FFF8E89" w14:textId="4A79628D" w:rsidR="00CA61EB" w:rsidRDefault="00CA61EB" w:rsidP="005019A9">
            <w:pPr>
              <w:spacing w:after="0"/>
              <w:rPr>
                <w:rFonts w:ascii="Arial Narrow" w:hAnsi="Arial Narrow" w:cs="Calibri"/>
                <w:color w:val="000000"/>
                <w:sz w:val="20"/>
              </w:rPr>
            </w:pPr>
            <w:r>
              <w:rPr>
                <w:rFonts w:ascii="Arial Narrow" w:hAnsi="Arial Narrow" w:cs="Calibri"/>
                <w:color w:val="000000"/>
                <w:sz w:val="20"/>
              </w:rPr>
              <w:t>Number of probands detected via affected individual testing</w:t>
            </w:r>
          </w:p>
        </w:tc>
        <w:tc>
          <w:tcPr>
            <w:tcW w:w="1190" w:type="dxa"/>
            <w:noWrap/>
          </w:tcPr>
          <w:p w14:paraId="2A0BE674" w14:textId="4ED77138"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587</w:t>
            </w:r>
          </w:p>
        </w:tc>
        <w:tc>
          <w:tcPr>
            <w:tcW w:w="1191" w:type="dxa"/>
            <w:noWrap/>
          </w:tcPr>
          <w:p w14:paraId="2594AAF6" w14:textId="3A1F5766"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538</w:t>
            </w:r>
          </w:p>
        </w:tc>
        <w:tc>
          <w:tcPr>
            <w:tcW w:w="1190" w:type="dxa"/>
            <w:noWrap/>
          </w:tcPr>
          <w:p w14:paraId="536F6965" w14:textId="5F68A6AA"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592</w:t>
            </w:r>
          </w:p>
        </w:tc>
        <w:tc>
          <w:tcPr>
            <w:tcW w:w="1191" w:type="dxa"/>
            <w:noWrap/>
          </w:tcPr>
          <w:p w14:paraId="742B3336" w14:textId="4CCEB3F4"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532</w:t>
            </w:r>
          </w:p>
        </w:tc>
        <w:tc>
          <w:tcPr>
            <w:tcW w:w="1191" w:type="dxa"/>
            <w:noWrap/>
          </w:tcPr>
          <w:p w14:paraId="3858918F" w14:textId="30DA7C92"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599</w:t>
            </w:r>
          </w:p>
        </w:tc>
      </w:tr>
      <w:tr w:rsidR="00CA61EB" w14:paraId="06AE4E21" w14:textId="77777777" w:rsidTr="005E3F29">
        <w:trPr>
          <w:trHeight w:val="50"/>
        </w:trPr>
        <w:tc>
          <w:tcPr>
            <w:tcW w:w="3256" w:type="dxa"/>
          </w:tcPr>
          <w:p w14:paraId="5AAED2D9" w14:textId="6E6C6231" w:rsidR="00CA61EB" w:rsidRDefault="00CA61EB" w:rsidP="00CA61EB">
            <w:pPr>
              <w:spacing w:after="0"/>
              <w:rPr>
                <w:rFonts w:ascii="Arial Narrow" w:hAnsi="Arial Narrow" w:cs="Calibri"/>
                <w:color w:val="000000"/>
                <w:sz w:val="20"/>
              </w:rPr>
            </w:pPr>
            <w:r>
              <w:rPr>
                <w:rFonts w:ascii="Arial Narrow" w:hAnsi="Arial Narrow" w:cs="Calibri"/>
                <w:color w:val="000000"/>
                <w:sz w:val="20"/>
              </w:rPr>
              <w:t>Total number of probands detected</w:t>
            </w:r>
          </w:p>
        </w:tc>
        <w:tc>
          <w:tcPr>
            <w:tcW w:w="1190" w:type="dxa"/>
            <w:noWrap/>
          </w:tcPr>
          <w:p w14:paraId="7FDBC597" w14:textId="48E9BA37"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1281</w:t>
            </w:r>
          </w:p>
        </w:tc>
        <w:tc>
          <w:tcPr>
            <w:tcW w:w="1191" w:type="dxa"/>
            <w:noWrap/>
          </w:tcPr>
          <w:p w14:paraId="2D382E3D" w14:textId="4999AD44"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1173</w:t>
            </w:r>
          </w:p>
        </w:tc>
        <w:tc>
          <w:tcPr>
            <w:tcW w:w="1190" w:type="dxa"/>
            <w:noWrap/>
          </w:tcPr>
          <w:p w14:paraId="5F52A1B7" w14:textId="2798E904"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1292</w:t>
            </w:r>
          </w:p>
        </w:tc>
        <w:tc>
          <w:tcPr>
            <w:tcW w:w="1191" w:type="dxa"/>
            <w:noWrap/>
          </w:tcPr>
          <w:p w14:paraId="0012D53B" w14:textId="302FF3BA"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1161</w:t>
            </w:r>
          </w:p>
        </w:tc>
        <w:tc>
          <w:tcPr>
            <w:tcW w:w="1191" w:type="dxa"/>
            <w:noWrap/>
          </w:tcPr>
          <w:p w14:paraId="6D8AF38D" w14:textId="3AA60608"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1307</w:t>
            </w:r>
          </w:p>
        </w:tc>
      </w:tr>
      <w:tr w:rsidR="00CA61EB" w14:paraId="706465C1" w14:textId="77777777" w:rsidTr="005E3F29">
        <w:trPr>
          <w:trHeight w:val="50"/>
        </w:trPr>
        <w:tc>
          <w:tcPr>
            <w:tcW w:w="3256" w:type="dxa"/>
          </w:tcPr>
          <w:p w14:paraId="67F80A73" w14:textId="6935199F" w:rsidR="00CA61EB" w:rsidRDefault="00CA61EB" w:rsidP="001D08C5">
            <w:pPr>
              <w:spacing w:after="0"/>
              <w:rPr>
                <w:rFonts w:ascii="Arial Narrow" w:hAnsi="Arial Narrow" w:cs="Calibri"/>
                <w:color w:val="000000"/>
                <w:sz w:val="20"/>
              </w:rPr>
            </w:pPr>
            <w:r>
              <w:rPr>
                <w:rFonts w:ascii="Arial Narrow" w:hAnsi="Arial Narrow" w:cs="Calibri"/>
                <w:color w:val="000000"/>
                <w:sz w:val="20"/>
              </w:rPr>
              <w:t>Number of probands eventually having at least one child (41.46% of probands</w:t>
            </w:r>
            <w:r w:rsidR="001D08C5">
              <w:rPr>
                <w:rFonts w:ascii="Arial Narrow" w:hAnsi="Arial Narrow" w:cs="Calibri"/>
                <w:color w:val="000000"/>
                <w:sz w:val="20"/>
              </w:rPr>
              <w:t>*</w:t>
            </w:r>
            <w:r>
              <w:rPr>
                <w:rFonts w:ascii="Arial Narrow" w:hAnsi="Arial Narrow" w:cs="Calibri"/>
                <w:color w:val="000000"/>
                <w:sz w:val="20"/>
              </w:rPr>
              <w:t>)</w:t>
            </w:r>
          </w:p>
        </w:tc>
        <w:tc>
          <w:tcPr>
            <w:tcW w:w="1190" w:type="dxa"/>
            <w:noWrap/>
          </w:tcPr>
          <w:p w14:paraId="31B5BC0A" w14:textId="0E42241F"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531</w:t>
            </w:r>
          </w:p>
        </w:tc>
        <w:tc>
          <w:tcPr>
            <w:tcW w:w="1191" w:type="dxa"/>
            <w:noWrap/>
          </w:tcPr>
          <w:p w14:paraId="23FB9271" w14:textId="1A706A1E"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487</w:t>
            </w:r>
          </w:p>
        </w:tc>
        <w:tc>
          <w:tcPr>
            <w:tcW w:w="1190" w:type="dxa"/>
            <w:noWrap/>
          </w:tcPr>
          <w:p w14:paraId="052DC57B" w14:textId="65A3C4DB"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536</w:t>
            </w:r>
          </w:p>
        </w:tc>
        <w:tc>
          <w:tcPr>
            <w:tcW w:w="1191" w:type="dxa"/>
            <w:noWrap/>
          </w:tcPr>
          <w:p w14:paraId="47FDBDA6" w14:textId="56C3FC18"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481</w:t>
            </w:r>
          </w:p>
        </w:tc>
        <w:tc>
          <w:tcPr>
            <w:tcW w:w="1191" w:type="dxa"/>
            <w:noWrap/>
          </w:tcPr>
          <w:p w14:paraId="6C616B75" w14:textId="37AB0C32"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542</w:t>
            </w:r>
          </w:p>
        </w:tc>
      </w:tr>
      <w:tr w:rsidR="00CA61EB" w14:paraId="496B6789" w14:textId="77777777" w:rsidTr="005E3F29">
        <w:trPr>
          <w:trHeight w:val="50"/>
        </w:trPr>
        <w:tc>
          <w:tcPr>
            <w:tcW w:w="3256" w:type="dxa"/>
          </w:tcPr>
          <w:p w14:paraId="3915AF94" w14:textId="19CB9566" w:rsidR="00CA61EB" w:rsidRDefault="005019A9" w:rsidP="00CA61EB">
            <w:pPr>
              <w:spacing w:after="0"/>
              <w:rPr>
                <w:rFonts w:ascii="Arial Narrow" w:hAnsi="Arial Narrow" w:cs="Calibri"/>
                <w:color w:val="000000"/>
                <w:sz w:val="20"/>
              </w:rPr>
            </w:pPr>
            <w:r>
              <w:rPr>
                <w:rFonts w:ascii="Arial Narrow" w:hAnsi="Arial Narrow" w:cs="Calibri"/>
                <w:color w:val="000000"/>
                <w:sz w:val="20"/>
              </w:rPr>
              <w:t>Cost of reproductive partner testing</w:t>
            </w:r>
          </w:p>
        </w:tc>
        <w:tc>
          <w:tcPr>
            <w:tcW w:w="1190" w:type="dxa"/>
            <w:noWrap/>
          </w:tcPr>
          <w:p w14:paraId="0FFD9C2E" w14:textId="37FFAE16"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$637,231</w:t>
            </w:r>
          </w:p>
        </w:tc>
        <w:tc>
          <w:tcPr>
            <w:tcW w:w="1191" w:type="dxa"/>
            <w:noWrap/>
          </w:tcPr>
          <w:p w14:paraId="0F5D5B45" w14:textId="66C64640"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$583,825</w:t>
            </w:r>
          </w:p>
        </w:tc>
        <w:tc>
          <w:tcPr>
            <w:tcW w:w="1190" w:type="dxa"/>
            <w:noWrap/>
          </w:tcPr>
          <w:p w14:paraId="0B830F48" w14:textId="5F81F14C"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$642,748</w:t>
            </w:r>
          </w:p>
        </w:tc>
        <w:tc>
          <w:tcPr>
            <w:tcW w:w="1191" w:type="dxa"/>
            <w:noWrap/>
          </w:tcPr>
          <w:p w14:paraId="3DEDECE3" w14:textId="1712C79B"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$577,679</w:t>
            </w:r>
          </w:p>
        </w:tc>
        <w:tc>
          <w:tcPr>
            <w:tcW w:w="1191" w:type="dxa"/>
            <w:noWrap/>
          </w:tcPr>
          <w:p w14:paraId="6BA58EFD" w14:textId="4680345D" w:rsidR="00CA61EB" w:rsidRPr="00CA61EB" w:rsidRDefault="00CA61EB" w:rsidP="00CA61EB">
            <w:pPr>
              <w:keepNext/>
              <w:spacing w:after="0"/>
              <w:jc w:val="center"/>
              <w:rPr>
                <w:rFonts w:ascii="Arial Narrow" w:hAnsi="Arial Narrow" w:cs="Calibri"/>
                <w:sz w:val="20"/>
              </w:rPr>
            </w:pPr>
            <w:r w:rsidRPr="00CA61EB">
              <w:rPr>
                <w:rFonts w:ascii="Arial Narrow" w:hAnsi="Arial Narrow" w:cs="Calibri"/>
                <w:sz w:val="20"/>
              </w:rPr>
              <w:t>$650,272</w:t>
            </w:r>
          </w:p>
        </w:tc>
      </w:tr>
    </w:tbl>
    <w:p w14:paraId="7E3DEED9" w14:textId="6448F6A0" w:rsidR="007C7507" w:rsidRDefault="007C7507" w:rsidP="00627B6A">
      <w:pPr>
        <w:pStyle w:val="Tablenotes1"/>
      </w:pPr>
      <w:r>
        <w:t>FDR = first-degree relative</w:t>
      </w:r>
    </w:p>
    <w:p w14:paraId="57997D60" w14:textId="3E9B5433" w:rsidR="001D08C5" w:rsidRDefault="001D08C5" w:rsidP="00627B6A">
      <w:pPr>
        <w:pStyle w:val="Tablenotes1"/>
      </w:pPr>
      <w:r>
        <w:t>* = 41.46% of the all family households had at least one child, according to the Australian Institute of Family Studies (2018 data).</w:t>
      </w:r>
    </w:p>
    <w:p w14:paraId="076E7ECD" w14:textId="5629165B" w:rsidR="00627B6A" w:rsidRDefault="00627B6A" w:rsidP="00FE495C">
      <w:pPr>
        <w:pStyle w:val="Tablenotes1"/>
      </w:pPr>
      <w:r>
        <w:t>Source: Department’s calculations, based on MSAC advice</w:t>
      </w:r>
      <w:r w:rsidR="005019A9">
        <w:t xml:space="preserve"> on the fee ($1200)</w:t>
      </w:r>
      <w:r>
        <w:t xml:space="preserve"> and </w:t>
      </w:r>
      <w:r w:rsidR="007C7507">
        <w:t>utilisation</w:t>
      </w:r>
      <w:r>
        <w:t xml:space="preserve"> estimates from the rejoinder.</w:t>
      </w:r>
      <w:r w:rsidR="00CA61EB">
        <w:t xml:space="preserve"> Assumes all </w:t>
      </w:r>
      <w:r w:rsidR="005019A9">
        <w:t xml:space="preserve">genetic variants have recessive mode of inheritance, and all </w:t>
      </w:r>
      <w:r w:rsidR="00CA61EB">
        <w:t xml:space="preserve">reproductive partners </w:t>
      </w:r>
      <w:r w:rsidR="005019A9">
        <w:t>will desire to be tested</w:t>
      </w:r>
      <w:r w:rsidR="00CA61EB">
        <w:t>.</w:t>
      </w:r>
      <w:r w:rsidR="005019A9">
        <w:t xml:space="preserve"> Does not include costs to other MBS-listed services e.g. genetic counselling.</w:t>
      </w:r>
    </w:p>
    <w:p w14:paraId="27F986BE" w14:textId="51B3AC7D" w:rsidR="006A0D97" w:rsidRPr="00F715D1" w:rsidRDefault="006A0D97" w:rsidP="004C41BD">
      <w:pPr>
        <w:pStyle w:val="Heading1"/>
      </w:pPr>
      <w:r w:rsidRPr="00F715D1">
        <w:t>Key issues from ESC for MSAC</w:t>
      </w:r>
    </w:p>
    <w:tbl>
      <w:tblPr>
        <w:tblStyle w:val="TableGrid"/>
        <w:tblW w:w="0" w:type="auto"/>
        <w:tblLook w:val="04A0" w:firstRow="1" w:lastRow="0" w:firstColumn="1" w:lastColumn="0" w:noHBand="0" w:noVBand="1"/>
        <w:tblDescription w:val="Key issues from ESC for MSAC consideration"/>
      </w:tblPr>
      <w:tblGrid>
        <w:gridCol w:w="2263"/>
        <w:gridCol w:w="6753"/>
      </w:tblGrid>
      <w:tr w:rsidR="00344187" w:rsidRPr="002A0699" w14:paraId="40524EE5" w14:textId="77777777" w:rsidTr="005E3F29">
        <w:trPr>
          <w:cantSplit/>
          <w:tblHeader/>
        </w:trPr>
        <w:tc>
          <w:tcPr>
            <w:tcW w:w="2263" w:type="dxa"/>
          </w:tcPr>
          <w:p w14:paraId="2AB3000B" w14:textId="77777777" w:rsidR="00344187" w:rsidRPr="002A0699" w:rsidRDefault="00344187" w:rsidP="002A0699">
            <w:pPr>
              <w:rPr>
                <w:b/>
                <w:sz w:val="22"/>
                <w:szCs w:val="22"/>
              </w:rPr>
            </w:pPr>
            <w:r w:rsidRPr="002A0699">
              <w:rPr>
                <w:b/>
                <w:sz w:val="22"/>
                <w:szCs w:val="22"/>
              </w:rPr>
              <w:t>ESC key issue</w:t>
            </w:r>
          </w:p>
        </w:tc>
        <w:tc>
          <w:tcPr>
            <w:tcW w:w="6753" w:type="dxa"/>
          </w:tcPr>
          <w:p w14:paraId="30156862" w14:textId="77777777" w:rsidR="00344187" w:rsidRPr="002A0699" w:rsidRDefault="00344187" w:rsidP="002A0699">
            <w:pPr>
              <w:rPr>
                <w:b/>
                <w:sz w:val="22"/>
                <w:szCs w:val="22"/>
              </w:rPr>
            </w:pPr>
            <w:r w:rsidRPr="002A0699">
              <w:rPr>
                <w:b/>
                <w:sz w:val="22"/>
                <w:szCs w:val="22"/>
              </w:rPr>
              <w:t>ESC advice to MSAC</w:t>
            </w:r>
          </w:p>
        </w:tc>
      </w:tr>
      <w:tr w:rsidR="00344187" w:rsidRPr="002A0699" w14:paraId="636973E9" w14:textId="77777777" w:rsidTr="002A0699">
        <w:trPr>
          <w:cantSplit/>
          <w:trHeight w:val="1575"/>
        </w:trPr>
        <w:tc>
          <w:tcPr>
            <w:tcW w:w="2263" w:type="dxa"/>
          </w:tcPr>
          <w:p w14:paraId="30A9721F" w14:textId="77777777" w:rsidR="00344187" w:rsidRPr="002A0699" w:rsidRDefault="00344187" w:rsidP="002A0699">
            <w:pPr>
              <w:rPr>
                <w:sz w:val="22"/>
                <w:szCs w:val="22"/>
              </w:rPr>
            </w:pPr>
            <w:r w:rsidRPr="002A0699">
              <w:rPr>
                <w:sz w:val="22"/>
                <w:szCs w:val="22"/>
              </w:rPr>
              <w:t>Quality of evidence</w:t>
            </w:r>
          </w:p>
        </w:tc>
        <w:tc>
          <w:tcPr>
            <w:tcW w:w="6753" w:type="dxa"/>
          </w:tcPr>
          <w:p w14:paraId="6F8BDB50" w14:textId="77777777" w:rsidR="00344187" w:rsidRPr="002A0699" w:rsidRDefault="00344187" w:rsidP="002A0699">
            <w:pPr>
              <w:rPr>
                <w:sz w:val="22"/>
                <w:szCs w:val="22"/>
              </w:rPr>
            </w:pPr>
            <w:r w:rsidRPr="002A0699">
              <w:rPr>
                <w:sz w:val="22"/>
                <w:szCs w:val="22"/>
              </w:rPr>
              <w:t xml:space="preserve">There was limited evidence beyond ascertaining a genetic diagnosis of affected individuals suggesting potential clinical utility, potential clinical </w:t>
            </w:r>
            <w:proofErr w:type="gramStart"/>
            <w:r w:rsidRPr="002A0699">
              <w:rPr>
                <w:sz w:val="22"/>
                <w:szCs w:val="22"/>
              </w:rPr>
              <w:t>effectiveness</w:t>
            </w:r>
            <w:proofErr w:type="gramEnd"/>
            <w:r w:rsidRPr="002A0699">
              <w:rPr>
                <w:sz w:val="22"/>
                <w:szCs w:val="22"/>
              </w:rPr>
              <w:t xml:space="preserve"> and potential improved safety. Among those patients assigned a genetic diagnosis, the proportion who also have prognostic or predictive utility was not established. There was high uncertainty as to whether this testing would translate into improved health outcomes for affected individuals.</w:t>
            </w:r>
          </w:p>
        </w:tc>
      </w:tr>
      <w:tr w:rsidR="00344187" w:rsidRPr="002A0699" w14:paraId="35891AD0" w14:textId="77777777" w:rsidTr="002A0699">
        <w:trPr>
          <w:cantSplit/>
        </w:trPr>
        <w:tc>
          <w:tcPr>
            <w:tcW w:w="2263" w:type="dxa"/>
          </w:tcPr>
          <w:p w14:paraId="5F90A88E" w14:textId="77777777" w:rsidR="00344187" w:rsidRPr="002A0699" w:rsidRDefault="00344187" w:rsidP="002A0699">
            <w:pPr>
              <w:rPr>
                <w:sz w:val="22"/>
                <w:szCs w:val="22"/>
              </w:rPr>
            </w:pPr>
            <w:r w:rsidRPr="002A0699">
              <w:rPr>
                <w:sz w:val="22"/>
                <w:szCs w:val="22"/>
              </w:rPr>
              <w:t xml:space="preserve">Diagnostic yield and Clinical validity </w:t>
            </w:r>
          </w:p>
        </w:tc>
        <w:tc>
          <w:tcPr>
            <w:tcW w:w="6753" w:type="dxa"/>
          </w:tcPr>
          <w:p w14:paraId="4B9F338A" w14:textId="77777777" w:rsidR="00344187" w:rsidRPr="002A0699" w:rsidRDefault="00344187" w:rsidP="002A0699">
            <w:pPr>
              <w:rPr>
                <w:sz w:val="22"/>
                <w:szCs w:val="22"/>
              </w:rPr>
            </w:pPr>
            <w:r w:rsidRPr="002A0699">
              <w:rPr>
                <w:sz w:val="22"/>
                <w:szCs w:val="22"/>
              </w:rPr>
              <w:t>There was no descriptive summary (average and range) of diagnostic yield (proportion of variant positive cases) across the entirety of the genes tested. There was no evidence on how well the genotype predicted phenotype.</w:t>
            </w:r>
          </w:p>
        </w:tc>
      </w:tr>
      <w:tr w:rsidR="00344187" w:rsidRPr="002A0699" w14:paraId="4524A349" w14:textId="77777777" w:rsidTr="002A0699">
        <w:trPr>
          <w:cantSplit/>
        </w:trPr>
        <w:tc>
          <w:tcPr>
            <w:tcW w:w="2263" w:type="dxa"/>
          </w:tcPr>
          <w:p w14:paraId="67D663B1" w14:textId="77777777" w:rsidR="00344187" w:rsidRPr="002A0699" w:rsidRDefault="00344187" w:rsidP="002A0699">
            <w:pPr>
              <w:rPr>
                <w:sz w:val="22"/>
                <w:szCs w:val="22"/>
              </w:rPr>
            </w:pPr>
            <w:r w:rsidRPr="002A0699">
              <w:rPr>
                <w:sz w:val="22"/>
                <w:szCs w:val="22"/>
              </w:rPr>
              <w:lastRenderedPageBreak/>
              <w:t>Clinical utility and effectiveness</w:t>
            </w:r>
          </w:p>
        </w:tc>
        <w:tc>
          <w:tcPr>
            <w:tcW w:w="6753" w:type="dxa"/>
          </w:tcPr>
          <w:p w14:paraId="26BB7E1B" w14:textId="77777777" w:rsidR="00344187" w:rsidRPr="002A0699" w:rsidRDefault="00344187" w:rsidP="002A0699">
            <w:pPr>
              <w:rPr>
                <w:sz w:val="22"/>
                <w:szCs w:val="22"/>
              </w:rPr>
            </w:pPr>
            <w:r w:rsidRPr="002A0699">
              <w:rPr>
                <w:sz w:val="22"/>
                <w:szCs w:val="22"/>
              </w:rPr>
              <w:t xml:space="preserve">No direct evidence was provided on the effects on clinical management and health outcomes of affected individuals. Potential clinical utility was suggested by prognostic evidence in those with </w:t>
            </w:r>
            <w:proofErr w:type="spellStart"/>
            <w:r w:rsidRPr="002A0699">
              <w:rPr>
                <w:sz w:val="22"/>
                <w:szCs w:val="22"/>
              </w:rPr>
              <w:t>aHUS</w:t>
            </w:r>
            <w:proofErr w:type="spellEnd"/>
            <w:r w:rsidRPr="002A0699">
              <w:rPr>
                <w:sz w:val="22"/>
                <w:szCs w:val="22"/>
              </w:rPr>
              <w:t xml:space="preserve"> (where variant status was reported to be related to mortality in one study), and predictive validity evidence in affected individuals with ADPKD, SRNS and </w:t>
            </w:r>
            <w:proofErr w:type="spellStart"/>
            <w:r w:rsidRPr="002A0699">
              <w:rPr>
                <w:sz w:val="22"/>
                <w:szCs w:val="22"/>
              </w:rPr>
              <w:t>aHUS</w:t>
            </w:r>
            <w:proofErr w:type="spellEnd"/>
            <w:r w:rsidRPr="002A0699">
              <w:rPr>
                <w:sz w:val="22"/>
                <w:szCs w:val="22"/>
              </w:rPr>
              <w:t xml:space="preserve"> (where variant status was reported to predict a difference in the extent of benefit from treatment, noting that such treatment would already have been indicated).</w:t>
            </w:r>
          </w:p>
          <w:p w14:paraId="01E18E81" w14:textId="77777777" w:rsidR="00344187" w:rsidRPr="002A0699" w:rsidRDefault="00344187" w:rsidP="002A0699">
            <w:pPr>
              <w:rPr>
                <w:sz w:val="22"/>
                <w:szCs w:val="22"/>
              </w:rPr>
            </w:pPr>
            <w:r w:rsidRPr="002A0699">
              <w:rPr>
                <w:sz w:val="22"/>
                <w:szCs w:val="22"/>
              </w:rPr>
              <w:t>No evidence was presented to support a change in the course of disease following early genetic diagnosis in asymptomatic relatives of a proband.</w:t>
            </w:r>
          </w:p>
        </w:tc>
      </w:tr>
      <w:tr w:rsidR="00344187" w:rsidRPr="002A0699" w14:paraId="3E6C70FB" w14:textId="77777777" w:rsidTr="002A0699">
        <w:trPr>
          <w:cantSplit/>
        </w:trPr>
        <w:tc>
          <w:tcPr>
            <w:tcW w:w="2263" w:type="dxa"/>
          </w:tcPr>
          <w:p w14:paraId="2998F8BF" w14:textId="77777777" w:rsidR="00344187" w:rsidRPr="002A0699" w:rsidRDefault="00344187" w:rsidP="002A0699">
            <w:pPr>
              <w:rPr>
                <w:sz w:val="22"/>
                <w:szCs w:val="22"/>
              </w:rPr>
            </w:pPr>
            <w:r w:rsidRPr="002A0699">
              <w:rPr>
                <w:sz w:val="22"/>
                <w:szCs w:val="22"/>
              </w:rPr>
              <w:t>Consistency with Alport syndrome listing</w:t>
            </w:r>
          </w:p>
        </w:tc>
        <w:tc>
          <w:tcPr>
            <w:tcW w:w="6753" w:type="dxa"/>
          </w:tcPr>
          <w:p w14:paraId="6C8B7DF7" w14:textId="77777777" w:rsidR="00344187" w:rsidRPr="002A0699" w:rsidRDefault="00344187" w:rsidP="002A0699">
            <w:pPr>
              <w:rPr>
                <w:sz w:val="22"/>
                <w:szCs w:val="22"/>
              </w:rPr>
            </w:pPr>
            <w:r w:rsidRPr="002A0699">
              <w:rPr>
                <w:sz w:val="22"/>
                <w:szCs w:val="22"/>
              </w:rPr>
              <w:t>MSAC’s consideration of Application 1449 (Genetic testing for Alport syndrome) may provide a guide on parallel issues arising in this application.</w:t>
            </w:r>
          </w:p>
        </w:tc>
      </w:tr>
      <w:tr w:rsidR="00344187" w:rsidRPr="002A0699" w14:paraId="60C2691B" w14:textId="77777777" w:rsidTr="002A0699">
        <w:trPr>
          <w:cantSplit/>
        </w:trPr>
        <w:tc>
          <w:tcPr>
            <w:tcW w:w="2263" w:type="dxa"/>
          </w:tcPr>
          <w:p w14:paraId="61371796" w14:textId="3DFDA73A" w:rsidR="00344187" w:rsidRPr="002A0699" w:rsidRDefault="00344187" w:rsidP="002A0699">
            <w:pPr>
              <w:rPr>
                <w:sz w:val="22"/>
                <w:szCs w:val="22"/>
              </w:rPr>
            </w:pPr>
            <w:r w:rsidRPr="002A0699">
              <w:rPr>
                <w:sz w:val="22"/>
                <w:szCs w:val="22"/>
              </w:rPr>
              <w:t>Key potential benefit not captured</w:t>
            </w:r>
          </w:p>
        </w:tc>
        <w:tc>
          <w:tcPr>
            <w:tcW w:w="6753" w:type="dxa"/>
          </w:tcPr>
          <w:p w14:paraId="1990BD7F" w14:textId="77777777" w:rsidR="00344187" w:rsidRPr="002A0699" w:rsidRDefault="00344187" w:rsidP="002A0699">
            <w:pPr>
              <w:rPr>
                <w:sz w:val="22"/>
                <w:szCs w:val="22"/>
              </w:rPr>
            </w:pPr>
            <w:r w:rsidRPr="002A0699">
              <w:rPr>
                <w:sz w:val="22"/>
                <w:szCs w:val="22"/>
              </w:rPr>
              <w:t>The economic model currently does not account for any health benefit for affected individuals. If MSAC agrees that anecdotal benefits of CKD secondary prevention are plausible, they could be explored in a threshold analysis.</w:t>
            </w:r>
          </w:p>
        </w:tc>
      </w:tr>
      <w:tr w:rsidR="00344187" w:rsidRPr="002A0699" w14:paraId="27DDA6D6" w14:textId="77777777" w:rsidTr="002A0699">
        <w:trPr>
          <w:cantSplit/>
        </w:trPr>
        <w:tc>
          <w:tcPr>
            <w:tcW w:w="2263" w:type="dxa"/>
          </w:tcPr>
          <w:p w14:paraId="1D4724F3" w14:textId="68E03EA3" w:rsidR="00344187" w:rsidRPr="002A0699" w:rsidRDefault="00344187" w:rsidP="002A0699">
            <w:pPr>
              <w:rPr>
                <w:sz w:val="22"/>
                <w:szCs w:val="22"/>
              </w:rPr>
            </w:pPr>
            <w:r w:rsidRPr="002A0699">
              <w:rPr>
                <w:sz w:val="22"/>
                <w:szCs w:val="22"/>
              </w:rPr>
              <w:t xml:space="preserve">Discounting of consequences of future informed reproductive decisions </w:t>
            </w:r>
          </w:p>
        </w:tc>
        <w:tc>
          <w:tcPr>
            <w:tcW w:w="6753" w:type="dxa"/>
          </w:tcPr>
          <w:p w14:paraId="4D614695" w14:textId="77777777" w:rsidR="00344187" w:rsidRPr="002A0699" w:rsidRDefault="00344187" w:rsidP="002A0699">
            <w:pPr>
              <w:rPr>
                <w:sz w:val="22"/>
                <w:szCs w:val="22"/>
              </w:rPr>
            </w:pPr>
            <w:r w:rsidRPr="002A0699">
              <w:rPr>
                <w:sz w:val="22"/>
                <w:szCs w:val="22"/>
              </w:rPr>
              <w:t>The current model assumes all reproductive decisions are made in the first model cycle. MSAC should consider whether reproductive decisions occurring in the future should be subject to discounting. The methodological consensus is that all costs and benefits should be discounted at the same rate according to their time of occurrence.</w:t>
            </w:r>
          </w:p>
        </w:tc>
      </w:tr>
      <w:tr w:rsidR="00344187" w:rsidRPr="002A0699" w14:paraId="5221287D" w14:textId="77777777" w:rsidTr="002A0699">
        <w:trPr>
          <w:cantSplit/>
        </w:trPr>
        <w:tc>
          <w:tcPr>
            <w:tcW w:w="2263" w:type="dxa"/>
          </w:tcPr>
          <w:p w14:paraId="6AE414BD" w14:textId="77777777" w:rsidR="00344187" w:rsidRPr="002A0699" w:rsidRDefault="00344187" w:rsidP="002A0699">
            <w:pPr>
              <w:rPr>
                <w:sz w:val="22"/>
                <w:szCs w:val="22"/>
              </w:rPr>
            </w:pPr>
            <w:r w:rsidRPr="002A0699">
              <w:rPr>
                <w:sz w:val="22"/>
                <w:szCs w:val="22"/>
              </w:rPr>
              <w:t>ICERs focused on lifetime costs of disease</w:t>
            </w:r>
          </w:p>
        </w:tc>
        <w:tc>
          <w:tcPr>
            <w:tcW w:w="6753" w:type="dxa"/>
          </w:tcPr>
          <w:p w14:paraId="4AFC74FF" w14:textId="77777777" w:rsidR="00344187" w:rsidRPr="002A0699" w:rsidRDefault="00344187" w:rsidP="002A0699">
            <w:pPr>
              <w:rPr>
                <w:sz w:val="22"/>
                <w:szCs w:val="22"/>
              </w:rPr>
            </w:pPr>
            <w:r w:rsidRPr="002A0699">
              <w:rPr>
                <w:sz w:val="22"/>
                <w:szCs w:val="22"/>
              </w:rPr>
              <w:t xml:space="preserve">The reported ICERs captured little by way of clinical benefit (other than diagnosis) and focused on lifetime cost implications. While these costs are direct and medical, they may not be relevant to the present decision-making. MSAC should consider </w:t>
            </w:r>
            <w:proofErr w:type="gramStart"/>
            <w:r w:rsidRPr="002A0699">
              <w:rPr>
                <w:sz w:val="22"/>
                <w:szCs w:val="22"/>
              </w:rPr>
              <w:t>in particular if</w:t>
            </w:r>
            <w:proofErr w:type="gramEnd"/>
            <w:r w:rsidRPr="002A0699">
              <w:rPr>
                <w:sz w:val="22"/>
                <w:szCs w:val="22"/>
              </w:rPr>
              <w:t xml:space="preserve"> lifetime disease costs are relevant when calculating the ICER per informed reproductive decision.</w:t>
            </w:r>
          </w:p>
        </w:tc>
      </w:tr>
      <w:tr w:rsidR="00344187" w:rsidRPr="002A0699" w14:paraId="4AAE718A" w14:textId="77777777" w:rsidTr="002A0699">
        <w:trPr>
          <w:cantSplit/>
        </w:trPr>
        <w:tc>
          <w:tcPr>
            <w:tcW w:w="2263" w:type="dxa"/>
          </w:tcPr>
          <w:p w14:paraId="5D1B12AF" w14:textId="77777777" w:rsidR="00344187" w:rsidRPr="002A0699" w:rsidRDefault="00344187" w:rsidP="002A0699">
            <w:pPr>
              <w:rPr>
                <w:sz w:val="22"/>
                <w:szCs w:val="22"/>
              </w:rPr>
            </w:pPr>
            <w:r w:rsidRPr="002A0699">
              <w:rPr>
                <w:sz w:val="22"/>
                <w:szCs w:val="22"/>
              </w:rPr>
              <w:t>Financial implications</w:t>
            </w:r>
          </w:p>
        </w:tc>
        <w:tc>
          <w:tcPr>
            <w:tcW w:w="6753" w:type="dxa"/>
          </w:tcPr>
          <w:p w14:paraId="72A8A427" w14:textId="77777777" w:rsidR="00344187" w:rsidRPr="002A0699" w:rsidRDefault="00344187" w:rsidP="002A0699">
            <w:pPr>
              <w:rPr>
                <w:sz w:val="22"/>
                <w:szCs w:val="22"/>
              </w:rPr>
            </w:pPr>
            <w:r w:rsidRPr="002A0699">
              <w:rPr>
                <w:sz w:val="22"/>
                <w:szCs w:val="22"/>
              </w:rPr>
              <w:t xml:space="preserve">There was uncertainty around assumed input values. Costs of IVF were applied in the same year as genetic testing while </w:t>
            </w:r>
            <w:proofErr w:type="gramStart"/>
            <w:r w:rsidRPr="002A0699">
              <w:rPr>
                <w:sz w:val="22"/>
                <w:szCs w:val="22"/>
              </w:rPr>
              <w:t>in reality they</w:t>
            </w:r>
            <w:proofErr w:type="gramEnd"/>
            <w:r w:rsidRPr="002A0699">
              <w:rPr>
                <w:sz w:val="22"/>
                <w:szCs w:val="22"/>
              </w:rPr>
              <w:t xml:space="preserve"> may occur much later in time. Cost offsets from reduced ultrasound utilisation were calculated assuming perfect adherence to guidelines and may be overestimated. The financial estimates did not reflect all cost implications captured in the economic model due to appropriately different time horizons.</w:t>
            </w:r>
          </w:p>
        </w:tc>
      </w:tr>
      <w:tr w:rsidR="00344187" w:rsidRPr="002A0699" w14:paraId="3A1E2F72" w14:textId="77777777" w:rsidTr="002A0699">
        <w:trPr>
          <w:cantSplit/>
        </w:trPr>
        <w:tc>
          <w:tcPr>
            <w:tcW w:w="2263" w:type="dxa"/>
          </w:tcPr>
          <w:p w14:paraId="2146A143" w14:textId="77777777" w:rsidR="00344187" w:rsidRPr="002A0699" w:rsidRDefault="00344187" w:rsidP="002A0699">
            <w:pPr>
              <w:rPr>
                <w:sz w:val="22"/>
                <w:szCs w:val="22"/>
              </w:rPr>
            </w:pPr>
            <w:r w:rsidRPr="002A0699">
              <w:rPr>
                <w:sz w:val="22"/>
                <w:szCs w:val="22"/>
              </w:rPr>
              <w:t>Policy considerations</w:t>
            </w:r>
          </w:p>
        </w:tc>
        <w:tc>
          <w:tcPr>
            <w:tcW w:w="6753" w:type="dxa"/>
          </w:tcPr>
          <w:p w14:paraId="2DA550EC" w14:textId="77777777" w:rsidR="00344187" w:rsidRPr="002A0699" w:rsidRDefault="00344187" w:rsidP="002A0699">
            <w:pPr>
              <w:rPr>
                <w:sz w:val="22"/>
                <w:szCs w:val="22"/>
              </w:rPr>
            </w:pPr>
            <w:r w:rsidRPr="002A0699">
              <w:rPr>
                <w:sz w:val="22"/>
                <w:szCs w:val="22"/>
              </w:rPr>
              <w:t xml:space="preserve">ESC noted the following policy issues: WES versus WGS, technological change and its cost implications, demand for genetic services, wait times, </w:t>
            </w:r>
            <w:proofErr w:type="gramStart"/>
            <w:r w:rsidRPr="002A0699">
              <w:rPr>
                <w:sz w:val="22"/>
                <w:szCs w:val="22"/>
              </w:rPr>
              <w:t>geneticist</w:t>
            </w:r>
            <w:proofErr w:type="gramEnd"/>
            <w:r w:rsidRPr="002A0699">
              <w:rPr>
                <w:sz w:val="22"/>
                <w:szCs w:val="22"/>
              </w:rPr>
              <w:t xml:space="preserve"> and nephrologist conference, and mainstreaming of genetic testing.</w:t>
            </w:r>
          </w:p>
        </w:tc>
      </w:tr>
    </w:tbl>
    <w:p w14:paraId="330F0DB8" w14:textId="21D41472" w:rsidR="006A0D97" w:rsidRPr="002A0699" w:rsidRDefault="00F56D7F" w:rsidP="002A0699">
      <w:pPr>
        <w:spacing w:before="240"/>
        <w:rPr>
          <w:b/>
        </w:rPr>
      </w:pPr>
      <w:r w:rsidRPr="002A0699">
        <w:rPr>
          <w:b/>
        </w:rPr>
        <w:t>ESC discussion</w:t>
      </w:r>
    </w:p>
    <w:p w14:paraId="638E157F" w14:textId="77777777" w:rsidR="00344187" w:rsidRDefault="00344187" w:rsidP="00344187">
      <w:r w:rsidRPr="00CD79B1">
        <w:t>ESC noted this application was for the Medicare Benefits Schedule (MBS) listing of genetic</w:t>
      </w:r>
      <w:r>
        <w:t xml:space="preserve"> testing for heritable kidney disease (other than Alport syndrome) in five populations:</w:t>
      </w:r>
    </w:p>
    <w:p w14:paraId="5CDB982E" w14:textId="77777777" w:rsidR="00344187" w:rsidRPr="0080334B" w:rsidRDefault="00344187" w:rsidP="00344187">
      <w:pPr>
        <w:pStyle w:val="Bullet"/>
        <w:numPr>
          <w:ilvl w:val="0"/>
          <w:numId w:val="14"/>
        </w:numPr>
      </w:pPr>
      <w:r w:rsidRPr="0080334B">
        <w:lastRenderedPageBreak/>
        <w:t xml:space="preserve">Population 1 (adults): </w:t>
      </w:r>
      <w:r>
        <w:t>Whole-genome sequencing (</w:t>
      </w:r>
      <w:r w:rsidRPr="0080334B">
        <w:t>WGS</w:t>
      </w:r>
      <w:r>
        <w:t>)</w:t>
      </w:r>
      <w:r w:rsidRPr="0080334B">
        <w:t xml:space="preserve"> for germline gene variants in </w:t>
      </w:r>
      <w:r>
        <w:t>at least one</w:t>
      </w:r>
      <w:r w:rsidRPr="0080334B">
        <w:t xml:space="preserve"> gene causative for </w:t>
      </w:r>
      <w:r>
        <w:t>heritable</w:t>
      </w:r>
      <w:r w:rsidRPr="0080334B">
        <w:t xml:space="preserve"> cystic kidney disease </w:t>
      </w:r>
    </w:p>
    <w:p w14:paraId="6F69FDE4" w14:textId="77777777" w:rsidR="00344187" w:rsidRPr="0080334B" w:rsidRDefault="00344187" w:rsidP="00344187">
      <w:pPr>
        <w:pStyle w:val="Bullet"/>
        <w:numPr>
          <w:ilvl w:val="0"/>
          <w:numId w:val="14"/>
        </w:numPr>
      </w:pPr>
      <w:r w:rsidRPr="0080334B">
        <w:t>Population 2 (children</w:t>
      </w:r>
      <w:r>
        <w:t>)</w:t>
      </w:r>
      <w:r w:rsidRPr="0080334B">
        <w:t xml:space="preserve">: WGS for </w:t>
      </w:r>
      <w:r w:rsidRPr="00A94815">
        <w:t>germline</w:t>
      </w:r>
      <w:r w:rsidRPr="0080334B">
        <w:t xml:space="preserve"> gene variants in </w:t>
      </w:r>
      <w:r>
        <w:t>at least one</w:t>
      </w:r>
      <w:r w:rsidRPr="0080334B">
        <w:t xml:space="preserve"> gene causative for </w:t>
      </w:r>
      <w:r>
        <w:t>heritable</w:t>
      </w:r>
      <w:r w:rsidRPr="0080334B">
        <w:t xml:space="preserve"> </w:t>
      </w:r>
      <w:r>
        <w:t xml:space="preserve">chronic kidney disease </w:t>
      </w:r>
      <w:r w:rsidRPr="0080334B">
        <w:t>in children</w:t>
      </w:r>
      <w:r>
        <w:t xml:space="preserve"> (&lt;18 years old)</w:t>
      </w:r>
    </w:p>
    <w:p w14:paraId="503E0438" w14:textId="77777777" w:rsidR="00344187" w:rsidRPr="0080334B" w:rsidRDefault="00344187" w:rsidP="00344187">
      <w:pPr>
        <w:pStyle w:val="Bullet"/>
        <w:numPr>
          <w:ilvl w:val="0"/>
          <w:numId w:val="14"/>
        </w:numPr>
      </w:pPr>
      <w:r w:rsidRPr="0080334B">
        <w:t>Population 3: Genetic testing in first</w:t>
      </w:r>
      <w:r>
        <w:t>-</w:t>
      </w:r>
      <w:r w:rsidRPr="00A94815">
        <w:t>degree</w:t>
      </w:r>
      <w:r w:rsidRPr="0080334B">
        <w:t xml:space="preserve"> relatives of index cases for familial germline gene variants identified in genes causative for </w:t>
      </w:r>
      <w:r>
        <w:t>heritable</w:t>
      </w:r>
      <w:r w:rsidRPr="0080334B">
        <w:t xml:space="preserve"> kidney disease</w:t>
      </w:r>
    </w:p>
    <w:p w14:paraId="7634C3DD" w14:textId="77777777" w:rsidR="00344187" w:rsidRPr="0080334B" w:rsidRDefault="00344187" w:rsidP="00344187">
      <w:pPr>
        <w:pStyle w:val="Bullet"/>
        <w:numPr>
          <w:ilvl w:val="0"/>
          <w:numId w:val="14"/>
        </w:numPr>
      </w:pPr>
      <w:r w:rsidRPr="0080334B">
        <w:t xml:space="preserve">Population 4: Genetic testing for </w:t>
      </w:r>
      <w:r w:rsidRPr="00A94815">
        <w:t>reproductive</w:t>
      </w:r>
      <w:r w:rsidRPr="0080334B">
        <w:t xml:space="preserve"> decision making</w:t>
      </w:r>
      <w:r>
        <w:t xml:space="preserve"> (Department added)</w:t>
      </w:r>
    </w:p>
    <w:p w14:paraId="614AE839" w14:textId="77777777" w:rsidR="00344187" w:rsidRDefault="00344187" w:rsidP="00344187">
      <w:pPr>
        <w:pStyle w:val="BulletLast"/>
        <w:numPr>
          <w:ilvl w:val="0"/>
          <w:numId w:val="14"/>
        </w:numPr>
      </w:pPr>
      <w:r w:rsidRPr="0080334B">
        <w:t>Population 5: Genetic testing for determining variant</w:t>
      </w:r>
      <w:r>
        <w:t>(</w:t>
      </w:r>
      <w:r w:rsidRPr="0080334B">
        <w:t>s</w:t>
      </w:r>
      <w:r>
        <w:t>)</w:t>
      </w:r>
      <w:r w:rsidRPr="0080334B">
        <w:t xml:space="preserve"> in a </w:t>
      </w:r>
      <w:proofErr w:type="spellStart"/>
      <w:r w:rsidRPr="0080334B">
        <w:t>fetus</w:t>
      </w:r>
      <w:proofErr w:type="spellEnd"/>
      <w:r>
        <w:t xml:space="preserve"> (Department added).</w:t>
      </w:r>
    </w:p>
    <w:p w14:paraId="11BBC520" w14:textId="77777777" w:rsidR="00344187" w:rsidRDefault="00344187" w:rsidP="00344187">
      <w:r>
        <w:t xml:space="preserve">ESC accepted the point made via public consultation that the originally proposed </w:t>
      </w:r>
      <w:r w:rsidRPr="008B09F7">
        <w:t xml:space="preserve">term </w:t>
      </w:r>
      <w:r>
        <w:t xml:space="preserve">of </w:t>
      </w:r>
      <w:r w:rsidRPr="008B09F7">
        <w:t xml:space="preserve">“inherited” kidney disease may be inappropriate as some genetic kidney disease is caused by </w:t>
      </w:r>
      <w:r w:rsidRPr="00FA3252">
        <w:rPr>
          <w:i/>
        </w:rPr>
        <w:t>de novo</w:t>
      </w:r>
      <w:r w:rsidRPr="008B09F7">
        <w:t xml:space="preserve"> variants</w:t>
      </w:r>
      <w:r>
        <w:t>, and advised that, consistent with MSAC-preferred terminology, the word “heritable” should be preferred, including in any MSAC-supported item descriptors.</w:t>
      </w:r>
    </w:p>
    <w:p w14:paraId="6B861E1C" w14:textId="182139C8" w:rsidR="00344187" w:rsidRDefault="00344187" w:rsidP="00344187">
      <w:r>
        <w:t>ESC noted the support from the public consultation, suggesting that genomic testing could provide clinical utility of c</w:t>
      </w:r>
      <w:r w:rsidRPr="00BE76EC">
        <w:t xml:space="preserve">ertainty in diagnosis and prognosis, </w:t>
      </w:r>
      <w:r>
        <w:t xml:space="preserve">assign a </w:t>
      </w:r>
      <w:r w:rsidRPr="00BE76EC">
        <w:t xml:space="preserve">diagnosis </w:t>
      </w:r>
      <w:r>
        <w:t>for</w:t>
      </w:r>
      <w:r w:rsidRPr="00BE76EC">
        <w:t xml:space="preserve"> atypical </w:t>
      </w:r>
      <w:r>
        <w:t xml:space="preserve">disease </w:t>
      </w:r>
      <w:r w:rsidRPr="00BE76EC">
        <w:t xml:space="preserve">presentation, </w:t>
      </w:r>
      <w:r>
        <w:t xml:space="preserve">predict a diagnosis of </w:t>
      </w:r>
      <w:r w:rsidRPr="00BE76EC">
        <w:t xml:space="preserve">ADPKD before adulthood, </w:t>
      </w:r>
      <w:r>
        <w:t>shorten the</w:t>
      </w:r>
      <w:r w:rsidRPr="00BE76EC">
        <w:t xml:space="preserve"> diagnostic odyssey, </w:t>
      </w:r>
      <w:r>
        <w:t xml:space="preserve">provide </w:t>
      </w:r>
      <w:r w:rsidRPr="00BE76EC">
        <w:t>earlier access to treatment</w:t>
      </w:r>
      <w:r>
        <w:t xml:space="preserve"> dependent upon genotype, and</w:t>
      </w:r>
      <w:r w:rsidRPr="00BE76EC">
        <w:t xml:space="preserve"> </w:t>
      </w:r>
      <w:r>
        <w:t xml:space="preserve">lead to </w:t>
      </w:r>
      <w:r w:rsidRPr="00BE76EC">
        <w:t>better clinical management</w:t>
      </w:r>
      <w:r>
        <w:t>,</w:t>
      </w:r>
      <w:r w:rsidRPr="00BE76EC">
        <w:t xml:space="preserve"> incl</w:t>
      </w:r>
      <w:r>
        <w:t>uding</w:t>
      </w:r>
      <w:r w:rsidRPr="00BE76EC">
        <w:t xml:space="preserve"> </w:t>
      </w:r>
      <w:r>
        <w:t>reduced</w:t>
      </w:r>
      <w:r w:rsidRPr="00BE76EC">
        <w:t xml:space="preserve"> use of renal biopsy, negative </w:t>
      </w:r>
      <w:r>
        <w:t xml:space="preserve">genetic </w:t>
      </w:r>
      <w:r w:rsidRPr="00BE76EC">
        <w:t>result</w:t>
      </w:r>
      <w:r>
        <w:t>s</w:t>
      </w:r>
      <w:r w:rsidRPr="00BE76EC">
        <w:t xml:space="preserve"> from cascade testing</w:t>
      </w:r>
      <w:r>
        <w:t xml:space="preserve"> with</w:t>
      </w:r>
      <w:r w:rsidRPr="00BE76EC">
        <w:t xml:space="preserve"> avoided monitoring</w:t>
      </w:r>
      <w:r>
        <w:t>, and</w:t>
      </w:r>
      <w:r w:rsidRPr="00BE76EC">
        <w:t xml:space="preserve"> informed family planning</w:t>
      </w:r>
      <w:r>
        <w:t>. Consumer feedback also noted by ESC included that funding this testing would improve equity of access, and that the value of knowing can be empowering.</w:t>
      </w:r>
    </w:p>
    <w:p w14:paraId="133E0EF0" w14:textId="77777777" w:rsidR="00344187" w:rsidRDefault="00344187" w:rsidP="00344187">
      <w:r>
        <w:t xml:space="preserve">ESC noted that population groupings in the DCAR differed from those in the </w:t>
      </w:r>
      <w:proofErr w:type="gramStart"/>
      <w:r>
        <w:t>PICO, but</w:t>
      </w:r>
      <w:proofErr w:type="gramEnd"/>
      <w:r>
        <w:t xml:space="preserve"> accepted them because the new groups were based on </w:t>
      </w:r>
      <w:proofErr w:type="spellStart"/>
      <w:r>
        <w:t>KidGen</w:t>
      </w:r>
      <w:proofErr w:type="spellEnd"/>
      <w:r>
        <w:rPr>
          <w:rStyle w:val="FootnoteReference"/>
        </w:rPr>
        <w:footnoteReference w:id="37"/>
      </w:r>
      <w:r>
        <w:t xml:space="preserve"> advice. ESC expressed concern about the leakage of items AAAA1 and AAAA2 to other kidney diseases, but also conceded that there would be little reason to genetically test these other patients. ESC queried whether reproductive partner testing (item DDDD) should be restricted to the partners of probands whose variants are not known to have a dominant mode of inheritance.</w:t>
      </w:r>
    </w:p>
    <w:p w14:paraId="4ECFBCEB" w14:textId="77777777" w:rsidR="00344187" w:rsidRDefault="00344187" w:rsidP="00344187">
      <w:r>
        <w:t xml:space="preserve">ESC noted that, in the pre-ESC response, the applicant claimed that WGS should be used for ADPKD and whole exome sequencing (WES) for all other genetic testing. ESC agreed with the rejoinder that </w:t>
      </w:r>
      <w:r w:rsidRPr="001E7AF1">
        <w:t xml:space="preserve">WGS is </w:t>
      </w:r>
      <w:r>
        <w:t xml:space="preserve">the preferred method of testing (as was the opinion of </w:t>
      </w:r>
      <w:proofErr w:type="spellStart"/>
      <w:r>
        <w:t>KidGen</w:t>
      </w:r>
      <w:proofErr w:type="spellEnd"/>
      <w:r>
        <w:t xml:space="preserve">), as it is better at detecting the types of variants in question and is more efficient of pathology resources. Further, ESC noted that there are five sites in Australia accredited to </w:t>
      </w:r>
      <w:r w:rsidRPr="0023739B">
        <w:t xml:space="preserve">perform WGS and 15 sites that can perform </w:t>
      </w:r>
      <w:r>
        <w:t>next generation sequencing (NGS)</w:t>
      </w:r>
      <w:r w:rsidRPr="0023739B">
        <w:t>.</w:t>
      </w:r>
      <w:r>
        <w:t xml:space="preserve"> ESC considered that, aside from specifying WGS for the two affected </w:t>
      </w:r>
      <w:proofErr w:type="gramStart"/>
      <w:r>
        <w:t>individuals</w:t>
      </w:r>
      <w:proofErr w:type="gramEnd"/>
      <w:r>
        <w:t xml:space="preserve"> items, the item descriptors could be technology agnostic.</w:t>
      </w:r>
      <w:r w:rsidRPr="001E7AF1">
        <w:t xml:space="preserve"> </w:t>
      </w:r>
      <w:r>
        <w:t xml:space="preserve">The pre-ESC response also highlighted that the populations assessed are dichotomised by age, but that the presentations of many of the variants are not </w:t>
      </w:r>
      <w:proofErr w:type="gramStart"/>
      <w:r>
        <w:t>age-specific</w:t>
      </w:r>
      <w:proofErr w:type="gramEnd"/>
      <w:r>
        <w:t>.</w:t>
      </w:r>
    </w:p>
    <w:p w14:paraId="128F51E6" w14:textId="77777777" w:rsidR="00344187" w:rsidRDefault="00344187" w:rsidP="00344187">
      <w:r>
        <w:t>ESC noted that the DCAR did not present any data on comparative safety. The claims that it is “</w:t>
      </w:r>
      <w:r w:rsidRPr="001E7AF1">
        <w:t>possible for harm to be caused by genetic testing through genetic misdiagnosis (or overdiagnosis), missed diagnosis, or incidental findings</w:t>
      </w:r>
      <w:r>
        <w:t>” and “h</w:t>
      </w:r>
      <w:r w:rsidRPr="001E7AF1">
        <w:t xml:space="preserve">arm can also be caused by no genetic testing through adverse events associated with inappropriate therapeutic </w:t>
      </w:r>
      <w:r w:rsidRPr="001E7AF1">
        <w:lastRenderedPageBreak/>
        <w:t>interventions</w:t>
      </w:r>
      <w:r>
        <w:t>” were not supported by any evidence so there was no objective basis to judge their reasonableness</w:t>
      </w:r>
      <w:r w:rsidRPr="001E7AF1">
        <w:t>.</w:t>
      </w:r>
    </w:p>
    <w:p w14:paraId="1F45A5D2" w14:textId="77777777" w:rsidR="00344187" w:rsidRDefault="00344187" w:rsidP="00344187">
      <w:r>
        <w:t xml:space="preserve">ESC noted that the DCAR used a linked evidence approach to analyse clinical trial data for populations 1–3. ESC noted the lack of high-quality evidence to support the clinical claims of </w:t>
      </w:r>
      <w:r w:rsidRPr="00A94815">
        <w:t xml:space="preserve">superior safety and effectiveness in terms of disease diagnosis and change in clinical management of </w:t>
      </w:r>
      <w:proofErr w:type="gramStart"/>
      <w:r w:rsidRPr="00A94815">
        <w:t>patients</w:t>
      </w:r>
      <w:r>
        <w:t>, and</w:t>
      </w:r>
      <w:proofErr w:type="gramEnd"/>
      <w:r>
        <w:t xml:space="preserve"> noted that any evidence presented in the DCAR had a high risk of bias. </w:t>
      </w:r>
    </w:p>
    <w:p w14:paraId="4DF724C8" w14:textId="5589329D" w:rsidR="00344187" w:rsidRPr="00AF768C" w:rsidRDefault="00344187" w:rsidP="00344187">
      <w:r>
        <w:t>ESC noted that the composite diagnostic yield varied by population; being higher for population 1 (79%) and ranging from 17% to 29% within population 2. ESC acknowledged that the stepwise approach used was to firstly demonstrate diagnostic yield for each indication, which were all &gt;10% and therefore are considered above an acceptable threshold set previously in CUC-based applications. The diagnostic yield analysis of selected exemplars may have consequences for familial testing. A descriptive summary (average and range) of diagnostic yield was not provided.</w:t>
      </w:r>
    </w:p>
    <w:p w14:paraId="1D4AEF0A" w14:textId="15D22C41" w:rsidR="00344187" w:rsidRDefault="00344187" w:rsidP="00344187">
      <w:r>
        <w:t>ESC noted that i</w:t>
      </w:r>
      <w:r w:rsidRPr="00836845">
        <w:t>n population 2</w:t>
      </w:r>
      <w:r>
        <w:t xml:space="preserve"> (glomerular diseases subpopulation), </w:t>
      </w:r>
      <w:r w:rsidRPr="00836845">
        <w:t xml:space="preserve">six studies found that immunosuppressive therapies failed to prevent the progression to ESKD in patients </w:t>
      </w:r>
      <w:r>
        <w:t>with genetically determined SRNS</w:t>
      </w:r>
      <w:r w:rsidRPr="00836845">
        <w:t>. Genetic diagnosis could potentially prevent ineffective treatment being trialled</w:t>
      </w:r>
      <w:r>
        <w:t>, but ESC considered there to be</w:t>
      </w:r>
      <w:r w:rsidRPr="00836845">
        <w:t xml:space="preserve"> no direct evidence that genetic diagnosis changes management.</w:t>
      </w:r>
      <w:r>
        <w:t xml:space="preserve"> </w:t>
      </w:r>
      <w:r w:rsidRPr="00836845">
        <w:t>In population 2</w:t>
      </w:r>
      <w:r>
        <w:t xml:space="preserve"> (</w:t>
      </w:r>
      <w:r w:rsidRPr="00836845">
        <w:t>complement diseases sub</w:t>
      </w:r>
      <w:r>
        <w:t>population)</w:t>
      </w:r>
      <w:r w:rsidRPr="00836845">
        <w:t xml:space="preserve">, one retrospective study found that the death rate was higher in </w:t>
      </w:r>
      <w:proofErr w:type="spellStart"/>
      <w:r>
        <w:t>aHUS</w:t>
      </w:r>
      <w:proofErr w:type="spellEnd"/>
      <w:r w:rsidRPr="00836845">
        <w:t xml:space="preserve"> patients with genetic variants compared with those without genetic variants.</w:t>
      </w:r>
      <w:r>
        <w:t xml:space="preserve"> ESC disagreed with how this evidence was presented in the assessment report, and reclassified the “clinical utility” as “prognosis”, as the evidence</w:t>
      </w:r>
      <w:r w:rsidRPr="00836845">
        <w:t xml:space="preserve"> for change in </w:t>
      </w:r>
      <w:r>
        <w:t>m</w:t>
      </w:r>
      <w:r w:rsidRPr="00836845">
        <w:t>anagement was in the form of prognostic evidence rather than direct evidence that diagnosis changed clinical management.</w:t>
      </w:r>
    </w:p>
    <w:p w14:paraId="5EC11910" w14:textId="77777777" w:rsidR="00344187" w:rsidRDefault="00344187" w:rsidP="00344187">
      <w:r>
        <w:t>ESC also reclassified “clinical utility” evidence relating to treatment effect modification by genetic variant status</w:t>
      </w:r>
      <w:r w:rsidDel="00983C17">
        <w:t xml:space="preserve"> </w:t>
      </w:r>
      <w:r>
        <w:t>as “predictive validity”, because the evidence for health benefit from change in management was in the form of clinical prediction of therapeutic effectiveness by genetic test result. ESC considered its reclassification to be more accurate because there was no direct evidence that the test result changed the clinical management.</w:t>
      </w:r>
    </w:p>
    <w:p w14:paraId="30EB7120" w14:textId="1EE8AF63" w:rsidR="00344187" w:rsidRDefault="00344187" w:rsidP="00344187">
      <w:r>
        <w:t>ESC noted the small number of studies that reviewed gene variant status and its relationship to determining suitability of transplant compatibility. However, the genetic test used in these studies was Sanger sequencing (not WGS) and ESC considered the claims for a role for genetic testing in this to be unsubstantiated. ESC also noted the preimplantation genetic testing (PGT)</w:t>
      </w:r>
      <w:r w:rsidRPr="001503BA">
        <w:t xml:space="preserve"> studies using Sanger sequencing to detect</w:t>
      </w:r>
      <w:r>
        <w:t xml:space="preserve"> variants in the polycystic kidney disease 1</w:t>
      </w:r>
      <w:r w:rsidR="00D57119">
        <w:t xml:space="preserve"> </w:t>
      </w:r>
      <w:r>
        <w:t>(</w:t>
      </w:r>
      <w:r w:rsidRPr="00247016">
        <w:rPr>
          <w:i/>
        </w:rPr>
        <w:t>PKD1</w:t>
      </w:r>
      <w:r>
        <w:t>)</w:t>
      </w:r>
      <w:r w:rsidRPr="001503BA">
        <w:t xml:space="preserve"> and </w:t>
      </w:r>
      <w:r>
        <w:t>polycystic kidney disease 2 (</w:t>
      </w:r>
      <w:r w:rsidRPr="00247016">
        <w:rPr>
          <w:i/>
        </w:rPr>
        <w:t>PKD2</w:t>
      </w:r>
      <w:r>
        <w:t>)</w:t>
      </w:r>
      <w:r w:rsidRPr="001503BA">
        <w:t xml:space="preserve"> </w:t>
      </w:r>
      <w:r>
        <w:t>genes; however, again, WGS was not used and ESC considered the evidence to be limited. ESC also noted the limited evidence available to support the claim that genetic testing influences reproductive choices for population 2.</w:t>
      </w:r>
    </w:p>
    <w:p w14:paraId="535FAB32" w14:textId="77777777" w:rsidR="00344187" w:rsidRDefault="00344187" w:rsidP="00344187">
      <w:r>
        <w:t>ESC noted the comprehensive modelling of kidney disease progression used in the economic analysis. ESC considered that the complexity</w:t>
      </w:r>
      <w:r w:rsidRPr="00CB04AA">
        <w:t xml:space="preserve"> of the modelling (</w:t>
      </w:r>
      <w:r>
        <w:t xml:space="preserve">including the </w:t>
      </w:r>
      <w:r w:rsidRPr="00CB04AA">
        <w:t xml:space="preserve">number of inputs, health states, </w:t>
      </w:r>
      <w:r>
        <w:t xml:space="preserve">a </w:t>
      </w:r>
      <w:proofErr w:type="gramStart"/>
      <w:r>
        <w:t xml:space="preserve">long </w:t>
      </w:r>
      <w:r w:rsidRPr="00CB04AA">
        <w:t>time</w:t>
      </w:r>
      <w:proofErr w:type="gramEnd"/>
      <w:r w:rsidRPr="00CB04AA">
        <w:t xml:space="preserve"> horizon, </w:t>
      </w:r>
      <w:r>
        <w:t xml:space="preserve">and multiple </w:t>
      </w:r>
      <w:r w:rsidRPr="00CB04AA">
        <w:t xml:space="preserve">sources of evidence) made it somewhat difficult to examine model </w:t>
      </w:r>
      <w:r>
        <w:t xml:space="preserve">performance </w:t>
      </w:r>
      <w:r w:rsidRPr="00CB04AA">
        <w:t xml:space="preserve">beyond its face validity. </w:t>
      </w:r>
      <w:r>
        <w:t>ESC highlighted that m</w:t>
      </w:r>
      <w:r w:rsidRPr="00CB04AA">
        <w:t xml:space="preserve">odel validation presented </w:t>
      </w:r>
      <w:r>
        <w:t xml:space="preserve">in the DCAR </w:t>
      </w:r>
      <w:r w:rsidRPr="00CB04AA">
        <w:t>did not provide a conclusive assessment of model robustness.</w:t>
      </w:r>
      <w:r>
        <w:t xml:space="preserve"> </w:t>
      </w:r>
      <w:r w:rsidRPr="00E25978">
        <w:t xml:space="preserve">ESC </w:t>
      </w:r>
      <w:r>
        <w:t>considered</w:t>
      </w:r>
      <w:r w:rsidRPr="00E25978">
        <w:t xml:space="preserve"> that </w:t>
      </w:r>
      <w:r>
        <w:t xml:space="preserve">further validation may increase MSAC’s willingness to accept the results of the economic evaluation. </w:t>
      </w:r>
    </w:p>
    <w:p w14:paraId="18377D73" w14:textId="77777777" w:rsidR="00344187" w:rsidRDefault="00344187" w:rsidP="00344187">
      <w:r>
        <w:lastRenderedPageBreak/>
        <w:t xml:space="preserve">ESC recalled that, in the context of MSAC application 1573, MSAC had preferred the outcome “informed reproductive decisions” as the denominator for incremental cost-effectiveness ratios (ICERs) where reproductive decisions were affected and quality adjusted life years (QALYs) could not be generated, since MSAC seeks to optimise informed reproductive decision making. ESC also considered that ICERs per QALY are preferred if they can be supported, and noted that, for 1573 MSAC accepted all types of reproductive decisions included in the model, as well as their modelled cost consequences. However, ESC advised that all costs and consequences of the outcomes “informed reproductive decisions” or QALYs should be subject to discounting according to when they occur in time, given an anticipated delay between the information becoming available and the information being acted upon. Consequently, ESC considered that the approach taken in the evaluation, </w:t>
      </w:r>
      <w:proofErr w:type="gramStart"/>
      <w:r>
        <w:t>assuming that</w:t>
      </w:r>
      <w:proofErr w:type="gramEnd"/>
      <w:r>
        <w:t xml:space="preserve"> all reproductive decisions occur in the first model cycle, may not be appropriate. </w:t>
      </w:r>
    </w:p>
    <w:p w14:paraId="23D467EA" w14:textId="77777777" w:rsidR="00344187" w:rsidRDefault="00344187" w:rsidP="00344187">
      <w:r>
        <w:t xml:space="preserve">ESC noted that the economic evaluation resulted in high costs in both the intervention and comparator arms, and a relatively small incremental cost. Considering also nil incremental health benefits of testing, ESC queried whether the approach to economic evaluation was appropriate, and </w:t>
      </w:r>
      <w:proofErr w:type="gramStart"/>
      <w:r>
        <w:t>in particular if</w:t>
      </w:r>
      <w:proofErr w:type="gramEnd"/>
      <w:r>
        <w:t xml:space="preserve"> all costs modelled were relevant to the present MSAC decision. ESC noted that the negative incremental QALYs reported by the economic evaluation for populations 2 and 3 were due to forgoing calcineurin inhibitor treatment</w:t>
      </w:r>
      <w:r w:rsidRPr="00BF60F9">
        <w:t xml:space="preserve"> in patients with evidence of a monogenic form of SRNS</w:t>
      </w:r>
      <w:r>
        <w:t>, due to its low chances of success in this population (2% achieving</w:t>
      </w:r>
      <w:r w:rsidRPr="00BF60F9">
        <w:t xml:space="preserve"> complete response, </w:t>
      </w:r>
      <w:r>
        <w:t>compared to</w:t>
      </w:r>
      <w:r w:rsidRPr="00BF60F9">
        <w:t xml:space="preserve"> 32% in non-genetic SRNS</w:t>
      </w:r>
      <w:r>
        <w:t xml:space="preserve">). Because no other health outcome was modelled, the small loss of QALYs associated with forgoing this treatment could not be </w:t>
      </w:r>
      <w:proofErr w:type="gramStart"/>
      <w:r>
        <w:t>offset, and</w:t>
      </w:r>
      <w:proofErr w:type="gramEnd"/>
      <w:r>
        <w:t xml:space="preserve"> resulted in a modelled estimate of negative incremental health outcomes from genetic testing. ESC considered this estimate to be based on a minor and incidental </w:t>
      </w:r>
      <w:proofErr w:type="gramStart"/>
      <w:r>
        <w:t>finding, and</w:t>
      </w:r>
      <w:proofErr w:type="gramEnd"/>
      <w:r>
        <w:t xml:space="preserve"> advised that the proposed intervention should not be assessed exclusively on the negative incremental health outcomes reported from the economic model. Rather, the potential health gains of genetic testing not currently modelled should also be taken into consideration.</w:t>
      </w:r>
    </w:p>
    <w:p w14:paraId="26A34C42" w14:textId="2F303390" w:rsidR="00344187" w:rsidRDefault="00344187" w:rsidP="00344187">
      <w:r>
        <w:t xml:space="preserve">ESC noted that there was no evidence of any other health gains to justify the cost of testing. ESC acknowledged that aspects of the “value of knowing” have been argued to be relevant to this application, but there is no QALY value associated with this. ESC also noted the claimed additional health gains </w:t>
      </w:r>
      <w:r w:rsidRPr="002861FB">
        <w:t>of secondary prevention</w:t>
      </w:r>
      <w:r>
        <w:t xml:space="preserve"> (such as monitoring, lifestyle changes,</w:t>
      </w:r>
      <w:r w:rsidRPr="00FD40FF">
        <w:rPr>
          <w:bCs/>
        </w:rPr>
        <w:t xml:space="preserve"> </w:t>
      </w:r>
      <w:r w:rsidR="009B0F69">
        <w:rPr>
          <w:bCs/>
        </w:rPr>
        <w:t xml:space="preserve">and </w:t>
      </w:r>
      <w:r>
        <w:rPr>
          <w:bCs/>
        </w:rPr>
        <w:t xml:space="preserve">use of </w:t>
      </w:r>
      <w:r>
        <w:t>ACE inhibitors), but these were not supported by evidence and were not modelled.</w:t>
      </w:r>
      <w:r w:rsidRPr="002861FB">
        <w:t xml:space="preserve"> </w:t>
      </w:r>
      <w:r>
        <w:t>ESC also considered that improved patient management following genetic testing could lead to reductions in preventable all-cause hospitalisations, particularly in the context of kidney disease comorbidity with cardiovascular disease, hypertension and diabetes – but again, in the absence of evidence, these potential benefits (both health gains and cost offsets) were not modelled. ESC noted that similar concerns regarding modelled benefits</w:t>
      </w:r>
      <w:r w:rsidRPr="00010AA1">
        <w:t xml:space="preserve"> </w:t>
      </w:r>
      <w:r>
        <w:t xml:space="preserve">were considered </w:t>
      </w:r>
      <w:r w:rsidRPr="00010AA1">
        <w:t>for application 1449 (Alport syndrome</w:t>
      </w:r>
      <w:proofErr w:type="gramStart"/>
      <w:r w:rsidRPr="00010AA1">
        <w:t>)</w:t>
      </w:r>
      <w:r>
        <w:t>, but</w:t>
      </w:r>
      <w:proofErr w:type="gramEnd"/>
      <w:r>
        <w:t xml:space="preserve"> recalled that this previous model did not account for the reductions in renal biopsies even though this benefit was accepted by MSAC.</w:t>
      </w:r>
    </w:p>
    <w:p w14:paraId="61B1480E" w14:textId="77777777" w:rsidR="00344187" w:rsidRDefault="00344187" w:rsidP="00344187">
      <w:pPr>
        <w:pStyle w:val="NormalBeforeBullet"/>
      </w:pPr>
      <w:r>
        <w:lastRenderedPageBreak/>
        <w:t>ESC noted that the ICERs per informed reproductive decision were $3,351 for populations 1 &amp; 3, and $1,990 for populations 2 &amp; 3, but noted that limitations of the data supporting this claim include:</w:t>
      </w:r>
    </w:p>
    <w:p w14:paraId="6926373F" w14:textId="77777777" w:rsidR="00344187" w:rsidRPr="002861FB" w:rsidRDefault="00344187" w:rsidP="00344187">
      <w:pPr>
        <w:pStyle w:val="ListParagraph"/>
        <w:numPr>
          <w:ilvl w:val="0"/>
          <w:numId w:val="15"/>
        </w:numPr>
        <w:tabs>
          <w:tab w:val="clear" w:pos="720"/>
          <w:tab w:val="clear" w:pos="1140"/>
        </w:tabs>
        <w:spacing w:after="0"/>
      </w:pPr>
      <w:r>
        <w:t>r</w:t>
      </w:r>
      <w:r w:rsidRPr="002861FB">
        <w:t>ate of pre-implementation/prenatal diagnosis</w:t>
      </w:r>
      <w:r>
        <w:t xml:space="preserve"> in Victoria from 1977 to 2016</w:t>
      </w:r>
      <w:r>
        <w:rPr>
          <w:rStyle w:val="FootnoteReference"/>
        </w:rPr>
        <w:footnoteReference w:id="38"/>
      </w:r>
      <w:r w:rsidRPr="002861FB">
        <w:t xml:space="preserve"> </w:t>
      </w:r>
      <w:r>
        <w:t>and whether it is nationally representative</w:t>
      </w:r>
    </w:p>
    <w:p w14:paraId="7A2256E2" w14:textId="77777777" w:rsidR="00344187" w:rsidRPr="002861FB" w:rsidRDefault="00344187" w:rsidP="00344187">
      <w:pPr>
        <w:pStyle w:val="ListParagraph"/>
        <w:numPr>
          <w:ilvl w:val="0"/>
          <w:numId w:val="15"/>
        </w:numPr>
        <w:tabs>
          <w:tab w:val="clear" w:pos="720"/>
          <w:tab w:val="clear" w:pos="1140"/>
        </w:tabs>
        <w:spacing w:after="0"/>
      </w:pPr>
      <w:r>
        <w:t>a</w:t>
      </w:r>
      <w:r w:rsidRPr="002861FB">
        <w:t xml:space="preserve">pplicability of evidence of reproductive decisions </w:t>
      </w:r>
      <w:r>
        <w:t xml:space="preserve">made by 48 Australian couples </w:t>
      </w:r>
      <w:r w:rsidRPr="00110F36">
        <w:t>following the diagnosis of their children with monogenic disorders</w:t>
      </w:r>
      <w:r>
        <w:rPr>
          <w:rStyle w:val="FootnoteReference"/>
        </w:rPr>
        <w:footnoteReference w:id="39"/>
      </w:r>
      <w:r>
        <w:t>, to</w:t>
      </w:r>
      <w:r w:rsidRPr="00110F36">
        <w:t xml:space="preserve"> </w:t>
      </w:r>
      <w:r>
        <w:t>kidney disease specifically</w:t>
      </w:r>
      <w:r w:rsidRPr="002861FB">
        <w:t xml:space="preserve"> </w:t>
      </w:r>
    </w:p>
    <w:p w14:paraId="126C04A1" w14:textId="77777777" w:rsidR="00344187" w:rsidRDefault="00344187" w:rsidP="00344187">
      <w:pPr>
        <w:pStyle w:val="ListParagraph"/>
        <w:numPr>
          <w:ilvl w:val="0"/>
          <w:numId w:val="15"/>
        </w:numPr>
        <w:tabs>
          <w:tab w:val="clear" w:pos="720"/>
          <w:tab w:val="clear" w:pos="1140"/>
        </w:tabs>
        <w:spacing w:after="0"/>
      </w:pPr>
      <w:r>
        <w:t>a</w:t>
      </w:r>
      <w:r w:rsidRPr="002861FB">
        <w:t xml:space="preserve">pplicability of </w:t>
      </w:r>
      <w:r w:rsidRPr="004E5986">
        <w:t>UK patients</w:t>
      </w:r>
      <w:r>
        <w:t>’</w:t>
      </w:r>
      <w:r w:rsidRPr="004E5986">
        <w:t xml:space="preserve"> </w:t>
      </w:r>
      <w:r>
        <w:t>attitudes</w:t>
      </w:r>
      <w:r w:rsidRPr="007F16CD">
        <w:t xml:space="preserve"> </w:t>
      </w:r>
      <w:r w:rsidRPr="004E5986">
        <w:t>toward pre-implantation genetic diagnosis and prenatal diagnosis with ADPKD</w:t>
      </w:r>
      <w:r>
        <w:rPr>
          <w:rStyle w:val="FootnoteReference"/>
        </w:rPr>
        <w:footnoteReference w:id="40"/>
      </w:r>
      <w:r w:rsidRPr="005F4DC7">
        <w:t xml:space="preserve"> to</w:t>
      </w:r>
      <w:r w:rsidRPr="002861FB">
        <w:t xml:space="preserve"> Australia</w:t>
      </w:r>
      <w:r>
        <w:t>.</w:t>
      </w:r>
    </w:p>
    <w:p w14:paraId="22E6868A" w14:textId="41DBB6CD" w:rsidR="00344187" w:rsidRDefault="00344187" w:rsidP="00FE495C">
      <w:pPr>
        <w:spacing w:before="240"/>
      </w:pPr>
      <w:r>
        <w:t>ESC noted the uncertainty associated with the modelling, some of which may favour the intervention: the costs of ADPKD in first-degree relatives, and the uptake of kidney biopsy for SRNS. Moreover, ESC considered that the key drivers of the economic model identified by the DCAR were likely affected by the fact that no benefits were modelled, and consequently were of limited use in informing MSAC’s decision.</w:t>
      </w:r>
    </w:p>
    <w:p w14:paraId="00C422F2" w14:textId="77777777" w:rsidR="00344187" w:rsidRPr="00344187" w:rsidRDefault="00344187" w:rsidP="00344187">
      <w:r>
        <w:t xml:space="preserve">ESC noted that eligibility and uptake of testing were key drivers for the financial impact for population </w:t>
      </w:r>
      <w:proofErr w:type="gramStart"/>
      <w:r>
        <w:t>1, but</w:t>
      </w:r>
      <w:proofErr w:type="gramEnd"/>
      <w:r>
        <w:t xml:space="preserve"> considered that these numbers were uncertain. </w:t>
      </w:r>
      <w:r w:rsidRPr="006A5D93">
        <w:t>ESC noted that the estimated cost of population 1 was roughly double that for Alport syndrome and the estimate</w:t>
      </w:r>
      <w:r>
        <w:t>d</w:t>
      </w:r>
      <w:r w:rsidRPr="006A5D93">
        <w:t xml:space="preserve"> cost of population 2 was much smaller. </w:t>
      </w:r>
      <w:r>
        <w:t xml:space="preserve">For population 3, ESC noted that most of the “other costs to the MBS” were for </w:t>
      </w:r>
      <w:r w:rsidRPr="00E975D9">
        <w:rPr>
          <w:i/>
        </w:rPr>
        <w:t>in</w:t>
      </w:r>
      <w:r>
        <w:rPr>
          <w:i/>
        </w:rPr>
        <w:t xml:space="preserve"> </w:t>
      </w:r>
      <w:r w:rsidRPr="00E975D9">
        <w:rPr>
          <w:i/>
        </w:rPr>
        <w:t>vitro</w:t>
      </w:r>
      <w:r>
        <w:t xml:space="preserve"> fertilisation (IVF), with 10% ultrasound offset. </w:t>
      </w:r>
      <w:proofErr w:type="gramStart"/>
      <w:r>
        <w:t>As a consequence of</w:t>
      </w:r>
      <w:proofErr w:type="gramEnd"/>
      <w:r>
        <w:t xml:space="preserve"> informed reproductive decision making, ESC queried whether this cost of </w:t>
      </w:r>
      <w:r w:rsidRPr="00A2782E">
        <w:t>IVF</w:t>
      </w:r>
      <w:r>
        <w:t xml:space="preserve"> was relevant in the same year as the related genomic test or if it would be delayed. ESC considered the cost offsets associated with reductions in ultrasound screening to be potentially overestimated, because they were calculated under the assumption of perfect adherence to clinical guidelines.</w:t>
      </w:r>
    </w:p>
    <w:p w14:paraId="7F7D43F9" w14:textId="77777777" w:rsidR="00D90A38" w:rsidRPr="00F715D1" w:rsidRDefault="00BC1364" w:rsidP="004C41BD">
      <w:pPr>
        <w:pStyle w:val="Heading1"/>
      </w:pPr>
      <w:r w:rsidRPr="00F715D1">
        <w:t>Other significant factors</w:t>
      </w:r>
    </w:p>
    <w:p w14:paraId="03A5B228" w14:textId="77777777" w:rsidR="00BC1364" w:rsidRPr="005A4362" w:rsidRDefault="00BC1364" w:rsidP="004C41BD">
      <w:r w:rsidRPr="005A4362">
        <w:t>Nil</w:t>
      </w:r>
      <w:r w:rsidR="0009753E">
        <w:t>.</w:t>
      </w:r>
    </w:p>
    <w:p w14:paraId="06B04994" w14:textId="77777777" w:rsidR="00BC1364" w:rsidRPr="00F715D1" w:rsidRDefault="00C06B0B" w:rsidP="004C41BD">
      <w:pPr>
        <w:pStyle w:val="Heading1"/>
      </w:pPr>
      <w:r>
        <w:t>Applicant</w:t>
      </w:r>
      <w:r w:rsidR="00BC1364" w:rsidRPr="00F715D1">
        <w:t xml:space="preserve"> comments on MSAC’s </w:t>
      </w:r>
      <w:r w:rsidR="00DA56AA" w:rsidRPr="00F715D1">
        <w:t>Public Summary Document</w:t>
      </w:r>
    </w:p>
    <w:p w14:paraId="34036A37" w14:textId="2F460703" w:rsidR="00BC1364" w:rsidRPr="001D6856" w:rsidRDefault="001D6856" w:rsidP="004C41BD">
      <w:r w:rsidRPr="001D6856">
        <w:t>The applicant had no comment.</w:t>
      </w:r>
    </w:p>
    <w:p w14:paraId="020E8358" w14:textId="77777777" w:rsidR="00BC1364" w:rsidRPr="00F715D1" w:rsidRDefault="00271F18" w:rsidP="004C41BD">
      <w:pPr>
        <w:pStyle w:val="Heading1"/>
      </w:pPr>
      <w:r w:rsidRPr="00F715D1">
        <w:t>Further information on MSAC</w:t>
      </w:r>
    </w:p>
    <w:p w14:paraId="01D185C3" w14:textId="77777777" w:rsidR="00BC1364" w:rsidRPr="00F715D1" w:rsidRDefault="00271F18" w:rsidP="004C41BD">
      <w:r w:rsidRPr="00F715D1">
        <w:t xml:space="preserve">MSAC Terms of Reference and other </w:t>
      </w:r>
      <w:r w:rsidR="00BC1364" w:rsidRPr="00F715D1">
        <w:t xml:space="preserve">information </w:t>
      </w:r>
      <w:r w:rsidRPr="00F715D1">
        <w:t>are</w:t>
      </w:r>
      <w:r w:rsidR="00BC1364" w:rsidRPr="00F715D1">
        <w:t xml:space="preserve"> available on the MSAC Website: </w:t>
      </w:r>
      <w:r w:rsidR="00BC2667">
        <w:br/>
      </w:r>
      <w:hyperlink r:id="rId20" w:tooltip="Link to Medical Services Advisory Committee website" w:history="1">
        <w:r w:rsidR="00BC2667" w:rsidRPr="00F715D1">
          <w:rPr>
            <w:rStyle w:val="Hyperlink"/>
          </w:rPr>
          <w:t>visit the MSAC website</w:t>
        </w:r>
      </w:hyperlink>
    </w:p>
    <w:sectPr w:rsidR="00BC1364" w:rsidRPr="00F715D1" w:rsidSect="00271F18">
      <w:footerReference w:type="default" r:id="rId21"/>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B5BBC" w14:textId="77777777" w:rsidR="00412CB3" w:rsidRDefault="00412CB3" w:rsidP="004C41BD">
      <w:r>
        <w:separator/>
      </w:r>
    </w:p>
  </w:endnote>
  <w:endnote w:type="continuationSeparator" w:id="0">
    <w:p w14:paraId="76C2B365" w14:textId="77777777" w:rsidR="00412CB3" w:rsidRDefault="00412CB3" w:rsidP="004C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umanist 77 7 B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00866"/>
      <w:docPartObj>
        <w:docPartGallery w:val="Page Numbers (Bottom of Page)"/>
        <w:docPartUnique/>
      </w:docPartObj>
    </w:sdtPr>
    <w:sdtEndPr>
      <w:rPr>
        <w:noProof/>
      </w:rPr>
    </w:sdtEndPr>
    <w:sdtContent>
      <w:p w14:paraId="1F3C3E6D" w14:textId="74FCFFAD" w:rsidR="00412CB3" w:rsidRDefault="00412CB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CD27089" w14:textId="77777777" w:rsidR="00412CB3" w:rsidRDefault="00412CB3" w:rsidP="004C4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CD659" w14:textId="77777777" w:rsidR="00412CB3" w:rsidRDefault="00412CB3" w:rsidP="004C41BD">
      <w:r>
        <w:separator/>
      </w:r>
    </w:p>
  </w:footnote>
  <w:footnote w:type="continuationSeparator" w:id="0">
    <w:p w14:paraId="64B2E81A" w14:textId="77777777" w:rsidR="00412CB3" w:rsidRDefault="00412CB3" w:rsidP="004C41BD">
      <w:r>
        <w:continuationSeparator/>
      </w:r>
    </w:p>
  </w:footnote>
  <w:footnote w:id="1">
    <w:p w14:paraId="502C6E37" w14:textId="77777777" w:rsidR="00412CB3" w:rsidRDefault="00412CB3" w:rsidP="00C356C4">
      <w:pPr>
        <w:pStyle w:val="FootnoteText"/>
        <w:spacing w:after="0"/>
      </w:pPr>
      <w:r>
        <w:rPr>
          <w:rStyle w:val="FootnoteReference"/>
        </w:rPr>
        <w:footnoteRef/>
      </w:r>
      <w:r>
        <w:t xml:space="preserve"> </w:t>
      </w:r>
      <w:proofErr w:type="spellStart"/>
      <w:r w:rsidRPr="0085589B">
        <w:rPr>
          <w:lang w:val="en"/>
        </w:rPr>
        <w:t>Groopman</w:t>
      </w:r>
      <w:proofErr w:type="spellEnd"/>
      <w:r w:rsidRPr="0085589B">
        <w:rPr>
          <w:lang w:val="en"/>
        </w:rPr>
        <w:t xml:space="preserve"> EE, et al.</w:t>
      </w:r>
      <w:r>
        <w:rPr>
          <w:lang w:val="en"/>
        </w:rPr>
        <w:t xml:space="preserve"> (2019).</w:t>
      </w:r>
      <w:r w:rsidRPr="0085589B">
        <w:rPr>
          <w:lang w:val="en"/>
        </w:rPr>
        <w:t xml:space="preserve"> Diagnostic utility of exome sequencing for kid</w:t>
      </w:r>
      <w:r>
        <w:rPr>
          <w:lang w:val="en"/>
        </w:rPr>
        <w:t xml:space="preserve">ney disease. </w:t>
      </w:r>
      <w:r w:rsidRPr="00B47B86">
        <w:rPr>
          <w:i/>
          <w:lang w:val="en"/>
        </w:rPr>
        <w:t xml:space="preserve">N </w:t>
      </w:r>
      <w:proofErr w:type="spellStart"/>
      <w:r w:rsidRPr="00B47B86">
        <w:rPr>
          <w:i/>
          <w:lang w:val="en"/>
        </w:rPr>
        <w:t>Engl</w:t>
      </w:r>
      <w:proofErr w:type="spellEnd"/>
      <w:r w:rsidRPr="00B47B86">
        <w:rPr>
          <w:i/>
          <w:lang w:val="en"/>
        </w:rPr>
        <w:t xml:space="preserve"> J Med</w:t>
      </w:r>
      <w:r>
        <w:rPr>
          <w:lang w:val="en"/>
        </w:rPr>
        <w:t xml:space="preserve">, </w:t>
      </w:r>
      <w:r w:rsidRPr="000322D1">
        <w:rPr>
          <w:lang w:val="en"/>
        </w:rPr>
        <w:t>380</w:t>
      </w:r>
      <w:r w:rsidRPr="0085589B">
        <w:rPr>
          <w:lang w:val="en"/>
        </w:rPr>
        <w:t>:</w:t>
      </w:r>
      <w:r>
        <w:rPr>
          <w:lang w:val="en"/>
        </w:rPr>
        <w:t xml:space="preserve"> </w:t>
      </w:r>
      <w:r w:rsidRPr="0085589B">
        <w:rPr>
          <w:lang w:val="en"/>
        </w:rPr>
        <w:t>142–151.</w:t>
      </w:r>
    </w:p>
  </w:footnote>
  <w:footnote w:id="2">
    <w:p w14:paraId="538D086C" w14:textId="77777777" w:rsidR="00412CB3" w:rsidRDefault="00412CB3" w:rsidP="00C356C4">
      <w:pPr>
        <w:pStyle w:val="FootnoteText"/>
        <w:spacing w:after="0"/>
      </w:pPr>
      <w:r>
        <w:rPr>
          <w:rStyle w:val="FootnoteReference"/>
        </w:rPr>
        <w:footnoteRef/>
      </w:r>
      <w:r>
        <w:t xml:space="preserve"> </w:t>
      </w:r>
      <w:r w:rsidRPr="006B22C3">
        <w:rPr>
          <w:lang w:val="en"/>
        </w:rPr>
        <w:t xml:space="preserve">Jayasinghe, K, </w:t>
      </w:r>
      <w:r w:rsidRPr="006B22C3">
        <w:rPr>
          <w:iCs/>
          <w:lang w:val="en"/>
        </w:rPr>
        <w:t>et al.</w:t>
      </w:r>
      <w:r>
        <w:rPr>
          <w:iCs/>
          <w:lang w:val="en"/>
        </w:rPr>
        <w:t xml:space="preserve"> (2021).</w:t>
      </w:r>
      <w:r w:rsidRPr="006B22C3">
        <w:rPr>
          <w:lang w:val="en"/>
        </w:rPr>
        <w:t xml:space="preserve"> Clinical impact of genomic testing in patients with suspected monogenic kidney disease. </w:t>
      </w:r>
      <w:r w:rsidRPr="006B22C3">
        <w:rPr>
          <w:i/>
          <w:iCs/>
          <w:lang w:val="en"/>
        </w:rPr>
        <w:t>Genet Med</w:t>
      </w:r>
      <w:r w:rsidRPr="006B22C3">
        <w:rPr>
          <w:lang w:val="en"/>
        </w:rPr>
        <w:t xml:space="preserve"> </w:t>
      </w:r>
      <w:r w:rsidRPr="000322D1">
        <w:rPr>
          <w:bCs/>
          <w:lang w:val="en"/>
        </w:rPr>
        <w:t>23</w:t>
      </w:r>
      <w:r w:rsidRPr="006B22C3">
        <w:rPr>
          <w:bCs/>
          <w:lang w:val="en"/>
        </w:rPr>
        <w:t>:</w:t>
      </w:r>
      <w:r>
        <w:rPr>
          <w:bCs/>
          <w:lang w:val="en"/>
        </w:rPr>
        <w:t xml:space="preserve"> </w:t>
      </w:r>
      <w:r>
        <w:rPr>
          <w:lang w:val="en"/>
        </w:rPr>
        <w:t>183–191.</w:t>
      </w:r>
    </w:p>
  </w:footnote>
  <w:footnote w:id="3">
    <w:p w14:paraId="2806E5F8" w14:textId="77777777" w:rsidR="00412CB3" w:rsidRDefault="00412CB3" w:rsidP="0008746D">
      <w:pPr>
        <w:pStyle w:val="FootnoteText"/>
        <w:spacing w:after="0"/>
      </w:pPr>
      <w:r>
        <w:rPr>
          <w:rStyle w:val="FootnoteReference"/>
        </w:rPr>
        <w:footnoteRef/>
      </w:r>
      <w:r>
        <w:t xml:space="preserve"> MSAC Public Summary Document (PSD) for </w:t>
      </w:r>
      <w:hyperlink r:id="rId1" w:history="1">
        <w:r w:rsidRPr="00F81416">
          <w:rPr>
            <w:rStyle w:val="Hyperlink"/>
          </w:rPr>
          <w:t>application 1449</w:t>
        </w:r>
      </w:hyperlink>
    </w:p>
  </w:footnote>
  <w:footnote w:id="4">
    <w:p w14:paraId="2BB11CF5" w14:textId="77777777" w:rsidR="00412CB3" w:rsidRDefault="00412CB3" w:rsidP="0008746D">
      <w:pPr>
        <w:pStyle w:val="FootnoteText"/>
        <w:spacing w:after="0"/>
      </w:pPr>
      <w:r>
        <w:rPr>
          <w:rStyle w:val="FootnoteReference"/>
        </w:rPr>
        <w:footnoteRef/>
      </w:r>
      <w:r>
        <w:t xml:space="preserve"> </w:t>
      </w:r>
      <w:proofErr w:type="spellStart"/>
      <w:r w:rsidRPr="00B47B86">
        <w:t>Savige</w:t>
      </w:r>
      <w:proofErr w:type="spellEnd"/>
      <w:r w:rsidRPr="00B47B86">
        <w:t>,</w:t>
      </w:r>
      <w:r>
        <w:t xml:space="preserve"> J., </w:t>
      </w:r>
      <w:proofErr w:type="spellStart"/>
      <w:r w:rsidRPr="00B47B86">
        <w:t>Ratnaike</w:t>
      </w:r>
      <w:proofErr w:type="spellEnd"/>
      <w:r w:rsidRPr="00B47B86">
        <w:t>, </w:t>
      </w:r>
      <w:r>
        <w:t xml:space="preserve">S., &amp; </w:t>
      </w:r>
      <w:r w:rsidRPr="00B47B86">
        <w:t>Colville</w:t>
      </w:r>
      <w:r>
        <w:t xml:space="preserve">, D. 2011. </w:t>
      </w:r>
      <w:r w:rsidRPr="00C71B19">
        <w:t>Retinal Abnormalities Characteristic of Inherited Renal Disease</w:t>
      </w:r>
      <w:r>
        <w:t xml:space="preserve">. </w:t>
      </w:r>
      <w:r w:rsidRPr="00C71B19">
        <w:rPr>
          <w:i/>
        </w:rPr>
        <w:t>JASN</w:t>
      </w:r>
      <w:r w:rsidRPr="00B47B86">
        <w:t>, </w:t>
      </w:r>
      <w:r w:rsidRPr="00C71B19">
        <w:rPr>
          <w:b/>
        </w:rPr>
        <w:t>22</w:t>
      </w:r>
      <w:r w:rsidRPr="00B47B86">
        <w:t>(8)</w:t>
      </w:r>
      <w:r>
        <w:t>:</w:t>
      </w:r>
      <w:r w:rsidRPr="00B47B86">
        <w:t> </w:t>
      </w:r>
      <w:r>
        <w:t>1403-1415.</w:t>
      </w:r>
    </w:p>
  </w:footnote>
  <w:footnote w:id="5">
    <w:p w14:paraId="44B0AFE1" w14:textId="77777777" w:rsidR="00412CB3" w:rsidRDefault="00412CB3" w:rsidP="0008746D">
      <w:pPr>
        <w:pStyle w:val="FootnoteText"/>
        <w:spacing w:after="0"/>
      </w:pPr>
      <w:r>
        <w:rPr>
          <w:rStyle w:val="FootnoteReference"/>
        </w:rPr>
        <w:footnoteRef/>
      </w:r>
      <w:r>
        <w:t xml:space="preserve"> </w:t>
      </w:r>
      <w:hyperlink r:id="rId2" w:history="1">
        <w:r w:rsidRPr="00CE7C8A">
          <w:rPr>
            <w:rStyle w:val="Hyperlink"/>
          </w:rPr>
          <w:t>https://www.nata.com.au/accredited-facility</w:t>
        </w:r>
      </w:hyperlink>
      <w:r>
        <w:t xml:space="preserve"> [accessed 27 Jan 2021]</w:t>
      </w:r>
    </w:p>
  </w:footnote>
  <w:footnote w:id="6">
    <w:p w14:paraId="49583284" w14:textId="77777777" w:rsidR="00412CB3" w:rsidRDefault="00412CB3" w:rsidP="0008746D">
      <w:pPr>
        <w:pStyle w:val="FootnoteText"/>
        <w:spacing w:after="0"/>
      </w:pPr>
      <w:r>
        <w:rPr>
          <w:rStyle w:val="FootnoteReference"/>
        </w:rPr>
        <w:footnoteRef/>
      </w:r>
      <w:r>
        <w:t xml:space="preserve"> </w:t>
      </w:r>
      <w:proofErr w:type="spellStart"/>
      <w:r w:rsidRPr="0085589B">
        <w:rPr>
          <w:lang w:val="en"/>
        </w:rPr>
        <w:t>Groopman</w:t>
      </w:r>
      <w:proofErr w:type="spellEnd"/>
      <w:r w:rsidRPr="0085589B">
        <w:rPr>
          <w:lang w:val="en"/>
        </w:rPr>
        <w:t xml:space="preserve"> EE, et al.</w:t>
      </w:r>
      <w:r>
        <w:rPr>
          <w:lang w:val="en"/>
        </w:rPr>
        <w:t xml:space="preserve"> (2019).</w:t>
      </w:r>
      <w:r w:rsidRPr="0085589B">
        <w:rPr>
          <w:lang w:val="en"/>
        </w:rPr>
        <w:t xml:space="preserve"> Diagnostic utility of exome sequencing for kid</w:t>
      </w:r>
      <w:r>
        <w:rPr>
          <w:lang w:val="en"/>
        </w:rPr>
        <w:t xml:space="preserve">ney disease. </w:t>
      </w:r>
      <w:r w:rsidRPr="00B47B86">
        <w:rPr>
          <w:i/>
          <w:lang w:val="en"/>
        </w:rPr>
        <w:t xml:space="preserve">N </w:t>
      </w:r>
      <w:proofErr w:type="spellStart"/>
      <w:r w:rsidRPr="00B47B86">
        <w:rPr>
          <w:i/>
          <w:lang w:val="en"/>
        </w:rPr>
        <w:t>Engl</w:t>
      </w:r>
      <w:proofErr w:type="spellEnd"/>
      <w:r w:rsidRPr="00B47B86">
        <w:rPr>
          <w:i/>
          <w:lang w:val="en"/>
        </w:rPr>
        <w:t xml:space="preserve"> J Med</w:t>
      </w:r>
      <w:r>
        <w:rPr>
          <w:lang w:val="en"/>
        </w:rPr>
        <w:t xml:space="preserve">, </w:t>
      </w:r>
      <w:r w:rsidRPr="000322D1">
        <w:rPr>
          <w:lang w:val="en"/>
        </w:rPr>
        <w:t>380</w:t>
      </w:r>
      <w:r w:rsidRPr="0085589B">
        <w:rPr>
          <w:lang w:val="en"/>
        </w:rPr>
        <w:t>:</w:t>
      </w:r>
      <w:r>
        <w:rPr>
          <w:lang w:val="en"/>
        </w:rPr>
        <w:t xml:space="preserve"> </w:t>
      </w:r>
      <w:r w:rsidRPr="0085589B">
        <w:rPr>
          <w:lang w:val="en"/>
        </w:rPr>
        <w:t>142–151.</w:t>
      </w:r>
    </w:p>
  </w:footnote>
  <w:footnote w:id="7">
    <w:p w14:paraId="5796BB62" w14:textId="77777777" w:rsidR="00412CB3" w:rsidRDefault="00412CB3" w:rsidP="0008746D">
      <w:pPr>
        <w:pStyle w:val="FootnoteText"/>
        <w:spacing w:after="0"/>
      </w:pPr>
      <w:r>
        <w:rPr>
          <w:rStyle w:val="FootnoteReference"/>
        </w:rPr>
        <w:footnoteRef/>
      </w:r>
      <w:r>
        <w:t xml:space="preserve"> </w:t>
      </w:r>
      <w:r w:rsidRPr="006B22C3">
        <w:rPr>
          <w:lang w:val="en"/>
        </w:rPr>
        <w:t xml:space="preserve">Jayasinghe, K, </w:t>
      </w:r>
      <w:r w:rsidRPr="006B22C3">
        <w:rPr>
          <w:iCs/>
          <w:lang w:val="en"/>
        </w:rPr>
        <w:t>et al.</w:t>
      </w:r>
      <w:r>
        <w:rPr>
          <w:iCs/>
          <w:lang w:val="en"/>
        </w:rPr>
        <w:t xml:space="preserve"> (2021).</w:t>
      </w:r>
      <w:r w:rsidRPr="006B22C3">
        <w:rPr>
          <w:lang w:val="en"/>
        </w:rPr>
        <w:t xml:space="preserve"> Clinical impact of genomic testing in patients with suspected monogenic kidney disease. </w:t>
      </w:r>
      <w:r w:rsidRPr="006B22C3">
        <w:rPr>
          <w:i/>
          <w:iCs/>
          <w:lang w:val="en"/>
        </w:rPr>
        <w:t>Genet Med</w:t>
      </w:r>
      <w:r w:rsidRPr="006B22C3">
        <w:rPr>
          <w:lang w:val="en"/>
        </w:rPr>
        <w:t xml:space="preserve"> </w:t>
      </w:r>
      <w:r w:rsidRPr="000322D1">
        <w:rPr>
          <w:bCs/>
          <w:lang w:val="en"/>
        </w:rPr>
        <w:t>23</w:t>
      </w:r>
      <w:r w:rsidRPr="006B22C3">
        <w:rPr>
          <w:bCs/>
          <w:lang w:val="en"/>
        </w:rPr>
        <w:t>:</w:t>
      </w:r>
      <w:r>
        <w:rPr>
          <w:bCs/>
          <w:lang w:val="en"/>
        </w:rPr>
        <w:t xml:space="preserve"> </w:t>
      </w:r>
      <w:r>
        <w:rPr>
          <w:lang w:val="en"/>
        </w:rPr>
        <w:t>183–191.</w:t>
      </w:r>
    </w:p>
  </w:footnote>
  <w:footnote w:id="8">
    <w:p w14:paraId="4C9F78BD" w14:textId="77777777" w:rsidR="00412CB3" w:rsidRDefault="00412CB3" w:rsidP="0008746D">
      <w:pPr>
        <w:pStyle w:val="FootnoteText"/>
        <w:spacing w:after="0"/>
      </w:pPr>
      <w:r>
        <w:rPr>
          <w:rStyle w:val="FootnoteReference"/>
        </w:rPr>
        <w:footnoteRef/>
      </w:r>
      <w:r>
        <w:t xml:space="preserve"> </w:t>
      </w:r>
      <w:r w:rsidRPr="00844B46">
        <w:t>KDIGO 2012 Clinical Practice Guideline for the Evaluation and Management of Chronic Kidney Disease. Kidney Disease: Improving Global Outcomes (KDIGO) CKD Work Group. 2013, Kidney Inter Suppl, Vol. 3, pp. 1-150.</w:t>
      </w:r>
    </w:p>
  </w:footnote>
  <w:footnote w:id="9">
    <w:p w14:paraId="1CE7D835" w14:textId="77777777" w:rsidR="00412CB3" w:rsidRDefault="00412CB3" w:rsidP="0008746D">
      <w:pPr>
        <w:pStyle w:val="FootnoteText"/>
        <w:spacing w:after="0"/>
      </w:pPr>
      <w:r>
        <w:rPr>
          <w:rStyle w:val="FootnoteReference"/>
        </w:rPr>
        <w:footnoteRef/>
      </w:r>
      <w:r>
        <w:t xml:space="preserve"> </w:t>
      </w:r>
      <w:r w:rsidRPr="00844B46">
        <w:t>Australian Institute of Health and Welfare. C</w:t>
      </w:r>
      <w:r>
        <w:t>hronic Kidney Disease. Canberra</w:t>
      </w:r>
      <w:r w:rsidRPr="00844B46">
        <w:t>: Australian Government, 2019.</w:t>
      </w:r>
    </w:p>
  </w:footnote>
  <w:footnote w:id="10">
    <w:p w14:paraId="055E322A" w14:textId="77777777" w:rsidR="00412CB3" w:rsidRDefault="00412CB3" w:rsidP="0008746D">
      <w:pPr>
        <w:pStyle w:val="FootnoteText"/>
        <w:spacing w:after="0"/>
      </w:pPr>
      <w:r>
        <w:rPr>
          <w:rStyle w:val="FootnoteReference"/>
        </w:rPr>
        <w:footnoteRef/>
      </w:r>
      <w:r>
        <w:t xml:space="preserve"> </w:t>
      </w:r>
      <w:r w:rsidRPr="00844B46">
        <w:t xml:space="preserve">Personalized medicine in chronic kidney disease by detection of monogenic mutations. Connaughton, Dervla M and Hildebrandt, </w:t>
      </w:r>
      <w:proofErr w:type="spellStart"/>
      <w:r w:rsidRPr="00844B46">
        <w:t>Friedhelm</w:t>
      </w:r>
      <w:proofErr w:type="spellEnd"/>
      <w:r w:rsidRPr="00844B46">
        <w:t>. 2019, Nephrol Dial Transplant, pp. 1-8.</w:t>
      </w:r>
    </w:p>
  </w:footnote>
  <w:footnote w:id="11">
    <w:p w14:paraId="09B71E9F" w14:textId="77777777" w:rsidR="00412CB3" w:rsidRDefault="00412CB3" w:rsidP="0008746D">
      <w:pPr>
        <w:pStyle w:val="FootnoteText"/>
        <w:spacing w:after="0"/>
      </w:pPr>
      <w:r>
        <w:rPr>
          <w:rStyle w:val="FootnoteReference"/>
        </w:rPr>
        <w:footnoteRef/>
      </w:r>
      <w:r>
        <w:t xml:space="preserve"> </w:t>
      </w:r>
      <w:proofErr w:type="spellStart"/>
      <w:r w:rsidRPr="00267A27">
        <w:t>Noris</w:t>
      </w:r>
      <w:proofErr w:type="spellEnd"/>
      <w:r w:rsidRPr="00267A27">
        <w:t xml:space="preserve"> M, et al. 2010, 'Relative role of genetic complement abnormalities in sporadic and familial </w:t>
      </w:r>
      <w:proofErr w:type="spellStart"/>
      <w:r w:rsidRPr="00267A27">
        <w:t>aHUS</w:t>
      </w:r>
      <w:proofErr w:type="spellEnd"/>
      <w:r w:rsidRPr="00267A27">
        <w:t xml:space="preserve"> and their impact on clinical phenotype', </w:t>
      </w:r>
      <w:r w:rsidRPr="00267A27">
        <w:rPr>
          <w:i/>
        </w:rPr>
        <w:t xml:space="preserve">Clin </w:t>
      </w:r>
      <w:r>
        <w:rPr>
          <w:i/>
        </w:rPr>
        <w:t>J</w:t>
      </w:r>
      <w:r w:rsidRPr="00267A27">
        <w:rPr>
          <w:i/>
        </w:rPr>
        <w:t xml:space="preserve"> Am Soc Nephrol</w:t>
      </w:r>
      <w:r w:rsidRPr="00267A27">
        <w:t>, 5</w:t>
      </w:r>
      <w:r>
        <w:t>(</w:t>
      </w:r>
      <w:r w:rsidRPr="00267A27">
        <w:t>10</w:t>
      </w:r>
      <w:r>
        <w:t>):</w:t>
      </w:r>
      <w:r w:rsidRPr="00267A27">
        <w:t xml:space="preserve"> 1844-59</w:t>
      </w:r>
      <w:r>
        <w:t>.</w:t>
      </w:r>
    </w:p>
  </w:footnote>
  <w:footnote w:id="12">
    <w:p w14:paraId="511E776D" w14:textId="77777777" w:rsidR="00412CB3" w:rsidRDefault="00412CB3" w:rsidP="0008746D">
      <w:pPr>
        <w:pStyle w:val="FootnoteText"/>
        <w:spacing w:after="0"/>
      </w:pPr>
      <w:r>
        <w:rPr>
          <w:rStyle w:val="FootnoteReference"/>
        </w:rPr>
        <w:footnoteRef/>
      </w:r>
      <w:r>
        <w:t xml:space="preserve"> </w:t>
      </w:r>
      <w:proofErr w:type="spellStart"/>
      <w:r w:rsidRPr="008769DA">
        <w:t>Guyatt</w:t>
      </w:r>
      <w:proofErr w:type="spellEnd"/>
      <w:r w:rsidRPr="008769DA">
        <w:t xml:space="preserve">, G., </w:t>
      </w:r>
      <w:r>
        <w:t>et al.</w:t>
      </w:r>
      <w:r w:rsidRPr="008769DA">
        <w:t xml:space="preserve"> (2013). GRADE guidelines: 11. Making an overall rating of confidence in effect estimates for a single outcome and for all outcomes. </w:t>
      </w:r>
      <w:r w:rsidRPr="008769DA">
        <w:rPr>
          <w:i/>
        </w:rPr>
        <w:t xml:space="preserve">J Clin Epidemiol, </w:t>
      </w:r>
      <w:r w:rsidRPr="00FE2379">
        <w:t>66</w:t>
      </w:r>
      <w:r w:rsidRPr="008769DA">
        <w:t>(</w:t>
      </w:r>
      <w:r>
        <w:t>2):</w:t>
      </w:r>
      <w:r w:rsidRPr="008769DA">
        <w:t xml:space="preserve"> 151-157.</w:t>
      </w:r>
    </w:p>
  </w:footnote>
  <w:footnote w:id="13">
    <w:p w14:paraId="18D87D3F" w14:textId="77777777" w:rsidR="00412CB3" w:rsidRDefault="00412CB3" w:rsidP="0008746D">
      <w:pPr>
        <w:pStyle w:val="FootnoteText"/>
        <w:spacing w:after="0"/>
      </w:pPr>
      <w:r>
        <w:rPr>
          <w:rStyle w:val="FootnoteReference"/>
        </w:rPr>
        <w:footnoteRef/>
      </w:r>
      <w:r>
        <w:t xml:space="preserve"> </w:t>
      </w:r>
      <w:proofErr w:type="spellStart"/>
      <w:r w:rsidRPr="00267A27">
        <w:t>Sekine</w:t>
      </w:r>
      <w:proofErr w:type="spellEnd"/>
      <w:r w:rsidRPr="00267A27">
        <w:t xml:space="preserve"> A, et al. 2020, 'Genetics May Predict Effectiveness of Tolvaptan in Autosomal Dominant Polycystic Kidney Disease', </w:t>
      </w:r>
      <w:r w:rsidRPr="00267A27">
        <w:rPr>
          <w:i/>
        </w:rPr>
        <w:t>Am J Nephrol</w:t>
      </w:r>
      <w:r w:rsidRPr="00267A27">
        <w:t>, 51</w:t>
      </w:r>
      <w:r>
        <w:t>(</w:t>
      </w:r>
      <w:r w:rsidRPr="00267A27">
        <w:t>9</w:t>
      </w:r>
      <w:r>
        <w:t xml:space="preserve">): </w:t>
      </w:r>
      <w:r w:rsidRPr="00267A27">
        <w:t>745-51</w:t>
      </w:r>
      <w:r>
        <w:t>.</w:t>
      </w:r>
    </w:p>
  </w:footnote>
  <w:footnote w:id="14">
    <w:p w14:paraId="44499BE6" w14:textId="77777777" w:rsidR="00412CB3" w:rsidRDefault="00412CB3" w:rsidP="0008746D">
      <w:pPr>
        <w:pStyle w:val="FootnoteText"/>
        <w:spacing w:after="0"/>
      </w:pPr>
      <w:r>
        <w:rPr>
          <w:rStyle w:val="FootnoteReference"/>
        </w:rPr>
        <w:footnoteRef/>
      </w:r>
      <w:r>
        <w:t xml:space="preserve"> </w:t>
      </w:r>
      <w:proofErr w:type="spellStart"/>
      <w:r w:rsidRPr="00267A27">
        <w:t>Sekine</w:t>
      </w:r>
      <w:proofErr w:type="spellEnd"/>
      <w:r w:rsidRPr="00267A27">
        <w:t xml:space="preserve"> A, et al. 2020, 'Genetics May Predict Effectiveness of Tolvaptan in Autosomal Dominant Polycystic Kidney Disease', </w:t>
      </w:r>
      <w:r w:rsidRPr="00267A27">
        <w:rPr>
          <w:i/>
        </w:rPr>
        <w:t>Am J Nephrol</w:t>
      </w:r>
      <w:r w:rsidRPr="00267A27">
        <w:t>, 51</w:t>
      </w:r>
      <w:r>
        <w:t>(</w:t>
      </w:r>
      <w:r w:rsidRPr="00267A27">
        <w:t>9</w:t>
      </w:r>
      <w:r>
        <w:t xml:space="preserve">): </w:t>
      </w:r>
      <w:r w:rsidRPr="00267A27">
        <w:t>745-51</w:t>
      </w:r>
      <w:r>
        <w:t>.</w:t>
      </w:r>
    </w:p>
  </w:footnote>
  <w:footnote w:id="15">
    <w:p w14:paraId="56EEA15E" w14:textId="77777777" w:rsidR="00412CB3" w:rsidRDefault="00412CB3" w:rsidP="0008746D">
      <w:pPr>
        <w:pStyle w:val="FootnoteText"/>
        <w:spacing w:after="0"/>
      </w:pPr>
      <w:r>
        <w:rPr>
          <w:rStyle w:val="FootnoteReference"/>
        </w:rPr>
        <w:footnoteRef/>
      </w:r>
      <w:r>
        <w:t xml:space="preserve"> </w:t>
      </w:r>
      <w:proofErr w:type="spellStart"/>
      <w:r w:rsidRPr="00871613">
        <w:t>Bezdíčka</w:t>
      </w:r>
      <w:proofErr w:type="spellEnd"/>
      <w:r w:rsidRPr="00871613">
        <w:t xml:space="preserve"> M, et al. 2018, 'Genetic diagnosis of steroid-resistant nephrotic syndrome in a longitudinal collection of Czech and Slovak patients: a high proportion of causative variants in </w:t>
      </w:r>
      <w:r w:rsidRPr="00FE2379">
        <w:rPr>
          <w:i/>
        </w:rPr>
        <w:t>NUP93'</w:t>
      </w:r>
      <w:r w:rsidRPr="00871613">
        <w:t xml:space="preserve">, </w:t>
      </w:r>
      <w:proofErr w:type="spellStart"/>
      <w:r w:rsidRPr="00871613">
        <w:rPr>
          <w:i/>
        </w:rPr>
        <w:t>Pediatr</w:t>
      </w:r>
      <w:proofErr w:type="spellEnd"/>
      <w:r w:rsidRPr="00871613">
        <w:rPr>
          <w:i/>
        </w:rPr>
        <w:t xml:space="preserve"> Nephrol</w:t>
      </w:r>
      <w:r w:rsidRPr="00871613">
        <w:t>,</w:t>
      </w:r>
      <w:r>
        <w:t xml:space="preserve"> 33(</w:t>
      </w:r>
      <w:r w:rsidRPr="00871613">
        <w:t>8</w:t>
      </w:r>
      <w:r>
        <w:t>):</w:t>
      </w:r>
      <w:r w:rsidRPr="00871613">
        <w:t xml:space="preserve"> 1347-63</w:t>
      </w:r>
      <w:r>
        <w:t>.</w:t>
      </w:r>
    </w:p>
  </w:footnote>
  <w:footnote w:id="16">
    <w:p w14:paraId="1BB172AF" w14:textId="77777777" w:rsidR="00412CB3" w:rsidRDefault="00412CB3" w:rsidP="0008746D">
      <w:pPr>
        <w:pStyle w:val="FootnoteText"/>
        <w:spacing w:after="0"/>
      </w:pPr>
      <w:r>
        <w:rPr>
          <w:rStyle w:val="FootnoteReference"/>
        </w:rPr>
        <w:footnoteRef/>
      </w:r>
      <w:r>
        <w:t xml:space="preserve"> </w:t>
      </w:r>
      <w:proofErr w:type="spellStart"/>
      <w:r w:rsidRPr="00267A27">
        <w:t>Bierzynska</w:t>
      </w:r>
      <w:proofErr w:type="spellEnd"/>
      <w:r w:rsidRPr="00267A27">
        <w:t xml:space="preserve"> A, et al. 2017, 'Genomic and clinical profiling of a national nephrotic syndrome cohort advocates a precision medicine approach to disease management', </w:t>
      </w:r>
      <w:r w:rsidRPr="00267A27">
        <w:rPr>
          <w:i/>
        </w:rPr>
        <w:t>Kidney Int</w:t>
      </w:r>
      <w:r>
        <w:t>, 91(4): 937-47.</w:t>
      </w:r>
    </w:p>
  </w:footnote>
  <w:footnote w:id="17">
    <w:p w14:paraId="01896DC2" w14:textId="7D6FB909" w:rsidR="00412CB3" w:rsidRDefault="00412CB3" w:rsidP="0008746D">
      <w:pPr>
        <w:pStyle w:val="FootnoteText"/>
        <w:spacing w:after="0"/>
      </w:pPr>
      <w:r>
        <w:rPr>
          <w:rStyle w:val="FootnoteReference"/>
        </w:rPr>
        <w:footnoteRef/>
      </w:r>
      <w:r>
        <w:t xml:space="preserve"> </w:t>
      </w:r>
      <w:proofErr w:type="spellStart"/>
      <w:r w:rsidRPr="00267A27">
        <w:t>Büscher</w:t>
      </w:r>
      <w:proofErr w:type="spellEnd"/>
      <w:r w:rsidRPr="00267A27">
        <w:t xml:space="preserve"> AK, et al. 2016, 'Rapid response to cyclosporin </w:t>
      </w:r>
      <w:r>
        <w:t>A</w:t>
      </w:r>
      <w:r w:rsidRPr="00267A27">
        <w:t xml:space="preserve"> and </w:t>
      </w:r>
      <w:proofErr w:type="spellStart"/>
      <w:r w:rsidRPr="00267A27">
        <w:t>favorable</w:t>
      </w:r>
      <w:proofErr w:type="spellEnd"/>
      <w:r w:rsidRPr="00267A27">
        <w:t xml:space="preserve"> renal outcome in nongenetic versus genetic steroid–resistant nephrotic syndrome', </w:t>
      </w:r>
      <w:r w:rsidRPr="00267A27">
        <w:rPr>
          <w:i/>
        </w:rPr>
        <w:t>Clin J Am Soc Nephrol</w:t>
      </w:r>
      <w:r w:rsidRPr="00267A27">
        <w:t>, 11</w:t>
      </w:r>
      <w:r>
        <w:t>(</w:t>
      </w:r>
      <w:r w:rsidRPr="00267A27">
        <w:t>2</w:t>
      </w:r>
      <w:r>
        <w:t>):</w:t>
      </w:r>
      <w:r w:rsidRPr="00267A27">
        <w:t xml:space="preserve"> 245-53</w:t>
      </w:r>
      <w:r>
        <w:t>.</w:t>
      </w:r>
    </w:p>
  </w:footnote>
  <w:footnote w:id="18">
    <w:p w14:paraId="10445836" w14:textId="77777777" w:rsidR="00412CB3" w:rsidRDefault="00412CB3" w:rsidP="0008746D">
      <w:pPr>
        <w:pStyle w:val="FootnoteText"/>
        <w:spacing w:after="0"/>
      </w:pPr>
      <w:r>
        <w:rPr>
          <w:rStyle w:val="FootnoteReference"/>
        </w:rPr>
        <w:footnoteRef/>
      </w:r>
      <w:r>
        <w:t xml:space="preserve"> </w:t>
      </w:r>
      <w:r w:rsidRPr="00267A27">
        <w:t xml:space="preserve">Kari JA, et al. 2013, 'Steroid-resistant nephrotic syndrome: impact of genetic testing', </w:t>
      </w:r>
      <w:r w:rsidRPr="00267A27">
        <w:rPr>
          <w:i/>
        </w:rPr>
        <w:t>Ann Saudi Med</w:t>
      </w:r>
      <w:r>
        <w:t>, vol. 33, no. 6, pp. 533-8.</w:t>
      </w:r>
    </w:p>
  </w:footnote>
  <w:footnote w:id="19">
    <w:p w14:paraId="28F8D3F4" w14:textId="77777777" w:rsidR="00412CB3" w:rsidRDefault="00412CB3" w:rsidP="0008746D">
      <w:pPr>
        <w:pStyle w:val="FootnoteText"/>
        <w:spacing w:after="0"/>
      </w:pPr>
      <w:r>
        <w:rPr>
          <w:rStyle w:val="FootnoteReference"/>
        </w:rPr>
        <w:footnoteRef/>
      </w:r>
      <w:r>
        <w:t xml:space="preserve"> </w:t>
      </w:r>
      <w:r w:rsidRPr="00267A27">
        <w:t xml:space="preserve">Giglio S, et al. 2015, 'Heterogeneous genetic alterations in sporadic nephrotic syndrome associate with resistance to immunosuppression', </w:t>
      </w:r>
      <w:r w:rsidRPr="00267A27">
        <w:rPr>
          <w:i/>
        </w:rPr>
        <w:t>J Am Soc Nephrol</w:t>
      </w:r>
      <w:r w:rsidRPr="00267A27">
        <w:t>, 26</w:t>
      </w:r>
      <w:r>
        <w:t>(</w:t>
      </w:r>
      <w:r w:rsidRPr="00267A27">
        <w:t>1</w:t>
      </w:r>
      <w:r>
        <w:t>):</w:t>
      </w:r>
      <w:r w:rsidRPr="00267A27">
        <w:t xml:space="preserve"> 230-6</w:t>
      </w:r>
      <w:r>
        <w:t>.</w:t>
      </w:r>
    </w:p>
  </w:footnote>
  <w:footnote w:id="20">
    <w:p w14:paraId="6CE80FCB" w14:textId="77777777" w:rsidR="00412CB3" w:rsidRDefault="00412CB3" w:rsidP="0008746D">
      <w:pPr>
        <w:pStyle w:val="FootnoteText"/>
        <w:spacing w:after="0"/>
      </w:pPr>
      <w:r>
        <w:rPr>
          <w:rStyle w:val="FootnoteReference"/>
        </w:rPr>
        <w:footnoteRef/>
      </w:r>
      <w:r>
        <w:t xml:space="preserve"> </w:t>
      </w:r>
      <w:r w:rsidRPr="00267A27">
        <w:t xml:space="preserve">McCarthy HJ, et al. 2013, 'Simultaneous sequencing of 24 genes associated with steroid-resistant nephrotic syndrome', </w:t>
      </w:r>
      <w:r w:rsidRPr="00267A27">
        <w:rPr>
          <w:i/>
        </w:rPr>
        <w:t>Clin J Am Soc Nephrol</w:t>
      </w:r>
      <w:r w:rsidRPr="00267A27">
        <w:t>,</w:t>
      </w:r>
      <w:r>
        <w:t xml:space="preserve"> 8(</w:t>
      </w:r>
      <w:r w:rsidRPr="00267A27">
        <w:t>4</w:t>
      </w:r>
      <w:r>
        <w:t>):</w:t>
      </w:r>
      <w:r w:rsidRPr="00267A27">
        <w:t xml:space="preserve"> 637-48</w:t>
      </w:r>
      <w:r>
        <w:t>.</w:t>
      </w:r>
    </w:p>
  </w:footnote>
  <w:footnote w:id="21">
    <w:p w14:paraId="1DB2C045" w14:textId="77777777" w:rsidR="00412CB3" w:rsidRDefault="00412CB3" w:rsidP="0008746D">
      <w:pPr>
        <w:pStyle w:val="FootnoteText"/>
        <w:spacing w:after="0"/>
      </w:pPr>
      <w:r>
        <w:rPr>
          <w:rStyle w:val="FootnoteReference"/>
        </w:rPr>
        <w:footnoteRef/>
      </w:r>
      <w:r>
        <w:t xml:space="preserve"> </w:t>
      </w:r>
      <w:proofErr w:type="spellStart"/>
      <w:r w:rsidRPr="00871613">
        <w:t>Bezdíčka</w:t>
      </w:r>
      <w:proofErr w:type="spellEnd"/>
      <w:r w:rsidRPr="00871613">
        <w:t xml:space="preserve"> M, et al. 2018, 'Genetic diagnosis of steroid-resistant nephrotic syndrome in a longitudinal collection of Czech and Slovak patients: a high proportion of causative variants in </w:t>
      </w:r>
      <w:r w:rsidRPr="00FE2379">
        <w:rPr>
          <w:i/>
        </w:rPr>
        <w:t>NUP93'</w:t>
      </w:r>
      <w:r w:rsidRPr="00871613">
        <w:t xml:space="preserve">, </w:t>
      </w:r>
      <w:proofErr w:type="spellStart"/>
      <w:r w:rsidRPr="00871613">
        <w:rPr>
          <w:i/>
        </w:rPr>
        <w:t>Pediatr</w:t>
      </w:r>
      <w:proofErr w:type="spellEnd"/>
      <w:r w:rsidRPr="00871613">
        <w:rPr>
          <w:i/>
        </w:rPr>
        <w:t xml:space="preserve"> Nephrol</w:t>
      </w:r>
      <w:r w:rsidRPr="00871613">
        <w:t>,</w:t>
      </w:r>
      <w:r>
        <w:t xml:space="preserve"> 33(</w:t>
      </w:r>
      <w:r w:rsidRPr="00871613">
        <w:t>8</w:t>
      </w:r>
      <w:r>
        <w:t>):</w:t>
      </w:r>
      <w:r w:rsidRPr="00871613">
        <w:t xml:space="preserve"> 1347-63</w:t>
      </w:r>
      <w:r>
        <w:t>.</w:t>
      </w:r>
    </w:p>
  </w:footnote>
  <w:footnote w:id="22">
    <w:p w14:paraId="6D86C6F1" w14:textId="77777777" w:rsidR="00412CB3" w:rsidRDefault="00412CB3" w:rsidP="0008746D">
      <w:pPr>
        <w:pStyle w:val="FootnoteText"/>
        <w:spacing w:after="0"/>
      </w:pPr>
      <w:r>
        <w:rPr>
          <w:rStyle w:val="FootnoteReference"/>
        </w:rPr>
        <w:footnoteRef/>
      </w:r>
      <w:r>
        <w:t xml:space="preserve"> </w:t>
      </w:r>
      <w:proofErr w:type="spellStart"/>
      <w:r w:rsidRPr="00267A27">
        <w:t>Bierzynska</w:t>
      </w:r>
      <w:proofErr w:type="spellEnd"/>
      <w:r w:rsidRPr="00267A27">
        <w:t xml:space="preserve"> A, et al. 2017, 'Genomic and clinical profiling of a national nephrotic syndrome cohort advocates a precision medicine approach to disease management', </w:t>
      </w:r>
      <w:r w:rsidRPr="00267A27">
        <w:rPr>
          <w:i/>
        </w:rPr>
        <w:t>Kidney Int</w:t>
      </w:r>
      <w:r>
        <w:t>, 91(4): 937-47.</w:t>
      </w:r>
    </w:p>
  </w:footnote>
  <w:footnote w:id="23">
    <w:p w14:paraId="668B0E60" w14:textId="77777777" w:rsidR="00412CB3" w:rsidRDefault="00412CB3" w:rsidP="0008746D">
      <w:pPr>
        <w:pStyle w:val="FootnoteText"/>
        <w:spacing w:after="0"/>
      </w:pPr>
      <w:r>
        <w:rPr>
          <w:rStyle w:val="FootnoteReference"/>
        </w:rPr>
        <w:footnoteRef/>
      </w:r>
      <w:r>
        <w:t xml:space="preserve"> </w:t>
      </w:r>
      <w:r w:rsidRPr="00267A27">
        <w:t xml:space="preserve">Kari JA, et al. 2013, 'Steroid-resistant nephrotic syndrome: impact of genetic testing', </w:t>
      </w:r>
      <w:r w:rsidRPr="00267A27">
        <w:rPr>
          <w:i/>
        </w:rPr>
        <w:t>Ann Saudi Med</w:t>
      </w:r>
      <w:r>
        <w:t>, 33(6): 533-8.</w:t>
      </w:r>
    </w:p>
  </w:footnote>
  <w:footnote w:id="24">
    <w:p w14:paraId="7FB35868" w14:textId="77777777" w:rsidR="00412CB3" w:rsidRDefault="00412CB3" w:rsidP="0008746D">
      <w:pPr>
        <w:pStyle w:val="FootnoteText"/>
        <w:spacing w:after="0"/>
      </w:pPr>
      <w:r>
        <w:rPr>
          <w:rStyle w:val="FootnoteReference"/>
        </w:rPr>
        <w:footnoteRef/>
      </w:r>
      <w:r>
        <w:t xml:space="preserve"> </w:t>
      </w:r>
      <w:proofErr w:type="spellStart"/>
      <w:r w:rsidRPr="004B20CF">
        <w:t>Trautmann</w:t>
      </w:r>
      <w:proofErr w:type="spellEnd"/>
      <w:r w:rsidRPr="004B20CF">
        <w:t xml:space="preserve"> A, et al. 2017, 'Long-term outcome of steroid-resistant nephrotic syndrome in children', </w:t>
      </w:r>
      <w:r w:rsidRPr="00267A27">
        <w:rPr>
          <w:i/>
        </w:rPr>
        <w:t>J Am Soc Nephrol</w:t>
      </w:r>
      <w:r w:rsidRPr="004B20CF">
        <w:t>, 28</w:t>
      </w:r>
      <w:r>
        <w:t>(</w:t>
      </w:r>
      <w:r w:rsidRPr="004B20CF">
        <w:t>10</w:t>
      </w:r>
      <w:r>
        <w:t>):</w:t>
      </w:r>
      <w:r w:rsidRPr="004B20CF">
        <w:t xml:space="preserve"> 3055-65</w:t>
      </w:r>
      <w:r>
        <w:t>.</w:t>
      </w:r>
    </w:p>
  </w:footnote>
  <w:footnote w:id="25">
    <w:p w14:paraId="1E537E53" w14:textId="77777777" w:rsidR="00412CB3" w:rsidRDefault="00412CB3" w:rsidP="0008746D">
      <w:pPr>
        <w:pStyle w:val="FootnoteText"/>
        <w:spacing w:after="0"/>
      </w:pPr>
      <w:r>
        <w:rPr>
          <w:rStyle w:val="FootnoteReference"/>
        </w:rPr>
        <w:footnoteRef/>
      </w:r>
      <w:r>
        <w:t xml:space="preserve"> </w:t>
      </w:r>
      <w:r w:rsidRPr="004B20CF">
        <w:t xml:space="preserve">Greenbaum LA, et al. 2016, 'Eculizumab is a safe and effective treatment in </w:t>
      </w:r>
      <w:proofErr w:type="spellStart"/>
      <w:r w:rsidRPr="004B20CF">
        <w:t>pediatric</w:t>
      </w:r>
      <w:proofErr w:type="spellEnd"/>
      <w:r w:rsidRPr="004B20CF">
        <w:t xml:space="preserve"> patients with atypical </w:t>
      </w:r>
      <w:proofErr w:type="spellStart"/>
      <w:r w:rsidRPr="004B20CF">
        <w:t>hemolytic</w:t>
      </w:r>
      <w:proofErr w:type="spellEnd"/>
      <w:r w:rsidRPr="004B20CF">
        <w:t xml:space="preserve"> uremic syndrome', </w:t>
      </w:r>
      <w:r w:rsidRPr="004B20CF">
        <w:rPr>
          <w:i/>
        </w:rPr>
        <w:t>Kidney Int</w:t>
      </w:r>
      <w:r w:rsidRPr="004B20CF">
        <w:t>,</w:t>
      </w:r>
      <w:r>
        <w:t xml:space="preserve"> </w:t>
      </w:r>
      <w:r w:rsidRPr="004B20CF">
        <w:t>89</w:t>
      </w:r>
      <w:r>
        <w:t>(</w:t>
      </w:r>
      <w:r w:rsidRPr="004B20CF">
        <w:t>3</w:t>
      </w:r>
      <w:r>
        <w:t>):</w:t>
      </w:r>
      <w:r w:rsidRPr="004B20CF">
        <w:t xml:space="preserve"> 701-11</w:t>
      </w:r>
      <w:r>
        <w:t>.</w:t>
      </w:r>
    </w:p>
  </w:footnote>
  <w:footnote w:id="26">
    <w:p w14:paraId="04220967" w14:textId="77777777" w:rsidR="00412CB3" w:rsidRDefault="00412CB3" w:rsidP="0008746D">
      <w:pPr>
        <w:pStyle w:val="FootnoteText"/>
        <w:spacing w:after="0"/>
      </w:pPr>
      <w:r>
        <w:rPr>
          <w:rStyle w:val="FootnoteReference"/>
        </w:rPr>
        <w:footnoteRef/>
      </w:r>
      <w:r>
        <w:t xml:space="preserve"> </w:t>
      </w:r>
      <w:r w:rsidRPr="004B20CF">
        <w:t xml:space="preserve">Kumar G, et al. 2019, 'Eculizumab in paediatric atypical haemolytic uraemic syndrome: Lessons learned from a single-centre experience in the United Arab Emirates', </w:t>
      </w:r>
      <w:r w:rsidRPr="004B20CF">
        <w:rPr>
          <w:i/>
        </w:rPr>
        <w:t xml:space="preserve">J </w:t>
      </w:r>
      <w:proofErr w:type="spellStart"/>
      <w:r w:rsidRPr="004B20CF">
        <w:rPr>
          <w:i/>
        </w:rPr>
        <w:t>Paediatr</w:t>
      </w:r>
      <w:proofErr w:type="spellEnd"/>
      <w:r w:rsidRPr="004B20CF">
        <w:rPr>
          <w:i/>
        </w:rPr>
        <w:t xml:space="preserve"> Child Health</w:t>
      </w:r>
      <w:r>
        <w:t>, 55(10): 1237-40.</w:t>
      </w:r>
    </w:p>
  </w:footnote>
  <w:footnote w:id="27">
    <w:p w14:paraId="28CF6054" w14:textId="77777777" w:rsidR="00412CB3" w:rsidRDefault="00412CB3" w:rsidP="0008746D">
      <w:pPr>
        <w:pStyle w:val="FootnoteText"/>
        <w:spacing w:after="0"/>
      </w:pPr>
      <w:r>
        <w:rPr>
          <w:rStyle w:val="FootnoteReference"/>
        </w:rPr>
        <w:footnoteRef/>
      </w:r>
      <w:r>
        <w:t xml:space="preserve"> </w:t>
      </w:r>
      <w:proofErr w:type="spellStart"/>
      <w:r w:rsidRPr="008769DA">
        <w:t>Guyatt</w:t>
      </w:r>
      <w:proofErr w:type="spellEnd"/>
      <w:r w:rsidRPr="008769DA">
        <w:t xml:space="preserve">, G., </w:t>
      </w:r>
      <w:r>
        <w:t>et al.</w:t>
      </w:r>
      <w:r w:rsidRPr="008769DA">
        <w:t xml:space="preserve"> (2013). GRADE guidelines: 11. Making an overall rating of confidence in effect estimates for a single outcome and for all outcomes. </w:t>
      </w:r>
      <w:r w:rsidRPr="008769DA">
        <w:rPr>
          <w:i/>
        </w:rPr>
        <w:t xml:space="preserve">J Clin Epidemiol, </w:t>
      </w:r>
      <w:r w:rsidRPr="00FE2379">
        <w:t>66</w:t>
      </w:r>
      <w:r w:rsidRPr="008769DA">
        <w:t>(2), 151-157.</w:t>
      </w:r>
    </w:p>
  </w:footnote>
  <w:footnote w:id="28">
    <w:p w14:paraId="36AF3AED" w14:textId="77777777" w:rsidR="00412CB3" w:rsidRDefault="00412CB3" w:rsidP="00344187">
      <w:pPr>
        <w:pStyle w:val="FootnoteText"/>
        <w:spacing w:after="0"/>
      </w:pPr>
      <w:r>
        <w:rPr>
          <w:rStyle w:val="FootnoteReference"/>
        </w:rPr>
        <w:footnoteRef/>
      </w:r>
      <w:r>
        <w:t xml:space="preserve"> </w:t>
      </w:r>
      <w:proofErr w:type="spellStart"/>
      <w:r w:rsidRPr="00B47B86">
        <w:t>Savige</w:t>
      </w:r>
      <w:proofErr w:type="spellEnd"/>
      <w:r w:rsidRPr="00B47B86">
        <w:t xml:space="preserve"> J, </w:t>
      </w:r>
      <w:r>
        <w:t>et al. 2016</w:t>
      </w:r>
      <w:r w:rsidRPr="00B47B86">
        <w:t xml:space="preserve">. </w:t>
      </w:r>
      <w:r>
        <w:t>‘</w:t>
      </w:r>
      <w:r w:rsidRPr="00B47B86">
        <w:t>Retinal disease in the C3 glomerulopathies and the risk of impaired vision</w:t>
      </w:r>
      <w:r>
        <w:t>’</w:t>
      </w:r>
      <w:r w:rsidRPr="00B47B86">
        <w:t xml:space="preserve">. </w:t>
      </w:r>
      <w:r w:rsidRPr="00B47B86">
        <w:rPr>
          <w:i/>
        </w:rPr>
        <w:t>Ophthalmic Genet</w:t>
      </w:r>
      <w:r>
        <w:t xml:space="preserve">. </w:t>
      </w:r>
      <w:r w:rsidRPr="00B47B86">
        <w:rPr>
          <w:b/>
        </w:rPr>
        <w:t>37</w:t>
      </w:r>
      <w:r>
        <w:t>(4): 369-376.</w:t>
      </w:r>
    </w:p>
  </w:footnote>
  <w:footnote w:id="29">
    <w:p w14:paraId="7B7469B7" w14:textId="77777777" w:rsidR="00412CB3" w:rsidRDefault="00412CB3" w:rsidP="00344187">
      <w:pPr>
        <w:pStyle w:val="FootnoteText"/>
        <w:spacing w:after="0"/>
      </w:pPr>
      <w:r>
        <w:rPr>
          <w:rStyle w:val="FootnoteReference"/>
        </w:rPr>
        <w:footnoteRef/>
      </w:r>
      <w:r>
        <w:t xml:space="preserve"> </w:t>
      </w:r>
      <w:r w:rsidRPr="00606350">
        <w:t xml:space="preserve">Simms RJ, </w:t>
      </w:r>
      <w:r>
        <w:t>et al.</w:t>
      </w:r>
      <w:r w:rsidRPr="00606350">
        <w:t xml:space="preserve"> 2015, 'Genetic testing in the assessment of living related kidney donors at risk of autosomal dominant polycystic kidney disease', </w:t>
      </w:r>
      <w:r w:rsidRPr="00606350">
        <w:rPr>
          <w:i/>
        </w:rPr>
        <w:t>Transplantation</w:t>
      </w:r>
      <w:r w:rsidRPr="00606350">
        <w:t>, 99</w:t>
      </w:r>
      <w:r>
        <w:t>(</w:t>
      </w:r>
      <w:r w:rsidRPr="00606350">
        <w:t>5</w:t>
      </w:r>
      <w:r>
        <w:t xml:space="preserve">): </w:t>
      </w:r>
      <w:r w:rsidRPr="00606350">
        <w:t>1023-9</w:t>
      </w:r>
      <w:r>
        <w:t>.</w:t>
      </w:r>
    </w:p>
  </w:footnote>
  <w:footnote w:id="30">
    <w:p w14:paraId="3C088698" w14:textId="77777777" w:rsidR="00412CB3" w:rsidRDefault="00412CB3" w:rsidP="00E1141B">
      <w:pPr>
        <w:pStyle w:val="FootnoteText"/>
        <w:spacing w:after="0"/>
      </w:pPr>
      <w:r>
        <w:rPr>
          <w:rStyle w:val="FootnoteReference"/>
        </w:rPr>
        <w:footnoteRef/>
      </w:r>
      <w:r>
        <w:t xml:space="preserve"> </w:t>
      </w:r>
      <w:r w:rsidRPr="00344B60">
        <w:t xml:space="preserve">Huang E, </w:t>
      </w:r>
      <w:r>
        <w:t>et al. (2009)</w:t>
      </w:r>
      <w:r w:rsidRPr="00344B60">
        <w:t xml:space="preserve">. DNA testing for live kidney donors at risk for autosomal dominant polycystic </w:t>
      </w:r>
      <w:r>
        <w:t xml:space="preserve">kidney disease. </w:t>
      </w:r>
      <w:r w:rsidRPr="00344B60">
        <w:rPr>
          <w:i/>
        </w:rPr>
        <w:t>Transplantation</w:t>
      </w:r>
      <w:r>
        <w:t>,</w:t>
      </w:r>
      <w:r w:rsidRPr="00344B60">
        <w:t xml:space="preserve"> 87(1):</w:t>
      </w:r>
      <w:r>
        <w:t xml:space="preserve"> </w:t>
      </w:r>
      <w:r w:rsidRPr="00344B60">
        <w:t>133.</w:t>
      </w:r>
    </w:p>
  </w:footnote>
  <w:footnote w:id="31">
    <w:p w14:paraId="2E204B76" w14:textId="77777777" w:rsidR="00412CB3" w:rsidRDefault="00412CB3" w:rsidP="00E1141B">
      <w:pPr>
        <w:pStyle w:val="FootnoteText"/>
        <w:spacing w:after="0"/>
      </w:pPr>
      <w:r>
        <w:rPr>
          <w:rStyle w:val="FootnoteReference"/>
        </w:rPr>
        <w:footnoteRef/>
      </w:r>
      <w:r>
        <w:t xml:space="preserve"> </w:t>
      </w:r>
      <w:r w:rsidRPr="00344B60">
        <w:t xml:space="preserve">Simms RJ, </w:t>
      </w:r>
      <w:r>
        <w:t>et al. (2015)</w:t>
      </w:r>
      <w:r w:rsidRPr="00344B60">
        <w:t xml:space="preserve">. Genetic testing in the assessment of living related kidney donors at risk of autosomal dominant polycystic </w:t>
      </w:r>
      <w:r>
        <w:t xml:space="preserve">kidney disease. </w:t>
      </w:r>
      <w:r w:rsidRPr="00344B60">
        <w:rPr>
          <w:i/>
        </w:rPr>
        <w:t>Transplantation</w:t>
      </w:r>
      <w:r>
        <w:t xml:space="preserve">, </w:t>
      </w:r>
      <w:r w:rsidRPr="00344B60">
        <w:t>99(5):</w:t>
      </w:r>
      <w:r>
        <w:t xml:space="preserve"> </w:t>
      </w:r>
      <w:r w:rsidRPr="00344B60">
        <w:t>1023-9.</w:t>
      </w:r>
    </w:p>
  </w:footnote>
  <w:footnote w:id="32">
    <w:p w14:paraId="27FBCA55" w14:textId="77777777" w:rsidR="00412CB3" w:rsidRDefault="00412CB3" w:rsidP="00E1141B">
      <w:pPr>
        <w:pStyle w:val="FootnoteText"/>
        <w:spacing w:after="0"/>
      </w:pPr>
      <w:r>
        <w:rPr>
          <w:rStyle w:val="FootnoteReference"/>
        </w:rPr>
        <w:footnoteRef/>
      </w:r>
      <w:r>
        <w:t xml:space="preserve"> </w:t>
      </w:r>
      <w:r w:rsidRPr="00FB1E57">
        <w:t xml:space="preserve">Chapman AB, et al. 2015, 'Autosomal-dominant polycystic kidney disease (ADPKD): executive summary from a Kidney Disease: Improving Global Outcomes (KDIGO) Controversies Conference', </w:t>
      </w:r>
      <w:r w:rsidRPr="00FB1E57">
        <w:rPr>
          <w:i/>
        </w:rPr>
        <w:t>Kidney Int</w:t>
      </w:r>
      <w:r w:rsidRPr="00FB1E57">
        <w:t>, 88</w:t>
      </w:r>
      <w:r>
        <w:t xml:space="preserve">(1): </w:t>
      </w:r>
      <w:r w:rsidRPr="00FB1E57">
        <w:t>17-27</w:t>
      </w:r>
      <w:r>
        <w:t>.</w:t>
      </w:r>
    </w:p>
  </w:footnote>
  <w:footnote w:id="33">
    <w:p w14:paraId="018DD7E7" w14:textId="77777777" w:rsidR="00412CB3" w:rsidRDefault="00412CB3" w:rsidP="00E1141B">
      <w:pPr>
        <w:pStyle w:val="FootnoteText"/>
        <w:spacing w:after="0"/>
      </w:pPr>
      <w:r>
        <w:rPr>
          <w:rStyle w:val="FootnoteReference"/>
        </w:rPr>
        <w:footnoteRef/>
      </w:r>
      <w:r>
        <w:t xml:space="preserve"> </w:t>
      </w:r>
      <w:r w:rsidRPr="00871613">
        <w:t xml:space="preserve">Snoek R, et al. 2020, 'Preimplantation Genetic Testing for Monogenic Kidney Disease', </w:t>
      </w:r>
      <w:r w:rsidRPr="00871613">
        <w:rPr>
          <w:i/>
        </w:rPr>
        <w:t>Clin J Am Soc Nephrol</w:t>
      </w:r>
      <w:r w:rsidRPr="00871613">
        <w:t>, 15</w:t>
      </w:r>
      <w:r>
        <w:t>(</w:t>
      </w:r>
      <w:r w:rsidRPr="00871613">
        <w:t>9</w:t>
      </w:r>
      <w:r>
        <w:t>):</w:t>
      </w:r>
      <w:r w:rsidRPr="00871613">
        <w:t xml:space="preserve"> 1279-86</w:t>
      </w:r>
      <w:r>
        <w:t>.</w:t>
      </w:r>
    </w:p>
  </w:footnote>
  <w:footnote w:id="34">
    <w:p w14:paraId="39A07529" w14:textId="77777777" w:rsidR="00412CB3" w:rsidRDefault="00412CB3" w:rsidP="00E1141B">
      <w:pPr>
        <w:pStyle w:val="FootnoteText"/>
        <w:spacing w:after="0"/>
      </w:pPr>
      <w:r>
        <w:rPr>
          <w:rStyle w:val="FootnoteReference"/>
        </w:rPr>
        <w:footnoteRef/>
      </w:r>
      <w:r>
        <w:t xml:space="preserve"> </w:t>
      </w:r>
      <w:proofErr w:type="spellStart"/>
      <w:r w:rsidRPr="00FB1E57">
        <w:t>Berckmoes</w:t>
      </w:r>
      <w:proofErr w:type="spellEnd"/>
      <w:r w:rsidRPr="00FB1E57">
        <w:t xml:space="preserve"> V, et al. 2019, 'Factors influencing the clinical outcome of preimplantation genetic testing for polycystic kidney disease', </w:t>
      </w:r>
      <w:r w:rsidRPr="00FB1E57">
        <w:rPr>
          <w:i/>
        </w:rPr>
        <w:t xml:space="preserve">Hum </w:t>
      </w:r>
      <w:proofErr w:type="spellStart"/>
      <w:r w:rsidRPr="00FB1E57">
        <w:rPr>
          <w:i/>
        </w:rPr>
        <w:t>Reprod</w:t>
      </w:r>
      <w:proofErr w:type="spellEnd"/>
      <w:r w:rsidRPr="00FB1E57">
        <w:t>, 34</w:t>
      </w:r>
      <w:r>
        <w:t>(</w:t>
      </w:r>
      <w:r w:rsidRPr="00FB1E57">
        <w:t>5</w:t>
      </w:r>
      <w:r>
        <w:t>):</w:t>
      </w:r>
      <w:r w:rsidRPr="00FB1E57">
        <w:t xml:space="preserve"> 949-58</w:t>
      </w:r>
      <w:r>
        <w:t>.</w:t>
      </w:r>
    </w:p>
  </w:footnote>
  <w:footnote w:id="35">
    <w:p w14:paraId="5BBB813B" w14:textId="77777777" w:rsidR="00412CB3" w:rsidRDefault="00412CB3" w:rsidP="00E1141B">
      <w:pPr>
        <w:pStyle w:val="FootnoteText"/>
        <w:spacing w:after="0"/>
      </w:pPr>
      <w:r>
        <w:rPr>
          <w:rStyle w:val="FootnoteReference"/>
        </w:rPr>
        <w:footnoteRef/>
      </w:r>
      <w:r>
        <w:t xml:space="preserve"> </w:t>
      </w:r>
      <w:r w:rsidRPr="00606350">
        <w:t xml:space="preserve">Lei TY, </w:t>
      </w:r>
      <w:r>
        <w:t>et al. (2017)</w:t>
      </w:r>
      <w:r w:rsidRPr="00606350">
        <w:t xml:space="preserve">. Whole-exome sequencing for prenatal diagnosis of </w:t>
      </w:r>
      <w:proofErr w:type="spellStart"/>
      <w:r w:rsidRPr="00606350">
        <w:t>fetuses</w:t>
      </w:r>
      <w:proofErr w:type="spellEnd"/>
      <w:r w:rsidRPr="00606350">
        <w:t xml:space="preserve"> with congenital anomalies of the kidney and urinary tract. </w:t>
      </w:r>
      <w:r w:rsidRPr="00606350">
        <w:rPr>
          <w:i/>
        </w:rPr>
        <w:t>Nephrology Dialysis Transplantation</w:t>
      </w:r>
      <w:r>
        <w:t xml:space="preserve">, </w:t>
      </w:r>
      <w:r w:rsidRPr="00606350">
        <w:t>32(10):</w:t>
      </w:r>
      <w:r>
        <w:t xml:space="preserve"> </w:t>
      </w:r>
      <w:r w:rsidRPr="00606350">
        <w:t>1665-75.</w:t>
      </w:r>
    </w:p>
  </w:footnote>
  <w:footnote w:id="36">
    <w:p w14:paraId="4359A9D9" w14:textId="77777777" w:rsidR="00412CB3" w:rsidRDefault="00412CB3" w:rsidP="00E1141B">
      <w:pPr>
        <w:pStyle w:val="FootnoteText"/>
        <w:spacing w:after="0"/>
      </w:pPr>
      <w:r>
        <w:rPr>
          <w:rStyle w:val="FootnoteReference"/>
        </w:rPr>
        <w:footnoteRef/>
      </w:r>
      <w:r>
        <w:t xml:space="preserve"> </w:t>
      </w:r>
      <w:r w:rsidRPr="00606350">
        <w:t xml:space="preserve">Lei TY, </w:t>
      </w:r>
      <w:r>
        <w:t>et al. (2020)</w:t>
      </w:r>
      <w:r w:rsidRPr="00606350">
        <w:t xml:space="preserve">. Whole‐exome sequencing in the evaluation of </w:t>
      </w:r>
      <w:proofErr w:type="spellStart"/>
      <w:r w:rsidRPr="00606350">
        <w:t>fetal</w:t>
      </w:r>
      <w:proofErr w:type="spellEnd"/>
      <w:r w:rsidRPr="00606350">
        <w:t xml:space="preserve"> congenital anomalies of the kidney and urinary tract detected by ultrasonography. </w:t>
      </w:r>
      <w:r w:rsidRPr="00606350">
        <w:rPr>
          <w:i/>
        </w:rPr>
        <w:t>Prenatal Diagnosis</w:t>
      </w:r>
      <w:r>
        <w:t>, 40(10): 1290-9.</w:t>
      </w:r>
    </w:p>
  </w:footnote>
  <w:footnote w:id="37">
    <w:p w14:paraId="61D5B582" w14:textId="77777777" w:rsidR="00412CB3" w:rsidRDefault="00412CB3" w:rsidP="00344187">
      <w:pPr>
        <w:pStyle w:val="FootnoteText"/>
        <w:spacing w:after="0"/>
      </w:pPr>
      <w:r>
        <w:rPr>
          <w:rStyle w:val="FootnoteReference"/>
        </w:rPr>
        <w:footnoteRef/>
      </w:r>
      <w:r>
        <w:t xml:space="preserve"> </w:t>
      </w:r>
      <w:proofErr w:type="spellStart"/>
      <w:r>
        <w:t>KidGen</w:t>
      </w:r>
      <w:proofErr w:type="spellEnd"/>
      <w:r>
        <w:t xml:space="preserve"> is an Australian collaboration between clinical, diagnostic and r</w:t>
      </w:r>
      <w:r w:rsidRPr="0053618A">
        <w:t>esearch teams</w:t>
      </w:r>
      <w:r>
        <w:t>, with the aim of better understanding</w:t>
      </w:r>
      <w:r w:rsidRPr="0053618A">
        <w:t xml:space="preserve"> the causes of </w:t>
      </w:r>
      <w:r>
        <w:t>heritable</w:t>
      </w:r>
      <w:r w:rsidRPr="0053618A">
        <w:t xml:space="preserve"> kidney disease</w:t>
      </w:r>
      <w:r>
        <w:t xml:space="preserve">. For more information, see </w:t>
      </w:r>
      <w:hyperlink r:id="rId3" w:history="1">
        <w:r w:rsidRPr="00804BE5">
          <w:rPr>
            <w:rStyle w:val="Hyperlink"/>
          </w:rPr>
          <w:t>http://www.kidgen.org.au/</w:t>
        </w:r>
      </w:hyperlink>
      <w:r>
        <w:t>.</w:t>
      </w:r>
    </w:p>
  </w:footnote>
  <w:footnote w:id="38">
    <w:p w14:paraId="5EA12799" w14:textId="77777777" w:rsidR="00412CB3" w:rsidRDefault="00412CB3" w:rsidP="00344187">
      <w:pPr>
        <w:pStyle w:val="FootnoteText"/>
        <w:spacing w:after="0"/>
      </w:pPr>
      <w:r>
        <w:rPr>
          <w:rStyle w:val="FootnoteReference"/>
        </w:rPr>
        <w:footnoteRef/>
      </w:r>
      <w:r>
        <w:t xml:space="preserve"> </w:t>
      </w:r>
      <w:r w:rsidRPr="005F4DC7">
        <w:t xml:space="preserve">Poulton A, </w:t>
      </w:r>
      <w:r>
        <w:t>et al.</w:t>
      </w:r>
      <w:r w:rsidRPr="005F4DC7">
        <w:t xml:space="preserve"> 2018, 'Prenatal and preimplantation genetic diagnosis for single gene disorders: A population-based study from 1977 to 2016', </w:t>
      </w:r>
      <w:proofErr w:type="spellStart"/>
      <w:r w:rsidRPr="005F4DC7">
        <w:rPr>
          <w:i/>
        </w:rPr>
        <w:t>Prenat</w:t>
      </w:r>
      <w:proofErr w:type="spellEnd"/>
      <w:r w:rsidRPr="005F4DC7">
        <w:rPr>
          <w:i/>
        </w:rPr>
        <w:t xml:space="preserve"> Diagn</w:t>
      </w:r>
      <w:r w:rsidRPr="005F4DC7">
        <w:t>, 38</w:t>
      </w:r>
      <w:r>
        <w:t>(</w:t>
      </w:r>
      <w:r w:rsidRPr="005F4DC7">
        <w:t>12</w:t>
      </w:r>
      <w:r>
        <w:t>):</w:t>
      </w:r>
      <w:r w:rsidRPr="005F4DC7">
        <w:t xml:space="preserve"> 904-10</w:t>
      </w:r>
      <w:r>
        <w:t>.</w:t>
      </w:r>
    </w:p>
  </w:footnote>
  <w:footnote w:id="39">
    <w:p w14:paraId="6778FD95" w14:textId="77777777" w:rsidR="00412CB3" w:rsidRDefault="00412CB3" w:rsidP="00344187">
      <w:pPr>
        <w:pStyle w:val="FootnoteText"/>
        <w:spacing w:after="0"/>
      </w:pPr>
      <w:r>
        <w:rPr>
          <w:rStyle w:val="FootnoteReference"/>
        </w:rPr>
        <w:footnoteRef/>
      </w:r>
      <w:r>
        <w:t xml:space="preserve"> </w:t>
      </w:r>
      <w:r w:rsidRPr="005F4DC7">
        <w:t xml:space="preserve">Stark Z, et al. 2019, 'Does genomic sequencing early in the diagnostic trajectory make a difference? A follow-up study of clinical outcomes and cost-effectiveness', </w:t>
      </w:r>
      <w:r w:rsidRPr="005F4DC7">
        <w:rPr>
          <w:i/>
        </w:rPr>
        <w:t>Genet Med</w:t>
      </w:r>
      <w:r w:rsidRPr="005F4DC7">
        <w:t>, 21</w:t>
      </w:r>
      <w:r>
        <w:t>(</w:t>
      </w:r>
      <w:r w:rsidRPr="005F4DC7">
        <w:t>1</w:t>
      </w:r>
      <w:r>
        <w:t xml:space="preserve">): </w:t>
      </w:r>
      <w:r w:rsidRPr="005F4DC7">
        <w:t>173-80</w:t>
      </w:r>
      <w:r>
        <w:t>.</w:t>
      </w:r>
    </w:p>
  </w:footnote>
  <w:footnote w:id="40">
    <w:p w14:paraId="27A537A3" w14:textId="77777777" w:rsidR="00412CB3" w:rsidRDefault="00412CB3" w:rsidP="00344187">
      <w:pPr>
        <w:pStyle w:val="FootnoteText"/>
        <w:spacing w:after="0"/>
      </w:pPr>
      <w:r>
        <w:rPr>
          <w:rStyle w:val="FootnoteReference"/>
        </w:rPr>
        <w:footnoteRef/>
      </w:r>
      <w:r>
        <w:t xml:space="preserve"> </w:t>
      </w:r>
      <w:r w:rsidRPr="005F4DC7">
        <w:t xml:space="preserve">Swift O, </w:t>
      </w:r>
      <w:r>
        <w:t>et al.</w:t>
      </w:r>
      <w:r w:rsidRPr="005F4DC7">
        <w:t xml:space="preserve"> 2016, 'Attitudes in Patients with Autosomal Dominant Polycystic Kidney Disease Toward Prenatal Diagnosis and Preimplantation Genetic Diagnosis', </w:t>
      </w:r>
      <w:r w:rsidRPr="005F4DC7">
        <w:rPr>
          <w:i/>
        </w:rPr>
        <w:t>Genet Test Mol Biomarkers</w:t>
      </w:r>
      <w:r w:rsidRPr="005F4DC7">
        <w:t>, 20</w:t>
      </w:r>
      <w:r>
        <w:t>(</w:t>
      </w:r>
      <w:r w:rsidRPr="005F4DC7">
        <w:t>12</w:t>
      </w:r>
      <w:r>
        <w:t>):</w:t>
      </w:r>
      <w:r w:rsidRPr="005F4DC7">
        <w:t xml:space="preserve"> 741-6</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4FA2"/>
    <w:multiLevelType w:val="hybridMultilevel"/>
    <w:tmpl w:val="9F5E6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607415"/>
    <w:multiLevelType w:val="hybridMultilevel"/>
    <w:tmpl w:val="37EE08FE"/>
    <w:lvl w:ilvl="0" w:tplc="EF08A9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946909"/>
    <w:multiLevelType w:val="hybridMultilevel"/>
    <w:tmpl w:val="F2FE8422"/>
    <w:lvl w:ilvl="0" w:tplc="EF08A96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F5635D"/>
    <w:multiLevelType w:val="hybridMultilevel"/>
    <w:tmpl w:val="37EE08FE"/>
    <w:lvl w:ilvl="0" w:tplc="EF08A9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8" w15:restartNumberingAfterBreak="0">
    <w:nsid w:val="48D56512"/>
    <w:multiLevelType w:val="hybridMultilevel"/>
    <w:tmpl w:val="6262E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B67E9B"/>
    <w:multiLevelType w:val="hybridMultilevel"/>
    <w:tmpl w:val="37EE08FE"/>
    <w:lvl w:ilvl="0" w:tplc="EF08A9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52738F"/>
    <w:multiLevelType w:val="hybridMultilevel"/>
    <w:tmpl w:val="1A8CB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AD4BB8"/>
    <w:multiLevelType w:val="hybridMultilevel"/>
    <w:tmpl w:val="AC56D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0B7B28"/>
    <w:multiLevelType w:val="hybridMultilevel"/>
    <w:tmpl w:val="110A3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0C0253"/>
    <w:multiLevelType w:val="hybridMultilevel"/>
    <w:tmpl w:val="9C723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413433"/>
    <w:multiLevelType w:val="hybridMultilevel"/>
    <w:tmpl w:val="9502F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5"/>
  </w:num>
  <w:num w:numId="8">
    <w:abstractNumId w:val="8"/>
  </w:num>
  <w:num w:numId="9">
    <w:abstractNumId w:val="11"/>
  </w:num>
  <w:num w:numId="10">
    <w:abstractNumId w:val="10"/>
  </w:num>
  <w:num w:numId="11">
    <w:abstractNumId w:val="7"/>
  </w:num>
  <w:num w:numId="12">
    <w:abstractNumId w:val="5"/>
  </w:num>
  <w:num w:numId="13">
    <w:abstractNumId w:val="13"/>
  </w:num>
  <w:num w:numId="14">
    <w:abstractNumId w:val="12"/>
  </w:num>
  <w:num w:numId="15">
    <w:abstractNumId w:val="0"/>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7312"/>
    <w:rsid w:val="00011A36"/>
    <w:rsid w:val="0001311B"/>
    <w:rsid w:val="000171CD"/>
    <w:rsid w:val="00017F81"/>
    <w:rsid w:val="000311B0"/>
    <w:rsid w:val="000317F2"/>
    <w:rsid w:val="00033974"/>
    <w:rsid w:val="00047606"/>
    <w:rsid w:val="00065623"/>
    <w:rsid w:val="000662D0"/>
    <w:rsid w:val="000663AA"/>
    <w:rsid w:val="000708C2"/>
    <w:rsid w:val="00072F4C"/>
    <w:rsid w:val="000756B9"/>
    <w:rsid w:val="0008746D"/>
    <w:rsid w:val="00094964"/>
    <w:rsid w:val="00096B67"/>
    <w:rsid w:val="00096DAF"/>
    <w:rsid w:val="0009753E"/>
    <w:rsid w:val="000B11CF"/>
    <w:rsid w:val="000B757E"/>
    <w:rsid w:val="000C2F47"/>
    <w:rsid w:val="000D2B9A"/>
    <w:rsid w:val="000D6C00"/>
    <w:rsid w:val="000E4E04"/>
    <w:rsid w:val="000F14B4"/>
    <w:rsid w:val="000F75DF"/>
    <w:rsid w:val="001023DC"/>
    <w:rsid w:val="00103042"/>
    <w:rsid w:val="001058CE"/>
    <w:rsid w:val="001328FA"/>
    <w:rsid w:val="00147AAF"/>
    <w:rsid w:val="001552C0"/>
    <w:rsid w:val="001640B1"/>
    <w:rsid w:val="00176275"/>
    <w:rsid w:val="0018435E"/>
    <w:rsid w:val="001C07FF"/>
    <w:rsid w:val="001D08C5"/>
    <w:rsid w:val="001D6856"/>
    <w:rsid w:val="00203EF4"/>
    <w:rsid w:val="002041A1"/>
    <w:rsid w:val="002054F0"/>
    <w:rsid w:val="0022043C"/>
    <w:rsid w:val="00225F96"/>
    <w:rsid w:val="00230D6B"/>
    <w:rsid w:val="00232068"/>
    <w:rsid w:val="002330F2"/>
    <w:rsid w:val="00236033"/>
    <w:rsid w:val="00243D9E"/>
    <w:rsid w:val="00253B66"/>
    <w:rsid w:val="00261DF1"/>
    <w:rsid w:val="00271F18"/>
    <w:rsid w:val="00282779"/>
    <w:rsid w:val="0028334D"/>
    <w:rsid w:val="002840C1"/>
    <w:rsid w:val="002A0699"/>
    <w:rsid w:val="002B7FFA"/>
    <w:rsid w:val="002C2BCF"/>
    <w:rsid w:val="002C43A5"/>
    <w:rsid w:val="002C5532"/>
    <w:rsid w:val="002C5E92"/>
    <w:rsid w:val="002F279D"/>
    <w:rsid w:val="002F43B8"/>
    <w:rsid w:val="002F5881"/>
    <w:rsid w:val="00303C89"/>
    <w:rsid w:val="00312035"/>
    <w:rsid w:val="00336856"/>
    <w:rsid w:val="00344187"/>
    <w:rsid w:val="0034554D"/>
    <w:rsid w:val="00352224"/>
    <w:rsid w:val="003671E6"/>
    <w:rsid w:val="00384272"/>
    <w:rsid w:val="00386D67"/>
    <w:rsid w:val="003945B8"/>
    <w:rsid w:val="003A451B"/>
    <w:rsid w:val="003C7C14"/>
    <w:rsid w:val="003D7F29"/>
    <w:rsid w:val="00405A6B"/>
    <w:rsid w:val="00407B1F"/>
    <w:rsid w:val="0041184F"/>
    <w:rsid w:val="00412CB3"/>
    <w:rsid w:val="00414C57"/>
    <w:rsid w:val="0041758C"/>
    <w:rsid w:val="004539DE"/>
    <w:rsid w:val="004777DF"/>
    <w:rsid w:val="00483478"/>
    <w:rsid w:val="004967B0"/>
    <w:rsid w:val="004A2CF1"/>
    <w:rsid w:val="004A4D40"/>
    <w:rsid w:val="004A5292"/>
    <w:rsid w:val="004B1ED3"/>
    <w:rsid w:val="004C3035"/>
    <w:rsid w:val="004C307F"/>
    <w:rsid w:val="004C41BD"/>
    <w:rsid w:val="004E27C2"/>
    <w:rsid w:val="004E4BA8"/>
    <w:rsid w:val="004F340F"/>
    <w:rsid w:val="004F7B7C"/>
    <w:rsid w:val="005019A9"/>
    <w:rsid w:val="0052243D"/>
    <w:rsid w:val="00522FF5"/>
    <w:rsid w:val="00532435"/>
    <w:rsid w:val="00550354"/>
    <w:rsid w:val="00552888"/>
    <w:rsid w:val="00567C55"/>
    <w:rsid w:val="00571236"/>
    <w:rsid w:val="005953A1"/>
    <w:rsid w:val="0059782A"/>
    <w:rsid w:val="005A4362"/>
    <w:rsid w:val="005B5434"/>
    <w:rsid w:val="005C1DDB"/>
    <w:rsid w:val="005D0332"/>
    <w:rsid w:val="005D0D8C"/>
    <w:rsid w:val="005E3F29"/>
    <w:rsid w:val="00627B6A"/>
    <w:rsid w:val="00642728"/>
    <w:rsid w:val="0066222B"/>
    <w:rsid w:val="006776AE"/>
    <w:rsid w:val="006A0D97"/>
    <w:rsid w:val="006B1F86"/>
    <w:rsid w:val="006C0A91"/>
    <w:rsid w:val="006E1623"/>
    <w:rsid w:val="007054BB"/>
    <w:rsid w:val="00707064"/>
    <w:rsid w:val="00730683"/>
    <w:rsid w:val="00733947"/>
    <w:rsid w:val="0075261F"/>
    <w:rsid w:val="0075468E"/>
    <w:rsid w:val="00757E73"/>
    <w:rsid w:val="007665D8"/>
    <w:rsid w:val="00766E36"/>
    <w:rsid w:val="007676B0"/>
    <w:rsid w:val="007765F4"/>
    <w:rsid w:val="00776633"/>
    <w:rsid w:val="00777582"/>
    <w:rsid w:val="00784D53"/>
    <w:rsid w:val="00793D2C"/>
    <w:rsid w:val="00795780"/>
    <w:rsid w:val="00797797"/>
    <w:rsid w:val="007A0404"/>
    <w:rsid w:val="007A63C9"/>
    <w:rsid w:val="007B2910"/>
    <w:rsid w:val="007B32D1"/>
    <w:rsid w:val="007B7095"/>
    <w:rsid w:val="007C7507"/>
    <w:rsid w:val="007D24E1"/>
    <w:rsid w:val="007D6288"/>
    <w:rsid w:val="007D63F2"/>
    <w:rsid w:val="007F4CE9"/>
    <w:rsid w:val="007F4E20"/>
    <w:rsid w:val="00822C7E"/>
    <w:rsid w:val="00836390"/>
    <w:rsid w:val="00847060"/>
    <w:rsid w:val="00847A36"/>
    <w:rsid w:val="008509D0"/>
    <w:rsid w:val="00856A33"/>
    <w:rsid w:val="00892620"/>
    <w:rsid w:val="00892E6D"/>
    <w:rsid w:val="00895345"/>
    <w:rsid w:val="008B679F"/>
    <w:rsid w:val="008C3D45"/>
    <w:rsid w:val="008C58E5"/>
    <w:rsid w:val="008C778E"/>
    <w:rsid w:val="008C7D37"/>
    <w:rsid w:val="008D1722"/>
    <w:rsid w:val="008D5885"/>
    <w:rsid w:val="008F2FDB"/>
    <w:rsid w:val="00923FA2"/>
    <w:rsid w:val="0096060D"/>
    <w:rsid w:val="00974A50"/>
    <w:rsid w:val="0097585A"/>
    <w:rsid w:val="009924B0"/>
    <w:rsid w:val="009942C9"/>
    <w:rsid w:val="009B0F69"/>
    <w:rsid w:val="009B35C4"/>
    <w:rsid w:val="009B6BAD"/>
    <w:rsid w:val="009C630A"/>
    <w:rsid w:val="009E0D98"/>
    <w:rsid w:val="00A03114"/>
    <w:rsid w:val="00A068A1"/>
    <w:rsid w:val="00A1207D"/>
    <w:rsid w:val="00A12FD8"/>
    <w:rsid w:val="00A177B2"/>
    <w:rsid w:val="00A346FC"/>
    <w:rsid w:val="00A41CA4"/>
    <w:rsid w:val="00A46D77"/>
    <w:rsid w:val="00A6376C"/>
    <w:rsid w:val="00A846F2"/>
    <w:rsid w:val="00A84F93"/>
    <w:rsid w:val="00A966B6"/>
    <w:rsid w:val="00AA47EC"/>
    <w:rsid w:val="00AB1AC5"/>
    <w:rsid w:val="00AB3BFC"/>
    <w:rsid w:val="00AB41A1"/>
    <w:rsid w:val="00AC118D"/>
    <w:rsid w:val="00AC4F2E"/>
    <w:rsid w:val="00AD0C37"/>
    <w:rsid w:val="00AD385F"/>
    <w:rsid w:val="00AE6E2A"/>
    <w:rsid w:val="00B03EAB"/>
    <w:rsid w:val="00B31E9C"/>
    <w:rsid w:val="00B35595"/>
    <w:rsid w:val="00B51C6D"/>
    <w:rsid w:val="00B57167"/>
    <w:rsid w:val="00B83DD2"/>
    <w:rsid w:val="00B86D64"/>
    <w:rsid w:val="00B92AA2"/>
    <w:rsid w:val="00BA4AC5"/>
    <w:rsid w:val="00BA6608"/>
    <w:rsid w:val="00BC1364"/>
    <w:rsid w:val="00BC2667"/>
    <w:rsid w:val="00BC552B"/>
    <w:rsid w:val="00BC7DE9"/>
    <w:rsid w:val="00BF3E7C"/>
    <w:rsid w:val="00BF479B"/>
    <w:rsid w:val="00C02577"/>
    <w:rsid w:val="00C06B0B"/>
    <w:rsid w:val="00C15B07"/>
    <w:rsid w:val="00C17349"/>
    <w:rsid w:val="00C204FB"/>
    <w:rsid w:val="00C20BEE"/>
    <w:rsid w:val="00C2158D"/>
    <w:rsid w:val="00C356C4"/>
    <w:rsid w:val="00C46FFD"/>
    <w:rsid w:val="00C67DD2"/>
    <w:rsid w:val="00C725CB"/>
    <w:rsid w:val="00C76F5C"/>
    <w:rsid w:val="00C96BAD"/>
    <w:rsid w:val="00CA1A0D"/>
    <w:rsid w:val="00CA61EB"/>
    <w:rsid w:val="00CA6944"/>
    <w:rsid w:val="00CB0F8E"/>
    <w:rsid w:val="00CB7E7D"/>
    <w:rsid w:val="00CC2911"/>
    <w:rsid w:val="00CE2699"/>
    <w:rsid w:val="00CF0C6D"/>
    <w:rsid w:val="00CF4E81"/>
    <w:rsid w:val="00CF7307"/>
    <w:rsid w:val="00CF7C68"/>
    <w:rsid w:val="00D02A26"/>
    <w:rsid w:val="00D118DF"/>
    <w:rsid w:val="00D124FA"/>
    <w:rsid w:val="00D26640"/>
    <w:rsid w:val="00D340DE"/>
    <w:rsid w:val="00D55723"/>
    <w:rsid w:val="00D57119"/>
    <w:rsid w:val="00D62FAD"/>
    <w:rsid w:val="00D64355"/>
    <w:rsid w:val="00D70450"/>
    <w:rsid w:val="00D83BFD"/>
    <w:rsid w:val="00D90A38"/>
    <w:rsid w:val="00D93697"/>
    <w:rsid w:val="00D93E2F"/>
    <w:rsid w:val="00D95739"/>
    <w:rsid w:val="00DA0515"/>
    <w:rsid w:val="00DA171E"/>
    <w:rsid w:val="00DA56AA"/>
    <w:rsid w:val="00DA636E"/>
    <w:rsid w:val="00DB5833"/>
    <w:rsid w:val="00DD1979"/>
    <w:rsid w:val="00DD2858"/>
    <w:rsid w:val="00DF489D"/>
    <w:rsid w:val="00E03E33"/>
    <w:rsid w:val="00E059E0"/>
    <w:rsid w:val="00E07AAC"/>
    <w:rsid w:val="00E1141B"/>
    <w:rsid w:val="00E3642A"/>
    <w:rsid w:val="00E415C4"/>
    <w:rsid w:val="00E50016"/>
    <w:rsid w:val="00E50EAA"/>
    <w:rsid w:val="00E656D6"/>
    <w:rsid w:val="00E73400"/>
    <w:rsid w:val="00E977EE"/>
    <w:rsid w:val="00EA2F24"/>
    <w:rsid w:val="00EA5C0E"/>
    <w:rsid w:val="00EA67A2"/>
    <w:rsid w:val="00EB630F"/>
    <w:rsid w:val="00EB6B6F"/>
    <w:rsid w:val="00EC3BD3"/>
    <w:rsid w:val="00EC4304"/>
    <w:rsid w:val="00EC4F98"/>
    <w:rsid w:val="00EE1190"/>
    <w:rsid w:val="00F12F02"/>
    <w:rsid w:val="00F32E0D"/>
    <w:rsid w:val="00F344A7"/>
    <w:rsid w:val="00F35134"/>
    <w:rsid w:val="00F37B9C"/>
    <w:rsid w:val="00F41812"/>
    <w:rsid w:val="00F420BB"/>
    <w:rsid w:val="00F43DCB"/>
    <w:rsid w:val="00F44C62"/>
    <w:rsid w:val="00F56D7F"/>
    <w:rsid w:val="00F715D1"/>
    <w:rsid w:val="00F72715"/>
    <w:rsid w:val="00F73333"/>
    <w:rsid w:val="00F95D8F"/>
    <w:rsid w:val="00FB350A"/>
    <w:rsid w:val="00FB4C5D"/>
    <w:rsid w:val="00FC11CE"/>
    <w:rsid w:val="00FE1C3F"/>
    <w:rsid w:val="00FE2D99"/>
    <w:rsid w:val="00FE495C"/>
    <w:rsid w:val="00FE5416"/>
    <w:rsid w:val="00FE731D"/>
    <w:rsid w:val="00FF0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BE6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BD"/>
    <w:pPr>
      <w:tabs>
        <w:tab w:val="left" w:pos="720"/>
        <w:tab w:val="left" w:pos="1140"/>
      </w:tabs>
      <w:spacing w:after="240"/>
    </w:pPr>
    <w:rPr>
      <w:rFonts w:eastAsia="Times New Roman"/>
      <w:sz w:val="24"/>
      <w:szCs w:val="24"/>
    </w:rPr>
  </w:style>
  <w:style w:type="paragraph" w:styleId="Heading1">
    <w:name w:val="heading 1"/>
    <w:basedOn w:val="Normal"/>
    <w:next w:val="Normal"/>
    <w:link w:val="Heading1Char"/>
    <w:uiPriority w:val="9"/>
    <w:qFormat/>
    <w:rsid w:val="00A846F2"/>
    <w:pPr>
      <w:keepNext/>
      <w:keepLines/>
      <w:numPr>
        <w:numId w:val="2"/>
      </w:numPr>
      <w:spacing w:before="240"/>
      <w:ind w:hanging="720"/>
      <w:outlineLvl w:val="0"/>
    </w:pPr>
    <w:rPr>
      <w:rFonts w:ascii="Arial" w:hAnsi="Arial"/>
      <w:b/>
      <w:bCs/>
      <w:szCs w:val="28"/>
    </w:rPr>
  </w:style>
  <w:style w:type="paragraph" w:styleId="Heading2">
    <w:name w:val="heading 2"/>
    <w:basedOn w:val="Normal"/>
    <w:next w:val="Normal"/>
    <w:link w:val="Heading2Char"/>
    <w:uiPriority w:val="9"/>
    <w:unhideWhenUsed/>
    <w:qFormat/>
    <w:locked/>
    <w:rsid w:val="002C5532"/>
    <w:pPr>
      <w:spacing w:after="0"/>
      <w:outlineLvl w:val="1"/>
    </w:pPr>
    <w:rPr>
      <w:b/>
    </w:rPr>
  </w:style>
  <w:style w:type="paragraph" w:styleId="Heading3">
    <w:name w:val="heading 3"/>
    <w:basedOn w:val="Normal"/>
    <w:next w:val="Normal"/>
    <w:link w:val="Heading3Char"/>
    <w:uiPriority w:val="9"/>
    <w:unhideWhenUsed/>
    <w:qFormat/>
    <w:locked/>
    <w:rsid w:val="0008746D"/>
    <w:pPr>
      <w:keepNext/>
      <w:keepLines/>
      <w:tabs>
        <w:tab w:val="clear" w:pos="720"/>
        <w:tab w:val="clear" w:pos="1140"/>
      </w:tabs>
      <w:spacing w:before="40" w:after="0"/>
      <w:outlineLvl w:val="2"/>
    </w:pPr>
    <w:rPr>
      <w:rFonts w:eastAsiaTheme="majorEastAsia" w:cstheme="majorBidi"/>
      <w:u w:val="single"/>
    </w:rPr>
  </w:style>
  <w:style w:type="paragraph" w:styleId="Heading4">
    <w:name w:val="heading 4"/>
    <w:basedOn w:val="Normal"/>
    <w:next w:val="Normal"/>
    <w:link w:val="Heading4Char"/>
    <w:uiPriority w:val="9"/>
    <w:semiHidden/>
    <w:unhideWhenUsed/>
    <w:qFormat/>
    <w:locked/>
    <w:rsid w:val="0008746D"/>
    <w:pPr>
      <w:keepNext/>
      <w:keepLines/>
      <w:tabs>
        <w:tab w:val="clear" w:pos="720"/>
        <w:tab w:val="clear" w:pos="1140"/>
      </w:tabs>
      <w:spacing w:before="200" w:after="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46F2"/>
    <w:rPr>
      <w:rFonts w:ascii="Arial" w:eastAsia="Times New Roman" w:hAnsi="Arial"/>
      <w:b/>
      <w:bCs/>
      <w:sz w:val="24"/>
      <w:szCs w:val="28"/>
    </w:rPr>
  </w:style>
  <w:style w:type="character" w:styleId="Hyperlink">
    <w:name w:val="Hyperlink"/>
    <w:basedOn w:val="DefaultParagraphFont"/>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rsid w:val="002C5532"/>
    <w:rPr>
      <w:rFonts w:eastAsia="Times New Roman"/>
      <w:b/>
      <w:sz w:val="24"/>
      <w:szCs w:val="24"/>
    </w:rPr>
  </w:style>
  <w:style w:type="paragraph" w:styleId="Title">
    <w:name w:val="Title"/>
    <w:basedOn w:val="Normal"/>
    <w:next w:val="Normal"/>
    <w:link w:val="TitleChar"/>
    <w:qFormat/>
    <w:locked/>
    <w:rsid w:val="00F715D1"/>
    <w:pPr>
      <w:spacing w:before="48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4C41BD"/>
    <w:pPr>
      <w:tabs>
        <w:tab w:val="clear" w:pos="720"/>
        <w:tab w:val="clear" w:pos="1140"/>
      </w:tabs>
      <w:spacing w:before="40" w:after="40"/>
    </w:pPr>
    <w:rPr>
      <w:rFonts w:ascii="Arial Narrow" w:hAnsi="Arial Narrow"/>
      <w:sz w:val="20"/>
      <w:lang w:eastAsia="en-US"/>
    </w:rPr>
  </w:style>
  <w:style w:type="character" w:customStyle="1" w:styleId="TabletextChar">
    <w:name w:val="Table text Char"/>
    <w:basedOn w:val="DefaultParagraphFont"/>
    <w:link w:val="Tabletext"/>
    <w:rsid w:val="004C41BD"/>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4C41BD"/>
    <w:pPr>
      <w:keepNext/>
      <w:tabs>
        <w:tab w:val="clear" w:pos="720"/>
        <w:tab w:val="clear" w:pos="1140"/>
      </w:tabs>
      <w:spacing w:after="40"/>
      <w:jc w:val="both"/>
      <w:outlineLvl w:val="4"/>
    </w:pPr>
    <w:rPr>
      <w:rFonts w:ascii="Arial Narrow" w:hAnsi="Arial Narrow" w:cs="Arial"/>
      <w:b/>
      <w:bCs/>
      <w:iCs/>
      <w:sz w:val="20"/>
      <w:szCs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4C41BD"/>
    <w:rPr>
      <w:rFonts w:ascii="Arial Narrow" w:eastAsia="Times New Roman" w:hAnsi="Arial Narrow" w:cs="Arial"/>
      <w:b/>
      <w:bCs/>
      <w:iCs/>
      <w:sz w:val="20"/>
      <w:szCs w:val="20"/>
      <w:lang w:eastAsia="en-US"/>
    </w:rPr>
  </w:style>
  <w:style w:type="paragraph" w:customStyle="1" w:styleId="Tablenotes1">
    <w:name w:val="Tablenotes 1"/>
    <w:basedOn w:val="Normal"/>
    <w:link w:val="Tablenotes1Char"/>
    <w:qFormat/>
    <w:rsid w:val="004C41BD"/>
    <w:pPr>
      <w:widowControl w:val="0"/>
      <w:tabs>
        <w:tab w:val="clear" w:pos="720"/>
        <w:tab w:val="clear" w:pos="1140"/>
      </w:tabs>
      <w:contextualSpacing/>
    </w:pPr>
    <w:rPr>
      <w:rFonts w:ascii="Arial Narrow" w:hAnsi="Arial Narrow" w:cs="Arial"/>
      <w:snapToGrid w:val="0"/>
      <w:sz w:val="18"/>
      <w:szCs w:val="20"/>
      <w:lang w:eastAsia="en-US"/>
    </w:rPr>
  </w:style>
  <w:style w:type="character" w:customStyle="1" w:styleId="Tablenotes1Char">
    <w:name w:val="Tablenotes 1 Char"/>
    <w:basedOn w:val="DefaultParagraphFont"/>
    <w:link w:val="Tablenotes1"/>
    <w:rsid w:val="004C41BD"/>
    <w:rPr>
      <w:rFonts w:ascii="Arial Narrow" w:eastAsia="Times New Roman" w:hAnsi="Arial Narrow" w:cs="Arial"/>
      <w:snapToGrid w:val="0"/>
      <w:sz w:val="18"/>
      <w:szCs w:val="20"/>
      <w:lang w:eastAsia="en-US"/>
    </w:rPr>
  </w:style>
  <w:style w:type="character" w:customStyle="1" w:styleId="ListParagraphChar">
    <w:name w:val="List Paragraph Char"/>
    <w:aliases w:val="Styl moj Char,Akapit z listą1 Char,Akapit z listą11 Char"/>
    <w:link w:val="ListParagraph"/>
    <w:rsid w:val="004C41BD"/>
    <w:rPr>
      <w:rFonts w:eastAsia="Times New Roman"/>
      <w:sz w:val="24"/>
      <w:szCs w:val="24"/>
    </w:rPr>
  </w:style>
  <w:style w:type="character" w:customStyle="1" w:styleId="Heading3Char">
    <w:name w:val="Heading 3 Char"/>
    <w:basedOn w:val="DefaultParagraphFont"/>
    <w:link w:val="Heading3"/>
    <w:uiPriority w:val="9"/>
    <w:rsid w:val="0008746D"/>
    <w:rPr>
      <w:rFonts w:eastAsiaTheme="majorEastAsia" w:cstheme="majorBidi"/>
      <w:sz w:val="24"/>
      <w:szCs w:val="24"/>
      <w:u w:val="single"/>
    </w:rPr>
  </w:style>
  <w:style w:type="character" w:customStyle="1" w:styleId="Heading4Char">
    <w:name w:val="Heading 4 Char"/>
    <w:basedOn w:val="DefaultParagraphFont"/>
    <w:link w:val="Heading4"/>
    <w:uiPriority w:val="9"/>
    <w:semiHidden/>
    <w:rsid w:val="0008746D"/>
    <w:rPr>
      <w:rFonts w:asciiTheme="majorHAnsi" w:eastAsiaTheme="majorEastAsia" w:hAnsiTheme="majorHAnsi" w:cstheme="majorBidi"/>
      <w:b/>
      <w:bCs/>
      <w:i/>
      <w:iCs/>
      <w:color w:val="4F81BD" w:themeColor="accent1"/>
      <w:sz w:val="24"/>
      <w:szCs w:val="20"/>
    </w:rPr>
  </w:style>
  <w:style w:type="paragraph" w:customStyle="1" w:styleId="Table">
    <w:name w:val="Table"/>
    <w:basedOn w:val="Normal"/>
    <w:link w:val="TableChar"/>
    <w:qFormat/>
    <w:rsid w:val="0008746D"/>
    <w:pPr>
      <w:tabs>
        <w:tab w:val="clear" w:pos="720"/>
        <w:tab w:val="clear" w:pos="1140"/>
      </w:tabs>
      <w:spacing w:after="0"/>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08746D"/>
    <w:rPr>
      <w:rFonts w:ascii="Candara" w:eastAsiaTheme="majorEastAsia" w:hAnsi="Candara" w:cstheme="majorBidi"/>
      <w:sz w:val="20"/>
      <w:lang w:eastAsia="en-US" w:bidi="en-US"/>
    </w:rPr>
  </w:style>
  <w:style w:type="paragraph" w:customStyle="1" w:styleId="TableCentre">
    <w:name w:val="Table Centre"/>
    <w:basedOn w:val="Table"/>
    <w:uiPriority w:val="99"/>
    <w:qFormat/>
    <w:rsid w:val="0008746D"/>
    <w:pPr>
      <w:jc w:val="center"/>
    </w:pPr>
  </w:style>
  <w:style w:type="paragraph" w:customStyle="1" w:styleId="Tabletextbold">
    <w:name w:val="Table text bold"/>
    <w:basedOn w:val="Normal"/>
    <w:link w:val="TabletextboldChar"/>
    <w:rsid w:val="0008746D"/>
    <w:pPr>
      <w:keepNext/>
      <w:tabs>
        <w:tab w:val="clear" w:pos="720"/>
        <w:tab w:val="clear" w:pos="1140"/>
      </w:tabs>
      <w:spacing w:after="0"/>
      <w:jc w:val="center"/>
    </w:pPr>
    <w:rPr>
      <w:rFonts w:ascii="Arial Narrow" w:hAnsi="Arial Narrow" w:cs="Arial"/>
      <w:b/>
      <w:sz w:val="20"/>
      <w:szCs w:val="20"/>
      <w:lang w:eastAsia="en-US"/>
    </w:rPr>
  </w:style>
  <w:style w:type="character" w:customStyle="1" w:styleId="TabletextboldChar">
    <w:name w:val="Table text bold Char"/>
    <w:basedOn w:val="DefaultParagraphFont"/>
    <w:link w:val="Tabletextbold"/>
    <w:rsid w:val="0008746D"/>
    <w:rPr>
      <w:rFonts w:ascii="Arial Narrow" w:eastAsia="Times New Roman" w:hAnsi="Arial Narrow" w:cs="Arial"/>
      <w:b/>
      <w:sz w:val="20"/>
      <w:szCs w:val="20"/>
      <w:lang w:eastAsia="en-US"/>
    </w:rPr>
  </w:style>
  <w:style w:type="paragraph" w:customStyle="1" w:styleId="ESHeading2">
    <w:name w:val="ES Heading 2"/>
    <w:basedOn w:val="Heading2"/>
    <w:link w:val="ESHeading2Char"/>
    <w:rsid w:val="0008746D"/>
    <w:pPr>
      <w:keepNext/>
      <w:tabs>
        <w:tab w:val="clear" w:pos="720"/>
        <w:tab w:val="clear" w:pos="1140"/>
      </w:tabs>
      <w:ind w:left="576" w:hanging="576"/>
      <w:jc w:val="both"/>
    </w:pPr>
    <w:rPr>
      <w:rFonts w:ascii="Garamond" w:hAnsi="Garamond"/>
      <w:b w:val="0"/>
      <w:bCs/>
      <w:i/>
      <w:iCs/>
      <w:szCs w:val="28"/>
    </w:rPr>
  </w:style>
  <w:style w:type="character" w:customStyle="1" w:styleId="ESHeading2Char">
    <w:name w:val="ES Heading 2 Char"/>
    <w:basedOn w:val="Heading2Char"/>
    <w:link w:val="ESHeading2"/>
    <w:rsid w:val="0008746D"/>
    <w:rPr>
      <w:rFonts w:ascii="Garamond" w:eastAsia="Times New Roman" w:hAnsi="Garamond"/>
      <w:b w:val="0"/>
      <w:bCs/>
      <w:i/>
      <w:iCs/>
      <w:sz w:val="24"/>
      <w:szCs w:val="28"/>
    </w:rPr>
  </w:style>
  <w:style w:type="table" w:customStyle="1" w:styleId="Submissiontemplate2">
    <w:name w:val="Submission template2"/>
    <w:basedOn w:val="TableNormal"/>
    <w:uiPriority w:val="99"/>
    <w:rsid w:val="0008746D"/>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Emphasis">
    <w:name w:val="Emphasis"/>
    <w:uiPriority w:val="20"/>
    <w:qFormat/>
    <w:locked/>
    <w:rsid w:val="0008746D"/>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08746D"/>
    <w:pPr>
      <w:jc w:val="left"/>
    </w:pPr>
  </w:style>
  <w:style w:type="character" w:customStyle="1" w:styleId="TabletextboldleftChar">
    <w:name w:val="Table text bold left Char"/>
    <w:basedOn w:val="TabletextboldChar"/>
    <w:link w:val="Tabletextboldleft"/>
    <w:rsid w:val="0008746D"/>
    <w:rPr>
      <w:rFonts w:ascii="Arial Narrow" w:eastAsia="Times New Roman" w:hAnsi="Arial Narrow" w:cs="Arial"/>
      <w:b/>
      <w:sz w:val="20"/>
      <w:szCs w:val="20"/>
      <w:lang w:eastAsia="en-US"/>
    </w:rPr>
  </w:style>
  <w:style w:type="table" w:customStyle="1" w:styleId="Submissiontemplate7">
    <w:name w:val="Submission template7"/>
    <w:basedOn w:val="TableNormal"/>
    <w:uiPriority w:val="99"/>
    <w:rsid w:val="0008746D"/>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8746D"/>
    <w:pPr>
      <w:keepNext/>
      <w:keepLines/>
      <w:tabs>
        <w:tab w:val="clear" w:pos="720"/>
        <w:tab w:val="clear" w:pos="1140"/>
      </w:tabs>
      <w:spacing w:after="0"/>
      <w:jc w:val="both"/>
    </w:pPr>
    <w:rPr>
      <w:rFonts w:ascii="Arial Narrow" w:hAnsi="Arial Narrow" w:cs="Arial"/>
      <w:sz w:val="20"/>
      <w:szCs w:val="20"/>
      <w:lang w:eastAsia="en-US"/>
    </w:rPr>
  </w:style>
  <w:style w:type="character" w:customStyle="1" w:styleId="TablecaptionChar">
    <w:name w:val="Table caption Char"/>
    <w:basedOn w:val="DefaultParagraphFont"/>
    <w:link w:val="Tablecaption"/>
    <w:rsid w:val="0008746D"/>
    <w:rPr>
      <w:rFonts w:ascii="Arial Narrow" w:eastAsia="Times New Roman" w:hAnsi="Arial Narrow" w:cs="Arial"/>
      <w:sz w:val="20"/>
      <w:szCs w:val="20"/>
      <w:lang w:eastAsia="en-US"/>
    </w:rPr>
  </w:style>
  <w:style w:type="paragraph" w:customStyle="1" w:styleId="Tabletextcentred">
    <w:name w:val="Table text centred"/>
    <w:basedOn w:val="Tabletext"/>
    <w:link w:val="TabletextcentredChar"/>
    <w:qFormat/>
    <w:rsid w:val="0008746D"/>
    <w:pPr>
      <w:jc w:val="center"/>
    </w:pPr>
  </w:style>
  <w:style w:type="character" w:customStyle="1" w:styleId="TabletextcentredChar">
    <w:name w:val="Table text centred Char"/>
    <w:basedOn w:val="TabletextChar"/>
    <w:link w:val="Tabletextcentred"/>
    <w:rsid w:val="0008746D"/>
    <w:rPr>
      <w:rFonts w:ascii="Arial Narrow" w:eastAsia="Times New Roman" w:hAnsi="Arial Narrow"/>
      <w:sz w:val="20"/>
      <w:szCs w:val="24"/>
      <w:lang w:eastAsia="en-US"/>
    </w:rPr>
  </w:style>
  <w:style w:type="character" w:customStyle="1" w:styleId="TableBold">
    <w:name w:val="Table Bold"/>
    <w:uiPriority w:val="4"/>
    <w:qFormat/>
    <w:rsid w:val="0008746D"/>
    <w:rPr>
      <w:rFonts w:ascii="Calibri" w:hAnsi="Calibri" w:hint="default"/>
      <w:b/>
      <w:bCs w:val="0"/>
      <w:sz w:val="20"/>
      <w:lang w:val="en-AU"/>
    </w:rPr>
  </w:style>
  <w:style w:type="table" w:customStyle="1" w:styleId="TableGrid12">
    <w:name w:val="Table Grid12"/>
    <w:basedOn w:val="TableNormal"/>
    <w:next w:val="TableGrid"/>
    <w:uiPriority w:val="59"/>
    <w:rsid w:val="0008746D"/>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rsid w:val="0008746D"/>
    <w:pPr>
      <w:tabs>
        <w:tab w:val="num" w:pos="360"/>
      </w:tabs>
      <w:spacing w:before="120" w:after="0"/>
      <w:ind w:left="360" w:hanging="360"/>
    </w:pPr>
    <w:rPr>
      <w:rFonts w:ascii="Arial" w:hAnsi="Arial" w:cs="Arial"/>
      <w:color w:val="3366FF"/>
    </w:rPr>
  </w:style>
  <w:style w:type="character" w:customStyle="1" w:styleId="Style2Char">
    <w:name w:val="Style2 Char"/>
    <w:basedOn w:val="DefaultParagraphFont"/>
    <w:link w:val="Style2"/>
    <w:rsid w:val="0008746D"/>
    <w:rPr>
      <w:rFonts w:ascii="Arial" w:eastAsia="Times New Roman" w:hAnsi="Arial" w:cs="Arial"/>
      <w:color w:val="3366FF"/>
      <w:sz w:val="24"/>
      <w:szCs w:val="24"/>
    </w:rPr>
  </w:style>
  <w:style w:type="paragraph" w:styleId="NoSpacing">
    <w:name w:val="No Spacing"/>
    <w:uiPriority w:val="1"/>
    <w:qFormat/>
    <w:rsid w:val="0008746D"/>
    <w:rPr>
      <w:rFonts w:asciiTheme="minorHAnsi" w:eastAsiaTheme="minorHAnsi" w:hAnsiTheme="minorHAnsi" w:cstheme="minorBidi"/>
      <w:lang w:eastAsia="en-US"/>
    </w:rPr>
  </w:style>
  <w:style w:type="paragraph" w:customStyle="1" w:styleId="NormalBulletList">
    <w:name w:val="Normal Bullet List"/>
    <w:basedOn w:val="Normal"/>
    <w:uiPriority w:val="3"/>
    <w:qFormat/>
    <w:rsid w:val="0008746D"/>
    <w:pPr>
      <w:numPr>
        <w:numId w:val="11"/>
      </w:numPr>
      <w:tabs>
        <w:tab w:val="clear" w:pos="720"/>
        <w:tab w:val="clear" w:pos="1140"/>
      </w:tabs>
      <w:spacing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08746D"/>
    <w:pPr>
      <w:widowControl w:val="0"/>
      <w:tabs>
        <w:tab w:val="clear" w:pos="720"/>
        <w:tab w:val="clear" w:pos="1140"/>
      </w:tabs>
      <w:spacing w:after="0"/>
    </w:pPr>
    <w:rPr>
      <w:snapToGrid w:val="0"/>
      <w:sz w:val="20"/>
      <w:szCs w:val="20"/>
      <w:lang w:val="en-US" w:eastAsia="en-US"/>
    </w:rPr>
  </w:style>
  <w:style w:type="character" w:customStyle="1" w:styleId="EndnoteTextChar">
    <w:name w:val="Endnote Text Char"/>
    <w:basedOn w:val="DefaultParagraphFont"/>
    <w:link w:val="EndnoteText"/>
    <w:rsid w:val="0008746D"/>
    <w:rPr>
      <w:rFonts w:eastAsia="Times New Roman"/>
      <w:snapToGrid w:val="0"/>
      <w:sz w:val="20"/>
      <w:szCs w:val="20"/>
      <w:lang w:val="en-US" w:eastAsia="en-US"/>
    </w:rPr>
  </w:style>
  <w:style w:type="character" w:styleId="EndnoteReference">
    <w:name w:val="endnote reference"/>
    <w:basedOn w:val="DefaultParagraphFont"/>
    <w:rsid w:val="0008746D"/>
    <w:rPr>
      <w:vertAlign w:val="superscript"/>
    </w:rPr>
  </w:style>
  <w:style w:type="character" w:customStyle="1" w:styleId="SmallBold">
    <w:name w:val="Small Bold"/>
    <w:basedOn w:val="DefaultParagraphFont"/>
    <w:uiPriority w:val="4"/>
    <w:qFormat/>
    <w:rsid w:val="0008746D"/>
    <w:rPr>
      <w:rFonts w:ascii="Candara" w:hAnsi="Candara"/>
      <w:b/>
      <w:sz w:val="20"/>
      <w:lang w:val="en-AU"/>
    </w:rPr>
  </w:style>
  <w:style w:type="table" w:customStyle="1" w:styleId="Submissiontemplate">
    <w:name w:val="Submission template"/>
    <w:basedOn w:val="TableNormal"/>
    <w:uiPriority w:val="99"/>
    <w:rsid w:val="0008746D"/>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Heading">
    <w:name w:val="TableHeading"/>
    <w:basedOn w:val="Normal"/>
    <w:link w:val="TableHeadingChar"/>
    <w:qFormat/>
    <w:rsid w:val="0008746D"/>
    <w:pPr>
      <w:keepNext/>
      <w:tabs>
        <w:tab w:val="clear" w:pos="720"/>
        <w:tab w:val="clear" w:pos="1140"/>
      </w:tabs>
      <w:spacing w:before="40" w:after="40"/>
    </w:pPr>
    <w:rPr>
      <w:rFonts w:ascii="Arial Narrow" w:hAnsi="Arial Narrow" w:cs="Tahoma"/>
      <w:b/>
      <w:noProof/>
      <w:sz w:val="20"/>
      <w:szCs w:val="20"/>
    </w:rPr>
  </w:style>
  <w:style w:type="character" w:customStyle="1" w:styleId="TableHeadingChar">
    <w:name w:val="TableHeading Char"/>
    <w:link w:val="TableHeading"/>
    <w:rsid w:val="0008746D"/>
    <w:rPr>
      <w:rFonts w:ascii="Arial Narrow" w:eastAsia="Times New Roman" w:hAnsi="Arial Narrow" w:cs="Tahoma"/>
      <w:b/>
      <w:noProof/>
      <w:sz w:val="20"/>
      <w:szCs w:val="20"/>
    </w:rPr>
  </w:style>
  <w:style w:type="paragraph" w:customStyle="1" w:styleId="Tablenotes">
    <w:name w:val="Tablenotes"/>
    <w:basedOn w:val="Normal"/>
    <w:link w:val="TablenotesChar"/>
    <w:autoRedefine/>
    <w:qFormat/>
    <w:rsid w:val="00FE495C"/>
    <w:pPr>
      <w:widowControl w:val="0"/>
      <w:tabs>
        <w:tab w:val="clear" w:pos="720"/>
        <w:tab w:val="clear" w:pos="1140"/>
      </w:tabs>
      <w:spacing w:before="60"/>
      <w:contextualSpacing/>
    </w:pPr>
    <w:rPr>
      <w:rFonts w:ascii="Arial Narrow" w:hAnsi="Arial Narrow" w:cs="Arial"/>
      <w:snapToGrid w:val="0"/>
      <w:sz w:val="18"/>
      <w:szCs w:val="20"/>
      <w:lang w:eastAsia="en-US"/>
    </w:rPr>
  </w:style>
  <w:style w:type="character" w:customStyle="1" w:styleId="TablenotesChar">
    <w:name w:val="Tablenotes Char"/>
    <w:basedOn w:val="DefaultParagraphFont"/>
    <w:link w:val="Tablenotes"/>
    <w:rsid w:val="00FE495C"/>
    <w:rPr>
      <w:rFonts w:ascii="Arial Narrow" w:eastAsia="Times New Roman" w:hAnsi="Arial Narrow" w:cs="Arial"/>
      <w:snapToGrid w:val="0"/>
      <w:sz w:val="18"/>
      <w:szCs w:val="20"/>
      <w:lang w:eastAsia="en-US"/>
    </w:rPr>
  </w:style>
  <w:style w:type="table" w:customStyle="1" w:styleId="TableGrid2">
    <w:name w:val="Table Grid2"/>
    <w:basedOn w:val="TableNormal"/>
    <w:next w:val="TableGrid"/>
    <w:rsid w:val="0008746D"/>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numbering" w:customStyle="1" w:styleId="Heading1a">
    <w:name w:val="Heading 1a"/>
    <w:basedOn w:val="NoList"/>
    <w:uiPriority w:val="99"/>
    <w:rsid w:val="0008746D"/>
    <w:pPr>
      <w:numPr>
        <w:numId w:val="12"/>
      </w:numPr>
    </w:pPr>
  </w:style>
  <w:style w:type="paragraph" w:customStyle="1" w:styleId="Tabletext-left">
    <w:name w:val="Table text - left"/>
    <w:basedOn w:val="Normal"/>
    <w:link w:val="Tabletext-leftChar"/>
    <w:rsid w:val="0008746D"/>
    <w:pPr>
      <w:keepNext/>
      <w:tabs>
        <w:tab w:val="clear" w:pos="720"/>
        <w:tab w:val="clear" w:pos="1140"/>
        <w:tab w:val="left" w:pos="2835"/>
      </w:tabs>
      <w:spacing w:before="120" w:after="120" w:line="312" w:lineRule="auto"/>
      <w:jc w:val="both"/>
    </w:pPr>
    <w:rPr>
      <w:rFonts w:asciiTheme="minorHAnsi" w:hAnsiTheme="minorHAnsi" w:cs="Arial"/>
      <w:sz w:val="20"/>
      <w:szCs w:val="20"/>
      <w:lang w:eastAsia="en-US"/>
    </w:rPr>
  </w:style>
  <w:style w:type="character" w:customStyle="1" w:styleId="Tabletext-leftChar">
    <w:name w:val="Table text - left Char"/>
    <w:basedOn w:val="DefaultParagraphFont"/>
    <w:link w:val="Tabletext-left"/>
    <w:rsid w:val="0008746D"/>
    <w:rPr>
      <w:rFonts w:asciiTheme="minorHAnsi" w:eastAsia="Times New Roman" w:hAnsiTheme="minorHAnsi" w:cs="Arial"/>
      <w:sz w:val="20"/>
      <w:szCs w:val="20"/>
      <w:lang w:eastAsia="en-US"/>
    </w:rPr>
  </w:style>
  <w:style w:type="table" w:customStyle="1" w:styleId="TableGrid9">
    <w:name w:val="Table Grid9"/>
    <w:basedOn w:val="TableNormal"/>
    <w:next w:val="TableGrid"/>
    <w:uiPriority w:val="39"/>
    <w:rsid w:val="0008746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8746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08746D"/>
    <w:pPr>
      <w:keepNext/>
      <w:tabs>
        <w:tab w:val="clear" w:pos="720"/>
        <w:tab w:val="clear" w:pos="1140"/>
      </w:tabs>
      <w:spacing w:before="40" w:after="40"/>
    </w:pPr>
    <w:rPr>
      <w:rFonts w:ascii="Arial Narrow" w:hAnsi="Arial Narrow" w:cs="Tahoma"/>
      <w:sz w:val="20"/>
      <w:szCs w:val="22"/>
      <w:lang w:eastAsia="en-US"/>
    </w:rPr>
  </w:style>
  <w:style w:type="character" w:customStyle="1" w:styleId="TableTextChar0">
    <w:name w:val="Table Text Char"/>
    <w:link w:val="TableText0"/>
    <w:rsid w:val="0008746D"/>
    <w:rPr>
      <w:rFonts w:ascii="Arial Narrow" w:eastAsia="Times New Roman" w:hAnsi="Arial Narrow" w:cs="Tahoma"/>
      <w:sz w:val="20"/>
      <w:lang w:eastAsia="en-US"/>
    </w:rPr>
  </w:style>
  <w:style w:type="character" w:styleId="PageNumber">
    <w:name w:val="page number"/>
    <w:rsid w:val="0008746D"/>
    <w:rPr>
      <w:rFonts w:ascii="Tahoma" w:hAnsi="Tahoma"/>
      <w:b/>
      <w:sz w:val="18"/>
    </w:rPr>
  </w:style>
  <w:style w:type="paragraph" w:customStyle="1" w:styleId="TableText1">
    <w:name w:val="TableText"/>
    <w:basedOn w:val="Normal"/>
    <w:rsid w:val="0008746D"/>
    <w:pPr>
      <w:keepNext/>
      <w:tabs>
        <w:tab w:val="clear" w:pos="720"/>
        <w:tab w:val="clear" w:pos="1140"/>
      </w:tabs>
      <w:spacing w:before="60" w:after="60"/>
    </w:pPr>
    <w:rPr>
      <w:color w:val="000000"/>
      <w:sz w:val="21"/>
      <w:szCs w:val="21"/>
    </w:rPr>
  </w:style>
  <w:style w:type="paragraph" w:customStyle="1" w:styleId="BulletBeforeDash">
    <w:name w:val="BulletBeforeDash"/>
    <w:basedOn w:val="Normal"/>
    <w:rsid w:val="0008746D"/>
    <w:pPr>
      <w:numPr>
        <w:numId w:val="13"/>
      </w:numPr>
      <w:tabs>
        <w:tab w:val="clear" w:pos="720"/>
        <w:tab w:val="clear" w:pos="1140"/>
      </w:tabs>
      <w:spacing w:after="0"/>
      <w:ind w:left="720"/>
    </w:pPr>
    <w:rPr>
      <w:color w:val="000000"/>
      <w:szCs w:val="20"/>
    </w:rPr>
  </w:style>
  <w:style w:type="paragraph" w:customStyle="1" w:styleId="Bullet">
    <w:name w:val="Bullet"/>
    <w:basedOn w:val="BulletBeforeDash"/>
    <w:qFormat/>
    <w:rsid w:val="0008746D"/>
    <w:pPr>
      <w:spacing w:after="120"/>
    </w:pPr>
  </w:style>
  <w:style w:type="paragraph" w:customStyle="1" w:styleId="BulletLast">
    <w:name w:val="BulletLast"/>
    <w:basedOn w:val="Bullet"/>
    <w:qFormat/>
    <w:rsid w:val="0008746D"/>
    <w:pPr>
      <w:spacing w:after="240"/>
    </w:pPr>
  </w:style>
  <w:style w:type="paragraph" w:customStyle="1" w:styleId="NormalBeforeBullet">
    <w:name w:val="NormalBeforeBullet"/>
    <w:basedOn w:val="Normal"/>
    <w:qFormat/>
    <w:rsid w:val="0008746D"/>
    <w:pPr>
      <w:keepNext/>
      <w:tabs>
        <w:tab w:val="clear" w:pos="720"/>
        <w:tab w:val="clear" w:pos="1140"/>
      </w:tabs>
      <w:spacing w:after="120"/>
    </w:pPr>
    <w:rPr>
      <w:color w:val="000000"/>
      <w:szCs w:val="20"/>
    </w:rPr>
  </w:style>
  <w:style w:type="paragraph" w:customStyle="1" w:styleId="BoxName">
    <w:name w:val="BoxName"/>
    <w:basedOn w:val="Normal"/>
    <w:rsid w:val="00FE2D99"/>
    <w:pPr>
      <w:keepNext/>
      <w:pBdr>
        <w:top w:val="single" w:sz="4" w:space="4" w:color="000000"/>
        <w:left w:val="single" w:sz="4" w:space="4" w:color="000000"/>
        <w:bottom w:val="single" w:sz="4" w:space="4" w:color="000000"/>
        <w:right w:val="single" w:sz="4" w:space="4" w:color="000000"/>
      </w:pBdr>
      <w:tabs>
        <w:tab w:val="clear" w:pos="720"/>
        <w:tab w:val="clear" w:pos="1140"/>
      </w:tabs>
      <w:spacing w:before="180" w:after="120"/>
      <w:ind w:left="1080" w:hanging="1080"/>
    </w:pPr>
    <w:rPr>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9.health.gov.au/mbs/fullDisplay.cfm?type=item&amp;q=73298&amp;qt=item&amp;criteria=73298"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sac.gov.au/internet/msac/publishing.nsf/Content/1449-Public"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health.gov.au/mbs/fullDisplay.cfm?type=item&amp;q=73358&amp;qt=item" TargetMode="External"/><Relationship Id="rId5" Type="http://schemas.openxmlformats.org/officeDocument/2006/relationships/webSettings" Target="webSettings.xml"/><Relationship Id="rId15" Type="http://schemas.openxmlformats.org/officeDocument/2006/relationships/hyperlink" Target="http://www9.health.gov.au/mbs/fullDisplay.cfm?type=item&amp;q=73349" TargetMode="External"/><Relationship Id="rId23" Type="http://schemas.openxmlformats.org/officeDocument/2006/relationships/theme" Target="theme/theme1.xml"/><Relationship Id="rId10" Type="http://schemas.openxmlformats.org/officeDocument/2006/relationships/hyperlink" Target="http://www9.health.gov.au/mbs/fullDisplay.cfm?type=item&amp;q=73349"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9.health.gov.au/mbs/fullDisplay.cfm?type=item&amp;q=73299&amp;qt=Item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idgen.org.au/" TargetMode="External"/><Relationship Id="rId2" Type="http://schemas.openxmlformats.org/officeDocument/2006/relationships/hyperlink" Target="https://www.nata.com.au/accredited-facility" TargetMode="External"/><Relationship Id="rId1" Type="http://schemas.openxmlformats.org/officeDocument/2006/relationships/hyperlink" Target="http://www.msac.gov.au/internet/msac/publishing.nsf/Content/1449-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DC93-65AF-452D-AD81-7738A91C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13344</Words>
  <Characters>77659</Characters>
  <Application>Microsoft Office Word</Application>
  <DocSecurity>0</DocSecurity>
  <Lines>647</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2021-05-18T04:11:00Z</dcterms:created>
  <dcterms:modified xsi:type="dcterms:W3CDTF">2021-10-01T01:23:00Z</dcterms:modified>
</cp:coreProperties>
</file>