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AF5E" w14:textId="5BBFA274" w:rsidR="00A86592" w:rsidRDefault="0044715D" w:rsidP="00F4622B">
      <w:pPr>
        <w:pStyle w:val="Heading10"/>
        <w:jc w:val="center"/>
      </w:pPr>
      <w:bookmarkStart w:id="0" w:name="_Hlk22193688"/>
      <w:bookmarkStart w:id="1" w:name="_Toc403747457"/>
      <w:bookmarkStart w:id="2" w:name="_Toc412039297"/>
      <w:bookmarkStart w:id="3" w:name="_GoBack"/>
      <w:bookmarkEnd w:id="0"/>
      <w:bookmarkEnd w:id="3"/>
      <w:r w:rsidRPr="008D5584">
        <w:rPr>
          <w:b w:val="0"/>
          <w:noProof/>
          <w:lang w:val="en-AU"/>
        </w:rPr>
        <w:drawing>
          <wp:inline distT="0" distB="0" distL="0" distR="0" wp14:anchorId="294F1B9D" wp14:editId="7FC5E52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1C820FE" w14:textId="46A7C716" w:rsidR="0074700A" w:rsidRDefault="0074700A" w:rsidP="00F4622B">
      <w:pPr>
        <w:pStyle w:val="Heading10"/>
        <w:jc w:val="center"/>
      </w:pPr>
    </w:p>
    <w:p w14:paraId="2D8D690A" w14:textId="77777777" w:rsidR="0074700A" w:rsidRPr="008B61C6" w:rsidRDefault="0074700A" w:rsidP="00F4622B">
      <w:pPr>
        <w:pStyle w:val="Heading10"/>
        <w:jc w:val="center"/>
      </w:pPr>
    </w:p>
    <w:tbl>
      <w:tblPr>
        <w:tblStyle w:val="TableGrid2"/>
        <w:tblpPr w:leftFromText="180" w:rightFromText="180" w:vertAnchor="text" w:horzAnchor="margin" w:tblpY="4"/>
        <w:tblW w:w="0" w:type="auto"/>
        <w:tblLook w:val="04A0" w:firstRow="1" w:lastRow="0" w:firstColumn="1" w:lastColumn="0" w:noHBand="0" w:noVBand="1"/>
        <w:tblCaption w:val="Text box"/>
        <w:tblDescription w:val="Text box"/>
      </w:tblPr>
      <w:tblGrid>
        <w:gridCol w:w="9016"/>
      </w:tblGrid>
      <w:tr w:rsidR="0074700A" w:rsidRPr="008B61C6" w14:paraId="43A8BC4E" w14:textId="77777777" w:rsidTr="0074700A">
        <w:trPr>
          <w:tblHeader/>
        </w:trPr>
        <w:tc>
          <w:tcPr>
            <w:tcW w:w="9016" w:type="dxa"/>
            <w:tcBorders>
              <w:top w:val="single" w:sz="4" w:space="0" w:color="auto"/>
              <w:left w:val="single" w:sz="4" w:space="0" w:color="auto"/>
              <w:bottom w:val="single" w:sz="4" w:space="0" w:color="auto"/>
              <w:right w:val="single" w:sz="4" w:space="0" w:color="auto"/>
            </w:tcBorders>
            <w:hideMark/>
          </w:tcPr>
          <w:p w14:paraId="7FD258E1" w14:textId="77777777" w:rsidR="0074700A" w:rsidRPr="008B61C6" w:rsidRDefault="0074700A" w:rsidP="0074700A">
            <w:pPr>
              <w:jc w:val="center"/>
              <w:rPr>
                <w:rFonts w:cs="Calibri"/>
                <w:b/>
                <w:bCs/>
                <w:color w:val="000000"/>
                <w:sz w:val="72"/>
                <w:szCs w:val="72"/>
                <w:u w:color="000000"/>
                <w:lang w:val="en-US" w:eastAsia="en-AU"/>
              </w:rPr>
            </w:pPr>
            <w:r>
              <w:rPr>
                <w:rFonts w:cs="Calibri"/>
                <w:b/>
                <w:bCs/>
                <w:color w:val="000000"/>
                <w:sz w:val="72"/>
                <w:szCs w:val="72"/>
                <w:u w:color="000000"/>
                <w:lang w:eastAsia="en-AU"/>
              </w:rPr>
              <w:t>RATIFIED PICO</w:t>
            </w:r>
          </w:p>
        </w:tc>
      </w:tr>
    </w:tbl>
    <w:p w14:paraId="20BBAB78" w14:textId="77777777" w:rsidR="008B61C6" w:rsidRPr="008B61C6" w:rsidRDefault="008B61C6" w:rsidP="008B61C6">
      <w:pPr>
        <w:spacing w:line="240" w:lineRule="auto"/>
        <w:jc w:val="center"/>
        <w:rPr>
          <w:rFonts w:cs="Calibri"/>
          <w:b/>
          <w:bCs/>
          <w:color w:val="000000"/>
          <w:sz w:val="24"/>
          <w:szCs w:val="24"/>
          <w:u w:color="000000"/>
          <w:lang w:val="en-US" w:eastAsia="en-AU"/>
        </w:rPr>
      </w:pPr>
    </w:p>
    <w:p w14:paraId="3C63277C" w14:textId="77777777" w:rsidR="00A86592" w:rsidRDefault="00A86592" w:rsidP="00A601AC">
      <w:pPr>
        <w:pStyle w:val="Heading10"/>
        <w:jc w:val="center"/>
        <w:rPr>
          <w:sz w:val="48"/>
          <w:szCs w:val="48"/>
        </w:rPr>
      </w:pPr>
    </w:p>
    <w:p w14:paraId="762DFEF4" w14:textId="45505F87" w:rsidR="0044715D" w:rsidRDefault="005F4D2F" w:rsidP="00A601AC">
      <w:pPr>
        <w:pStyle w:val="Heading10"/>
        <w:jc w:val="center"/>
        <w:rPr>
          <w:sz w:val="48"/>
          <w:szCs w:val="48"/>
        </w:rPr>
      </w:pPr>
      <w:r>
        <w:rPr>
          <w:sz w:val="48"/>
          <w:szCs w:val="48"/>
        </w:rPr>
        <w:t xml:space="preserve">Application </w:t>
      </w:r>
      <w:r w:rsidR="008F467A">
        <w:rPr>
          <w:sz w:val="48"/>
          <w:szCs w:val="48"/>
        </w:rPr>
        <w:t>1602:</w:t>
      </w:r>
    </w:p>
    <w:p w14:paraId="15BB6A77" w14:textId="7355DDA4" w:rsidR="0044715D" w:rsidRDefault="008F467A" w:rsidP="001E197D">
      <w:pPr>
        <w:pStyle w:val="Heading10"/>
        <w:jc w:val="center"/>
        <w:rPr>
          <w:color w:val="548DD4"/>
          <w:sz w:val="48"/>
          <w:szCs w:val="48"/>
        </w:rPr>
      </w:pPr>
      <w:r>
        <w:rPr>
          <w:color w:val="548DD4"/>
          <w:sz w:val="48"/>
          <w:szCs w:val="48"/>
        </w:rPr>
        <w:t xml:space="preserve">Testing for neurotrophic tyrosine receptor </w:t>
      </w:r>
      <w:r w:rsidR="00C55B95">
        <w:rPr>
          <w:color w:val="548DD4"/>
          <w:sz w:val="48"/>
          <w:szCs w:val="48"/>
        </w:rPr>
        <w:t xml:space="preserve">kinase </w:t>
      </w:r>
      <w:r w:rsidR="00E43885" w:rsidRPr="00E43885">
        <w:rPr>
          <w:i/>
          <w:color w:val="548DD4"/>
          <w:sz w:val="48"/>
          <w:szCs w:val="48"/>
        </w:rPr>
        <w:t>(NTRK)</w:t>
      </w:r>
      <w:r w:rsidR="00E43885">
        <w:rPr>
          <w:color w:val="548DD4"/>
          <w:sz w:val="48"/>
          <w:szCs w:val="48"/>
        </w:rPr>
        <w:t xml:space="preserve"> </w:t>
      </w:r>
      <w:r w:rsidR="00C55B95">
        <w:rPr>
          <w:color w:val="548DD4"/>
          <w:sz w:val="48"/>
          <w:szCs w:val="48"/>
        </w:rPr>
        <w:t>gene fusion in patients with locall</w:t>
      </w:r>
      <w:r w:rsidR="00701542">
        <w:rPr>
          <w:color w:val="548DD4"/>
          <w:sz w:val="48"/>
          <w:szCs w:val="48"/>
        </w:rPr>
        <w:t xml:space="preserve">y advanced or metastatic solid </w:t>
      </w:r>
      <w:r w:rsidR="00701542" w:rsidRPr="00B14A6D">
        <w:rPr>
          <w:color w:val="548DD4"/>
          <w:sz w:val="48"/>
          <w:szCs w:val="48"/>
          <w:lang w:val="en-AU"/>
        </w:rPr>
        <w:t>tumours</w:t>
      </w:r>
      <w:r w:rsidR="00594CDF">
        <w:rPr>
          <w:color w:val="548DD4"/>
          <w:sz w:val="48"/>
          <w:szCs w:val="48"/>
          <w:lang w:val="en-AU"/>
        </w:rPr>
        <w:t>,</w:t>
      </w:r>
      <w:r w:rsidR="00701542">
        <w:rPr>
          <w:color w:val="548DD4"/>
          <w:sz w:val="48"/>
          <w:szCs w:val="48"/>
        </w:rPr>
        <w:t xml:space="preserve"> to determine eligibility for </w:t>
      </w:r>
      <w:r w:rsidR="00E36AB9">
        <w:rPr>
          <w:color w:val="548DD4"/>
          <w:sz w:val="48"/>
          <w:szCs w:val="48"/>
        </w:rPr>
        <w:t>tropomyosin receptor kinase (</w:t>
      </w:r>
      <w:r w:rsidR="00757C1C">
        <w:rPr>
          <w:color w:val="548DD4"/>
          <w:sz w:val="48"/>
          <w:szCs w:val="48"/>
        </w:rPr>
        <w:t>TRK</w:t>
      </w:r>
      <w:r w:rsidR="00E36AB9">
        <w:rPr>
          <w:color w:val="548DD4"/>
          <w:sz w:val="48"/>
          <w:szCs w:val="48"/>
        </w:rPr>
        <w:t>)</w:t>
      </w:r>
      <w:r w:rsidR="00757C1C">
        <w:rPr>
          <w:color w:val="548DD4"/>
          <w:sz w:val="48"/>
          <w:szCs w:val="48"/>
        </w:rPr>
        <w:t xml:space="preserve"> inhibitors</w:t>
      </w:r>
    </w:p>
    <w:p w14:paraId="5DC3B801" w14:textId="4994AAEB" w:rsidR="001E197D" w:rsidRPr="008B61C6" w:rsidRDefault="001E197D" w:rsidP="001E197D">
      <w:pPr>
        <w:pStyle w:val="Heading10"/>
        <w:jc w:val="center"/>
      </w:pPr>
    </w:p>
    <w:p w14:paraId="5E49E1A8" w14:textId="77777777" w:rsidR="00056B55" w:rsidRDefault="00056B55">
      <w:pPr>
        <w:rPr>
          <w:rFonts w:eastAsia="MS Gothic"/>
          <w:b/>
          <w:bCs/>
          <w:i/>
          <w:color w:val="0066FF"/>
          <w:szCs w:val="26"/>
        </w:rPr>
      </w:pPr>
      <w:r>
        <w:rPr>
          <w:color w:val="0066FF"/>
        </w:rPr>
        <w:br w:type="page"/>
      </w:r>
    </w:p>
    <w:p w14:paraId="19DE5D2E" w14:textId="349BF66F" w:rsidR="0044715D" w:rsidRPr="00753B2A" w:rsidRDefault="0044715D" w:rsidP="00704CD9">
      <w:pPr>
        <w:pStyle w:val="Heading2"/>
        <w:spacing w:line="240" w:lineRule="auto"/>
        <w:jc w:val="both"/>
        <w:rPr>
          <w:b w:val="0"/>
          <w:i w:val="0"/>
          <w:color w:val="0066FF"/>
          <w:u w:val="none"/>
        </w:rPr>
      </w:pPr>
      <w:r w:rsidRPr="00753B2A">
        <w:rPr>
          <w:color w:val="0066FF"/>
          <w:u w:val="none"/>
        </w:rPr>
        <w:lastRenderedPageBreak/>
        <w:t>Summary of PICO</w:t>
      </w:r>
      <w:r w:rsidR="00A84A56" w:rsidRPr="00753B2A">
        <w:rPr>
          <w:color w:val="0066FF"/>
          <w:u w:val="none"/>
        </w:rPr>
        <w:t>/PPICO</w:t>
      </w:r>
      <w:r w:rsidRPr="00753B2A">
        <w:rPr>
          <w:color w:val="0066FF"/>
          <w:u w:val="none"/>
        </w:rPr>
        <w:t xml:space="preserve"> criteria</w:t>
      </w:r>
      <w:bookmarkEnd w:id="1"/>
      <w:bookmarkEnd w:id="2"/>
      <w:r w:rsidR="00F12E59" w:rsidRPr="00753B2A">
        <w:rPr>
          <w:color w:val="0066FF"/>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053AFD81"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02A97F63" w14:textId="77777777" w:rsidR="0044715D" w:rsidRPr="00084393" w:rsidRDefault="00A84A56" w:rsidP="00F12E59">
            <w:pPr>
              <w:spacing w:before="20" w:after="20" w:line="240" w:lineRule="auto"/>
              <w:rPr>
                <w:b/>
              </w:rPr>
            </w:pPr>
            <w:bookmarkStart w:id="4" w:name="_Hlk23751779"/>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B88ABFE" w14:textId="77777777" w:rsidR="0044715D" w:rsidRPr="00084393" w:rsidRDefault="0044715D" w:rsidP="00411C5E">
            <w:pPr>
              <w:spacing w:before="20" w:after="20" w:line="240" w:lineRule="auto"/>
              <w:jc w:val="both"/>
              <w:rPr>
                <w:b/>
              </w:rPr>
            </w:pPr>
            <w:r>
              <w:rPr>
                <w:b/>
              </w:rPr>
              <w:t>Description</w:t>
            </w:r>
          </w:p>
        </w:tc>
      </w:tr>
      <w:tr w:rsidR="0044715D" w:rsidRPr="00084393" w14:paraId="2D967E2C" w14:textId="77777777" w:rsidTr="00A84A56">
        <w:tc>
          <w:tcPr>
            <w:tcW w:w="1005" w:type="pct"/>
            <w:tcBorders>
              <w:top w:val="single" w:sz="8" w:space="0" w:color="auto"/>
              <w:right w:val="single" w:sz="4" w:space="0" w:color="auto"/>
            </w:tcBorders>
          </w:tcPr>
          <w:p w14:paraId="431BFA41"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3376795B" w14:textId="5DA9491D" w:rsidR="00BB0A84" w:rsidRPr="00284332" w:rsidRDefault="00BB0A84" w:rsidP="00284332">
            <w:pPr>
              <w:spacing w:after="0"/>
              <w:rPr>
                <w:b/>
                <w:bCs/>
              </w:rPr>
            </w:pPr>
            <w:r w:rsidRPr="00582348">
              <w:rPr>
                <w:b/>
                <w:bCs/>
                <w:u w:val="single"/>
              </w:rPr>
              <w:t>Test population</w:t>
            </w:r>
            <w:r w:rsidR="00622DB9">
              <w:rPr>
                <w:b/>
                <w:bCs/>
              </w:rPr>
              <w:t>:</w:t>
            </w:r>
          </w:p>
          <w:p w14:paraId="394E3BD1" w14:textId="4DF73EE1" w:rsidR="00BA5087" w:rsidRPr="00331101" w:rsidRDefault="004D4C31" w:rsidP="0051764F">
            <w:pPr>
              <w:pStyle w:val="ListParagraph"/>
              <w:numPr>
                <w:ilvl w:val="0"/>
                <w:numId w:val="10"/>
              </w:numPr>
              <w:spacing w:after="0"/>
              <w:ind w:left="336"/>
            </w:pPr>
            <w:r>
              <w:t>Paediatric and adult patients</w:t>
            </w:r>
            <w:r w:rsidR="00BA5087" w:rsidRPr="00331101">
              <w:t xml:space="preserve"> with locally advanced or metastatic </w:t>
            </w:r>
            <w:r w:rsidR="000B74C7" w:rsidRPr="00331101">
              <w:t xml:space="preserve">solid tumours with </w:t>
            </w:r>
            <w:r w:rsidR="000B74C7" w:rsidRPr="00582348">
              <w:rPr>
                <w:b/>
              </w:rPr>
              <w:t>high</w:t>
            </w:r>
            <w:r w:rsidR="002433FD" w:rsidRPr="00582348">
              <w:rPr>
                <w:b/>
              </w:rPr>
              <w:t xml:space="preserve"> </w:t>
            </w:r>
            <w:r w:rsidR="000B74C7" w:rsidRPr="00582348">
              <w:rPr>
                <w:b/>
              </w:rPr>
              <w:t>frequency</w:t>
            </w:r>
            <w:r w:rsidR="000B74C7" w:rsidRPr="00331101">
              <w:t xml:space="preserve"> of </w:t>
            </w:r>
            <w:r w:rsidR="008A1F99">
              <w:t>n</w:t>
            </w:r>
            <w:r w:rsidR="008A1F99" w:rsidRPr="008A1F99">
              <w:t>eurot</w:t>
            </w:r>
            <w:r w:rsidR="00C03C56">
              <w:t>rophic tyrosine receptor kinase</w:t>
            </w:r>
            <w:r w:rsidR="00E43885">
              <w:t xml:space="preserve"> </w:t>
            </w:r>
            <w:r w:rsidR="00E43885" w:rsidRPr="00E43885">
              <w:rPr>
                <w:i/>
              </w:rPr>
              <w:t>(NTRK)</w:t>
            </w:r>
            <w:r w:rsidR="00C03C56">
              <w:t xml:space="preserve"> </w:t>
            </w:r>
            <w:r w:rsidR="000B74C7" w:rsidRPr="00331101">
              <w:t>fusions</w:t>
            </w:r>
            <w:r w:rsidR="00C67873" w:rsidRPr="00331101">
              <w:t>.</w:t>
            </w:r>
          </w:p>
          <w:p w14:paraId="6CFE30E1" w14:textId="13A343FA" w:rsidR="006D23F7" w:rsidRPr="00331101" w:rsidRDefault="006D23F7" w:rsidP="0051764F">
            <w:pPr>
              <w:pStyle w:val="ListParagraph"/>
              <w:numPr>
                <w:ilvl w:val="0"/>
                <w:numId w:val="10"/>
              </w:numPr>
              <w:ind w:left="336"/>
            </w:pPr>
            <w:r w:rsidRPr="00331101">
              <w:t xml:space="preserve">Paediatric patients with locally advanced or metastatic </w:t>
            </w:r>
            <w:r w:rsidR="00586287" w:rsidRPr="00331101">
              <w:t xml:space="preserve">solid tumours with </w:t>
            </w:r>
            <w:r w:rsidR="00586287" w:rsidRPr="00582348">
              <w:rPr>
                <w:b/>
              </w:rPr>
              <w:t>low frequency</w:t>
            </w:r>
            <w:r w:rsidR="00586287" w:rsidRPr="00331101">
              <w:t xml:space="preserve"> </w:t>
            </w:r>
            <w:r w:rsidR="00586287" w:rsidRPr="00E43885">
              <w:rPr>
                <w:i/>
              </w:rPr>
              <w:t>NTRK</w:t>
            </w:r>
            <w:r w:rsidR="00586287" w:rsidRPr="00331101">
              <w:t xml:space="preserve"> fusions</w:t>
            </w:r>
            <w:r w:rsidR="00EB6525">
              <w:t>.</w:t>
            </w:r>
          </w:p>
          <w:p w14:paraId="1510C55A" w14:textId="28F4627B" w:rsidR="00BB0A84" w:rsidRDefault="00E05021" w:rsidP="00BB0A84">
            <w:pPr>
              <w:pStyle w:val="ListParagraph"/>
              <w:numPr>
                <w:ilvl w:val="0"/>
                <w:numId w:val="10"/>
              </w:numPr>
              <w:spacing w:after="0"/>
              <w:ind w:left="336"/>
            </w:pPr>
            <w:r w:rsidRPr="00331101">
              <w:t xml:space="preserve">Adult patients with locally advanced or metastatic solid tumours with </w:t>
            </w:r>
            <w:r w:rsidRPr="00582348">
              <w:rPr>
                <w:b/>
              </w:rPr>
              <w:t>low frequency</w:t>
            </w:r>
            <w:r w:rsidRPr="00331101">
              <w:t xml:space="preserve"> </w:t>
            </w:r>
            <w:r w:rsidRPr="00E43885">
              <w:rPr>
                <w:i/>
              </w:rPr>
              <w:t>NTRK</w:t>
            </w:r>
            <w:r w:rsidRPr="00331101">
              <w:t xml:space="preserve"> fusions, who have </w:t>
            </w:r>
            <w:r w:rsidR="0099284E">
              <w:t>r</w:t>
            </w:r>
            <w:r w:rsidR="00CB4C54" w:rsidRPr="00DA47F2">
              <w:t>elapsed/refractory (R/R) to one or more prior treatments</w:t>
            </w:r>
            <w:r w:rsidR="00D86488">
              <w:t xml:space="preserve"> for </w:t>
            </w:r>
            <w:r w:rsidR="00D86488" w:rsidRPr="00E85015">
              <w:rPr>
                <w:i/>
              </w:rPr>
              <w:t>de novo</w:t>
            </w:r>
            <w:r w:rsidR="00D86488">
              <w:t xml:space="preserve"> locally advanced or metastatic disease and/or prior treatments for earlier disease in those who progress to locally advanced or metastatic disease</w:t>
            </w:r>
            <w:r w:rsidR="00CB4C54">
              <w:t>.</w:t>
            </w:r>
          </w:p>
          <w:p w14:paraId="302B19A3" w14:textId="4266CFE0" w:rsidR="00BB0A84" w:rsidRDefault="00661386" w:rsidP="00BB0A84">
            <w:pPr>
              <w:spacing w:after="0"/>
              <w:rPr>
                <w:b/>
                <w:bCs/>
              </w:rPr>
            </w:pPr>
            <w:r w:rsidRPr="00582348">
              <w:rPr>
                <w:b/>
                <w:bCs/>
                <w:u w:val="single"/>
              </w:rPr>
              <w:t>Drug population</w:t>
            </w:r>
            <w:r w:rsidR="00622DB9">
              <w:rPr>
                <w:b/>
                <w:bCs/>
              </w:rPr>
              <w:t>:</w:t>
            </w:r>
          </w:p>
          <w:p w14:paraId="235C78E4" w14:textId="2E82A399" w:rsidR="00661386" w:rsidRPr="00661386" w:rsidRDefault="00661386" w:rsidP="00BB0A84">
            <w:pPr>
              <w:spacing w:after="0"/>
            </w:pPr>
            <w:r>
              <w:t xml:space="preserve">Patients with metastatic or locally advanced solid tumours who test positive for </w:t>
            </w:r>
            <w:r w:rsidRPr="00E43885">
              <w:rPr>
                <w:i/>
              </w:rPr>
              <w:t>NTRK</w:t>
            </w:r>
            <w:r>
              <w:t xml:space="preserve"> gene fusion</w:t>
            </w:r>
            <w:r w:rsidR="00056ACD">
              <w:t>(s)</w:t>
            </w:r>
            <w:r>
              <w:t xml:space="preserve"> </w:t>
            </w:r>
            <w:r w:rsidR="00C50C58">
              <w:t xml:space="preserve">will become eligible for </w:t>
            </w:r>
            <w:r w:rsidR="00757C1C">
              <w:t xml:space="preserve">TRK inhibitor </w:t>
            </w:r>
            <w:r w:rsidR="00C50C58">
              <w:t>treatment</w:t>
            </w:r>
            <w:r w:rsidR="00622DB9">
              <w:t>.</w:t>
            </w:r>
          </w:p>
        </w:tc>
      </w:tr>
      <w:tr w:rsidR="00A84A56" w:rsidRPr="00084393" w14:paraId="5A7CA796" w14:textId="77777777" w:rsidTr="00A84A56">
        <w:tc>
          <w:tcPr>
            <w:tcW w:w="1005" w:type="pct"/>
            <w:tcBorders>
              <w:top w:val="single" w:sz="8" w:space="0" w:color="auto"/>
              <w:right w:val="single" w:sz="4" w:space="0" w:color="auto"/>
            </w:tcBorders>
          </w:tcPr>
          <w:p w14:paraId="0173326F" w14:textId="77777777" w:rsidR="00F12E59" w:rsidRDefault="00F12E59" w:rsidP="00F12E59">
            <w:pPr>
              <w:spacing w:before="20" w:after="20" w:line="240" w:lineRule="auto"/>
              <w:rPr>
                <w:rFonts w:cs="Arial"/>
              </w:rPr>
            </w:pPr>
            <w:r>
              <w:rPr>
                <w:rFonts w:cs="Arial"/>
              </w:rPr>
              <w:t>Prior tests</w:t>
            </w:r>
          </w:p>
          <w:p w14:paraId="3B6274A3" w14:textId="77777777"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14:paraId="0C5E0F92" w14:textId="2F1ED7D8" w:rsidR="000A0622" w:rsidRDefault="000A0622" w:rsidP="00331101">
            <w:r>
              <w:t xml:space="preserve">Histological evaluation of tumour tissue sample for </w:t>
            </w:r>
            <w:r w:rsidR="009478F9">
              <w:t xml:space="preserve">individuals </w:t>
            </w:r>
            <w:r>
              <w:t xml:space="preserve">with low and high frequency </w:t>
            </w:r>
            <w:r w:rsidRPr="00E43885">
              <w:rPr>
                <w:i/>
              </w:rPr>
              <w:t>NTRK</w:t>
            </w:r>
            <w:r>
              <w:t xml:space="preserve"> fusions.</w:t>
            </w:r>
          </w:p>
          <w:p w14:paraId="7D7C585D" w14:textId="3A1F2E3D" w:rsidR="00E94F76" w:rsidRDefault="004406A9" w:rsidP="004406A9">
            <w:pPr>
              <w:spacing w:after="0"/>
            </w:pPr>
            <w:r>
              <w:t>F</w:t>
            </w:r>
            <w:r w:rsidR="00E60387" w:rsidRPr="00331101">
              <w:t xml:space="preserve">or </w:t>
            </w:r>
            <w:r w:rsidR="006F351C" w:rsidRPr="00331101">
              <w:t xml:space="preserve">locally advanced or metastatic solid tumours with </w:t>
            </w:r>
            <w:r w:rsidR="006F351C" w:rsidRPr="00582348">
              <w:rPr>
                <w:b/>
              </w:rPr>
              <w:t>low</w:t>
            </w:r>
            <w:r w:rsidR="004A4AFC" w:rsidRPr="00582348">
              <w:rPr>
                <w:b/>
              </w:rPr>
              <w:t xml:space="preserve"> </w:t>
            </w:r>
            <w:r w:rsidR="006F351C" w:rsidRPr="00582348">
              <w:rPr>
                <w:b/>
              </w:rPr>
              <w:t>frequency</w:t>
            </w:r>
            <w:r w:rsidR="006F351C" w:rsidRPr="00331101">
              <w:t xml:space="preserve"> </w:t>
            </w:r>
            <w:r w:rsidR="00047DDE" w:rsidRPr="00E43885">
              <w:rPr>
                <w:i/>
              </w:rPr>
              <w:t>NTRK</w:t>
            </w:r>
            <w:r w:rsidR="00047DDE" w:rsidRPr="00331101">
              <w:t xml:space="preserve"> fusions</w:t>
            </w:r>
            <w:r>
              <w:t>, prior tests include</w:t>
            </w:r>
            <w:r w:rsidR="00331101" w:rsidRPr="00DA47F2">
              <w:t xml:space="preserve"> immunohistochemistry </w:t>
            </w:r>
            <w:r>
              <w:t>(IHC)</w:t>
            </w:r>
            <w:r w:rsidR="00E43885">
              <w:t>,</w:t>
            </w:r>
            <w:r>
              <w:t xml:space="preserve"> funded </w:t>
            </w:r>
            <w:r w:rsidR="00582348">
              <w:t>through</w:t>
            </w:r>
            <w:r w:rsidR="00331101" w:rsidRPr="00DA47F2">
              <w:t xml:space="preserve"> MBS items 72846, 72847, 72849 and 72850 to identify </w:t>
            </w:r>
            <w:r w:rsidR="00E43885" w:rsidRPr="00E43885">
              <w:rPr>
                <w:i/>
              </w:rPr>
              <w:t xml:space="preserve">NTRK </w:t>
            </w:r>
            <w:r w:rsidR="00331101" w:rsidRPr="00DA47F2">
              <w:t>fusions.</w:t>
            </w:r>
            <w:r w:rsidR="00E94F76">
              <w:t xml:space="preserve">  </w:t>
            </w:r>
          </w:p>
          <w:p w14:paraId="4B21606A" w14:textId="37E59470" w:rsidR="00B57E7E" w:rsidRPr="00331101" w:rsidRDefault="00AF4D83" w:rsidP="00E94F76">
            <w:pPr>
              <w:spacing w:before="120" w:after="0"/>
            </w:pPr>
            <w:r>
              <w:t>There are n</w:t>
            </w:r>
            <w:r w:rsidR="00B57E7E" w:rsidRPr="00331101">
              <w:t xml:space="preserve">o </w:t>
            </w:r>
            <w:r w:rsidR="009478F9">
              <w:t xml:space="preserve">additional </w:t>
            </w:r>
            <w:r w:rsidR="00B57E7E" w:rsidRPr="00331101">
              <w:t xml:space="preserve">prior tests </w:t>
            </w:r>
            <w:r w:rsidR="004D4C31">
              <w:t xml:space="preserve">for </w:t>
            </w:r>
            <w:r w:rsidR="006C6153" w:rsidRPr="00331101">
              <w:t xml:space="preserve">locally advanced or metastatic solid tumours with </w:t>
            </w:r>
            <w:r w:rsidR="006C6153" w:rsidRPr="00582348">
              <w:rPr>
                <w:b/>
              </w:rPr>
              <w:t>high</w:t>
            </w:r>
            <w:r w:rsidR="00284332" w:rsidRPr="00582348">
              <w:rPr>
                <w:b/>
              </w:rPr>
              <w:t xml:space="preserve"> </w:t>
            </w:r>
            <w:r w:rsidR="006C6153" w:rsidRPr="00582348">
              <w:rPr>
                <w:b/>
              </w:rPr>
              <w:t>frequency</w:t>
            </w:r>
            <w:r w:rsidR="00BB66CB" w:rsidRPr="00331101">
              <w:t xml:space="preserve"> </w:t>
            </w:r>
            <w:r w:rsidR="006C6153" w:rsidRPr="00E43885">
              <w:rPr>
                <w:i/>
              </w:rPr>
              <w:t xml:space="preserve">NTRK </w:t>
            </w:r>
            <w:r w:rsidR="006C6153" w:rsidRPr="00331101">
              <w:t>fusions.</w:t>
            </w:r>
          </w:p>
        </w:tc>
      </w:tr>
      <w:tr w:rsidR="00A84A56" w:rsidRPr="00084393" w14:paraId="6CD3CFD3" w14:textId="77777777" w:rsidTr="00A84A56">
        <w:tc>
          <w:tcPr>
            <w:tcW w:w="1005" w:type="pct"/>
            <w:tcBorders>
              <w:right w:val="single" w:sz="4" w:space="0" w:color="auto"/>
            </w:tcBorders>
          </w:tcPr>
          <w:p w14:paraId="7B36009A"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2FBDD599" w14:textId="707A40CD" w:rsidR="00BA7E10" w:rsidRDefault="00C50C58" w:rsidP="006B4731">
            <w:pPr>
              <w:spacing w:after="0"/>
            </w:pPr>
            <w:r>
              <w:rPr>
                <w:b/>
                <w:bCs/>
              </w:rPr>
              <w:t xml:space="preserve">Test: </w:t>
            </w:r>
            <w:r w:rsidR="00843DEC">
              <w:t xml:space="preserve">Fluorescence in-situ hybridisation (FISH) or </w:t>
            </w:r>
            <w:r w:rsidR="00D909B9">
              <w:t>ribonucleic acid (</w:t>
            </w:r>
            <w:r w:rsidR="00843DEC">
              <w:t>RNA</w:t>
            </w:r>
            <w:r w:rsidR="00D909B9">
              <w:t>)</w:t>
            </w:r>
            <w:r w:rsidR="00843DEC">
              <w:t>-based next-generation sequencing (RNA-NGS) test for</w:t>
            </w:r>
            <w:r w:rsidR="006B4731">
              <w:t xml:space="preserve"> the detection of the presence of </w:t>
            </w:r>
            <w:r w:rsidR="006B4731" w:rsidRPr="00E43885">
              <w:rPr>
                <w:i/>
              </w:rPr>
              <w:t>NTRK</w:t>
            </w:r>
            <w:r w:rsidR="006B4731">
              <w:t xml:space="preserve"> gene fusions in tumour tissue sample</w:t>
            </w:r>
            <w:r w:rsidR="008272FA">
              <w:t>.</w:t>
            </w:r>
          </w:p>
          <w:p w14:paraId="61C20F5A" w14:textId="15A0C8AD" w:rsidR="00843DEC" w:rsidRPr="00DD456A" w:rsidRDefault="00E43885" w:rsidP="006B4731">
            <w:pPr>
              <w:spacing w:after="0"/>
            </w:pPr>
            <w:r>
              <w:rPr>
                <w:b/>
                <w:bCs/>
              </w:rPr>
              <w:t xml:space="preserve">Drug: </w:t>
            </w:r>
            <w:r w:rsidR="008236AB">
              <w:t xml:space="preserve">TRK inhibitor </w:t>
            </w:r>
            <w:r w:rsidR="00BA7E10">
              <w:t>treatment for patients</w:t>
            </w:r>
            <w:r w:rsidR="00617E43">
              <w:t xml:space="preserve"> with metastatic or locally advanced solid tumours </w:t>
            </w:r>
            <w:r w:rsidR="008272FA">
              <w:t xml:space="preserve">with </w:t>
            </w:r>
            <w:r w:rsidR="00617E43" w:rsidRPr="00E43885">
              <w:rPr>
                <w:i/>
              </w:rPr>
              <w:t>NTRK</w:t>
            </w:r>
            <w:r w:rsidR="00617E43">
              <w:t xml:space="preserve"> gene fusion</w:t>
            </w:r>
            <w:r w:rsidR="009D0CB9">
              <w:t>s</w:t>
            </w:r>
            <w:r w:rsidR="008272FA">
              <w:t>.</w:t>
            </w:r>
          </w:p>
        </w:tc>
      </w:tr>
      <w:tr w:rsidR="00A84A56" w:rsidRPr="00084393" w14:paraId="08BE440E" w14:textId="77777777" w:rsidTr="00A84A56">
        <w:tc>
          <w:tcPr>
            <w:tcW w:w="1005" w:type="pct"/>
            <w:tcBorders>
              <w:right w:val="single" w:sz="4" w:space="0" w:color="auto"/>
            </w:tcBorders>
          </w:tcPr>
          <w:p w14:paraId="14D8D395"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133978FF" w14:textId="1218152B" w:rsidR="001C78C0" w:rsidRDefault="001F182A" w:rsidP="006C6153">
            <w:pPr>
              <w:spacing w:after="0"/>
            </w:pPr>
            <w:r>
              <w:rPr>
                <w:b/>
                <w:bCs/>
              </w:rPr>
              <w:t xml:space="preserve">Test comparator: </w:t>
            </w:r>
            <w:r>
              <w:t xml:space="preserve">No </w:t>
            </w:r>
            <w:r w:rsidR="001C78C0">
              <w:t xml:space="preserve">genetic testing for </w:t>
            </w:r>
            <w:r w:rsidR="001C78C0" w:rsidRPr="00E43885">
              <w:rPr>
                <w:i/>
              </w:rPr>
              <w:t>NTRK</w:t>
            </w:r>
            <w:r w:rsidR="001C78C0">
              <w:t xml:space="preserve"> gene fusions.</w:t>
            </w:r>
          </w:p>
          <w:p w14:paraId="5D39AD68" w14:textId="015667B1" w:rsidR="00A84A56" w:rsidRPr="00DD456A" w:rsidRDefault="001C78C0" w:rsidP="006C6153">
            <w:pPr>
              <w:spacing w:after="0"/>
            </w:pPr>
            <w:r>
              <w:rPr>
                <w:b/>
                <w:bCs/>
              </w:rPr>
              <w:t>Drug comparator:</w:t>
            </w:r>
            <w:r w:rsidR="00175FA5">
              <w:rPr>
                <w:b/>
                <w:bCs/>
              </w:rPr>
              <w:t xml:space="preserve"> </w:t>
            </w:r>
            <w:r w:rsidR="00175FA5">
              <w:t>Untargeted chemotherapy and/or immunotherapies</w:t>
            </w:r>
            <w:r w:rsidR="006C4A07">
              <w:t>,</w:t>
            </w:r>
            <w:r w:rsidR="00175FA5">
              <w:t xml:space="preserve"> </w:t>
            </w:r>
            <w:r w:rsidR="00311141">
              <w:t>based on tumour histology</w:t>
            </w:r>
            <w:r w:rsidR="008272FA">
              <w:t>.</w:t>
            </w:r>
          </w:p>
        </w:tc>
      </w:tr>
      <w:tr w:rsidR="003905FD" w:rsidRPr="00084393" w14:paraId="2D20D6C1" w14:textId="77777777" w:rsidTr="00A84A56">
        <w:tc>
          <w:tcPr>
            <w:tcW w:w="1005" w:type="pct"/>
            <w:tcBorders>
              <w:right w:val="single" w:sz="4" w:space="0" w:color="auto"/>
            </w:tcBorders>
          </w:tcPr>
          <w:p w14:paraId="06457554"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5B2A1EC7" w14:textId="3DA91D80" w:rsidR="00311141" w:rsidRPr="00284332" w:rsidRDefault="00311141" w:rsidP="00E460D7">
            <w:pPr>
              <w:spacing w:after="0"/>
              <w:rPr>
                <w:b/>
                <w:bCs/>
                <w:u w:val="single"/>
              </w:rPr>
            </w:pPr>
            <w:r>
              <w:rPr>
                <w:b/>
                <w:bCs/>
                <w:u w:val="single"/>
              </w:rPr>
              <w:t>Test outcomes:</w:t>
            </w:r>
          </w:p>
          <w:p w14:paraId="0AC878E9" w14:textId="2A88BF92" w:rsidR="00A84A56" w:rsidRPr="00CB48BD" w:rsidRDefault="00CE5A43" w:rsidP="00E460D7">
            <w:pPr>
              <w:spacing w:after="0"/>
              <w:rPr>
                <w:b/>
                <w:i/>
              </w:rPr>
            </w:pPr>
            <w:r w:rsidRPr="00CB48BD">
              <w:rPr>
                <w:b/>
                <w:i/>
              </w:rPr>
              <w:t>Safety</w:t>
            </w:r>
          </w:p>
          <w:p w14:paraId="0B07EDA7" w14:textId="587D0779" w:rsidR="00B21C3F" w:rsidRPr="001D5CEF" w:rsidRDefault="001D5CEF" w:rsidP="00E460D7">
            <w:pPr>
              <w:pStyle w:val="ListParagraph"/>
              <w:numPr>
                <w:ilvl w:val="0"/>
                <w:numId w:val="11"/>
              </w:numPr>
              <w:spacing w:after="0"/>
              <w:ind w:left="336"/>
              <w:rPr>
                <w:u w:val="single"/>
              </w:rPr>
            </w:pPr>
            <w:r>
              <w:t xml:space="preserve">Adverse events from obtaining a </w:t>
            </w:r>
            <w:r w:rsidR="00C639A3">
              <w:t xml:space="preserve">tumour tissue </w:t>
            </w:r>
            <w:r>
              <w:t>sample for testing</w:t>
            </w:r>
          </w:p>
          <w:p w14:paraId="72EB1A40" w14:textId="652D3810" w:rsidR="001D5CEF" w:rsidRPr="00253F4E" w:rsidRDefault="001D5CEF" w:rsidP="00E460D7">
            <w:pPr>
              <w:pStyle w:val="ListParagraph"/>
              <w:numPr>
                <w:ilvl w:val="0"/>
                <w:numId w:val="11"/>
              </w:numPr>
              <w:spacing w:after="0"/>
              <w:ind w:left="336"/>
              <w:rPr>
                <w:u w:val="single"/>
              </w:rPr>
            </w:pPr>
            <w:r>
              <w:t>Psychological effects of false positives or false negatives</w:t>
            </w:r>
          </w:p>
          <w:p w14:paraId="71DDAACB" w14:textId="53FC346D" w:rsidR="000C4279" w:rsidRPr="000C4279" w:rsidRDefault="000C4279" w:rsidP="00E460D7">
            <w:pPr>
              <w:pStyle w:val="ListParagraph"/>
              <w:numPr>
                <w:ilvl w:val="0"/>
                <w:numId w:val="11"/>
              </w:numPr>
              <w:spacing w:after="0"/>
              <w:ind w:left="336"/>
              <w:rPr>
                <w:u w:val="single"/>
              </w:rPr>
            </w:pPr>
            <w:r>
              <w:t>Adverse events from false positives or false negatives</w:t>
            </w:r>
          </w:p>
          <w:p w14:paraId="65EF1764" w14:textId="3DC0BF47" w:rsidR="004571AD" w:rsidRPr="00CB48BD" w:rsidRDefault="004571AD" w:rsidP="00E460D7">
            <w:pPr>
              <w:spacing w:after="0"/>
              <w:rPr>
                <w:b/>
                <w:i/>
              </w:rPr>
            </w:pPr>
            <w:r w:rsidRPr="00CB48BD">
              <w:rPr>
                <w:b/>
                <w:i/>
              </w:rPr>
              <w:t>Effectiveness</w:t>
            </w:r>
            <w:r w:rsidR="009517D0" w:rsidRPr="00CB48BD">
              <w:rPr>
                <w:b/>
                <w:i/>
              </w:rPr>
              <w:t xml:space="preserve"> </w:t>
            </w:r>
          </w:p>
          <w:p w14:paraId="661F8B38" w14:textId="4F3E8608" w:rsidR="004571AD" w:rsidRPr="00892A8C" w:rsidRDefault="004571AD" w:rsidP="00E460D7">
            <w:pPr>
              <w:pStyle w:val="ListParagraph"/>
              <w:numPr>
                <w:ilvl w:val="0"/>
                <w:numId w:val="12"/>
              </w:numPr>
              <w:spacing w:after="0"/>
              <w:ind w:left="336"/>
              <w:rPr>
                <w:u w:val="single"/>
              </w:rPr>
            </w:pPr>
            <w:r>
              <w:t>Impact on clinical management</w:t>
            </w:r>
          </w:p>
          <w:p w14:paraId="5973F5F3" w14:textId="33310DCF" w:rsidR="003905FD" w:rsidRPr="00CB48BD" w:rsidRDefault="00253F4E" w:rsidP="00E460D7">
            <w:pPr>
              <w:spacing w:after="0"/>
              <w:rPr>
                <w:b/>
                <w:i/>
              </w:rPr>
            </w:pPr>
            <w:r w:rsidRPr="00CB48BD">
              <w:rPr>
                <w:b/>
                <w:i/>
              </w:rPr>
              <w:t>Analytical validity</w:t>
            </w:r>
            <w:bookmarkEnd w:id="4"/>
            <w:r w:rsidR="003905FD" w:rsidRPr="00CB48BD">
              <w:rPr>
                <w:rStyle w:val="EndnoteReference"/>
                <w:b/>
                <w:i/>
              </w:rPr>
              <w:endnoteReference w:id="1"/>
            </w:r>
          </w:p>
          <w:p w14:paraId="42A39641" w14:textId="77777777" w:rsidR="003905FD" w:rsidRPr="00253F4E" w:rsidRDefault="003905FD" w:rsidP="00E460D7">
            <w:pPr>
              <w:pStyle w:val="ListParagraph"/>
              <w:numPr>
                <w:ilvl w:val="0"/>
                <w:numId w:val="13"/>
              </w:numPr>
              <w:spacing w:after="0"/>
              <w:ind w:left="336"/>
              <w:rPr>
                <w:u w:val="single"/>
              </w:rPr>
            </w:pPr>
            <w:r>
              <w:t>Analytical sensitivity and specificity</w:t>
            </w:r>
          </w:p>
          <w:p w14:paraId="7D705D8C" w14:textId="77777777" w:rsidR="003905FD" w:rsidRPr="00253F4E" w:rsidRDefault="003905FD" w:rsidP="00E460D7">
            <w:pPr>
              <w:pStyle w:val="ListParagraph"/>
              <w:numPr>
                <w:ilvl w:val="0"/>
                <w:numId w:val="13"/>
              </w:numPr>
              <w:spacing w:after="0"/>
              <w:ind w:left="336"/>
              <w:rPr>
                <w:u w:val="single"/>
              </w:rPr>
            </w:pPr>
            <w:r>
              <w:t>Likelihood ratios</w:t>
            </w:r>
          </w:p>
          <w:p w14:paraId="1FC9C6F4" w14:textId="1F47E29C" w:rsidR="003905FD" w:rsidRPr="00E460D7" w:rsidRDefault="003905FD" w:rsidP="00E460D7">
            <w:pPr>
              <w:pStyle w:val="ListParagraph"/>
              <w:numPr>
                <w:ilvl w:val="0"/>
                <w:numId w:val="13"/>
              </w:numPr>
              <w:spacing w:after="0"/>
              <w:ind w:left="336"/>
              <w:rPr>
                <w:u w:val="single"/>
              </w:rPr>
            </w:pPr>
            <w:r>
              <w:t>Rate of repeat testing</w:t>
            </w:r>
          </w:p>
          <w:p w14:paraId="6923CCA7" w14:textId="77777777" w:rsidR="003905FD" w:rsidRPr="00CB48BD" w:rsidRDefault="003905FD" w:rsidP="00E460D7">
            <w:pPr>
              <w:spacing w:after="0"/>
              <w:rPr>
                <w:b/>
                <w:i/>
              </w:rPr>
            </w:pPr>
            <w:r w:rsidRPr="00CB48BD">
              <w:rPr>
                <w:b/>
                <w:i/>
              </w:rPr>
              <w:t>Clinical validity</w:t>
            </w:r>
            <w:r w:rsidRPr="00CB48BD">
              <w:rPr>
                <w:rStyle w:val="EndnoteReference"/>
                <w:b/>
                <w:i/>
              </w:rPr>
              <w:endnoteReference w:id="2"/>
            </w:r>
          </w:p>
          <w:p w14:paraId="1D3C4D91" w14:textId="77777777" w:rsidR="003905FD" w:rsidRPr="00016398" w:rsidRDefault="003905FD" w:rsidP="00E460D7">
            <w:pPr>
              <w:pStyle w:val="ListParagraph"/>
              <w:numPr>
                <w:ilvl w:val="0"/>
                <w:numId w:val="14"/>
              </w:numPr>
              <w:spacing w:after="0"/>
              <w:ind w:left="336"/>
              <w:rPr>
                <w:u w:val="single"/>
              </w:rPr>
            </w:pPr>
            <w:r>
              <w:t>Clinical specificity and sensitivity</w:t>
            </w:r>
          </w:p>
          <w:p w14:paraId="6D523161" w14:textId="50E179F1" w:rsidR="003905FD" w:rsidRPr="00E94F76" w:rsidRDefault="003905FD" w:rsidP="00E709CA">
            <w:pPr>
              <w:pStyle w:val="ListParagraph"/>
              <w:numPr>
                <w:ilvl w:val="0"/>
                <w:numId w:val="14"/>
              </w:numPr>
              <w:spacing w:after="0"/>
              <w:ind w:left="336"/>
              <w:rPr>
                <w:u w:val="single"/>
              </w:rPr>
            </w:pPr>
            <w:r>
              <w:lastRenderedPageBreak/>
              <w:t>Positive and negative predictive values</w:t>
            </w:r>
          </w:p>
          <w:p w14:paraId="60DBF7A7" w14:textId="3BBF2804" w:rsidR="003905FD" w:rsidRPr="00CB48BD" w:rsidRDefault="00CB48BD" w:rsidP="003A0EDC">
            <w:pPr>
              <w:spacing w:after="0"/>
              <w:ind w:left="-24"/>
              <w:rPr>
                <w:b/>
                <w:i/>
              </w:rPr>
            </w:pPr>
            <w:r>
              <w:rPr>
                <w:b/>
                <w:i/>
              </w:rPr>
              <w:t>Clinical utility</w:t>
            </w:r>
          </w:p>
          <w:p w14:paraId="71B8BDE5" w14:textId="7064F930" w:rsidR="003905FD" w:rsidRDefault="00E43885" w:rsidP="003A0EDC">
            <w:pPr>
              <w:pStyle w:val="ListParagraph"/>
              <w:numPr>
                <w:ilvl w:val="0"/>
                <w:numId w:val="31"/>
              </w:numPr>
              <w:spacing w:after="0"/>
              <w:ind w:left="357" w:hanging="357"/>
            </w:pPr>
            <w:r>
              <w:t xml:space="preserve">Prognostic effect of </w:t>
            </w:r>
            <w:r w:rsidRPr="00E43885">
              <w:rPr>
                <w:i/>
              </w:rPr>
              <w:t>NTRK</w:t>
            </w:r>
            <w:r>
              <w:t xml:space="preserve"> </w:t>
            </w:r>
            <w:r w:rsidR="003905FD" w:rsidRPr="00AA7EEE">
              <w:t>fusion in patients with locally advanced or metastatic solid tumours.</w:t>
            </w:r>
          </w:p>
          <w:p w14:paraId="3D3F1568" w14:textId="0CF4EEEC" w:rsidR="003905FD" w:rsidRPr="00B87FFB" w:rsidRDefault="003905FD" w:rsidP="00E94F76">
            <w:pPr>
              <w:pStyle w:val="ListParagraph"/>
              <w:numPr>
                <w:ilvl w:val="0"/>
                <w:numId w:val="31"/>
              </w:numPr>
              <w:spacing w:after="0"/>
              <w:ind w:left="357" w:hanging="357"/>
            </w:pPr>
            <w:r w:rsidRPr="00AA7EEE">
              <w:t>Treatment effect modification of larotrectinib in patients with locally advanc</w:t>
            </w:r>
            <w:r w:rsidR="00E43885">
              <w:t xml:space="preserve">ed or metastatic confirmed </w:t>
            </w:r>
            <w:r w:rsidR="00E43885" w:rsidRPr="00E43885">
              <w:rPr>
                <w:i/>
              </w:rPr>
              <w:t>NTRK</w:t>
            </w:r>
            <w:r w:rsidR="00E43885">
              <w:t xml:space="preserve"> </w:t>
            </w:r>
            <w:r w:rsidRPr="00AA7EEE">
              <w:t xml:space="preserve">fusion solid tumours.  </w:t>
            </w:r>
          </w:p>
          <w:p w14:paraId="0EF86B38" w14:textId="4A13E6E6" w:rsidR="003905FD" w:rsidRPr="00CB48BD" w:rsidRDefault="003905FD" w:rsidP="00E460D7">
            <w:pPr>
              <w:spacing w:after="0"/>
              <w:rPr>
                <w:b/>
                <w:i/>
              </w:rPr>
            </w:pPr>
            <w:r w:rsidRPr="00CB48BD">
              <w:rPr>
                <w:b/>
                <w:i/>
              </w:rPr>
              <w:t>Healthcare resources</w:t>
            </w:r>
          </w:p>
          <w:p w14:paraId="37CD2B9D" w14:textId="664940DB" w:rsidR="003905FD" w:rsidRPr="00140666" w:rsidRDefault="003905FD" w:rsidP="00E460D7">
            <w:pPr>
              <w:pStyle w:val="ListParagraph"/>
              <w:numPr>
                <w:ilvl w:val="0"/>
                <w:numId w:val="15"/>
              </w:numPr>
              <w:spacing w:after="0"/>
              <w:ind w:left="336"/>
              <w:rPr>
                <w:u w:val="single"/>
              </w:rPr>
            </w:pPr>
            <w:r>
              <w:t>Number of, and cost associated with molecular testing (FISH/RNA-NGS)</w:t>
            </w:r>
          </w:p>
          <w:p w14:paraId="212304C3" w14:textId="1F0833EB" w:rsidR="003905FD" w:rsidRPr="009E6470" w:rsidRDefault="003905FD" w:rsidP="00E460D7">
            <w:pPr>
              <w:pStyle w:val="ListParagraph"/>
              <w:numPr>
                <w:ilvl w:val="0"/>
                <w:numId w:val="15"/>
              </w:numPr>
              <w:spacing w:after="0"/>
              <w:ind w:left="336"/>
              <w:rPr>
                <w:u w:val="single"/>
              </w:rPr>
            </w:pPr>
            <w:r>
              <w:t>Number of, and cost associated with obtaining appropriate tissue via biopsy</w:t>
            </w:r>
          </w:p>
          <w:p w14:paraId="1826A166" w14:textId="77777777" w:rsidR="003905FD" w:rsidRDefault="003905FD" w:rsidP="00317F5F">
            <w:pPr>
              <w:spacing w:after="0"/>
              <w:rPr>
                <w:b/>
                <w:bCs/>
              </w:rPr>
            </w:pPr>
            <w:r w:rsidRPr="006B73B0">
              <w:rPr>
                <w:b/>
                <w:bCs/>
                <w:u w:val="single"/>
              </w:rPr>
              <w:t>Drug outcomes</w:t>
            </w:r>
            <w:r>
              <w:rPr>
                <w:b/>
                <w:bCs/>
              </w:rPr>
              <w:t>:</w:t>
            </w:r>
          </w:p>
          <w:p w14:paraId="1A3CDCD8" w14:textId="77777777" w:rsidR="003905FD" w:rsidRPr="00CB48BD" w:rsidRDefault="003905FD" w:rsidP="00317F5F">
            <w:pPr>
              <w:spacing w:after="0"/>
              <w:rPr>
                <w:b/>
                <w:i/>
              </w:rPr>
            </w:pPr>
            <w:r w:rsidRPr="00CB48BD">
              <w:rPr>
                <w:b/>
                <w:i/>
              </w:rPr>
              <w:t>Safety</w:t>
            </w:r>
          </w:p>
          <w:p w14:paraId="2BF0FA20" w14:textId="27FEB4D5" w:rsidR="003905FD" w:rsidRPr="00892A8C" w:rsidRDefault="003905FD" w:rsidP="00317F5F">
            <w:pPr>
              <w:pStyle w:val="ListParagraph"/>
              <w:numPr>
                <w:ilvl w:val="0"/>
                <w:numId w:val="11"/>
              </w:numPr>
              <w:spacing w:after="0"/>
              <w:ind w:left="336"/>
              <w:rPr>
                <w:u w:val="single"/>
              </w:rPr>
            </w:pPr>
            <w:r>
              <w:t>Adverse events from larotrectinib</w:t>
            </w:r>
          </w:p>
          <w:p w14:paraId="56B8652E" w14:textId="77777777" w:rsidR="003905FD" w:rsidRPr="00E460D7" w:rsidRDefault="003905FD" w:rsidP="00F351FB">
            <w:pPr>
              <w:pStyle w:val="ListParagraph"/>
              <w:numPr>
                <w:ilvl w:val="0"/>
                <w:numId w:val="11"/>
              </w:numPr>
              <w:spacing w:after="120"/>
              <w:ind w:left="336"/>
              <w:rPr>
                <w:u w:val="single"/>
              </w:rPr>
            </w:pPr>
            <w:r>
              <w:t>Adverse events from drug interactions</w:t>
            </w:r>
          </w:p>
          <w:p w14:paraId="5990034D" w14:textId="77777777" w:rsidR="003905FD" w:rsidRPr="00CB48BD" w:rsidRDefault="003905FD" w:rsidP="00317F5F">
            <w:pPr>
              <w:spacing w:after="0"/>
              <w:rPr>
                <w:b/>
                <w:i/>
              </w:rPr>
            </w:pPr>
            <w:r w:rsidRPr="00CB48BD">
              <w:rPr>
                <w:b/>
                <w:i/>
              </w:rPr>
              <w:t>Effectiveness</w:t>
            </w:r>
          </w:p>
          <w:p w14:paraId="378940D7" w14:textId="77777777" w:rsidR="003905FD" w:rsidRPr="00C0242A" w:rsidRDefault="003905FD" w:rsidP="00676CF8">
            <w:pPr>
              <w:pStyle w:val="ListParagraph"/>
              <w:numPr>
                <w:ilvl w:val="0"/>
                <w:numId w:val="12"/>
              </w:numPr>
              <w:spacing w:after="0"/>
              <w:ind w:left="336"/>
              <w:rPr>
                <w:u w:val="single"/>
              </w:rPr>
            </w:pPr>
            <w:r>
              <w:t>Disease-free and/or overall survival</w:t>
            </w:r>
          </w:p>
          <w:p w14:paraId="3C328C64" w14:textId="20E687FE" w:rsidR="003905FD" w:rsidRPr="00B8426A" w:rsidRDefault="003905FD" w:rsidP="00676CF8">
            <w:pPr>
              <w:pStyle w:val="ListParagraph"/>
              <w:numPr>
                <w:ilvl w:val="0"/>
                <w:numId w:val="12"/>
              </w:numPr>
              <w:spacing w:after="0"/>
              <w:ind w:left="336"/>
            </w:pPr>
            <w:r w:rsidRPr="00284332">
              <w:t>Progression-free survival</w:t>
            </w:r>
          </w:p>
          <w:p w14:paraId="56A9EA29" w14:textId="203213E9" w:rsidR="003905FD" w:rsidRPr="000A63E3" w:rsidRDefault="003905FD" w:rsidP="00676CF8">
            <w:pPr>
              <w:pStyle w:val="ListParagraph"/>
              <w:numPr>
                <w:ilvl w:val="0"/>
                <w:numId w:val="12"/>
              </w:numPr>
              <w:spacing w:after="0"/>
              <w:ind w:left="336"/>
              <w:rPr>
                <w:u w:val="single"/>
              </w:rPr>
            </w:pPr>
            <w:r>
              <w:t>Disease-related mortality</w:t>
            </w:r>
          </w:p>
          <w:p w14:paraId="4F88FB57" w14:textId="77777777" w:rsidR="003905FD" w:rsidRPr="00165B3B" w:rsidRDefault="003905FD" w:rsidP="00676CF8">
            <w:pPr>
              <w:pStyle w:val="ListParagraph"/>
              <w:numPr>
                <w:ilvl w:val="0"/>
                <w:numId w:val="12"/>
              </w:numPr>
              <w:spacing w:after="0"/>
              <w:ind w:left="336"/>
              <w:rPr>
                <w:u w:val="single"/>
              </w:rPr>
            </w:pPr>
            <w:r>
              <w:t>Incidence of metastases</w:t>
            </w:r>
          </w:p>
          <w:p w14:paraId="551F0747" w14:textId="77777777" w:rsidR="003905FD" w:rsidRPr="00165B3B" w:rsidRDefault="003905FD" w:rsidP="00676CF8">
            <w:pPr>
              <w:pStyle w:val="ListParagraph"/>
              <w:numPr>
                <w:ilvl w:val="0"/>
                <w:numId w:val="12"/>
              </w:numPr>
              <w:spacing w:after="0"/>
              <w:ind w:left="336"/>
              <w:rPr>
                <w:u w:val="single"/>
              </w:rPr>
            </w:pPr>
            <w:r>
              <w:t>Tumour recurrence (relapse/refractory)</w:t>
            </w:r>
          </w:p>
          <w:p w14:paraId="2267245C" w14:textId="77777777" w:rsidR="003905FD" w:rsidRPr="0051764F" w:rsidRDefault="003905FD" w:rsidP="00676CF8">
            <w:pPr>
              <w:pStyle w:val="ListParagraph"/>
              <w:numPr>
                <w:ilvl w:val="0"/>
                <w:numId w:val="12"/>
              </w:numPr>
              <w:spacing w:after="0"/>
              <w:ind w:left="336"/>
              <w:rPr>
                <w:u w:val="single"/>
              </w:rPr>
            </w:pPr>
            <w:r>
              <w:t>Tumour control (regression/remission)</w:t>
            </w:r>
          </w:p>
          <w:p w14:paraId="69EA90AC" w14:textId="77777777" w:rsidR="003905FD" w:rsidRPr="00E460D7" w:rsidRDefault="003905FD" w:rsidP="00F351FB">
            <w:pPr>
              <w:pStyle w:val="ListParagraph"/>
              <w:numPr>
                <w:ilvl w:val="0"/>
                <w:numId w:val="12"/>
              </w:numPr>
              <w:spacing w:after="120"/>
              <w:ind w:left="336"/>
              <w:rPr>
                <w:u w:val="single"/>
              </w:rPr>
            </w:pPr>
            <w:r>
              <w:t>Health-related quality of life</w:t>
            </w:r>
          </w:p>
          <w:p w14:paraId="482A062F" w14:textId="77777777" w:rsidR="003905FD" w:rsidRPr="00CB48BD" w:rsidRDefault="003905FD" w:rsidP="00317F5F">
            <w:pPr>
              <w:spacing w:after="0"/>
              <w:rPr>
                <w:b/>
                <w:i/>
              </w:rPr>
            </w:pPr>
            <w:r w:rsidRPr="00CB48BD">
              <w:rPr>
                <w:b/>
                <w:i/>
              </w:rPr>
              <w:t>Healthcare resources</w:t>
            </w:r>
          </w:p>
          <w:p w14:paraId="5EAFF861" w14:textId="6EA61254" w:rsidR="003905FD" w:rsidRPr="005F2316" w:rsidRDefault="003905FD" w:rsidP="00CE2A0B">
            <w:pPr>
              <w:pStyle w:val="ListParagraph"/>
              <w:numPr>
                <w:ilvl w:val="0"/>
                <w:numId w:val="15"/>
              </w:numPr>
              <w:spacing w:after="0"/>
              <w:ind w:left="336"/>
              <w:rPr>
                <w:u w:val="single"/>
              </w:rPr>
            </w:pPr>
            <w:r>
              <w:t>Cost of larotrectinib</w:t>
            </w:r>
          </w:p>
          <w:p w14:paraId="1FD899EA" w14:textId="77777777" w:rsidR="003905FD" w:rsidRPr="00BE31EB" w:rsidRDefault="003905FD" w:rsidP="00CE2A0B">
            <w:pPr>
              <w:pStyle w:val="ListParagraph"/>
              <w:numPr>
                <w:ilvl w:val="0"/>
                <w:numId w:val="15"/>
              </w:numPr>
              <w:spacing w:after="0"/>
              <w:ind w:left="336"/>
              <w:rPr>
                <w:u w:val="single"/>
              </w:rPr>
            </w:pPr>
            <w:r>
              <w:t>Cost offset by reducing number of untargeted therapies</w:t>
            </w:r>
          </w:p>
          <w:p w14:paraId="53955AC2" w14:textId="77777777" w:rsidR="003905FD" w:rsidRPr="002E63C9" w:rsidRDefault="003905FD" w:rsidP="00CE2A0B">
            <w:pPr>
              <w:pStyle w:val="ListParagraph"/>
              <w:numPr>
                <w:ilvl w:val="0"/>
                <w:numId w:val="15"/>
              </w:numPr>
              <w:spacing w:after="0"/>
              <w:ind w:left="336"/>
              <w:rPr>
                <w:u w:val="single"/>
              </w:rPr>
            </w:pPr>
            <w:r>
              <w:t>Cost offset by reducing number of hospitalisations for chemotherapy and/or radiotherapy</w:t>
            </w:r>
          </w:p>
          <w:p w14:paraId="23C79986" w14:textId="77777777" w:rsidR="003905FD" w:rsidRPr="0016193B" w:rsidRDefault="003905FD" w:rsidP="00CE2A0B">
            <w:pPr>
              <w:pStyle w:val="ListParagraph"/>
              <w:numPr>
                <w:ilvl w:val="0"/>
                <w:numId w:val="15"/>
              </w:numPr>
              <w:spacing w:after="0"/>
              <w:ind w:left="336"/>
              <w:rPr>
                <w:u w:val="single"/>
              </w:rPr>
            </w:pPr>
            <w:r>
              <w:t>Specialist visits</w:t>
            </w:r>
          </w:p>
          <w:p w14:paraId="3B596360" w14:textId="77777777" w:rsidR="003905FD" w:rsidRPr="005F2316" w:rsidRDefault="003905FD" w:rsidP="00CE2A0B">
            <w:pPr>
              <w:pStyle w:val="ListParagraph"/>
              <w:numPr>
                <w:ilvl w:val="0"/>
                <w:numId w:val="15"/>
              </w:numPr>
              <w:spacing w:after="0"/>
              <w:ind w:left="336"/>
              <w:rPr>
                <w:u w:val="single"/>
              </w:rPr>
            </w:pPr>
            <w:r>
              <w:t>Patient monitoring during treatment</w:t>
            </w:r>
          </w:p>
          <w:p w14:paraId="6F462E77" w14:textId="77777777" w:rsidR="003905FD" w:rsidRPr="003F7390" w:rsidRDefault="003905FD" w:rsidP="00CE2A0B">
            <w:pPr>
              <w:pStyle w:val="ListParagraph"/>
              <w:numPr>
                <w:ilvl w:val="0"/>
                <w:numId w:val="15"/>
              </w:numPr>
              <w:spacing w:after="0"/>
              <w:ind w:left="336"/>
              <w:rPr>
                <w:u w:val="single"/>
              </w:rPr>
            </w:pPr>
            <w:r>
              <w:t>Cost per quality-adjusted life year</w:t>
            </w:r>
          </w:p>
          <w:p w14:paraId="2DB8FF24" w14:textId="4F7F732B" w:rsidR="003905FD" w:rsidRPr="00CE2A0B" w:rsidRDefault="003905FD" w:rsidP="00F351FB">
            <w:pPr>
              <w:pStyle w:val="ListParagraph"/>
              <w:numPr>
                <w:ilvl w:val="0"/>
                <w:numId w:val="15"/>
              </w:numPr>
              <w:spacing w:after="120"/>
              <w:ind w:left="336"/>
            </w:pPr>
            <w:r w:rsidRPr="00004DD2">
              <w:t>Total Australian Government healthcare costs</w:t>
            </w:r>
          </w:p>
        </w:tc>
      </w:tr>
    </w:tbl>
    <w:p w14:paraId="660BBD10" w14:textId="77777777" w:rsidR="003905FD" w:rsidRDefault="003905FD">
      <w:pPr>
        <w:rPr>
          <w:b/>
        </w:rPr>
      </w:pPr>
      <w:r>
        <w:rPr>
          <w:b/>
        </w:rPr>
        <w:lastRenderedPageBreak/>
        <w:br w:type="page"/>
      </w:r>
    </w:p>
    <w:p w14:paraId="1254F294" w14:textId="19AFDEEB" w:rsidR="003905FD" w:rsidRPr="007D56AD" w:rsidRDefault="003905FD" w:rsidP="00A86592">
      <w:pPr>
        <w:spacing w:before="360" w:after="0"/>
        <w:rPr>
          <w:b/>
          <w:color w:val="00B0F0"/>
          <w:sz w:val="28"/>
          <w:szCs w:val="28"/>
          <w:u w:val="single"/>
        </w:rPr>
      </w:pPr>
      <w:r w:rsidRPr="007D56AD">
        <w:rPr>
          <w:b/>
          <w:color w:val="00B0F0"/>
          <w:sz w:val="28"/>
          <w:szCs w:val="28"/>
          <w:u w:val="single"/>
        </w:rPr>
        <w:lastRenderedPageBreak/>
        <w:t>POPULATION</w:t>
      </w:r>
    </w:p>
    <w:p w14:paraId="6D0E5751" w14:textId="77777777" w:rsidR="003905FD" w:rsidRPr="001E10E7" w:rsidRDefault="003905FD" w:rsidP="00A86592">
      <w:pPr>
        <w:spacing w:before="120" w:after="0"/>
        <w:rPr>
          <w:i/>
          <w:sz w:val="16"/>
          <w:szCs w:val="16"/>
        </w:rPr>
      </w:pPr>
      <w:r w:rsidRPr="0048690A">
        <w:rPr>
          <w:i/>
        </w:rPr>
        <w:t xml:space="preserve">PASC confirmed the proposed population (i.e. four subpopulations) that would be eligible for the selective TRK inhibitor (larotrectinib) [adult cancers: low and high frequency of </w:t>
      </w:r>
      <w:r w:rsidRPr="007A71F4">
        <w:rPr>
          <w:i/>
        </w:rPr>
        <w:t>NTRK</w:t>
      </w:r>
      <w:r w:rsidRPr="0048690A">
        <w:rPr>
          <w:i/>
        </w:rPr>
        <w:t xml:space="preserve"> gene fusions; paediatric cancers: low and high frequency of </w:t>
      </w:r>
      <w:r w:rsidRPr="007A71F4">
        <w:rPr>
          <w:i/>
        </w:rPr>
        <w:t>NTRK</w:t>
      </w:r>
      <w:r w:rsidRPr="0048690A">
        <w:rPr>
          <w:i/>
        </w:rPr>
        <w:t xml:space="preserve"> gene fusions].</w:t>
      </w:r>
      <w:r w:rsidRPr="0048690A">
        <w:rPr>
          <w:i/>
        </w:rPr>
        <w:br/>
      </w:r>
    </w:p>
    <w:p w14:paraId="5A38BA5B" w14:textId="655598EC" w:rsidR="003905FD" w:rsidRPr="0048690A" w:rsidRDefault="003905FD" w:rsidP="001E10E7">
      <w:pPr>
        <w:spacing w:after="160"/>
        <w:rPr>
          <w:i/>
        </w:rPr>
      </w:pPr>
      <w:r w:rsidRPr="0048690A">
        <w:rPr>
          <w:i/>
        </w:rPr>
        <w:t>PASC noted that another</w:t>
      </w:r>
      <w:r w:rsidR="00683836">
        <w:rPr>
          <w:i/>
        </w:rPr>
        <w:t>,</w:t>
      </w:r>
      <w:r w:rsidRPr="0048690A">
        <w:rPr>
          <w:i/>
        </w:rPr>
        <w:t xml:space="preserve"> less</w:t>
      </w:r>
      <w:r w:rsidR="00683836">
        <w:rPr>
          <w:i/>
        </w:rPr>
        <w:t xml:space="preserve"> </w:t>
      </w:r>
      <w:r w:rsidRPr="0048690A">
        <w:rPr>
          <w:i/>
        </w:rPr>
        <w:t xml:space="preserve">specific TRK inhibitor </w:t>
      </w:r>
      <w:r w:rsidR="00683836">
        <w:rPr>
          <w:i/>
        </w:rPr>
        <w:t xml:space="preserve">– </w:t>
      </w:r>
      <w:r w:rsidRPr="0048690A">
        <w:rPr>
          <w:i/>
        </w:rPr>
        <w:t>entrectinib</w:t>
      </w:r>
      <w:r w:rsidR="00683836">
        <w:rPr>
          <w:i/>
        </w:rPr>
        <w:t xml:space="preserve"> – </w:t>
      </w:r>
      <w:r w:rsidRPr="0048690A">
        <w:rPr>
          <w:i/>
        </w:rPr>
        <w:t xml:space="preserve">is a multikinase inhibitor, which the applicant confirmed was used in a slightly different population. </w:t>
      </w:r>
      <w:r w:rsidR="00683836">
        <w:rPr>
          <w:i/>
        </w:rPr>
        <w:t>As noted under ‘Proposed MBS Item Descriptor/s and MBS Fees’</w:t>
      </w:r>
      <w:r w:rsidRPr="0048690A">
        <w:rPr>
          <w:i/>
        </w:rPr>
        <w:t>, PASC determined that the population and MBS descriptors should be consist</w:t>
      </w:r>
      <w:r w:rsidR="007D56AD">
        <w:rPr>
          <w:i/>
        </w:rPr>
        <w:t xml:space="preserve">ent (i.e. refer generically to </w:t>
      </w:r>
      <w:r w:rsidRPr="0048690A">
        <w:rPr>
          <w:i/>
        </w:rPr>
        <w:t xml:space="preserve">TRK inhibitors, rather than being specific to larotrectinib).  </w:t>
      </w:r>
    </w:p>
    <w:p w14:paraId="6E613831" w14:textId="7E37BE00" w:rsidR="001E10E7" w:rsidRPr="00E43885" w:rsidRDefault="003905FD" w:rsidP="00F31151">
      <w:pPr>
        <w:spacing w:after="0"/>
        <w:rPr>
          <w:i/>
        </w:rPr>
      </w:pPr>
      <w:r w:rsidRPr="00E43885">
        <w:rPr>
          <w:i/>
        </w:rPr>
        <w:t xml:space="preserve">PASC advised that </w:t>
      </w:r>
      <w:r w:rsidR="00CB48BD">
        <w:rPr>
          <w:b/>
          <w:i/>
        </w:rPr>
        <w:t>high frequency</w:t>
      </w:r>
      <w:r w:rsidR="00CB48BD">
        <w:rPr>
          <w:i/>
        </w:rPr>
        <w:t xml:space="preserve"> and </w:t>
      </w:r>
      <w:r w:rsidR="00CB48BD" w:rsidRPr="00CB48BD">
        <w:rPr>
          <w:b/>
          <w:i/>
        </w:rPr>
        <w:t>low frequency</w:t>
      </w:r>
      <w:r w:rsidRPr="00E43885">
        <w:rPr>
          <w:i/>
        </w:rPr>
        <w:t xml:space="preserve"> need to be carefully defined for the test population (and included in the MBS item descriptors). </w:t>
      </w:r>
    </w:p>
    <w:p w14:paraId="3137DE7D" w14:textId="77777777" w:rsidR="001E10E7" w:rsidRPr="00E43885" w:rsidRDefault="001E10E7" w:rsidP="00F31151">
      <w:pPr>
        <w:spacing w:after="0"/>
        <w:rPr>
          <w:i/>
          <w:sz w:val="16"/>
          <w:szCs w:val="16"/>
        </w:rPr>
      </w:pPr>
    </w:p>
    <w:p w14:paraId="6817BE34" w14:textId="3A459A32" w:rsidR="008E50D2" w:rsidRPr="00E43885" w:rsidRDefault="003905FD" w:rsidP="00F31151">
      <w:pPr>
        <w:spacing w:after="0"/>
        <w:rPr>
          <w:i/>
        </w:rPr>
      </w:pPr>
      <w:r w:rsidRPr="00E43885">
        <w:rPr>
          <w:i/>
        </w:rPr>
        <w:t xml:space="preserve">PASC </w:t>
      </w:r>
      <w:r w:rsidR="008E50D2" w:rsidRPr="00E43885">
        <w:rPr>
          <w:i/>
        </w:rPr>
        <w:t xml:space="preserve">noted that, for </w:t>
      </w:r>
      <w:r w:rsidRPr="00E43885">
        <w:rPr>
          <w:i/>
        </w:rPr>
        <w:t>adult and paediatric cancers,</w:t>
      </w:r>
      <w:r w:rsidR="008E50D2" w:rsidRPr="00E43885">
        <w:rPr>
          <w:i/>
        </w:rPr>
        <w:t xml:space="preserve"> a recent study by Penault-Llorca et al (2019)</w:t>
      </w:r>
      <w:r w:rsidR="00CF0DD2" w:rsidRPr="00E43885">
        <w:rPr>
          <w:i/>
        </w:rPr>
        <w:t xml:space="preserve"> defined the following three groups: low frequency = &lt;5%; intermediate frequency = 5-25%; and high frequency = &gt;80%,; </w:t>
      </w:r>
      <w:r w:rsidR="008E50D2" w:rsidRPr="00E43885">
        <w:rPr>
          <w:i/>
        </w:rPr>
        <w:t xml:space="preserve">but only </w:t>
      </w:r>
      <w:r w:rsidR="00CF0DD2" w:rsidRPr="00E43885">
        <w:rPr>
          <w:i/>
        </w:rPr>
        <w:t xml:space="preserve">referred to </w:t>
      </w:r>
      <w:r w:rsidR="008E50D2" w:rsidRPr="00E43885">
        <w:rPr>
          <w:i/>
        </w:rPr>
        <w:t>‘low’ and ‘high’ in their testing algorithm</w:t>
      </w:r>
      <w:r w:rsidR="00CF0DD2" w:rsidRPr="00E43885">
        <w:rPr>
          <w:i/>
        </w:rPr>
        <w:t>.</w:t>
      </w:r>
    </w:p>
    <w:p w14:paraId="26FD55F4" w14:textId="77777777" w:rsidR="008E50D2" w:rsidRPr="00E43885" w:rsidRDefault="008E50D2" w:rsidP="00F31151">
      <w:pPr>
        <w:spacing w:after="0"/>
        <w:rPr>
          <w:i/>
          <w:sz w:val="16"/>
          <w:szCs w:val="16"/>
        </w:rPr>
      </w:pPr>
    </w:p>
    <w:p w14:paraId="2DE2F81B" w14:textId="572B50ED" w:rsidR="008E50D2" w:rsidRPr="00E43885" w:rsidRDefault="00F977F2" w:rsidP="00F31151">
      <w:pPr>
        <w:spacing w:after="0"/>
        <w:rPr>
          <w:i/>
        </w:rPr>
      </w:pPr>
      <w:r w:rsidRPr="00E43885">
        <w:rPr>
          <w:i/>
        </w:rPr>
        <w:t xml:space="preserve">PASC is of the view that use of </w:t>
      </w:r>
      <w:r w:rsidR="001E10E7" w:rsidRPr="00E43885">
        <w:rPr>
          <w:i/>
        </w:rPr>
        <w:t xml:space="preserve">the Hsiao </w:t>
      </w:r>
      <w:r w:rsidR="008E50D2" w:rsidRPr="00E43885">
        <w:rPr>
          <w:i/>
        </w:rPr>
        <w:t>et al (2019) definitions</w:t>
      </w:r>
      <w:r w:rsidRPr="00E43885">
        <w:rPr>
          <w:i/>
        </w:rPr>
        <w:t xml:space="preserve"> will add clarity</w:t>
      </w:r>
      <w:r w:rsidR="008E50D2" w:rsidRPr="00E43885">
        <w:rPr>
          <w:i/>
        </w:rPr>
        <w:t xml:space="preserve">, which </w:t>
      </w:r>
      <w:r w:rsidR="00F31151" w:rsidRPr="00E43885">
        <w:rPr>
          <w:i/>
        </w:rPr>
        <w:t xml:space="preserve">grouped tumours </w:t>
      </w:r>
      <w:r w:rsidR="008E50D2" w:rsidRPr="00E43885">
        <w:rPr>
          <w:i/>
        </w:rPr>
        <w:t xml:space="preserve">with </w:t>
      </w:r>
      <w:r w:rsidR="00F31151" w:rsidRPr="00E43885">
        <w:rPr>
          <w:i/>
        </w:rPr>
        <w:t xml:space="preserve">an </w:t>
      </w:r>
      <w:r w:rsidR="00F31151" w:rsidRPr="00E43885">
        <w:rPr>
          <w:i/>
          <w:iCs/>
        </w:rPr>
        <w:t>NTRK</w:t>
      </w:r>
      <w:r w:rsidR="00F31151" w:rsidRPr="00E43885">
        <w:rPr>
          <w:i/>
        </w:rPr>
        <w:t xml:space="preserve"> gene fusion</w:t>
      </w:r>
      <w:r w:rsidR="008E50D2" w:rsidRPr="00E43885">
        <w:rPr>
          <w:i/>
        </w:rPr>
        <w:t xml:space="preserve"> as follows: low frequency = &lt;5%; intermediate frequency =</w:t>
      </w:r>
      <w:r w:rsidR="00F31151" w:rsidRPr="00E43885">
        <w:rPr>
          <w:i/>
        </w:rPr>
        <w:t xml:space="preserve"> 5-75%</w:t>
      </w:r>
      <w:r w:rsidR="008E50D2" w:rsidRPr="00E43885">
        <w:rPr>
          <w:i/>
        </w:rPr>
        <w:t xml:space="preserve">; </w:t>
      </w:r>
      <w:r w:rsidR="00F31151" w:rsidRPr="00E43885">
        <w:rPr>
          <w:i/>
        </w:rPr>
        <w:t>and</w:t>
      </w:r>
      <w:r w:rsidR="008E50D2" w:rsidRPr="00E43885">
        <w:rPr>
          <w:i/>
        </w:rPr>
        <w:t xml:space="preserve"> high frequency =</w:t>
      </w:r>
      <w:r w:rsidR="00CF0DD2" w:rsidRPr="00E43885">
        <w:rPr>
          <w:i/>
        </w:rPr>
        <w:t xml:space="preserve"> &gt;75%</w:t>
      </w:r>
      <w:r w:rsidR="00F31151" w:rsidRPr="00E43885">
        <w:rPr>
          <w:i/>
        </w:rPr>
        <w:t xml:space="preserve">. </w:t>
      </w:r>
    </w:p>
    <w:p w14:paraId="0F3B9345" w14:textId="77777777" w:rsidR="008E50D2" w:rsidRPr="00E43885" w:rsidRDefault="008E50D2" w:rsidP="00F31151">
      <w:pPr>
        <w:spacing w:after="0"/>
        <w:rPr>
          <w:i/>
          <w:sz w:val="16"/>
          <w:szCs w:val="16"/>
        </w:rPr>
      </w:pPr>
    </w:p>
    <w:p w14:paraId="25B34673" w14:textId="70974D20" w:rsidR="00F31151" w:rsidRPr="00F31151" w:rsidRDefault="00F31151" w:rsidP="00F31151">
      <w:pPr>
        <w:spacing w:after="0"/>
        <w:rPr>
          <w:i/>
        </w:rPr>
      </w:pPr>
      <w:r w:rsidRPr="00E43885">
        <w:rPr>
          <w:i/>
        </w:rPr>
        <w:t xml:space="preserve">This is a more comprehensive classification scheme that is </w:t>
      </w:r>
      <w:r w:rsidR="00F977F2" w:rsidRPr="00E43885">
        <w:rPr>
          <w:i/>
        </w:rPr>
        <w:t>consistent with Penault-Llorca et al’s three</w:t>
      </w:r>
      <w:r w:rsidRPr="00E43885">
        <w:rPr>
          <w:i/>
        </w:rPr>
        <w:t xml:space="preserve"> groups and also consistent with t</w:t>
      </w:r>
      <w:r w:rsidR="00F977F2" w:rsidRPr="00E43885">
        <w:rPr>
          <w:i/>
        </w:rPr>
        <w:t>he frequency classification in T</w:t>
      </w:r>
      <w:r w:rsidRPr="00E43885">
        <w:rPr>
          <w:i/>
        </w:rPr>
        <w:t>able 1 of th</w:t>
      </w:r>
      <w:r w:rsidR="00F977F2" w:rsidRPr="00E43885">
        <w:rPr>
          <w:i/>
        </w:rPr>
        <w:t>is</w:t>
      </w:r>
      <w:r w:rsidRPr="00E43885">
        <w:rPr>
          <w:i/>
        </w:rPr>
        <w:t xml:space="preserve"> PICO.</w:t>
      </w:r>
      <w:r w:rsidR="00E40A12">
        <w:rPr>
          <w:i/>
        </w:rPr>
        <w:t xml:space="preserve"> The ‘low’ frequency group described in the management algorithms and MBS item descriptors of this PICO</w:t>
      </w:r>
      <w:r w:rsidR="0012691B">
        <w:rPr>
          <w:i/>
        </w:rPr>
        <w:t>, encompasses</w:t>
      </w:r>
      <w:r w:rsidR="00E40A12">
        <w:rPr>
          <w:i/>
        </w:rPr>
        <w:t xml:space="preserve"> Hsiao et al</w:t>
      </w:r>
      <w:r w:rsidR="0012691B">
        <w:rPr>
          <w:i/>
        </w:rPr>
        <w:t>’s</w:t>
      </w:r>
      <w:r w:rsidR="00E40A12">
        <w:rPr>
          <w:i/>
        </w:rPr>
        <w:t xml:space="preserve"> (2019) ‘intermedia</w:t>
      </w:r>
      <w:r w:rsidR="00F86923">
        <w:rPr>
          <w:i/>
        </w:rPr>
        <w:t xml:space="preserve">te’ frequency group (5-75%).   </w:t>
      </w:r>
    </w:p>
    <w:p w14:paraId="62964241" w14:textId="77777777" w:rsidR="003905FD" w:rsidRPr="0048690A" w:rsidRDefault="003905FD" w:rsidP="00DB3137">
      <w:pPr>
        <w:rPr>
          <w:i/>
        </w:rPr>
      </w:pPr>
      <w:r w:rsidRPr="00F31151">
        <w:rPr>
          <w:i/>
          <w:sz w:val="16"/>
          <w:szCs w:val="16"/>
        </w:rPr>
        <w:br/>
      </w:r>
      <w:r w:rsidRPr="0048690A">
        <w:rPr>
          <w:i/>
        </w:rPr>
        <w:t xml:space="preserve">PASC recommended a disaggregated approach to the paediatric and adult populations as much as possible throughout the assessment report. This will allow MSAC and PBAC to evaluate variable value propositions across the four subpopulations (adult cancers: low and high frequency of </w:t>
      </w:r>
      <w:r w:rsidRPr="007A71F4">
        <w:rPr>
          <w:i/>
        </w:rPr>
        <w:t>NTRK</w:t>
      </w:r>
      <w:r w:rsidRPr="0048690A">
        <w:rPr>
          <w:i/>
        </w:rPr>
        <w:t xml:space="preserve"> gene fusions; paediatric cancers: low and high frequency of </w:t>
      </w:r>
      <w:r w:rsidRPr="007A71F4">
        <w:rPr>
          <w:i/>
        </w:rPr>
        <w:t>NTRK</w:t>
      </w:r>
      <w:r w:rsidRPr="0048690A">
        <w:rPr>
          <w:i/>
        </w:rPr>
        <w:t xml:space="preserve"> gene fusions).</w:t>
      </w:r>
    </w:p>
    <w:p w14:paraId="5F78031D" w14:textId="46C23452" w:rsidR="003905FD" w:rsidRDefault="003905FD" w:rsidP="00592A71">
      <w:r>
        <w:t xml:space="preserve">Neurotrophic tyrosine receptor kinase </w:t>
      </w:r>
      <w:r w:rsidRPr="007D56AD">
        <w:rPr>
          <w:i/>
        </w:rPr>
        <w:t>(NTRK)</w:t>
      </w:r>
      <w:r>
        <w:t xml:space="preserve"> genes </w:t>
      </w:r>
      <w:r>
        <w:rPr>
          <w:i/>
          <w:iCs/>
        </w:rPr>
        <w:t xml:space="preserve">NTRK1, NTRK2 and NTRK3 </w:t>
      </w:r>
      <w:r>
        <w:t>code for tropomyosin receptor kinase (TRK) proteins TRKA</w:t>
      </w:r>
      <w:r w:rsidR="00CB48BD">
        <w:t xml:space="preserve">, TRKB and TRKC, respectively. </w:t>
      </w:r>
      <w:r>
        <w:t>These proteins are primarily involved in the nervous system, where they regulate pain, proprioception, appetite, and memory</w:t>
      </w:r>
      <w:r>
        <w:rPr>
          <w:rStyle w:val="EndnoteReference"/>
        </w:rPr>
        <w:endnoteReference w:id="3"/>
      </w:r>
      <w:r>
        <w:t xml:space="preserve">.  Oncogenic gene fusions occur by chromosomal rearrangements of </w:t>
      </w:r>
      <w:r>
        <w:rPr>
          <w:i/>
          <w:iCs/>
        </w:rPr>
        <w:t xml:space="preserve">NTRK1, NTRK2 and NTRK3 </w:t>
      </w:r>
      <w:r w:rsidRPr="00EA3B8C">
        <w:t>genes</w:t>
      </w:r>
      <w:r>
        <w:t>.  These gene fusions cause tissue-agnostic overexpression of TRK proteins that affect downstream signalling, promoting cell proliferation and tumour cell survival.</w:t>
      </w:r>
    </w:p>
    <w:p w14:paraId="38F4217E" w14:textId="4EB62A52" w:rsidR="00CF0DD2" w:rsidRDefault="003905FD" w:rsidP="00592A71">
      <w:r>
        <w:t xml:space="preserve">Approximately 1% of solid tumours in children and adults have somatic chromosomal gene fusions involving </w:t>
      </w:r>
      <w:r w:rsidRPr="007D56AD">
        <w:rPr>
          <w:i/>
        </w:rPr>
        <w:t>NTRK</w:t>
      </w:r>
      <w:r>
        <w:t xml:space="preserve"> genes</w:t>
      </w:r>
      <w:r>
        <w:rPr>
          <w:rStyle w:val="EndnoteReference"/>
        </w:rPr>
        <w:endnoteReference w:id="4"/>
      </w:r>
      <w:r w:rsidR="00CB48BD">
        <w:t xml:space="preserve">. </w:t>
      </w:r>
      <w:r>
        <w:t xml:space="preserve">Although found at low frequency across all solid tumours as a whole, </w:t>
      </w:r>
      <w:r w:rsidRPr="007D56AD">
        <w:rPr>
          <w:i/>
        </w:rPr>
        <w:t>NTRK</w:t>
      </w:r>
      <w:r>
        <w:t xml:space="preserve"> gene fusions are found at high frequencies (</w:t>
      </w:r>
      <w:r>
        <w:rPr>
          <w:rFonts w:cs="Calibri"/>
        </w:rPr>
        <w:t>≥</w:t>
      </w:r>
      <w:r>
        <w:t>80%) in rare solid tumours (e.g. mammary analogue secretory carcinoma, secretory breast carcinoma and some paediatric cancers su</w:t>
      </w:r>
      <w:r w:rsidR="00CB48BD">
        <w:t xml:space="preserve">ch as infantile fibrosarcoma). </w:t>
      </w:r>
      <w:r>
        <w:t>Common solid tumours</w:t>
      </w:r>
      <w:r w:rsidR="00CF0DD2">
        <w:t>,</w:t>
      </w:r>
      <w:r>
        <w:t xml:space="preserve"> such as lung cancer and colorectal cancer</w:t>
      </w:r>
      <w:r w:rsidR="00CF0DD2">
        <w:t>,</w:t>
      </w:r>
      <w:r>
        <w:t xml:space="preserve"> also harbour </w:t>
      </w:r>
      <w:r w:rsidRPr="007D56AD">
        <w:rPr>
          <w:i/>
        </w:rPr>
        <w:t xml:space="preserve">NTRK </w:t>
      </w:r>
      <w:r>
        <w:t xml:space="preserve">gene fusions at lower </w:t>
      </w:r>
      <w:r w:rsidRPr="00E94F76">
        <w:t>frequencies</w:t>
      </w:r>
      <w:r w:rsidRPr="00E94F76">
        <w:rPr>
          <w:rStyle w:val="EndnoteReference"/>
        </w:rPr>
        <w:endnoteReference w:id="5"/>
      </w:r>
      <w:r w:rsidRPr="00E94F76">
        <w:t xml:space="preserve"> (</w:t>
      </w:r>
      <w:r w:rsidR="00CF0DD2">
        <w:t>the lower end [i.e.</w:t>
      </w:r>
      <w:r w:rsidR="00CF0DD2" w:rsidRPr="00CF0DD2">
        <w:t xml:space="preserve"> 5%-25%</w:t>
      </w:r>
      <w:r w:rsidR="00CF0DD2">
        <w:t xml:space="preserve">] of the </w:t>
      </w:r>
      <w:r>
        <w:t>intermediate</w:t>
      </w:r>
      <w:r w:rsidR="00CF0DD2">
        <w:t xml:space="preserve"> frequency category; and the </w:t>
      </w:r>
      <w:r>
        <w:t>low frequency category</w:t>
      </w:r>
      <w:r w:rsidR="00CF0DD2">
        <w:t xml:space="preserve"> [</w:t>
      </w:r>
      <w:r w:rsidRPr="00E94F76">
        <w:t>&lt;5%</w:t>
      </w:r>
      <w:r w:rsidR="00CF0DD2">
        <w:t>],</w:t>
      </w:r>
      <w:r w:rsidRPr="00E94F76">
        <w:t xml:space="preserve"> as defined in Penault-Llorca et al 2019). </w:t>
      </w:r>
    </w:p>
    <w:p w14:paraId="12248707" w14:textId="313BB3A0" w:rsidR="003905FD" w:rsidRDefault="003905FD" w:rsidP="00592A71">
      <w:r>
        <w:t xml:space="preserve">It is estimated that the annual incidence of </w:t>
      </w:r>
      <w:r w:rsidRPr="007D56AD">
        <w:rPr>
          <w:i/>
        </w:rPr>
        <w:t xml:space="preserve">NTRK </w:t>
      </w:r>
      <w:r>
        <w:t>gene fusions is between 1,500-5,000 people in the United States</w:t>
      </w:r>
      <w:r>
        <w:rPr>
          <w:rStyle w:val="EndnoteReference"/>
        </w:rPr>
        <w:endnoteReference w:id="6"/>
      </w:r>
      <w:r>
        <w:t xml:space="preserve">. </w:t>
      </w:r>
      <w:r>
        <w:fldChar w:fldCharType="begin"/>
      </w:r>
      <w:r>
        <w:instrText xml:space="preserve"> REF _Ref21939282 \h </w:instrText>
      </w:r>
      <w:r>
        <w:fldChar w:fldCharType="separate"/>
      </w:r>
      <w:r w:rsidR="004A0849" w:rsidRPr="00DB4AB4">
        <w:rPr>
          <w:rFonts w:asciiTheme="minorHAnsi" w:hAnsiTheme="minorHAnsi" w:cstheme="minorHAnsi"/>
        </w:rPr>
        <w:t xml:space="preserve">Table </w:t>
      </w:r>
      <w:r w:rsidR="004A0849">
        <w:rPr>
          <w:rFonts w:asciiTheme="minorHAnsi" w:hAnsiTheme="minorHAnsi" w:cstheme="minorHAnsi"/>
          <w:noProof/>
        </w:rPr>
        <w:t>1</w:t>
      </w:r>
      <w:r>
        <w:fldChar w:fldCharType="end"/>
      </w:r>
      <w:r>
        <w:t xml:space="preserve"> presents a list of high, intermediate and low frequency cancers</w:t>
      </w:r>
      <w:r w:rsidR="00CF0DD2">
        <w:t>,</w:t>
      </w:r>
      <w:r>
        <w:t xml:space="preserve"> and their respective gene fusions.</w:t>
      </w:r>
    </w:p>
    <w:p w14:paraId="017CD7B2" w14:textId="5C9C56D7" w:rsidR="003905FD" w:rsidRPr="00DB4AB4" w:rsidRDefault="003905FD" w:rsidP="00F23C86">
      <w:pPr>
        <w:pStyle w:val="Caption"/>
        <w:spacing w:after="0" w:line="360" w:lineRule="auto"/>
        <w:rPr>
          <w:rFonts w:asciiTheme="minorHAnsi" w:hAnsiTheme="minorHAnsi" w:cstheme="minorHAnsi"/>
          <w:sz w:val="22"/>
          <w:szCs w:val="22"/>
          <w:highlight w:val="yellow"/>
        </w:rPr>
      </w:pPr>
      <w:bookmarkStart w:id="5" w:name="_Ref21939282"/>
      <w:r w:rsidRPr="00DB4AB4">
        <w:rPr>
          <w:rFonts w:asciiTheme="minorHAnsi" w:hAnsiTheme="minorHAnsi" w:cstheme="minorHAnsi"/>
          <w:sz w:val="22"/>
          <w:szCs w:val="22"/>
        </w:rPr>
        <w:lastRenderedPageBreak/>
        <w:t xml:space="preserve">Table </w:t>
      </w:r>
      <w:r w:rsidRPr="00DB4AB4">
        <w:rPr>
          <w:rFonts w:asciiTheme="minorHAnsi" w:hAnsiTheme="minorHAnsi" w:cstheme="minorHAnsi"/>
          <w:sz w:val="22"/>
          <w:szCs w:val="22"/>
        </w:rPr>
        <w:fldChar w:fldCharType="begin"/>
      </w:r>
      <w:r w:rsidRPr="00DB4AB4">
        <w:rPr>
          <w:rFonts w:asciiTheme="minorHAnsi" w:hAnsiTheme="minorHAnsi" w:cstheme="minorHAnsi"/>
          <w:sz w:val="22"/>
          <w:szCs w:val="22"/>
        </w:rPr>
        <w:instrText xml:space="preserve"> SEQ Table \* ARABIC </w:instrText>
      </w:r>
      <w:r w:rsidRPr="00DB4AB4">
        <w:rPr>
          <w:rFonts w:asciiTheme="minorHAnsi" w:hAnsiTheme="minorHAnsi" w:cstheme="minorHAnsi"/>
          <w:sz w:val="22"/>
          <w:szCs w:val="22"/>
        </w:rPr>
        <w:fldChar w:fldCharType="separate"/>
      </w:r>
      <w:r w:rsidR="004A0849">
        <w:rPr>
          <w:rFonts w:asciiTheme="minorHAnsi" w:hAnsiTheme="minorHAnsi" w:cstheme="minorHAnsi"/>
          <w:noProof/>
          <w:sz w:val="22"/>
          <w:szCs w:val="22"/>
        </w:rPr>
        <w:t>1</w:t>
      </w:r>
      <w:r w:rsidRPr="00DB4AB4">
        <w:rPr>
          <w:rFonts w:asciiTheme="minorHAnsi" w:hAnsiTheme="minorHAnsi" w:cstheme="minorHAnsi"/>
          <w:sz w:val="22"/>
          <w:szCs w:val="22"/>
        </w:rPr>
        <w:fldChar w:fldCharType="end"/>
      </w:r>
      <w:bookmarkEnd w:id="5"/>
      <w:r w:rsidRPr="00DB4AB4">
        <w:rPr>
          <w:rFonts w:asciiTheme="minorHAnsi" w:hAnsiTheme="minorHAnsi" w:cstheme="minorHAnsi"/>
          <w:sz w:val="22"/>
          <w:szCs w:val="22"/>
        </w:rPr>
        <w:t xml:space="preserve">:  Frequency and types of </w:t>
      </w:r>
      <w:r w:rsidRPr="007D56AD">
        <w:rPr>
          <w:rFonts w:asciiTheme="minorHAnsi" w:hAnsiTheme="minorHAnsi" w:cstheme="minorHAnsi"/>
          <w:i/>
          <w:sz w:val="22"/>
          <w:szCs w:val="22"/>
        </w:rPr>
        <w:t>NTRK</w:t>
      </w:r>
      <w:r w:rsidRPr="00DB4AB4">
        <w:rPr>
          <w:rFonts w:asciiTheme="minorHAnsi" w:hAnsiTheme="minorHAnsi" w:cstheme="minorHAnsi"/>
          <w:sz w:val="22"/>
          <w:szCs w:val="22"/>
        </w:rPr>
        <w:t xml:space="preserve"> gene fusion cancers in adult and paediatric patients</w:t>
      </w:r>
    </w:p>
    <w:tbl>
      <w:tblPr>
        <w:tblStyle w:val="TableGrid"/>
        <w:tblW w:w="9185" w:type="dxa"/>
        <w:tblCellMar>
          <w:left w:w="28" w:type="dxa"/>
          <w:right w:w="28" w:type="dxa"/>
        </w:tblCellMar>
        <w:tblLook w:val="04A0" w:firstRow="1" w:lastRow="0" w:firstColumn="1" w:lastColumn="0" w:noHBand="0" w:noVBand="1"/>
        <w:tblCaption w:val="Table 1"/>
        <w:tblDescription w:val="Table"/>
      </w:tblPr>
      <w:tblGrid>
        <w:gridCol w:w="4672"/>
        <w:gridCol w:w="1505"/>
        <w:gridCol w:w="1505"/>
        <w:gridCol w:w="1503"/>
      </w:tblGrid>
      <w:tr w:rsidR="003905FD" w:rsidRPr="004F65DE" w14:paraId="620FBE51" w14:textId="0A44D7C6" w:rsidTr="00F23C86">
        <w:trPr>
          <w:trHeight w:val="227"/>
          <w:tblHeader/>
        </w:trPr>
        <w:tc>
          <w:tcPr>
            <w:tcW w:w="2544" w:type="pct"/>
            <w:shd w:val="clear" w:color="auto" w:fill="262626" w:themeFill="text1" w:themeFillTint="D9"/>
            <w:vAlign w:val="center"/>
          </w:tcPr>
          <w:p w14:paraId="780811EB" w14:textId="55513B3E" w:rsidR="003905FD" w:rsidRPr="00DA47F2" w:rsidRDefault="003905FD" w:rsidP="00F76B38">
            <w:pPr>
              <w:rPr>
                <w:b/>
                <w:bCs/>
                <w:sz w:val="18"/>
                <w:szCs w:val="18"/>
              </w:rPr>
            </w:pPr>
            <w:r w:rsidRPr="00DA47F2">
              <w:rPr>
                <w:b/>
                <w:bCs/>
                <w:sz w:val="18"/>
                <w:szCs w:val="18"/>
              </w:rPr>
              <w:t>Type of cancer</w:t>
            </w:r>
          </w:p>
        </w:tc>
        <w:tc>
          <w:tcPr>
            <w:tcW w:w="819" w:type="pct"/>
            <w:shd w:val="clear" w:color="auto" w:fill="262626" w:themeFill="text1" w:themeFillTint="D9"/>
            <w:vAlign w:val="center"/>
          </w:tcPr>
          <w:p w14:paraId="68A44B05" w14:textId="34FF7207" w:rsidR="003905FD" w:rsidRPr="00DA47F2" w:rsidRDefault="003905FD" w:rsidP="00DA47F2">
            <w:pPr>
              <w:jc w:val="center"/>
              <w:rPr>
                <w:b/>
                <w:bCs/>
                <w:sz w:val="18"/>
                <w:szCs w:val="18"/>
              </w:rPr>
            </w:pPr>
            <w:r w:rsidRPr="00DA47F2">
              <w:rPr>
                <w:b/>
                <w:bCs/>
                <w:sz w:val="18"/>
                <w:szCs w:val="18"/>
              </w:rPr>
              <w:t>Gene with NTRK fusion</w:t>
            </w:r>
          </w:p>
        </w:tc>
        <w:tc>
          <w:tcPr>
            <w:tcW w:w="819" w:type="pct"/>
            <w:shd w:val="clear" w:color="auto" w:fill="262626" w:themeFill="text1" w:themeFillTint="D9"/>
            <w:vAlign w:val="center"/>
          </w:tcPr>
          <w:p w14:paraId="01DEF954" w14:textId="02AA4597" w:rsidR="003905FD" w:rsidRPr="00DA47F2" w:rsidRDefault="003905FD" w:rsidP="00DA47F2">
            <w:pPr>
              <w:jc w:val="center"/>
              <w:rPr>
                <w:b/>
                <w:bCs/>
                <w:sz w:val="18"/>
                <w:szCs w:val="18"/>
              </w:rPr>
            </w:pPr>
            <w:r w:rsidRPr="00DA47F2">
              <w:rPr>
                <w:b/>
                <w:bCs/>
                <w:sz w:val="18"/>
                <w:szCs w:val="18"/>
              </w:rPr>
              <w:t>Frequency</w:t>
            </w:r>
          </w:p>
        </w:tc>
        <w:tc>
          <w:tcPr>
            <w:tcW w:w="819" w:type="pct"/>
            <w:shd w:val="clear" w:color="auto" w:fill="262626" w:themeFill="text1" w:themeFillTint="D9"/>
            <w:vAlign w:val="center"/>
          </w:tcPr>
          <w:p w14:paraId="0E168FFD" w14:textId="1866BA09" w:rsidR="003905FD" w:rsidRPr="00DA47F2" w:rsidRDefault="003905FD" w:rsidP="00DA47F2">
            <w:pPr>
              <w:jc w:val="center"/>
              <w:rPr>
                <w:b/>
                <w:bCs/>
                <w:sz w:val="18"/>
                <w:szCs w:val="18"/>
              </w:rPr>
            </w:pPr>
            <w:r w:rsidRPr="00DA47F2">
              <w:rPr>
                <w:b/>
                <w:bCs/>
                <w:sz w:val="18"/>
                <w:szCs w:val="18"/>
              </w:rPr>
              <w:t>Frequency classification</w:t>
            </w:r>
          </w:p>
        </w:tc>
      </w:tr>
      <w:tr w:rsidR="003905FD" w:rsidRPr="004F65DE" w14:paraId="3690D82E" w14:textId="129E9436" w:rsidTr="00F23C86">
        <w:tc>
          <w:tcPr>
            <w:tcW w:w="2544" w:type="pct"/>
            <w:shd w:val="clear" w:color="auto" w:fill="auto"/>
          </w:tcPr>
          <w:p w14:paraId="1105091D" w14:textId="6547D131" w:rsidR="003905FD" w:rsidRPr="00DA47F2" w:rsidRDefault="003905FD" w:rsidP="0021432C">
            <w:pPr>
              <w:rPr>
                <w:sz w:val="18"/>
                <w:szCs w:val="18"/>
              </w:rPr>
            </w:pPr>
            <w:r w:rsidRPr="00DA47F2">
              <w:rPr>
                <w:sz w:val="18"/>
                <w:szCs w:val="18"/>
              </w:rPr>
              <w:t>Breast secretory carcinoma</w:t>
            </w:r>
          </w:p>
        </w:tc>
        <w:tc>
          <w:tcPr>
            <w:tcW w:w="819" w:type="pct"/>
            <w:shd w:val="clear" w:color="auto" w:fill="auto"/>
          </w:tcPr>
          <w:p w14:paraId="093B664B" w14:textId="6D3C0349" w:rsidR="003905FD" w:rsidRPr="00DA47F2" w:rsidRDefault="003905FD" w:rsidP="0021432C">
            <w:pPr>
              <w:rPr>
                <w:i/>
                <w:iCs/>
                <w:sz w:val="18"/>
                <w:szCs w:val="18"/>
              </w:rPr>
            </w:pPr>
            <w:r w:rsidRPr="00DA47F2">
              <w:rPr>
                <w:i/>
                <w:iCs/>
                <w:sz w:val="18"/>
                <w:szCs w:val="18"/>
              </w:rPr>
              <w:t>NTRK3</w:t>
            </w:r>
          </w:p>
        </w:tc>
        <w:tc>
          <w:tcPr>
            <w:tcW w:w="819" w:type="pct"/>
            <w:shd w:val="clear" w:color="auto" w:fill="auto"/>
          </w:tcPr>
          <w:p w14:paraId="46D00D08" w14:textId="36C76608" w:rsidR="003905FD" w:rsidRPr="00DA47F2" w:rsidRDefault="003905FD" w:rsidP="0021432C">
            <w:pPr>
              <w:rPr>
                <w:sz w:val="18"/>
                <w:szCs w:val="18"/>
              </w:rPr>
            </w:pPr>
            <w:r w:rsidRPr="00DA47F2">
              <w:rPr>
                <w:sz w:val="18"/>
                <w:szCs w:val="18"/>
              </w:rPr>
              <w:t>96.0%</w:t>
            </w:r>
          </w:p>
        </w:tc>
        <w:tc>
          <w:tcPr>
            <w:tcW w:w="819" w:type="pct"/>
            <w:shd w:val="clear" w:color="auto" w:fill="auto"/>
          </w:tcPr>
          <w:p w14:paraId="68A8910A" w14:textId="7A1F0F06" w:rsidR="003905FD" w:rsidRPr="00DA47F2" w:rsidRDefault="003905FD" w:rsidP="0021432C">
            <w:pPr>
              <w:rPr>
                <w:sz w:val="18"/>
                <w:szCs w:val="18"/>
              </w:rPr>
            </w:pPr>
            <w:r w:rsidRPr="00DA47F2">
              <w:rPr>
                <w:sz w:val="18"/>
                <w:szCs w:val="18"/>
              </w:rPr>
              <w:t>High</w:t>
            </w:r>
          </w:p>
        </w:tc>
      </w:tr>
      <w:tr w:rsidR="003905FD" w:rsidRPr="004F65DE" w14:paraId="4A076D46" w14:textId="25D11A08" w:rsidTr="00F23C86">
        <w:tc>
          <w:tcPr>
            <w:tcW w:w="2544" w:type="pct"/>
            <w:shd w:val="clear" w:color="auto" w:fill="auto"/>
          </w:tcPr>
          <w:p w14:paraId="6DC2223E" w14:textId="10EAA433" w:rsidR="003905FD" w:rsidRPr="00DA47F2" w:rsidRDefault="003905FD" w:rsidP="0021432C">
            <w:pPr>
              <w:rPr>
                <w:sz w:val="18"/>
                <w:szCs w:val="18"/>
              </w:rPr>
            </w:pPr>
            <w:r w:rsidRPr="00DA47F2">
              <w:rPr>
                <w:sz w:val="18"/>
                <w:szCs w:val="18"/>
              </w:rPr>
              <w:t>Infantile fibrosarcoma</w:t>
            </w:r>
          </w:p>
        </w:tc>
        <w:tc>
          <w:tcPr>
            <w:tcW w:w="819" w:type="pct"/>
            <w:shd w:val="clear" w:color="auto" w:fill="auto"/>
          </w:tcPr>
          <w:p w14:paraId="4BA893F1" w14:textId="2554DBBB" w:rsidR="003905FD" w:rsidRPr="00DA47F2" w:rsidRDefault="003905FD" w:rsidP="0021432C">
            <w:pPr>
              <w:rPr>
                <w:sz w:val="18"/>
                <w:szCs w:val="18"/>
              </w:rPr>
            </w:pPr>
            <w:r w:rsidRPr="00DA47F2">
              <w:rPr>
                <w:i/>
                <w:iCs/>
                <w:sz w:val="18"/>
                <w:szCs w:val="18"/>
              </w:rPr>
              <w:t>NTRK3</w:t>
            </w:r>
          </w:p>
        </w:tc>
        <w:tc>
          <w:tcPr>
            <w:tcW w:w="819" w:type="pct"/>
            <w:shd w:val="clear" w:color="auto" w:fill="auto"/>
          </w:tcPr>
          <w:p w14:paraId="1D40624A" w14:textId="471F9E1F" w:rsidR="003905FD" w:rsidRPr="00DA47F2" w:rsidRDefault="003905FD" w:rsidP="0021432C">
            <w:pPr>
              <w:rPr>
                <w:sz w:val="18"/>
                <w:szCs w:val="18"/>
              </w:rPr>
            </w:pPr>
            <w:r w:rsidRPr="00DA47F2">
              <w:rPr>
                <w:sz w:val="18"/>
                <w:szCs w:val="18"/>
              </w:rPr>
              <w:t>95.5%</w:t>
            </w:r>
          </w:p>
        </w:tc>
        <w:tc>
          <w:tcPr>
            <w:tcW w:w="819" w:type="pct"/>
            <w:shd w:val="clear" w:color="auto" w:fill="auto"/>
          </w:tcPr>
          <w:p w14:paraId="61E05FE0" w14:textId="7C2E690C" w:rsidR="003905FD" w:rsidRPr="00DA47F2" w:rsidRDefault="003905FD" w:rsidP="0021432C">
            <w:pPr>
              <w:rPr>
                <w:sz w:val="18"/>
                <w:szCs w:val="18"/>
              </w:rPr>
            </w:pPr>
            <w:r w:rsidRPr="00DA47F2">
              <w:rPr>
                <w:sz w:val="18"/>
                <w:szCs w:val="18"/>
              </w:rPr>
              <w:t>High</w:t>
            </w:r>
          </w:p>
        </w:tc>
      </w:tr>
      <w:tr w:rsidR="003905FD" w:rsidRPr="004F65DE" w14:paraId="78025EB7" w14:textId="77CAEC56" w:rsidTr="00F23C86">
        <w:tc>
          <w:tcPr>
            <w:tcW w:w="2544" w:type="pct"/>
            <w:shd w:val="clear" w:color="auto" w:fill="auto"/>
          </w:tcPr>
          <w:p w14:paraId="19F7FFB5" w14:textId="46C64DFC" w:rsidR="003905FD" w:rsidRPr="00DA47F2" w:rsidRDefault="003905FD" w:rsidP="0021432C">
            <w:pPr>
              <w:rPr>
                <w:sz w:val="18"/>
                <w:szCs w:val="18"/>
              </w:rPr>
            </w:pPr>
            <w:r w:rsidRPr="00DA47F2">
              <w:rPr>
                <w:sz w:val="18"/>
                <w:szCs w:val="18"/>
              </w:rPr>
              <w:t>Mammary analogue secretory carcinoma</w:t>
            </w:r>
          </w:p>
        </w:tc>
        <w:tc>
          <w:tcPr>
            <w:tcW w:w="819" w:type="pct"/>
            <w:shd w:val="clear" w:color="auto" w:fill="auto"/>
          </w:tcPr>
          <w:p w14:paraId="5A197E19" w14:textId="437E5226" w:rsidR="003905FD" w:rsidRPr="00DA47F2" w:rsidRDefault="003905FD" w:rsidP="0021432C">
            <w:pPr>
              <w:rPr>
                <w:sz w:val="18"/>
                <w:szCs w:val="18"/>
              </w:rPr>
            </w:pPr>
            <w:r w:rsidRPr="00DA47F2">
              <w:rPr>
                <w:i/>
                <w:iCs/>
                <w:sz w:val="18"/>
                <w:szCs w:val="18"/>
              </w:rPr>
              <w:t>NTRK3</w:t>
            </w:r>
          </w:p>
        </w:tc>
        <w:tc>
          <w:tcPr>
            <w:tcW w:w="819" w:type="pct"/>
            <w:shd w:val="clear" w:color="auto" w:fill="auto"/>
          </w:tcPr>
          <w:p w14:paraId="1F075987" w14:textId="39E2CF2C" w:rsidR="003905FD" w:rsidRPr="00DA47F2" w:rsidRDefault="003905FD" w:rsidP="0021432C">
            <w:pPr>
              <w:rPr>
                <w:sz w:val="18"/>
                <w:szCs w:val="18"/>
              </w:rPr>
            </w:pPr>
            <w:r w:rsidRPr="00DA47F2">
              <w:rPr>
                <w:sz w:val="18"/>
                <w:szCs w:val="18"/>
              </w:rPr>
              <w:t>89.1%</w:t>
            </w:r>
          </w:p>
        </w:tc>
        <w:tc>
          <w:tcPr>
            <w:tcW w:w="819" w:type="pct"/>
            <w:shd w:val="clear" w:color="auto" w:fill="auto"/>
          </w:tcPr>
          <w:p w14:paraId="3ED9A8E3" w14:textId="6408B5E2" w:rsidR="003905FD" w:rsidRPr="00DA47F2" w:rsidRDefault="003905FD" w:rsidP="0021432C">
            <w:pPr>
              <w:rPr>
                <w:sz w:val="18"/>
                <w:szCs w:val="18"/>
              </w:rPr>
            </w:pPr>
            <w:r w:rsidRPr="00DA47F2">
              <w:rPr>
                <w:sz w:val="18"/>
                <w:szCs w:val="18"/>
              </w:rPr>
              <w:t>High</w:t>
            </w:r>
          </w:p>
        </w:tc>
      </w:tr>
      <w:tr w:rsidR="003905FD" w:rsidRPr="004F65DE" w14:paraId="02CFBE1F" w14:textId="3F30D9DE" w:rsidTr="00F23C86">
        <w:tc>
          <w:tcPr>
            <w:tcW w:w="2544" w:type="pct"/>
            <w:shd w:val="clear" w:color="auto" w:fill="auto"/>
          </w:tcPr>
          <w:p w14:paraId="0DF8880C" w14:textId="323B5AF4" w:rsidR="003905FD" w:rsidRPr="00DA47F2" w:rsidRDefault="003905FD" w:rsidP="0021432C">
            <w:pPr>
              <w:rPr>
                <w:sz w:val="18"/>
                <w:szCs w:val="18"/>
              </w:rPr>
            </w:pPr>
            <w:r w:rsidRPr="00DA47F2">
              <w:rPr>
                <w:sz w:val="18"/>
                <w:szCs w:val="18"/>
              </w:rPr>
              <w:t>Congenital mesoblastic nephroma</w:t>
            </w:r>
          </w:p>
        </w:tc>
        <w:tc>
          <w:tcPr>
            <w:tcW w:w="819" w:type="pct"/>
            <w:shd w:val="clear" w:color="auto" w:fill="auto"/>
          </w:tcPr>
          <w:p w14:paraId="1287E7B0" w14:textId="60226501" w:rsidR="003905FD" w:rsidRPr="00DA47F2" w:rsidRDefault="003905FD" w:rsidP="0021432C">
            <w:pPr>
              <w:rPr>
                <w:sz w:val="18"/>
                <w:szCs w:val="18"/>
              </w:rPr>
            </w:pPr>
            <w:r w:rsidRPr="00DA47F2">
              <w:rPr>
                <w:i/>
                <w:iCs/>
                <w:sz w:val="18"/>
                <w:szCs w:val="18"/>
              </w:rPr>
              <w:t>NTRK3</w:t>
            </w:r>
          </w:p>
        </w:tc>
        <w:tc>
          <w:tcPr>
            <w:tcW w:w="819" w:type="pct"/>
            <w:shd w:val="clear" w:color="auto" w:fill="auto"/>
          </w:tcPr>
          <w:p w14:paraId="02D00EAD" w14:textId="2D91BA7E" w:rsidR="003905FD" w:rsidRPr="00DA47F2" w:rsidRDefault="003905FD" w:rsidP="0021432C">
            <w:pPr>
              <w:rPr>
                <w:sz w:val="18"/>
                <w:szCs w:val="18"/>
              </w:rPr>
            </w:pPr>
            <w:r w:rsidRPr="00DA47F2">
              <w:rPr>
                <w:sz w:val="18"/>
                <w:szCs w:val="18"/>
              </w:rPr>
              <w:t>83.0%</w:t>
            </w:r>
          </w:p>
        </w:tc>
        <w:tc>
          <w:tcPr>
            <w:tcW w:w="819" w:type="pct"/>
            <w:shd w:val="clear" w:color="auto" w:fill="auto"/>
          </w:tcPr>
          <w:p w14:paraId="5022E57A" w14:textId="74BA30F8" w:rsidR="003905FD" w:rsidRPr="00DA47F2" w:rsidRDefault="003905FD" w:rsidP="0021432C">
            <w:pPr>
              <w:rPr>
                <w:sz w:val="18"/>
                <w:szCs w:val="18"/>
              </w:rPr>
            </w:pPr>
            <w:r w:rsidRPr="00DA47F2">
              <w:rPr>
                <w:sz w:val="18"/>
                <w:szCs w:val="18"/>
              </w:rPr>
              <w:t>High</w:t>
            </w:r>
          </w:p>
        </w:tc>
      </w:tr>
      <w:tr w:rsidR="003905FD" w:rsidRPr="004F65DE" w14:paraId="230CD76B" w14:textId="65CA4C44" w:rsidTr="00F23C86">
        <w:tc>
          <w:tcPr>
            <w:tcW w:w="2544" w:type="pct"/>
            <w:shd w:val="clear" w:color="auto" w:fill="auto"/>
          </w:tcPr>
          <w:p w14:paraId="76BD5260" w14:textId="3EA96754" w:rsidR="003905FD" w:rsidRPr="00DA47F2" w:rsidRDefault="003905FD" w:rsidP="0021432C">
            <w:pPr>
              <w:rPr>
                <w:sz w:val="18"/>
                <w:szCs w:val="18"/>
              </w:rPr>
            </w:pPr>
            <w:r w:rsidRPr="00DA47F2">
              <w:rPr>
                <w:sz w:val="18"/>
                <w:szCs w:val="18"/>
              </w:rPr>
              <w:t>Spitz tumours and spitzoid melanoma</w:t>
            </w:r>
          </w:p>
        </w:tc>
        <w:tc>
          <w:tcPr>
            <w:tcW w:w="819" w:type="pct"/>
            <w:shd w:val="clear" w:color="auto" w:fill="auto"/>
          </w:tcPr>
          <w:p w14:paraId="580E16AB" w14:textId="22308B7B" w:rsidR="003905FD" w:rsidRPr="00DA47F2" w:rsidRDefault="003905FD" w:rsidP="0021432C">
            <w:pPr>
              <w:rPr>
                <w:sz w:val="18"/>
                <w:szCs w:val="18"/>
              </w:rPr>
            </w:pPr>
            <w:r w:rsidRPr="00DA47F2">
              <w:rPr>
                <w:i/>
                <w:iCs/>
                <w:sz w:val="18"/>
                <w:szCs w:val="18"/>
              </w:rPr>
              <w:t>NTRK1</w:t>
            </w:r>
          </w:p>
        </w:tc>
        <w:tc>
          <w:tcPr>
            <w:tcW w:w="819" w:type="pct"/>
            <w:shd w:val="clear" w:color="auto" w:fill="auto"/>
          </w:tcPr>
          <w:p w14:paraId="2F8882C0" w14:textId="22D93810" w:rsidR="003905FD" w:rsidRPr="00DA47F2" w:rsidRDefault="003905FD" w:rsidP="0021432C">
            <w:pPr>
              <w:rPr>
                <w:sz w:val="18"/>
                <w:szCs w:val="18"/>
              </w:rPr>
            </w:pPr>
            <w:r w:rsidRPr="00DA47F2">
              <w:rPr>
                <w:sz w:val="18"/>
                <w:szCs w:val="18"/>
              </w:rPr>
              <w:t>16.4%</w:t>
            </w:r>
          </w:p>
        </w:tc>
        <w:tc>
          <w:tcPr>
            <w:tcW w:w="819" w:type="pct"/>
          </w:tcPr>
          <w:p w14:paraId="1CDCA978" w14:textId="6A1D03AC" w:rsidR="003905FD" w:rsidRPr="00DA47F2" w:rsidRDefault="003905FD" w:rsidP="0021432C">
            <w:pPr>
              <w:rPr>
                <w:sz w:val="18"/>
                <w:szCs w:val="18"/>
              </w:rPr>
            </w:pPr>
            <w:r>
              <w:rPr>
                <w:sz w:val="18"/>
                <w:szCs w:val="18"/>
              </w:rPr>
              <w:t>Intermediate</w:t>
            </w:r>
            <w:r w:rsidR="0012691B">
              <w:rPr>
                <w:sz w:val="18"/>
                <w:szCs w:val="18"/>
              </w:rPr>
              <w:t>*</w:t>
            </w:r>
          </w:p>
        </w:tc>
      </w:tr>
      <w:tr w:rsidR="003905FD" w:rsidRPr="004F65DE" w14:paraId="4F854E46" w14:textId="585E0F20" w:rsidTr="00F23C86">
        <w:tc>
          <w:tcPr>
            <w:tcW w:w="2544" w:type="pct"/>
            <w:shd w:val="clear" w:color="auto" w:fill="auto"/>
          </w:tcPr>
          <w:p w14:paraId="3EB0EB47" w14:textId="3B71684A" w:rsidR="003905FD" w:rsidRPr="00DA47F2" w:rsidRDefault="003905FD" w:rsidP="004933E9">
            <w:pPr>
              <w:rPr>
                <w:sz w:val="18"/>
                <w:szCs w:val="18"/>
              </w:rPr>
            </w:pPr>
            <w:r w:rsidRPr="00DA47F2">
              <w:rPr>
                <w:sz w:val="18"/>
                <w:szCs w:val="18"/>
              </w:rPr>
              <w:t>Papillary thyroid carcinoma</w:t>
            </w:r>
          </w:p>
        </w:tc>
        <w:tc>
          <w:tcPr>
            <w:tcW w:w="819" w:type="pct"/>
            <w:shd w:val="clear" w:color="auto" w:fill="auto"/>
          </w:tcPr>
          <w:p w14:paraId="243EE09B" w14:textId="40053823" w:rsidR="003905FD" w:rsidRPr="00DA47F2" w:rsidRDefault="003905FD" w:rsidP="004933E9">
            <w:pPr>
              <w:rPr>
                <w:sz w:val="18"/>
                <w:szCs w:val="18"/>
              </w:rPr>
            </w:pPr>
            <w:r w:rsidRPr="00DA47F2">
              <w:rPr>
                <w:i/>
                <w:iCs/>
                <w:sz w:val="18"/>
                <w:szCs w:val="18"/>
              </w:rPr>
              <w:t>NTRK1,3</w:t>
            </w:r>
          </w:p>
        </w:tc>
        <w:tc>
          <w:tcPr>
            <w:tcW w:w="819" w:type="pct"/>
            <w:shd w:val="clear" w:color="auto" w:fill="auto"/>
          </w:tcPr>
          <w:p w14:paraId="1B3B5DAC" w14:textId="008D8279" w:rsidR="003905FD" w:rsidRPr="00DA47F2" w:rsidRDefault="003905FD" w:rsidP="004933E9">
            <w:pPr>
              <w:rPr>
                <w:sz w:val="18"/>
                <w:szCs w:val="18"/>
              </w:rPr>
            </w:pPr>
            <w:r w:rsidRPr="00DA47F2">
              <w:rPr>
                <w:sz w:val="18"/>
                <w:szCs w:val="18"/>
              </w:rPr>
              <w:t>8.8%</w:t>
            </w:r>
          </w:p>
        </w:tc>
        <w:tc>
          <w:tcPr>
            <w:tcW w:w="819" w:type="pct"/>
          </w:tcPr>
          <w:p w14:paraId="2B7710BF" w14:textId="12063AAD" w:rsidR="003905FD" w:rsidRPr="00DA47F2" w:rsidRDefault="003905FD" w:rsidP="004933E9">
            <w:pPr>
              <w:rPr>
                <w:sz w:val="18"/>
                <w:szCs w:val="18"/>
              </w:rPr>
            </w:pPr>
            <w:r>
              <w:rPr>
                <w:sz w:val="18"/>
                <w:szCs w:val="18"/>
              </w:rPr>
              <w:t>Intermediate</w:t>
            </w:r>
            <w:r w:rsidR="0012691B">
              <w:rPr>
                <w:sz w:val="18"/>
                <w:szCs w:val="18"/>
              </w:rPr>
              <w:t>*</w:t>
            </w:r>
          </w:p>
        </w:tc>
      </w:tr>
      <w:tr w:rsidR="003905FD" w:rsidRPr="004F65DE" w14:paraId="7CAFFC53" w14:textId="11CA4C3A" w:rsidTr="00F23C86">
        <w:tc>
          <w:tcPr>
            <w:tcW w:w="2544" w:type="pct"/>
            <w:shd w:val="clear" w:color="auto" w:fill="auto"/>
          </w:tcPr>
          <w:p w14:paraId="4818B583" w14:textId="71CF4567" w:rsidR="003905FD" w:rsidRPr="00DA47F2" w:rsidRDefault="003905FD" w:rsidP="004933E9">
            <w:pPr>
              <w:rPr>
                <w:sz w:val="18"/>
                <w:szCs w:val="18"/>
              </w:rPr>
            </w:pPr>
            <w:r w:rsidRPr="00DA47F2">
              <w:rPr>
                <w:sz w:val="18"/>
                <w:szCs w:val="18"/>
              </w:rPr>
              <w:t>Intrahepatic cholangiocarcinoma</w:t>
            </w:r>
          </w:p>
        </w:tc>
        <w:tc>
          <w:tcPr>
            <w:tcW w:w="819" w:type="pct"/>
            <w:shd w:val="clear" w:color="auto" w:fill="auto"/>
          </w:tcPr>
          <w:p w14:paraId="76F83382" w14:textId="4B98DF6B" w:rsidR="003905FD" w:rsidRPr="00DA47F2" w:rsidRDefault="003905FD" w:rsidP="004933E9">
            <w:pPr>
              <w:rPr>
                <w:sz w:val="18"/>
                <w:szCs w:val="18"/>
              </w:rPr>
            </w:pPr>
            <w:r w:rsidRPr="00DA47F2">
              <w:rPr>
                <w:i/>
                <w:iCs/>
                <w:sz w:val="18"/>
                <w:szCs w:val="18"/>
              </w:rPr>
              <w:t>NTRK1</w:t>
            </w:r>
          </w:p>
        </w:tc>
        <w:tc>
          <w:tcPr>
            <w:tcW w:w="819" w:type="pct"/>
            <w:shd w:val="clear" w:color="auto" w:fill="auto"/>
          </w:tcPr>
          <w:p w14:paraId="2ADD0906" w14:textId="26724436" w:rsidR="003905FD" w:rsidRPr="00DA47F2" w:rsidRDefault="003905FD" w:rsidP="004933E9">
            <w:pPr>
              <w:rPr>
                <w:sz w:val="18"/>
                <w:szCs w:val="18"/>
              </w:rPr>
            </w:pPr>
            <w:r w:rsidRPr="00DA47F2">
              <w:rPr>
                <w:sz w:val="18"/>
                <w:szCs w:val="18"/>
              </w:rPr>
              <w:t>3.6%</w:t>
            </w:r>
          </w:p>
        </w:tc>
        <w:tc>
          <w:tcPr>
            <w:tcW w:w="819" w:type="pct"/>
          </w:tcPr>
          <w:p w14:paraId="18DB0292" w14:textId="23CA63F7" w:rsidR="003905FD" w:rsidRPr="00DA47F2" w:rsidRDefault="003905FD" w:rsidP="004933E9">
            <w:pPr>
              <w:rPr>
                <w:sz w:val="18"/>
                <w:szCs w:val="18"/>
              </w:rPr>
            </w:pPr>
            <w:r w:rsidRPr="00DA47F2">
              <w:rPr>
                <w:sz w:val="18"/>
                <w:szCs w:val="18"/>
              </w:rPr>
              <w:t>Low</w:t>
            </w:r>
          </w:p>
        </w:tc>
      </w:tr>
      <w:tr w:rsidR="003905FD" w:rsidRPr="004F65DE" w14:paraId="5D9A20D3" w14:textId="24FE690B" w:rsidTr="00F23C86">
        <w:tc>
          <w:tcPr>
            <w:tcW w:w="2544" w:type="pct"/>
            <w:shd w:val="clear" w:color="auto" w:fill="auto"/>
          </w:tcPr>
          <w:p w14:paraId="7231A551" w14:textId="40E975D2" w:rsidR="003905FD" w:rsidRPr="00DA47F2" w:rsidRDefault="003905FD" w:rsidP="004933E9">
            <w:pPr>
              <w:rPr>
                <w:sz w:val="18"/>
                <w:szCs w:val="18"/>
              </w:rPr>
            </w:pPr>
            <w:r w:rsidRPr="00DA47F2">
              <w:rPr>
                <w:sz w:val="18"/>
                <w:szCs w:val="18"/>
              </w:rPr>
              <w:t>Astrocytoma</w:t>
            </w:r>
          </w:p>
        </w:tc>
        <w:tc>
          <w:tcPr>
            <w:tcW w:w="819" w:type="pct"/>
            <w:shd w:val="clear" w:color="auto" w:fill="auto"/>
          </w:tcPr>
          <w:p w14:paraId="759FFF92" w14:textId="6195F2F6" w:rsidR="003905FD" w:rsidRPr="00DA47F2" w:rsidRDefault="003905FD" w:rsidP="004933E9">
            <w:pPr>
              <w:rPr>
                <w:sz w:val="18"/>
                <w:szCs w:val="18"/>
              </w:rPr>
            </w:pPr>
            <w:r w:rsidRPr="00DA47F2">
              <w:rPr>
                <w:i/>
                <w:iCs/>
                <w:sz w:val="18"/>
                <w:szCs w:val="18"/>
              </w:rPr>
              <w:t>NTRK2</w:t>
            </w:r>
          </w:p>
        </w:tc>
        <w:tc>
          <w:tcPr>
            <w:tcW w:w="819" w:type="pct"/>
            <w:shd w:val="clear" w:color="auto" w:fill="auto"/>
          </w:tcPr>
          <w:p w14:paraId="161C7AA7" w14:textId="0506B34B" w:rsidR="003905FD" w:rsidRPr="00DA47F2" w:rsidRDefault="003905FD" w:rsidP="004933E9">
            <w:pPr>
              <w:rPr>
                <w:sz w:val="18"/>
                <w:szCs w:val="18"/>
              </w:rPr>
            </w:pPr>
            <w:r w:rsidRPr="00DA47F2">
              <w:rPr>
                <w:sz w:val="18"/>
                <w:szCs w:val="18"/>
              </w:rPr>
              <w:t>3.1%</w:t>
            </w:r>
          </w:p>
        </w:tc>
        <w:tc>
          <w:tcPr>
            <w:tcW w:w="819" w:type="pct"/>
          </w:tcPr>
          <w:p w14:paraId="4F1081D8" w14:textId="7BF70FCF" w:rsidR="003905FD" w:rsidRPr="00DA47F2" w:rsidRDefault="003905FD" w:rsidP="004933E9">
            <w:pPr>
              <w:rPr>
                <w:sz w:val="18"/>
                <w:szCs w:val="18"/>
              </w:rPr>
            </w:pPr>
            <w:r w:rsidRPr="00DA47F2">
              <w:rPr>
                <w:sz w:val="18"/>
                <w:szCs w:val="18"/>
              </w:rPr>
              <w:t>Low</w:t>
            </w:r>
          </w:p>
        </w:tc>
      </w:tr>
      <w:tr w:rsidR="003905FD" w:rsidRPr="004F65DE" w14:paraId="0459DD97" w14:textId="475213CF" w:rsidTr="00F23C86">
        <w:tc>
          <w:tcPr>
            <w:tcW w:w="2544" w:type="pct"/>
            <w:shd w:val="clear" w:color="auto" w:fill="auto"/>
          </w:tcPr>
          <w:p w14:paraId="3A862D9E" w14:textId="2738BF03" w:rsidR="003905FD" w:rsidRPr="00DA47F2" w:rsidRDefault="003905FD" w:rsidP="004933E9">
            <w:pPr>
              <w:rPr>
                <w:sz w:val="18"/>
                <w:szCs w:val="18"/>
              </w:rPr>
            </w:pPr>
            <w:r w:rsidRPr="00DA47F2">
              <w:rPr>
                <w:sz w:val="18"/>
                <w:szCs w:val="18"/>
              </w:rPr>
              <w:t>High-grade glioma</w:t>
            </w:r>
          </w:p>
        </w:tc>
        <w:tc>
          <w:tcPr>
            <w:tcW w:w="819" w:type="pct"/>
            <w:shd w:val="clear" w:color="auto" w:fill="auto"/>
          </w:tcPr>
          <w:p w14:paraId="4890EB54" w14:textId="65FDA6AF" w:rsidR="003905FD" w:rsidRPr="00DA47F2" w:rsidRDefault="003905FD" w:rsidP="004933E9">
            <w:pPr>
              <w:rPr>
                <w:i/>
                <w:iCs/>
                <w:sz w:val="18"/>
                <w:szCs w:val="18"/>
              </w:rPr>
            </w:pPr>
            <w:r w:rsidRPr="00DA47F2">
              <w:rPr>
                <w:i/>
                <w:iCs/>
                <w:sz w:val="18"/>
                <w:szCs w:val="18"/>
              </w:rPr>
              <w:t>NTRK1,2,3</w:t>
            </w:r>
          </w:p>
        </w:tc>
        <w:tc>
          <w:tcPr>
            <w:tcW w:w="819" w:type="pct"/>
            <w:shd w:val="clear" w:color="auto" w:fill="auto"/>
          </w:tcPr>
          <w:p w14:paraId="7AA0C2B0" w14:textId="284846A4" w:rsidR="003905FD" w:rsidRPr="00DA47F2" w:rsidRDefault="003905FD" w:rsidP="004933E9">
            <w:pPr>
              <w:rPr>
                <w:sz w:val="18"/>
                <w:szCs w:val="18"/>
              </w:rPr>
            </w:pPr>
            <w:r w:rsidRPr="00DA47F2">
              <w:rPr>
                <w:sz w:val="18"/>
                <w:szCs w:val="18"/>
              </w:rPr>
              <w:t>2.1%</w:t>
            </w:r>
          </w:p>
        </w:tc>
        <w:tc>
          <w:tcPr>
            <w:tcW w:w="819" w:type="pct"/>
          </w:tcPr>
          <w:p w14:paraId="32CECBF5" w14:textId="56CBEAE0" w:rsidR="003905FD" w:rsidRPr="00DA47F2" w:rsidRDefault="003905FD" w:rsidP="004933E9">
            <w:pPr>
              <w:rPr>
                <w:sz w:val="18"/>
                <w:szCs w:val="18"/>
              </w:rPr>
            </w:pPr>
            <w:r w:rsidRPr="00DA47F2">
              <w:rPr>
                <w:sz w:val="18"/>
                <w:szCs w:val="18"/>
              </w:rPr>
              <w:t>Low</w:t>
            </w:r>
          </w:p>
        </w:tc>
      </w:tr>
      <w:tr w:rsidR="003905FD" w:rsidRPr="004F65DE" w14:paraId="3D8600FA" w14:textId="42735517" w:rsidTr="00F23C86">
        <w:tc>
          <w:tcPr>
            <w:tcW w:w="2544" w:type="pct"/>
            <w:shd w:val="clear" w:color="auto" w:fill="auto"/>
          </w:tcPr>
          <w:p w14:paraId="3F26E544" w14:textId="03B879DB" w:rsidR="003905FD" w:rsidRPr="00DA47F2" w:rsidRDefault="003905FD" w:rsidP="004933E9">
            <w:pPr>
              <w:rPr>
                <w:sz w:val="18"/>
                <w:szCs w:val="18"/>
              </w:rPr>
            </w:pPr>
            <w:r w:rsidRPr="00DA47F2">
              <w:rPr>
                <w:sz w:val="18"/>
                <w:szCs w:val="18"/>
              </w:rPr>
              <w:t>Uterine sarcoma</w:t>
            </w:r>
          </w:p>
        </w:tc>
        <w:tc>
          <w:tcPr>
            <w:tcW w:w="819" w:type="pct"/>
            <w:shd w:val="clear" w:color="auto" w:fill="auto"/>
          </w:tcPr>
          <w:p w14:paraId="52363566" w14:textId="4A92D573" w:rsidR="003905FD" w:rsidRPr="00DA47F2" w:rsidRDefault="003905FD" w:rsidP="004933E9">
            <w:pPr>
              <w:rPr>
                <w:sz w:val="18"/>
                <w:szCs w:val="18"/>
              </w:rPr>
            </w:pPr>
            <w:r w:rsidRPr="00DA47F2">
              <w:rPr>
                <w:i/>
                <w:iCs/>
                <w:sz w:val="18"/>
                <w:szCs w:val="18"/>
              </w:rPr>
              <w:t>NTRK1,3</w:t>
            </w:r>
          </w:p>
        </w:tc>
        <w:tc>
          <w:tcPr>
            <w:tcW w:w="819" w:type="pct"/>
            <w:shd w:val="clear" w:color="auto" w:fill="auto"/>
          </w:tcPr>
          <w:p w14:paraId="04AB5FC7" w14:textId="17D76EB8" w:rsidR="003905FD" w:rsidRPr="00DA47F2" w:rsidRDefault="003905FD" w:rsidP="004933E9">
            <w:pPr>
              <w:rPr>
                <w:sz w:val="18"/>
                <w:szCs w:val="18"/>
              </w:rPr>
            </w:pPr>
            <w:r w:rsidRPr="00DA47F2">
              <w:rPr>
                <w:sz w:val="18"/>
                <w:szCs w:val="18"/>
              </w:rPr>
              <w:t>2.1%</w:t>
            </w:r>
          </w:p>
        </w:tc>
        <w:tc>
          <w:tcPr>
            <w:tcW w:w="819" w:type="pct"/>
          </w:tcPr>
          <w:p w14:paraId="5D941A16" w14:textId="42FC81D1" w:rsidR="003905FD" w:rsidRPr="00DA47F2" w:rsidRDefault="003905FD" w:rsidP="004933E9">
            <w:pPr>
              <w:rPr>
                <w:sz w:val="18"/>
                <w:szCs w:val="18"/>
              </w:rPr>
            </w:pPr>
            <w:r w:rsidRPr="00DA47F2">
              <w:rPr>
                <w:sz w:val="18"/>
                <w:szCs w:val="18"/>
              </w:rPr>
              <w:t>Low</w:t>
            </w:r>
          </w:p>
        </w:tc>
      </w:tr>
      <w:tr w:rsidR="003905FD" w:rsidRPr="004F65DE" w14:paraId="33C57090" w14:textId="15B9A9D1" w:rsidTr="00F23C86">
        <w:tc>
          <w:tcPr>
            <w:tcW w:w="2544" w:type="pct"/>
            <w:shd w:val="clear" w:color="auto" w:fill="auto"/>
          </w:tcPr>
          <w:p w14:paraId="0A113C28" w14:textId="40AA956A" w:rsidR="003905FD" w:rsidRPr="00DA47F2" w:rsidRDefault="003905FD" w:rsidP="004933E9">
            <w:pPr>
              <w:rPr>
                <w:sz w:val="18"/>
                <w:szCs w:val="18"/>
              </w:rPr>
            </w:pPr>
            <w:r w:rsidRPr="00DA47F2">
              <w:rPr>
                <w:sz w:val="18"/>
                <w:szCs w:val="18"/>
              </w:rPr>
              <w:t>Gastrointestinal stromal tumours</w:t>
            </w:r>
          </w:p>
        </w:tc>
        <w:tc>
          <w:tcPr>
            <w:tcW w:w="819" w:type="pct"/>
            <w:shd w:val="clear" w:color="auto" w:fill="auto"/>
          </w:tcPr>
          <w:p w14:paraId="523D911D" w14:textId="7E136A06" w:rsidR="003905FD" w:rsidRPr="00DA47F2" w:rsidRDefault="003905FD" w:rsidP="004933E9">
            <w:pPr>
              <w:rPr>
                <w:sz w:val="18"/>
                <w:szCs w:val="18"/>
              </w:rPr>
            </w:pPr>
            <w:r w:rsidRPr="00DA47F2">
              <w:rPr>
                <w:i/>
                <w:iCs/>
                <w:sz w:val="18"/>
                <w:szCs w:val="18"/>
              </w:rPr>
              <w:t>NTRK3</w:t>
            </w:r>
          </w:p>
        </w:tc>
        <w:tc>
          <w:tcPr>
            <w:tcW w:w="819" w:type="pct"/>
            <w:shd w:val="clear" w:color="auto" w:fill="auto"/>
          </w:tcPr>
          <w:p w14:paraId="1EF4E36C" w14:textId="017D0FED" w:rsidR="003905FD" w:rsidRPr="00DA47F2" w:rsidRDefault="003905FD" w:rsidP="004933E9">
            <w:pPr>
              <w:rPr>
                <w:sz w:val="18"/>
                <w:szCs w:val="18"/>
              </w:rPr>
            </w:pPr>
            <w:r w:rsidRPr="00DA47F2">
              <w:rPr>
                <w:sz w:val="18"/>
                <w:szCs w:val="18"/>
              </w:rPr>
              <w:t>1.9%</w:t>
            </w:r>
          </w:p>
        </w:tc>
        <w:tc>
          <w:tcPr>
            <w:tcW w:w="819" w:type="pct"/>
          </w:tcPr>
          <w:p w14:paraId="0EB47904" w14:textId="56C34E6E" w:rsidR="003905FD" w:rsidRPr="00DA47F2" w:rsidRDefault="003905FD" w:rsidP="004933E9">
            <w:pPr>
              <w:rPr>
                <w:sz w:val="18"/>
                <w:szCs w:val="18"/>
              </w:rPr>
            </w:pPr>
            <w:r w:rsidRPr="00DA47F2">
              <w:rPr>
                <w:sz w:val="18"/>
                <w:szCs w:val="18"/>
              </w:rPr>
              <w:t>Low</w:t>
            </w:r>
          </w:p>
        </w:tc>
      </w:tr>
      <w:tr w:rsidR="003905FD" w:rsidRPr="004F65DE" w14:paraId="6E7CB8E1" w14:textId="3C9349DF" w:rsidTr="00F23C86">
        <w:tc>
          <w:tcPr>
            <w:tcW w:w="2544" w:type="pct"/>
            <w:shd w:val="clear" w:color="auto" w:fill="auto"/>
          </w:tcPr>
          <w:p w14:paraId="52EB5DD4" w14:textId="3240B6E6" w:rsidR="003905FD" w:rsidRPr="00DA47F2" w:rsidRDefault="003905FD" w:rsidP="004933E9">
            <w:pPr>
              <w:rPr>
                <w:sz w:val="18"/>
                <w:szCs w:val="18"/>
              </w:rPr>
            </w:pPr>
            <w:r w:rsidRPr="00DA47F2">
              <w:rPr>
                <w:sz w:val="18"/>
                <w:szCs w:val="18"/>
              </w:rPr>
              <w:t>Lung cancer</w:t>
            </w:r>
          </w:p>
        </w:tc>
        <w:tc>
          <w:tcPr>
            <w:tcW w:w="819" w:type="pct"/>
            <w:shd w:val="clear" w:color="auto" w:fill="auto"/>
          </w:tcPr>
          <w:p w14:paraId="2A7B60F6" w14:textId="215D8567" w:rsidR="003905FD" w:rsidRPr="00DA47F2" w:rsidRDefault="003905FD" w:rsidP="004933E9">
            <w:pPr>
              <w:rPr>
                <w:sz w:val="18"/>
                <w:szCs w:val="18"/>
              </w:rPr>
            </w:pPr>
            <w:r w:rsidRPr="00DA47F2">
              <w:rPr>
                <w:i/>
                <w:iCs/>
                <w:sz w:val="18"/>
                <w:szCs w:val="18"/>
              </w:rPr>
              <w:t>NTRK1,2</w:t>
            </w:r>
          </w:p>
        </w:tc>
        <w:tc>
          <w:tcPr>
            <w:tcW w:w="819" w:type="pct"/>
            <w:shd w:val="clear" w:color="auto" w:fill="auto"/>
          </w:tcPr>
          <w:p w14:paraId="5A439A21" w14:textId="06C82BB6" w:rsidR="003905FD" w:rsidRPr="00DA47F2" w:rsidRDefault="003905FD" w:rsidP="004933E9">
            <w:pPr>
              <w:rPr>
                <w:sz w:val="18"/>
                <w:szCs w:val="18"/>
              </w:rPr>
            </w:pPr>
            <w:r w:rsidRPr="00DA47F2">
              <w:rPr>
                <w:sz w:val="18"/>
                <w:szCs w:val="18"/>
              </w:rPr>
              <w:t>1.7%</w:t>
            </w:r>
          </w:p>
        </w:tc>
        <w:tc>
          <w:tcPr>
            <w:tcW w:w="819" w:type="pct"/>
          </w:tcPr>
          <w:p w14:paraId="7985CB6C" w14:textId="2CB735C1" w:rsidR="003905FD" w:rsidRPr="00DA47F2" w:rsidRDefault="003905FD" w:rsidP="004933E9">
            <w:pPr>
              <w:rPr>
                <w:sz w:val="18"/>
                <w:szCs w:val="18"/>
              </w:rPr>
            </w:pPr>
            <w:r w:rsidRPr="00DA47F2">
              <w:rPr>
                <w:sz w:val="18"/>
                <w:szCs w:val="18"/>
              </w:rPr>
              <w:t>Low</w:t>
            </w:r>
          </w:p>
        </w:tc>
      </w:tr>
      <w:tr w:rsidR="003905FD" w:rsidRPr="004F65DE" w14:paraId="00DB6E7A" w14:textId="1CD9DF27" w:rsidTr="00F23C86">
        <w:tc>
          <w:tcPr>
            <w:tcW w:w="2544" w:type="pct"/>
            <w:shd w:val="clear" w:color="auto" w:fill="auto"/>
          </w:tcPr>
          <w:p w14:paraId="56C2B5C2" w14:textId="0E924521" w:rsidR="003905FD" w:rsidRPr="00DA47F2" w:rsidRDefault="003905FD" w:rsidP="004933E9">
            <w:pPr>
              <w:rPr>
                <w:sz w:val="18"/>
                <w:szCs w:val="18"/>
              </w:rPr>
            </w:pPr>
            <w:r w:rsidRPr="00DA47F2">
              <w:rPr>
                <w:sz w:val="18"/>
                <w:szCs w:val="18"/>
              </w:rPr>
              <w:t>Thyroid carcinoma</w:t>
            </w:r>
          </w:p>
        </w:tc>
        <w:tc>
          <w:tcPr>
            <w:tcW w:w="819" w:type="pct"/>
            <w:shd w:val="clear" w:color="auto" w:fill="auto"/>
          </w:tcPr>
          <w:p w14:paraId="06C3AD52" w14:textId="7C7E6010" w:rsidR="003905FD" w:rsidRPr="00DA47F2" w:rsidRDefault="003905FD" w:rsidP="004933E9">
            <w:pPr>
              <w:rPr>
                <w:sz w:val="18"/>
                <w:szCs w:val="18"/>
              </w:rPr>
            </w:pPr>
            <w:r w:rsidRPr="00DA47F2">
              <w:rPr>
                <w:i/>
                <w:iCs/>
                <w:sz w:val="18"/>
                <w:szCs w:val="18"/>
              </w:rPr>
              <w:t>NTRK1,3</w:t>
            </w:r>
          </w:p>
        </w:tc>
        <w:tc>
          <w:tcPr>
            <w:tcW w:w="819" w:type="pct"/>
            <w:shd w:val="clear" w:color="auto" w:fill="auto"/>
          </w:tcPr>
          <w:p w14:paraId="1BDCCE1A" w14:textId="300633DC" w:rsidR="003905FD" w:rsidRPr="00DA47F2" w:rsidRDefault="003905FD" w:rsidP="004933E9">
            <w:pPr>
              <w:rPr>
                <w:sz w:val="18"/>
                <w:szCs w:val="18"/>
              </w:rPr>
            </w:pPr>
            <w:r w:rsidRPr="00DA47F2">
              <w:rPr>
                <w:sz w:val="18"/>
                <w:szCs w:val="18"/>
              </w:rPr>
              <w:t>1.2%</w:t>
            </w:r>
          </w:p>
        </w:tc>
        <w:tc>
          <w:tcPr>
            <w:tcW w:w="819" w:type="pct"/>
          </w:tcPr>
          <w:p w14:paraId="6D52AAD0" w14:textId="3382DC68" w:rsidR="003905FD" w:rsidRPr="00DA47F2" w:rsidRDefault="003905FD" w:rsidP="004933E9">
            <w:pPr>
              <w:rPr>
                <w:sz w:val="18"/>
                <w:szCs w:val="18"/>
              </w:rPr>
            </w:pPr>
            <w:r w:rsidRPr="00DA47F2">
              <w:rPr>
                <w:sz w:val="18"/>
                <w:szCs w:val="18"/>
              </w:rPr>
              <w:t>Low</w:t>
            </w:r>
          </w:p>
        </w:tc>
      </w:tr>
      <w:tr w:rsidR="003905FD" w:rsidRPr="004F65DE" w14:paraId="262F736C" w14:textId="176FF0FD" w:rsidTr="00F23C86">
        <w:tc>
          <w:tcPr>
            <w:tcW w:w="2544" w:type="pct"/>
            <w:shd w:val="clear" w:color="auto" w:fill="auto"/>
          </w:tcPr>
          <w:p w14:paraId="6A93511C" w14:textId="4969E937" w:rsidR="003905FD" w:rsidRPr="00DA47F2" w:rsidRDefault="003905FD" w:rsidP="004933E9">
            <w:pPr>
              <w:rPr>
                <w:sz w:val="18"/>
                <w:szCs w:val="18"/>
              </w:rPr>
            </w:pPr>
            <w:r w:rsidRPr="00DA47F2">
              <w:rPr>
                <w:sz w:val="18"/>
                <w:szCs w:val="18"/>
              </w:rPr>
              <w:t>Glioblastoma</w:t>
            </w:r>
          </w:p>
        </w:tc>
        <w:tc>
          <w:tcPr>
            <w:tcW w:w="819" w:type="pct"/>
            <w:shd w:val="clear" w:color="auto" w:fill="auto"/>
          </w:tcPr>
          <w:p w14:paraId="309B811B" w14:textId="2387F2D2" w:rsidR="003905FD" w:rsidRPr="00DA47F2" w:rsidRDefault="003905FD" w:rsidP="004933E9">
            <w:pPr>
              <w:rPr>
                <w:sz w:val="18"/>
                <w:szCs w:val="18"/>
              </w:rPr>
            </w:pPr>
            <w:r w:rsidRPr="00DA47F2">
              <w:rPr>
                <w:i/>
                <w:iCs/>
                <w:sz w:val="18"/>
                <w:szCs w:val="18"/>
              </w:rPr>
              <w:t>NTRK1,2</w:t>
            </w:r>
          </w:p>
        </w:tc>
        <w:tc>
          <w:tcPr>
            <w:tcW w:w="819" w:type="pct"/>
            <w:shd w:val="clear" w:color="auto" w:fill="auto"/>
          </w:tcPr>
          <w:p w14:paraId="58B4ABCB" w14:textId="38D9C677" w:rsidR="003905FD" w:rsidRPr="00DA47F2" w:rsidRDefault="003905FD" w:rsidP="004933E9">
            <w:pPr>
              <w:rPr>
                <w:sz w:val="18"/>
                <w:szCs w:val="18"/>
              </w:rPr>
            </w:pPr>
            <w:r w:rsidRPr="00DA47F2">
              <w:rPr>
                <w:sz w:val="18"/>
                <w:szCs w:val="18"/>
              </w:rPr>
              <w:t>1.2%</w:t>
            </w:r>
          </w:p>
        </w:tc>
        <w:tc>
          <w:tcPr>
            <w:tcW w:w="819" w:type="pct"/>
          </w:tcPr>
          <w:p w14:paraId="3C7CE477" w14:textId="75C418FC" w:rsidR="003905FD" w:rsidRPr="00DA47F2" w:rsidRDefault="003905FD" w:rsidP="004933E9">
            <w:pPr>
              <w:rPr>
                <w:sz w:val="18"/>
                <w:szCs w:val="18"/>
              </w:rPr>
            </w:pPr>
            <w:r w:rsidRPr="00DA47F2">
              <w:rPr>
                <w:sz w:val="18"/>
                <w:szCs w:val="18"/>
              </w:rPr>
              <w:t>Low</w:t>
            </w:r>
          </w:p>
        </w:tc>
      </w:tr>
      <w:tr w:rsidR="003905FD" w:rsidRPr="004F65DE" w14:paraId="064FB933" w14:textId="1E5578CF" w:rsidTr="00F23C86">
        <w:tc>
          <w:tcPr>
            <w:tcW w:w="2544" w:type="pct"/>
            <w:shd w:val="clear" w:color="auto" w:fill="auto"/>
          </w:tcPr>
          <w:p w14:paraId="7D5A2EFF" w14:textId="7535BC5E" w:rsidR="003905FD" w:rsidRPr="00DA47F2" w:rsidRDefault="003905FD" w:rsidP="004933E9">
            <w:pPr>
              <w:rPr>
                <w:sz w:val="18"/>
                <w:szCs w:val="18"/>
              </w:rPr>
            </w:pPr>
            <w:r w:rsidRPr="00DA47F2">
              <w:rPr>
                <w:sz w:val="18"/>
                <w:szCs w:val="18"/>
              </w:rPr>
              <w:t>Sarcoma</w:t>
            </w:r>
          </w:p>
        </w:tc>
        <w:tc>
          <w:tcPr>
            <w:tcW w:w="819" w:type="pct"/>
            <w:shd w:val="clear" w:color="auto" w:fill="auto"/>
          </w:tcPr>
          <w:p w14:paraId="07C9EB1F" w14:textId="7A2E0D44" w:rsidR="003905FD" w:rsidRPr="00DA47F2" w:rsidRDefault="003905FD" w:rsidP="004933E9">
            <w:pPr>
              <w:rPr>
                <w:sz w:val="18"/>
                <w:szCs w:val="18"/>
              </w:rPr>
            </w:pPr>
            <w:r w:rsidRPr="00DA47F2">
              <w:rPr>
                <w:i/>
                <w:iCs/>
                <w:sz w:val="18"/>
                <w:szCs w:val="18"/>
              </w:rPr>
              <w:t>NTRK1</w:t>
            </w:r>
          </w:p>
        </w:tc>
        <w:tc>
          <w:tcPr>
            <w:tcW w:w="819" w:type="pct"/>
            <w:shd w:val="clear" w:color="auto" w:fill="auto"/>
          </w:tcPr>
          <w:p w14:paraId="684DA8C0" w14:textId="736F61C0" w:rsidR="003905FD" w:rsidRPr="00DA47F2" w:rsidRDefault="003905FD" w:rsidP="004933E9">
            <w:pPr>
              <w:rPr>
                <w:sz w:val="18"/>
                <w:szCs w:val="18"/>
              </w:rPr>
            </w:pPr>
            <w:r w:rsidRPr="00DA47F2">
              <w:rPr>
                <w:sz w:val="18"/>
                <w:szCs w:val="18"/>
              </w:rPr>
              <w:t>1.0%</w:t>
            </w:r>
          </w:p>
        </w:tc>
        <w:tc>
          <w:tcPr>
            <w:tcW w:w="819" w:type="pct"/>
          </w:tcPr>
          <w:p w14:paraId="50084CEE" w14:textId="1D4DAA47" w:rsidR="003905FD" w:rsidRPr="00DA47F2" w:rsidRDefault="003905FD" w:rsidP="004933E9">
            <w:pPr>
              <w:rPr>
                <w:sz w:val="18"/>
                <w:szCs w:val="18"/>
              </w:rPr>
            </w:pPr>
            <w:r w:rsidRPr="00DA47F2">
              <w:rPr>
                <w:sz w:val="18"/>
                <w:szCs w:val="18"/>
              </w:rPr>
              <w:t>Low</w:t>
            </w:r>
          </w:p>
        </w:tc>
      </w:tr>
      <w:tr w:rsidR="003905FD" w:rsidRPr="004F65DE" w14:paraId="7AFD768E" w14:textId="697C14FC" w:rsidTr="00F23C86">
        <w:tc>
          <w:tcPr>
            <w:tcW w:w="2544" w:type="pct"/>
            <w:shd w:val="clear" w:color="auto" w:fill="auto"/>
          </w:tcPr>
          <w:p w14:paraId="6CA45A38" w14:textId="6B32C751" w:rsidR="003905FD" w:rsidRPr="00DA47F2" w:rsidRDefault="003905FD" w:rsidP="004933E9">
            <w:pPr>
              <w:rPr>
                <w:sz w:val="18"/>
                <w:szCs w:val="18"/>
              </w:rPr>
            </w:pPr>
            <w:r w:rsidRPr="00DA47F2">
              <w:rPr>
                <w:sz w:val="18"/>
                <w:szCs w:val="18"/>
              </w:rPr>
              <w:t>Philadelphia chromosome-like acute lymphoblastic leukaemia</w:t>
            </w:r>
          </w:p>
        </w:tc>
        <w:tc>
          <w:tcPr>
            <w:tcW w:w="819" w:type="pct"/>
            <w:shd w:val="clear" w:color="auto" w:fill="auto"/>
          </w:tcPr>
          <w:p w14:paraId="7825FB58" w14:textId="53BFDBE5" w:rsidR="003905FD" w:rsidRPr="00DA47F2" w:rsidRDefault="003905FD" w:rsidP="004933E9">
            <w:pPr>
              <w:rPr>
                <w:sz w:val="18"/>
                <w:szCs w:val="18"/>
              </w:rPr>
            </w:pPr>
            <w:r w:rsidRPr="00DA47F2">
              <w:rPr>
                <w:i/>
                <w:iCs/>
                <w:sz w:val="18"/>
                <w:szCs w:val="18"/>
              </w:rPr>
              <w:t>NTRK3</w:t>
            </w:r>
          </w:p>
        </w:tc>
        <w:tc>
          <w:tcPr>
            <w:tcW w:w="819" w:type="pct"/>
            <w:shd w:val="clear" w:color="auto" w:fill="auto"/>
          </w:tcPr>
          <w:p w14:paraId="6428597A" w14:textId="7C0A1A74" w:rsidR="003905FD" w:rsidRPr="00DA47F2" w:rsidRDefault="003905FD" w:rsidP="004933E9">
            <w:pPr>
              <w:rPr>
                <w:sz w:val="18"/>
                <w:szCs w:val="18"/>
              </w:rPr>
            </w:pPr>
            <w:r w:rsidRPr="00DA47F2">
              <w:rPr>
                <w:sz w:val="18"/>
                <w:szCs w:val="18"/>
              </w:rPr>
              <w:t>0.7%</w:t>
            </w:r>
          </w:p>
        </w:tc>
        <w:tc>
          <w:tcPr>
            <w:tcW w:w="819" w:type="pct"/>
          </w:tcPr>
          <w:p w14:paraId="583DEF2C" w14:textId="397BDC67" w:rsidR="003905FD" w:rsidRPr="00DA47F2" w:rsidRDefault="003905FD" w:rsidP="004933E9">
            <w:pPr>
              <w:rPr>
                <w:sz w:val="18"/>
                <w:szCs w:val="18"/>
              </w:rPr>
            </w:pPr>
            <w:r w:rsidRPr="00DA47F2">
              <w:rPr>
                <w:sz w:val="18"/>
                <w:szCs w:val="18"/>
              </w:rPr>
              <w:t>Low</w:t>
            </w:r>
          </w:p>
        </w:tc>
      </w:tr>
      <w:tr w:rsidR="003905FD" w:rsidRPr="004F65DE" w14:paraId="16362285" w14:textId="5B0D4CD7" w:rsidTr="00F23C86">
        <w:tc>
          <w:tcPr>
            <w:tcW w:w="2544" w:type="pct"/>
            <w:shd w:val="clear" w:color="auto" w:fill="auto"/>
          </w:tcPr>
          <w:p w14:paraId="3C4F510F" w14:textId="2B94C525" w:rsidR="003905FD" w:rsidRPr="00DA47F2" w:rsidRDefault="003905FD" w:rsidP="004933E9">
            <w:pPr>
              <w:rPr>
                <w:sz w:val="18"/>
                <w:szCs w:val="18"/>
              </w:rPr>
            </w:pPr>
            <w:r w:rsidRPr="00DA47F2">
              <w:rPr>
                <w:sz w:val="18"/>
                <w:szCs w:val="18"/>
              </w:rPr>
              <w:t>Colorectal cancer</w:t>
            </w:r>
          </w:p>
        </w:tc>
        <w:tc>
          <w:tcPr>
            <w:tcW w:w="819" w:type="pct"/>
            <w:shd w:val="clear" w:color="auto" w:fill="auto"/>
          </w:tcPr>
          <w:p w14:paraId="49E57787" w14:textId="29237738" w:rsidR="003905FD" w:rsidRPr="00DA47F2" w:rsidRDefault="003905FD" w:rsidP="004933E9">
            <w:pPr>
              <w:rPr>
                <w:sz w:val="18"/>
                <w:szCs w:val="18"/>
              </w:rPr>
            </w:pPr>
            <w:r w:rsidRPr="00DA47F2">
              <w:rPr>
                <w:i/>
                <w:iCs/>
                <w:sz w:val="18"/>
                <w:szCs w:val="18"/>
              </w:rPr>
              <w:t>NTRK1,3</w:t>
            </w:r>
          </w:p>
        </w:tc>
        <w:tc>
          <w:tcPr>
            <w:tcW w:w="819" w:type="pct"/>
            <w:shd w:val="clear" w:color="auto" w:fill="auto"/>
          </w:tcPr>
          <w:p w14:paraId="03275009" w14:textId="27D24E41" w:rsidR="003905FD" w:rsidRPr="00DA47F2" w:rsidRDefault="003905FD" w:rsidP="004933E9">
            <w:pPr>
              <w:rPr>
                <w:sz w:val="18"/>
                <w:szCs w:val="18"/>
              </w:rPr>
            </w:pPr>
            <w:r w:rsidRPr="00DA47F2">
              <w:rPr>
                <w:sz w:val="18"/>
                <w:szCs w:val="18"/>
              </w:rPr>
              <w:t>0.61%</w:t>
            </w:r>
          </w:p>
        </w:tc>
        <w:tc>
          <w:tcPr>
            <w:tcW w:w="819" w:type="pct"/>
          </w:tcPr>
          <w:p w14:paraId="2849B67D" w14:textId="57AECCBE" w:rsidR="003905FD" w:rsidRPr="00DA47F2" w:rsidRDefault="003905FD" w:rsidP="004933E9">
            <w:pPr>
              <w:rPr>
                <w:sz w:val="18"/>
                <w:szCs w:val="18"/>
              </w:rPr>
            </w:pPr>
            <w:r w:rsidRPr="00DA47F2">
              <w:rPr>
                <w:sz w:val="18"/>
                <w:szCs w:val="18"/>
              </w:rPr>
              <w:t>Low</w:t>
            </w:r>
          </w:p>
        </w:tc>
      </w:tr>
      <w:tr w:rsidR="003905FD" w:rsidRPr="004F65DE" w14:paraId="7340447D" w14:textId="2EEA9FD8" w:rsidTr="00F23C86">
        <w:tc>
          <w:tcPr>
            <w:tcW w:w="2544" w:type="pct"/>
            <w:shd w:val="clear" w:color="auto" w:fill="auto"/>
          </w:tcPr>
          <w:p w14:paraId="644CFAB4" w14:textId="7BE996A9" w:rsidR="003905FD" w:rsidRPr="00DA47F2" w:rsidRDefault="003905FD" w:rsidP="004933E9">
            <w:pPr>
              <w:rPr>
                <w:sz w:val="18"/>
                <w:szCs w:val="18"/>
              </w:rPr>
            </w:pPr>
            <w:r w:rsidRPr="00DA47F2">
              <w:rPr>
                <w:sz w:val="18"/>
                <w:szCs w:val="18"/>
              </w:rPr>
              <w:t>Melanoma</w:t>
            </w:r>
          </w:p>
        </w:tc>
        <w:tc>
          <w:tcPr>
            <w:tcW w:w="819" w:type="pct"/>
            <w:shd w:val="clear" w:color="auto" w:fill="auto"/>
          </w:tcPr>
          <w:p w14:paraId="783ABFC0" w14:textId="50A1621B" w:rsidR="003905FD" w:rsidRPr="00DA47F2" w:rsidRDefault="003905FD" w:rsidP="004933E9">
            <w:pPr>
              <w:rPr>
                <w:sz w:val="18"/>
                <w:szCs w:val="18"/>
              </w:rPr>
            </w:pPr>
            <w:r w:rsidRPr="00DA47F2">
              <w:rPr>
                <w:i/>
                <w:iCs/>
                <w:sz w:val="18"/>
                <w:szCs w:val="18"/>
              </w:rPr>
              <w:t>NTRK3</w:t>
            </w:r>
          </w:p>
        </w:tc>
        <w:tc>
          <w:tcPr>
            <w:tcW w:w="819" w:type="pct"/>
            <w:shd w:val="clear" w:color="auto" w:fill="auto"/>
          </w:tcPr>
          <w:p w14:paraId="00DB2C54" w14:textId="06BB5E5B" w:rsidR="003905FD" w:rsidRPr="00DA47F2" w:rsidRDefault="003905FD" w:rsidP="004933E9">
            <w:pPr>
              <w:rPr>
                <w:sz w:val="18"/>
                <w:szCs w:val="18"/>
              </w:rPr>
            </w:pPr>
            <w:r w:rsidRPr="00DA47F2">
              <w:rPr>
                <w:sz w:val="18"/>
                <w:szCs w:val="18"/>
              </w:rPr>
              <w:t>0.3%</w:t>
            </w:r>
          </w:p>
        </w:tc>
        <w:tc>
          <w:tcPr>
            <w:tcW w:w="819" w:type="pct"/>
          </w:tcPr>
          <w:p w14:paraId="7A02F16A" w14:textId="171D0666" w:rsidR="003905FD" w:rsidRPr="00DA47F2" w:rsidRDefault="003905FD" w:rsidP="004933E9">
            <w:pPr>
              <w:rPr>
                <w:sz w:val="18"/>
                <w:szCs w:val="18"/>
              </w:rPr>
            </w:pPr>
            <w:r w:rsidRPr="00DA47F2">
              <w:rPr>
                <w:sz w:val="18"/>
                <w:szCs w:val="18"/>
              </w:rPr>
              <w:t>Low</w:t>
            </w:r>
          </w:p>
        </w:tc>
      </w:tr>
      <w:tr w:rsidR="003905FD" w:rsidRPr="004F65DE" w14:paraId="15EA5AD3" w14:textId="5DF46871" w:rsidTr="00F23C86">
        <w:tc>
          <w:tcPr>
            <w:tcW w:w="2544" w:type="pct"/>
            <w:shd w:val="clear" w:color="auto" w:fill="auto"/>
          </w:tcPr>
          <w:p w14:paraId="61ECB1FF" w14:textId="66E00783" w:rsidR="003905FD" w:rsidRPr="00DA47F2" w:rsidRDefault="003905FD" w:rsidP="004933E9">
            <w:pPr>
              <w:rPr>
                <w:sz w:val="18"/>
                <w:szCs w:val="18"/>
              </w:rPr>
            </w:pPr>
            <w:r w:rsidRPr="00DA47F2">
              <w:rPr>
                <w:sz w:val="18"/>
                <w:szCs w:val="18"/>
              </w:rPr>
              <w:t>Head and neck cancer</w:t>
            </w:r>
          </w:p>
        </w:tc>
        <w:tc>
          <w:tcPr>
            <w:tcW w:w="819" w:type="pct"/>
            <w:shd w:val="clear" w:color="auto" w:fill="auto"/>
          </w:tcPr>
          <w:p w14:paraId="50758051" w14:textId="2DEDD311" w:rsidR="003905FD" w:rsidRPr="00DA47F2" w:rsidRDefault="003905FD" w:rsidP="004933E9">
            <w:pPr>
              <w:rPr>
                <w:sz w:val="18"/>
                <w:szCs w:val="18"/>
              </w:rPr>
            </w:pPr>
            <w:r w:rsidRPr="00DA47F2">
              <w:rPr>
                <w:i/>
                <w:iCs/>
                <w:sz w:val="18"/>
                <w:szCs w:val="18"/>
              </w:rPr>
              <w:t>NTRK2,3</w:t>
            </w:r>
          </w:p>
        </w:tc>
        <w:tc>
          <w:tcPr>
            <w:tcW w:w="819" w:type="pct"/>
            <w:shd w:val="clear" w:color="auto" w:fill="auto"/>
          </w:tcPr>
          <w:p w14:paraId="46C886DB" w14:textId="0DC36A13" w:rsidR="003905FD" w:rsidRPr="00DA47F2" w:rsidRDefault="003905FD" w:rsidP="004933E9">
            <w:pPr>
              <w:rPr>
                <w:sz w:val="18"/>
                <w:szCs w:val="18"/>
              </w:rPr>
            </w:pPr>
            <w:r w:rsidRPr="00DA47F2">
              <w:rPr>
                <w:sz w:val="18"/>
                <w:szCs w:val="18"/>
              </w:rPr>
              <w:t>0.24%</w:t>
            </w:r>
          </w:p>
        </w:tc>
        <w:tc>
          <w:tcPr>
            <w:tcW w:w="819" w:type="pct"/>
          </w:tcPr>
          <w:p w14:paraId="0457977D" w14:textId="44FA8EE0" w:rsidR="003905FD" w:rsidRPr="00DA47F2" w:rsidRDefault="003905FD" w:rsidP="004933E9">
            <w:pPr>
              <w:rPr>
                <w:sz w:val="18"/>
                <w:szCs w:val="18"/>
              </w:rPr>
            </w:pPr>
            <w:r w:rsidRPr="00DA47F2">
              <w:rPr>
                <w:sz w:val="18"/>
                <w:szCs w:val="18"/>
              </w:rPr>
              <w:t>Low</w:t>
            </w:r>
          </w:p>
        </w:tc>
      </w:tr>
      <w:tr w:rsidR="003905FD" w:rsidRPr="004F65DE" w14:paraId="3C18B981" w14:textId="2F5B411F" w:rsidTr="00F23C86">
        <w:tc>
          <w:tcPr>
            <w:tcW w:w="2544" w:type="pct"/>
            <w:shd w:val="clear" w:color="auto" w:fill="auto"/>
          </w:tcPr>
          <w:p w14:paraId="2444637B" w14:textId="3B878125" w:rsidR="003905FD" w:rsidRPr="00DA47F2" w:rsidRDefault="003905FD" w:rsidP="004933E9">
            <w:pPr>
              <w:rPr>
                <w:sz w:val="18"/>
                <w:szCs w:val="18"/>
              </w:rPr>
            </w:pPr>
            <w:r w:rsidRPr="00DA47F2">
              <w:rPr>
                <w:sz w:val="18"/>
                <w:szCs w:val="18"/>
              </w:rPr>
              <w:t>Invasive breast cancer</w:t>
            </w:r>
          </w:p>
        </w:tc>
        <w:tc>
          <w:tcPr>
            <w:tcW w:w="819" w:type="pct"/>
            <w:shd w:val="clear" w:color="auto" w:fill="auto"/>
          </w:tcPr>
          <w:p w14:paraId="6EA923DF" w14:textId="17C7096C" w:rsidR="003905FD" w:rsidRPr="00DA47F2" w:rsidRDefault="003905FD" w:rsidP="004933E9">
            <w:pPr>
              <w:rPr>
                <w:sz w:val="18"/>
                <w:szCs w:val="18"/>
              </w:rPr>
            </w:pPr>
            <w:r w:rsidRPr="00DA47F2">
              <w:rPr>
                <w:i/>
                <w:iCs/>
                <w:sz w:val="18"/>
                <w:szCs w:val="18"/>
              </w:rPr>
              <w:t>NTRK3</w:t>
            </w:r>
          </w:p>
        </w:tc>
        <w:tc>
          <w:tcPr>
            <w:tcW w:w="819" w:type="pct"/>
            <w:shd w:val="clear" w:color="auto" w:fill="auto"/>
          </w:tcPr>
          <w:p w14:paraId="69D21912" w14:textId="515271F9" w:rsidR="003905FD" w:rsidRPr="00DA47F2" w:rsidRDefault="003905FD" w:rsidP="004933E9">
            <w:pPr>
              <w:rPr>
                <w:sz w:val="18"/>
                <w:szCs w:val="18"/>
              </w:rPr>
            </w:pPr>
            <w:r w:rsidRPr="00DA47F2">
              <w:rPr>
                <w:sz w:val="18"/>
                <w:szCs w:val="18"/>
              </w:rPr>
              <w:t>&lt;0.1%</w:t>
            </w:r>
          </w:p>
        </w:tc>
        <w:tc>
          <w:tcPr>
            <w:tcW w:w="819" w:type="pct"/>
          </w:tcPr>
          <w:p w14:paraId="5ADE0A44" w14:textId="4B8FADAC" w:rsidR="003905FD" w:rsidRPr="00DA47F2" w:rsidRDefault="003905FD" w:rsidP="004933E9">
            <w:pPr>
              <w:rPr>
                <w:sz w:val="18"/>
                <w:szCs w:val="18"/>
              </w:rPr>
            </w:pPr>
            <w:r w:rsidRPr="00DA47F2">
              <w:rPr>
                <w:sz w:val="18"/>
                <w:szCs w:val="18"/>
              </w:rPr>
              <w:t>Low</w:t>
            </w:r>
          </w:p>
        </w:tc>
      </w:tr>
    </w:tbl>
    <w:p w14:paraId="084E9B39" w14:textId="3DE78B3B" w:rsidR="003905FD" w:rsidRDefault="003905FD" w:rsidP="00DF3E1E">
      <w:pPr>
        <w:spacing w:after="240" w:line="240" w:lineRule="auto"/>
        <w:rPr>
          <w:sz w:val="16"/>
          <w:szCs w:val="16"/>
          <w:lang w:val="en-GB" w:eastAsia="ja-JP"/>
        </w:rPr>
      </w:pPr>
      <w:r w:rsidRPr="006A7F1D">
        <w:rPr>
          <w:sz w:val="16"/>
          <w:szCs w:val="16"/>
          <w:lang w:val="en-GB" w:eastAsia="ja-JP"/>
        </w:rPr>
        <w:t>Source: ESMO (2019)</w:t>
      </w:r>
      <w:r>
        <w:rPr>
          <w:rStyle w:val="EndnoteReference"/>
          <w:sz w:val="16"/>
          <w:szCs w:val="16"/>
          <w:lang w:val="en-GB" w:eastAsia="ja-JP"/>
        </w:rPr>
        <w:endnoteReference w:id="7"/>
      </w:r>
      <w:r>
        <w:rPr>
          <w:sz w:val="16"/>
          <w:szCs w:val="16"/>
          <w:lang w:val="en-GB" w:eastAsia="ja-JP"/>
        </w:rPr>
        <w:t xml:space="preserve"> and </w:t>
      </w:r>
      <w:r w:rsidRPr="00B14C77">
        <w:rPr>
          <w:sz w:val="16"/>
          <w:szCs w:val="16"/>
          <w:lang w:val="en-GB" w:eastAsia="ja-JP"/>
        </w:rPr>
        <w:t>Penault-Llorca,</w:t>
      </w:r>
      <w:r>
        <w:rPr>
          <w:sz w:val="16"/>
          <w:szCs w:val="16"/>
          <w:lang w:val="en-GB" w:eastAsia="ja-JP"/>
        </w:rPr>
        <w:t xml:space="preserve"> et al. (2019)</w:t>
      </w:r>
      <w:r>
        <w:rPr>
          <w:rStyle w:val="EndnoteReference"/>
          <w:sz w:val="16"/>
          <w:szCs w:val="16"/>
          <w:lang w:val="en-GB" w:eastAsia="ja-JP"/>
        </w:rPr>
        <w:endnoteReference w:id="8"/>
      </w:r>
      <w:r w:rsidR="0012691B">
        <w:rPr>
          <w:sz w:val="16"/>
          <w:szCs w:val="16"/>
          <w:lang w:val="en-GB" w:eastAsia="ja-JP"/>
        </w:rPr>
        <w:t xml:space="preserve"> *consistent with Hsiao et al (2019) classification scheme</w:t>
      </w:r>
    </w:p>
    <w:p w14:paraId="4F281344" w14:textId="6A9F8566" w:rsidR="003905FD" w:rsidRDefault="003905FD" w:rsidP="00592A71">
      <w:r>
        <w:t>The proposed populations affected by the proposed intervention (</w:t>
      </w:r>
      <w:r w:rsidRPr="007D56AD">
        <w:rPr>
          <w:i/>
        </w:rPr>
        <w:t>NTRK</w:t>
      </w:r>
      <w:r>
        <w:t xml:space="preserve"> testing) outlined in this </w:t>
      </w:r>
      <w:r w:rsidR="007D56AD">
        <w:t>application</w:t>
      </w:r>
      <w:r>
        <w:t xml:space="preserve"> are:</w:t>
      </w:r>
    </w:p>
    <w:p w14:paraId="61176B8E" w14:textId="29B00D5F" w:rsidR="003905FD" w:rsidRDefault="003905FD" w:rsidP="00511640">
      <w:pPr>
        <w:pStyle w:val="ListParagraph"/>
        <w:numPr>
          <w:ilvl w:val="0"/>
          <w:numId w:val="24"/>
        </w:numPr>
        <w:spacing w:after="0"/>
      </w:pPr>
      <w:r>
        <w:t xml:space="preserve">Paediatric and adult patients with locally advanced or metastatic solid tumours with </w:t>
      </w:r>
      <w:r w:rsidRPr="00284332">
        <w:rPr>
          <w:b/>
        </w:rPr>
        <w:t>high</w:t>
      </w:r>
      <w:r>
        <w:rPr>
          <w:b/>
        </w:rPr>
        <w:t xml:space="preserve"> </w:t>
      </w:r>
      <w:r w:rsidRPr="00284332">
        <w:rPr>
          <w:b/>
        </w:rPr>
        <w:t>frequency</w:t>
      </w:r>
      <w:r>
        <w:t xml:space="preserve"> </w:t>
      </w:r>
      <w:r w:rsidRPr="007D56AD">
        <w:rPr>
          <w:i/>
        </w:rPr>
        <w:t>NTRK</w:t>
      </w:r>
      <w:r>
        <w:t xml:space="preserve"> gene fusions. This represents a relatively small population of patients to be tested.</w:t>
      </w:r>
    </w:p>
    <w:p w14:paraId="5A860A04" w14:textId="14A13C8B" w:rsidR="003905FD" w:rsidRDefault="003905FD" w:rsidP="00CC0150">
      <w:pPr>
        <w:pStyle w:val="ListParagraph"/>
        <w:numPr>
          <w:ilvl w:val="0"/>
          <w:numId w:val="24"/>
        </w:numPr>
      </w:pPr>
      <w:r>
        <w:t xml:space="preserve">Paediatric patients with locally advanced or metastatic solid tumours with </w:t>
      </w:r>
      <w:r w:rsidRPr="00284332">
        <w:rPr>
          <w:b/>
        </w:rPr>
        <w:t>low</w:t>
      </w:r>
      <w:r>
        <w:rPr>
          <w:b/>
        </w:rPr>
        <w:t xml:space="preserve"> </w:t>
      </w:r>
      <w:r w:rsidRPr="00284332">
        <w:rPr>
          <w:b/>
        </w:rPr>
        <w:t>frequency</w:t>
      </w:r>
      <w:r>
        <w:t xml:space="preserve"> </w:t>
      </w:r>
      <w:r w:rsidRPr="007D56AD">
        <w:rPr>
          <w:i/>
        </w:rPr>
        <w:t>NTRK</w:t>
      </w:r>
      <w:r>
        <w:t xml:space="preserve"> gene fusions. </w:t>
      </w:r>
      <w:r w:rsidRPr="00CC0150">
        <w:t>This represents a relatively small population of patients to be tested.</w:t>
      </w:r>
    </w:p>
    <w:p w14:paraId="76DDD2EB" w14:textId="4649062A" w:rsidR="003905FD" w:rsidRDefault="003905FD" w:rsidP="00511640">
      <w:pPr>
        <w:pStyle w:val="ListParagraph"/>
        <w:numPr>
          <w:ilvl w:val="0"/>
          <w:numId w:val="24"/>
        </w:numPr>
      </w:pPr>
      <w:r>
        <w:t xml:space="preserve">Adult patients with locally advanced or metastatic solid tumours with </w:t>
      </w:r>
      <w:r w:rsidRPr="00284332">
        <w:rPr>
          <w:b/>
        </w:rPr>
        <w:t>low</w:t>
      </w:r>
      <w:r>
        <w:rPr>
          <w:b/>
        </w:rPr>
        <w:t xml:space="preserve"> </w:t>
      </w:r>
      <w:r w:rsidRPr="00284332">
        <w:rPr>
          <w:b/>
        </w:rPr>
        <w:t>frequency</w:t>
      </w:r>
      <w:r>
        <w:t xml:space="preserve"> </w:t>
      </w:r>
      <w:r w:rsidRPr="007D56AD">
        <w:rPr>
          <w:i/>
        </w:rPr>
        <w:t xml:space="preserve">NTRK </w:t>
      </w:r>
      <w:r>
        <w:t xml:space="preserve">gene fusions, </w:t>
      </w:r>
      <w:r w:rsidRPr="00331101">
        <w:t xml:space="preserve">who have </w:t>
      </w:r>
      <w:r>
        <w:t>r</w:t>
      </w:r>
      <w:r w:rsidRPr="00A418C8">
        <w:t>elapsed/refractory (R/R) to one or more prior treatments</w:t>
      </w:r>
      <w:r>
        <w:t xml:space="preserve"> for </w:t>
      </w:r>
      <w:r w:rsidRPr="00E85015">
        <w:rPr>
          <w:i/>
        </w:rPr>
        <w:t>de novo</w:t>
      </w:r>
      <w:r>
        <w:t xml:space="preserve"> locally advanced or metastatic disease and/or prior treatments for earlier disease in those who progress to locally advanced or metastatic disease. This represents a relatively large population of patients who will require testing to determine the small proportion with </w:t>
      </w:r>
      <w:r w:rsidRPr="005F6A8B">
        <w:rPr>
          <w:i/>
        </w:rPr>
        <w:t>NTRK</w:t>
      </w:r>
      <w:r>
        <w:t xml:space="preserve"> mutation(s).</w:t>
      </w:r>
    </w:p>
    <w:p w14:paraId="3F7D47E2" w14:textId="27ADCC1A" w:rsidR="003905FD" w:rsidRDefault="003905FD" w:rsidP="00AA483A">
      <w:r>
        <w:fldChar w:fldCharType="begin"/>
      </w:r>
      <w:r>
        <w:instrText xml:space="preserve"> REF _Ref21951871 \h </w:instrText>
      </w:r>
      <w:r>
        <w:fldChar w:fldCharType="separate"/>
      </w:r>
      <w:r w:rsidR="004A0849" w:rsidRPr="00284332">
        <w:rPr>
          <w:rFonts w:asciiTheme="minorHAnsi" w:hAnsiTheme="minorHAnsi" w:cstheme="minorHAnsi"/>
        </w:rPr>
        <w:t xml:space="preserve">Figure </w:t>
      </w:r>
      <w:r w:rsidR="004A0849">
        <w:rPr>
          <w:rFonts w:asciiTheme="minorHAnsi" w:hAnsiTheme="minorHAnsi" w:cstheme="minorHAnsi"/>
          <w:noProof/>
        </w:rPr>
        <w:t>1</w:t>
      </w:r>
      <w:r>
        <w:fldChar w:fldCharType="end"/>
      </w:r>
      <w:r>
        <w:t xml:space="preserve"> describes the estimated eligible population for the proposed </w:t>
      </w:r>
      <w:r w:rsidRPr="005F6A8B">
        <w:rPr>
          <w:i/>
        </w:rPr>
        <w:t>NTRK</w:t>
      </w:r>
      <w:r>
        <w:t xml:space="preserve"> gene fusion diag</w:t>
      </w:r>
      <w:r w:rsidR="005F6A8B">
        <w:t xml:space="preserve">nostic test (FISH or RNA-NGS). </w:t>
      </w:r>
      <w:r>
        <w:t xml:space="preserve">The proposed </w:t>
      </w:r>
      <w:r w:rsidRPr="005F6A8B">
        <w:rPr>
          <w:i/>
        </w:rPr>
        <w:t>NTRK</w:t>
      </w:r>
      <w:r>
        <w:t xml:space="preserve"> gene fusion diagnostic test will only be undertaken on patients with locally advanced or metastatic solid </w:t>
      </w:r>
      <w:r w:rsidR="005F6A8B">
        <w:t xml:space="preserve">tumours. </w:t>
      </w:r>
      <w:r w:rsidRPr="00F9289A">
        <w:t xml:space="preserve">Due to the lack of data </w:t>
      </w:r>
      <w:r>
        <w:t xml:space="preserve">on the incidence of patients with </w:t>
      </w:r>
      <w:r w:rsidR="005F6A8B" w:rsidRPr="005F6A8B">
        <w:rPr>
          <w:i/>
        </w:rPr>
        <w:t>N</w:t>
      </w:r>
      <w:r w:rsidRPr="005F6A8B">
        <w:rPr>
          <w:i/>
        </w:rPr>
        <w:t>TRK</w:t>
      </w:r>
      <w:r w:rsidR="006B73B0">
        <w:t>-</w:t>
      </w:r>
      <w:r>
        <w:t>fusion solid cancers, the number of</w:t>
      </w:r>
      <w:r w:rsidR="005F6A8B">
        <w:t xml:space="preserve"> patients who may be eligible for</w:t>
      </w:r>
      <w:r>
        <w:t xml:space="preserve"> treatment</w:t>
      </w:r>
      <w:r w:rsidR="005F6A8B">
        <w:t xml:space="preserve"> with s</w:t>
      </w:r>
      <w:r>
        <w:t>e</w:t>
      </w:r>
      <w:r w:rsidR="00322881">
        <w:t>lective inhibitors of TRK</w:t>
      </w:r>
      <w:r>
        <w:t xml:space="preserve"> proteins (e.g. </w:t>
      </w:r>
      <w:r w:rsidRPr="001F5CB0">
        <w:t>larotrectinib</w:t>
      </w:r>
      <w:r>
        <w:t xml:space="preserve">) has been </w:t>
      </w:r>
      <w:r w:rsidR="005F6A8B">
        <w:t xml:space="preserve">approximated </w:t>
      </w:r>
      <w:r w:rsidRPr="00F9289A">
        <w:t>using yearly cancer deaths</w:t>
      </w:r>
      <w:r>
        <w:t xml:space="preserve"> (for all ages)</w:t>
      </w:r>
      <w:r w:rsidRPr="00F9289A">
        <w:t xml:space="preserve"> as a proxy</w:t>
      </w:r>
      <w:r>
        <w:rPr>
          <w:rStyle w:val="EndnoteReference"/>
        </w:rPr>
        <w:endnoteReference w:id="9"/>
      </w:r>
      <w:r w:rsidRPr="00F9289A">
        <w:t xml:space="preserve">. Estimated mortality for all solid </w:t>
      </w:r>
      <w:r>
        <w:t xml:space="preserve">and blood-related </w:t>
      </w:r>
      <w:r w:rsidRPr="00F9289A">
        <w:t xml:space="preserve">cancers is reported to be </w:t>
      </w:r>
      <w:r>
        <w:t>49,896</w:t>
      </w:r>
      <w:r w:rsidRPr="00F9289A">
        <w:t xml:space="preserve"> in 2019</w:t>
      </w:r>
      <w:r>
        <w:rPr>
          <w:rStyle w:val="EndnoteReference"/>
        </w:rPr>
        <w:endnoteReference w:id="10"/>
      </w:r>
      <w:r w:rsidRPr="00F9289A">
        <w:t>.</w:t>
      </w:r>
      <w:r>
        <w:t xml:space="preserve">  Since the proposed intervention only considers solid tumours, deaths due to blood cancers like leukaemia (2,039 people) and multiple myeloma (1,062 people) ar</w:t>
      </w:r>
      <w:r w:rsidR="005F6A8B">
        <w:t xml:space="preserve">e removed from the population. </w:t>
      </w:r>
      <w:r>
        <w:t>The resulting number is 46,795 deaths due to solid tumours.</w:t>
      </w:r>
    </w:p>
    <w:p w14:paraId="250F7C7E" w14:textId="738693D1" w:rsidR="003905FD" w:rsidRDefault="003905FD" w:rsidP="005524E7">
      <w:pPr>
        <w:spacing w:after="120"/>
      </w:pPr>
      <w:r>
        <w:t xml:space="preserve">Based on the number of deaths due to solid tumours (46,795) and the rate of </w:t>
      </w:r>
      <w:r w:rsidRPr="005F6A8B">
        <w:rPr>
          <w:i/>
        </w:rPr>
        <w:t>NTRK</w:t>
      </w:r>
      <w:r>
        <w:t xml:space="preserve"> gene fusions in solid tumours (1%), approximately </w:t>
      </w:r>
      <w:r w:rsidR="00D31A7E">
        <w:rPr>
          <w:highlight w:val="lightGray"/>
        </w:rPr>
        <w:t>REDACTED</w:t>
      </w:r>
      <w:r>
        <w:t xml:space="preserve"> people would test positive for </w:t>
      </w:r>
      <w:r w:rsidRPr="005F6A8B">
        <w:rPr>
          <w:i/>
        </w:rPr>
        <w:t>NTRK</w:t>
      </w:r>
      <w:r>
        <w:t xml:space="preserve"> gene fusions an</w:t>
      </w:r>
      <w:r w:rsidR="005F6A8B">
        <w:t xml:space="preserve">d consequently be eligible for TRK inhibitor treatment. </w:t>
      </w:r>
      <w:r>
        <w:t xml:space="preserve">Since IHC, FISH or RNA-NGS analysis do not </w:t>
      </w:r>
      <w:r>
        <w:lastRenderedPageBreak/>
        <w:t>have 100% sensitivity rates, it is important to estimate the number of patients that are eligible for testing that would have tested negative and not be eligible</w:t>
      </w:r>
      <w:r w:rsidR="005F6A8B">
        <w:t xml:space="preserve"> for TRK inhibitor treatment. </w:t>
      </w:r>
      <w:r>
        <w:t xml:space="preserve">The following process and assumptions (see </w:t>
      </w:r>
      <w:r>
        <w:fldChar w:fldCharType="begin"/>
      </w:r>
      <w:r>
        <w:instrText xml:space="preserve"> REF _Ref21951871 \h </w:instrText>
      </w:r>
      <w:r>
        <w:fldChar w:fldCharType="separate"/>
      </w:r>
      <w:r w:rsidR="004A0849" w:rsidRPr="00284332">
        <w:rPr>
          <w:rFonts w:asciiTheme="minorHAnsi" w:hAnsiTheme="minorHAnsi" w:cstheme="minorHAnsi"/>
        </w:rPr>
        <w:t xml:space="preserve">Figure </w:t>
      </w:r>
      <w:r w:rsidR="004A0849">
        <w:rPr>
          <w:rFonts w:asciiTheme="minorHAnsi" w:hAnsiTheme="minorHAnsi" w:cstheme="minorHAnsi"/>
          <w:noProof/>
        </w:rPr>
        <w:t>1</w:t>
      </w:r>
      <w:r>
        <w:fldChar w:fldCharType="end"/>
      </w:r>
      <w:r>
        <w:t xml:space="preserve">) are used to estimate the number of people who would be eligible for FISH or RNA-NGS and IHC analysis to identify </w:t>
      </w:r>
      <w:r w:rsidRPr="005F6A8B">
        <w:rPr>
          <w:i/>
        </w:rPr>
        <w:t>NTRK</w:t>
      </w:r>
      <w:r>
        <w:t xml:space="preserve"> gene fusions:</w:t>
      </w:r>
    </w:p>
    <w:p w14:paraId="2E173158" w14:textId="609CDCD4" w:rsidR="003905FD" w:rsidRDefault="003905FD" w:rsidP="00BF2D94">
      <w:pPr>
        <w:pStyle w:val="ListParagraph"/>
        <w:numPr>
          <w:ilvl w:val="0"/>
          <w:numId w:val="25"/>
        </w:numPr>
        <w:spacing w:line="360" w:lineRule="auto"/>
        <w:ind w:left="426" w:hanging="426"/>
      </w:pPr>
      <w:r>
        <w:t xml:space="preserve">Locally advanced or metastatic solid tumours with </w:t>
      </w:r>
      <w:r w:rsidRPr="00284332">
        <w:rPr>
          <w:b/>
        </w:rPr>
        <w:t>high frequency</w:t>
      </w:r>
      <w:r>
        <w:t xml:space="preserve"> </w:t>
      </w:r>
      <w:r w:rsidRPr="005F6A8B">
        <w:rPr>
          <w:i/>
        </w:rPr>
        <w:t>NTRK</w:t>
      </w:r>
      <w:r>
        <w:t xml:space="preserve"> gene fusions:</w:t>
      </w:r>
    </w:p>
    <w:p w14:paraId="34F819B8" w14:textId="7C694998" w:rsidR="003905FD" w:rsidRDefault="003905FD" w:rsidP="005946BF">
      <w:pPr>
        <w:pStyle w:val="ListParagraph"/>
        <w:numPr>
          <w:ilvl w:val="1"/>
          <w:numId w:val="25"/>
        </w:numPr>
        <w:ind w:left="709" w:hanging="425"/>
      </w:pPr>
      <w:r>
        <w:t xml:space="preserve">Based on the clinical trials (LOXO-TRK-14001, NAVIGATE and SCOUT) for larotrectinib, approximately </w:t>
      </w:r>
      <w:r w:rsidR="00D31A7E">
        <w:rPr>
          <w:highlight w:val="lightGray"/>
        </w:rPr>
        <w:t>REDACTED</w:t>
      </w:r>
      <w:r>
        <w:t xml:space="preserve"> of patients with </w:t>
      </w:r>
      <w:r w:rsidRPr="005F6A8B">
        <w:rPr>
          <w:i/>
        </w:rPr>
        <w:t>NTRK</w:t>
      </w:r>
      <w:r w:rsidR="005F6A8B">
        <w:t xml:space="preserve"> gene fusion tumours had </w:t>
      </w:r>
      <w:r w:rsidR="005F6A8B" w:rsidRPr="005F6A8B">
        <w:rPr>
          <w:b/>
        </w:rPr>
        <w:t>high frequency</w:t>
      </w:r>
      <w:r>
        <w:t xml:space="preserve"> </w:t>
      </w:r>
      <w:r w:rsidRPr="005F6A8B">
        <w:rPr>
          <w:i/>
        </w:rPr>
        <w:t>NTRK</w:t>
      </w:r>
      <w:r w:rsidR="005F6A8B">
        <w:t xml:space="preserve"> gene fusion tumours. </w:t>
      </w:r>
      <w:r>
        <w:t>Based on this rate (</w:t>
      </w:r>
      <w:r w:rsidR="00D31A7E">
        <w:rPr>
          <w:highlight w:val="lightGray"/>
        </w:rPr>
        <w:t>REDACTED</w:t>
      </w:r>
      <w:r>
        <w:t xml:space="preserve">), it can be assumed that </w:t>
      </w:r>
      <w:r w:rsidR="00D31A7E">
        <w:rPr>
          <w:highlight w:val="lightGray"/>
        </w:rPr>
        <w:t>REDACTED</w:t>
      </w:r>
      <w:r w:rsidR="00C83B5D">
        <w:t xml:space="preserve"> </w:t>
      </w:r>
      <w:r>
        <w:t xml:space="preserve">out of </w:t>
      </w:r>
      <w:r w:rsidR="00D31A7E">
        <w:rPr>
          <w:highlight w:val="lightGray"/>
        </w:rPr>
        <w:t>REDACTED</w:t>
      </w:r>
      <w:r w:rsidR="00C83B5D">
        <w:t xml:space="preserve"> </w:t>
      </w:r>
      <w:r>
        <w:t xml:space="preserve">people had </w:t>
      </w:r>
      <w:r w:rsidRPr="005F6A8B">
        <w:rPr>
          <w:b/>
        </w:rPr>
        <w:t>high frequency</w:t>
      </w:r>
      <w:r>
        <w:t xml:space="preserve"> </w:t>
      </w:r>
      <w:r w:rsidRPr="005F6A8B">
        <w:rPr>
          <w:i/>
        </w:rPr>
        <w:t>NTRK</w:t>
      </w:r>
      <w:r>
        <w:t xml:space="preserve"> gene fusion tumours.</w:t>
      </w:r>
    </w:p>
    <w:p w14:paraId="0BFE9F7F" w14:textId="6B5BE7E4" w:rsidR="003905FD" w:rsidRPr="005524E7" w:rsidRDefault="003905FD" w:rsidP="004D6B11">
      <w:pPr>
        <w:pStyle w:val="ListParagraph"/>
        <w:numPr>
          <w:ilvl w:val="1"/>
          <w:numId w:val="25"/>
        </w:numPr>
        <w:ind w:left="709" w:hanging="425"/>
        <w:rPr>
          <w:sz w:val="12"/>
          <w:szCs w:val="12"/>
        </w:rPr>
      </w:pPr>
      <w:r>
        <w:t xml:space="preserve">FISH or RNA-NGS analysis is recommended for people with </w:t>
      </w:r>
      <w:r w:rsidRPr="005F6A8B">
        <w:rPr>
          <w:b/>
        </w:rPr>
        <w:t>high frequency</w:t>
      </w:r>
      <w:r>
        <w:t xml:space="preserve"> </w:t>
      </w:r>
      <w:r w:rsidRPr="005F6A8B">
        <w:rPr>
          <w:i/>
        </w:rPr>
        <w:t>NTRK</w:t>
      </w:r>
      <w:r>
        <w:t xml:space="preserve"> gene fusion tumours. RNA-NGS is known to have an approximate sensitivity of 93% and FISH analysis also has a high sensitivity. Both tests (when performed separately) are known to be the gold standard for gene fusion testing</w:t>
      </w:r>
      <w:bookmarkStart w:id="6" w:name="_Ref24985402"/>
      <w:r>
        <w:rPr>
          <w:rStyle w:val="EndnoteReference"/>
        </w:rPr>
        <w:endnoteReference w:id="11"/>
      </w:r>
      <w:bookmarkEnd w:id="6"/>
      <w:r>
        <w:rPr>
          <w:vertAlign w:val="superscript"/>
        </w:rPr>
        <w:t>,</w:t>
      </w:r>
      <w:r>
        <w:rPr>
          <w:rStyle w:val="EndnoteReference"/>
        </w:rPr>
        <w:endnoteReference w:id="12"/>
      </w:r>
      <w:r w:rsidR="005F6A8B">
        <w:t xml:space="preserve">. </w:t>
      </w:r>
      <w:r>
        <w:t xml:space="preserve">Based on this sensitivity rate (93%), it can be assumed that an additional 7% of patients will be tested for </w:t>
      </w:r>
      <w:r w:rsidRPr="005F6A8B">
        <w:rPr>
          <w:b/>
        </w:rPr>
        <w:t>high frequency</w:t>
      </w:r>
      <w:r w:rsidRPr="005F6A8B">
        <w:rPr>
          <w:b/>
          <w:i/>
        </w:rPr>
        <w:t xml:space="preserve"> </w:t>
      </w:r>
      <w:r w:rsidRPr="005F6A8B">
        <w:rPr>
          <w:i/>
        </w:rPr>
        <w:t>NTRK</w:t>
      </w:r>
      <w:r>
        <w:t xml:space="preserve"> gene fusion with a negative result. This results in a total of </w:t>
      </w:r>
      <w:r w:rsidR="00D31A7E">
        <w:rPr>
          <w:highlight w:val="lightGray"/>
        </w:rPr>
        <w:t>REDACTED</w:t>
      </w:r>
      <w:r w:rsidR="00C83B5D">
        <w:t xml:space="preserve"> </w:t>
      </w:r>
      <w:r>
        <w:t xml:space="preserve">people being tested with FISH or RNA-NGS for </w:t>
      </w:r>
      <w:r w:rsidRPr="005F6A8B">
        <w:rPr>
          <w:b/>
        </w:rPr>
        <w:t>high frequency</w:t>
      </w:r>
      <w:r>
        <w:t xml:space="preserve"> </w:t>
      </w:r>
      <w:r w:rsidRPr="005F6A8B">
        <w:rPr>
          <w:i/>
        </w:rPr>
        <w:t>NTRK</w:t>
      </w:r>
      <w:r>
        <w:t xml:space="preserve"> gene fusion tumours out of which </w:t>
      </w:r>
      <w:r w:rsidR="00D31A7E">
        <w:rPr>
          <w:highlight w:val="lightGray"/>
        </w:rPr>
        <w:t>REDACTED</w:t>
      </w:r>
      <w:r w:rsidR="00C83B5D">
        <w:t xml:space="preserve"> </w:t>
      </w:r>
      <w:r>
        <w:t xml:space="preserve">people would be </w:t>
      </w:r>
      <w:r w:rsidRPr="005F6A8B">
        <w:rPr>
          <w:i/>
        </w:rPr>
        <w:t>NTRK</w:t>
      </w:r>
      <w:r w:rsidR="005F6A8B">
        <w:t xml:space="preserve">-fusion positive (eligible for </w:t>
      </w:r>
      <w:r>
        <w:t xml:space="preserve">TRK inhibitor treatment) and </w:t>
      </w:r>
      <w:r w:rsidR="00D31A7E">
        <w:rPr>
          <w:highlight w:val="lightGray"/>
        </w:rPr>
        <w:t>REDACTED</w:t>
      </w:r>
      <w:r w:rsidR="00C83B5D">
        <w:t xml:space="preserve"> </w:t>
      </w:r>
      <w:r>
        <w:t xml:space="preserve">people would be </w:t>
      </w:r>
      <w:r w:rsidRPr="005F6A8B">
        <w:rPr>
          <w:i/>
        </w:rPr>
        <w:t>NTRK</w:t>
      </w:r>
      <w:r>
        <w:t>-fus</w:t>
      </w:r>
      <w:r w:rsidR="005F6A8B">
        <w:t xml:space="preserve">ion negative (not eligible for </w:t>
      </w:r>
      <w:r>
        <w:t>TRK inhibitor treatment).</w:t>
      </w:r>
      <w:r w:rsidR="005524E7">
        <w:br/>
      </w:r>
    </w:p>
    <w:p w14:paraId="590F4FC5" w14:textId="3885ED78" w:rsidR="003905FD" w:rsidRDefault="003905FD" w:rsidP="00BF2D94">
      <w:pPr>
        <w:pStyle w:val="ListParagraph"/>
        <w:numPr>
          <w:ilvl w:val="0"/>
          <w:numId w:val="25"/>
        </w:numPr>
        <w:spacing w:line="360" w:lineRule="auto"/>
        <w:ind w:left="426" w:hanging="426"/>
      </w:pPr>
      <w:r>
        <w:t xml:space="preserve">Locally advanced or metastatic solid tumours with </w:t>
      </w:r>
      <w:r w:rsidRPr="00284332">
        <w:rPr>
          <w:b/>
        </w:rPr>
        <w:t>low frequency</w:t>
      </w:r>
      <w:r>
        <w:t xml:space="preserve"> </w:t>
      </w:r>
      <w:r w:rsidRPr="005F6A8B">
        <w:rPr>
          <w:i/>
        </w:rPr>
        <w:t>NTRK</w:t>
      </w:r>
      <w:r>
        <w:t xml:space="preserve"> gene fusions:</w:t>
      </w:r>
    </w:p>
    <w:p w14:paraId="56E90A9B" w14:textId="011ABAF5" w:rsidR="003905FD" w:rsidRDefault="003905FD" w:rsidP="00F43000">
      <w:pPr>
        <w:pStyle w:val="ListParagraph"/>
        <w:numPr>
          <w:ilvl w:val="1"/>
          <w:numId w:val="25"/>
        </w:numPr>
        <w:ind w:left="709" w:hanging="425"/>
      </w:pPr>
      <w:r>
        <w:t xml:space="preserve">According to the clinical trials (LOXO-TRK-14001, NAVIGATE and SCOUT: represents adult and paediatric patients with high and low frequency </w:t>
      </w:r>
      <w:r w:rsidRPr="005F6A8B">
        <w:rPr>
          <w:i/>
        </w:rPr>
        <w:t xml:space="preserve">NTRK </w:t>
      </w:r>
      <w:r>
        <w:t xml:space="preserve">cancers) for larotrectinib, approximately </w:t>
      </w:r>
      <w:r w:rsidR="00D31A7E">
        <w:rPr>
          <w:highlight w:val="lightGray"/>
        </w:rPr>
        <w:t>REDACTED</w:t>
      </w:r>
      <w:r>
        <w:t xml:space="preserve">% of patients with </w:t>
      </w:r>
      <w:r w:rsidRPr="005F6A8B">
        <w:rPr>
          <w:i/>
        </w:rPr>
        <w:t>NTRK</w:t>
      </w:r>
      <w:r>
        <w:t xml:space="preserve"> gene fusio</w:t>
      </w:r>
      <w:r w:rsidR="005F6A8B">
        <w:t xml:space="preserve">n tumours have a tumour with a </w:t>
      </w:r>
      <w:r w:rsidR="005F6A8B" w:rsidRPr="005F6A8B">
        <w:rPr>
          <w:b/>
        </w:rPr>
        <w:t>low frequency</w:t>
      </w:r>
      <w:r>
        <w:t xml:space="preserve"> of </w:t>
      </w:r>
      <w:r w:rsidRPr="005F6A8B">
        <w:rPr>
          <w:i/>
        </w:rPr>
        <w:t>NTRK</w:t>
      </w:r>
      <w:r>
        <w:t xml:space="preserve"> gene fusions. Based on this rate, the resulting number of people with </w:t>
      </w:r>
      <w:r w:rsidRPr="005F6A8B">
        <w:rPr>
          <w:b/>
        </w:rPr>
        <w:t>low frequency</w:t>
      </w:r>
      <w:r>
        <w:t xml:space="preserve"> </w:t>
      </w:r>
      <w:r w:rsidRPr="005F6A8B">
        <w:rPr>
          <w:i/>
        </w:rPr>
        <w:t>NTRK</w:t>
      </w:r>
      <w:r>
        <w:t xml:space="preserve"> gene fusion tumours are </w:t>
      </w:r>
      <w:r w:rsidR="00D31A7E">
        <w:rPr>
          <w:highlight w:val="lightGray"/>
        </w:rPr>
        <w:t>REDACTED</w:t>
      </w:r>
      <w:r w:rsidR="00C83B5D">
        <w:t xml:space="preserve"> </w:t>
      </w:r>
      <w:r>
        <w:t xml:space="preserve">out of </w:t>
      </w:r>
      <w:r w:rsidR="00D31A7E">
        <w:rPr>
          <w:highlight w:val="lightGray"/>
        </w:rPr>
        <w:t>REDACTED</w:t>
      </w:r>
      <w:r w:rsidR="00C83B5D">
        <w:t xml:space="preserve"> </w:t>
      </w:r>
      <w:r>
        <w:t>people.</w:t>
      </w:r>
    </w:p>
    <w:p w14:paraId="5B89EA43" w14:textId="2C8C284E" w:rsidR="003905FD" w:rsidRDefault="003905FD" w:rsidP="00F43000">
      <w:pPr>
        <w:pStyle w:val="ListParagraph"/>
        <w:numPr>
          <w:ilvl w:val="1"/>
          <w:numId w:val="25"/>
        </w:numPr>
        <w:ind w:left="709" w:hanging="425"/>
      </w:pPr>
      <w:r>
        <w:t>FISH or RNA-NGS analysis is undertaken in the adult and paediatric population if they have a positive result to IHC analysis, as stated</w:t>
      </w:r>
      <w:r w:rsidR="005F6A8B">
        <w:t xml:space="preserve"> in the proposed intervention. </w:t>
      </w:r>
      <w:r>
        <w:t xml:space="preserve">Based on the sensitivity for FISH or RNA-NGS (93%), it can be assumed that an additional 7% of patients will be tested for </w:t>
      </w:r>
      <w:r w:rsidRPr="005F6A8B">
        <w:rPr>
          <w:b/>
        </w:rPr>
        <w:t>low frequency</w:t>
      </w:r>
      <w:r>
        <w:t xml:space="preserve"> </w:t>
      </w:r>
      <w:r w:rsidRPr="005F6A8B">
        <w:rPr>
          <w:i/>
        </w:rPr>
        <w:t>NTRK</w:t>
      </w:r>
      <w:r>
        <w:t xml:space="preserve"> gene fusion with a negative result. This results in a total of </w:t>
      </w:r>
      <w:r w:rsidR="00D31A7E">
        <w:rPr>
          <w:highlight w:val="lightGray"/>
        </w:rPr>
        <w:t>REDACTED</w:t>
      </w:r>
      <w:r w:rsidR="00C83B5D">
        <w:t xml:space="preserve"> </w:t>
      </w:r>
      <w:r>
        <w:t xml:space="preserve">people being tested with FISH or RNA-NGS for </w:t>
      </w:r>
      <w:r w:rsidRPr="005F6A8B">
        <w:rPr>
          <w:b/>
        </w:rPr>
        <w:t>low frequency</w:t>
      </w:r>
      <w:r>
        <w:t xml:space="preserve"> </w:t>
      </w:r>
      <w:r w:rsidRPr="005F6A8B">
        <w:rPr>
          <w:i/>
        </w:rPr>
        <w:t>NTRK</w:t>
      </w:r>
      <w:r>
        <w:t xml:space="preserve"> gene fusion tumours</w:t>
      </w:r>
      <w:r w:rsidR="005F6A8B">
        <w:t>,</w:t>
      </w:r>
      <w:r>
        <w:t xml:space="preserve"> out of which </w:t>
      </w:r>
      <w:r w:rsidR="00D31A7E">
        <w:rPr>
          <w:highlight w:val="lightGray"/>
        </w:rPr>
        <w:t>REDACTED</w:t>
      </w:r>
      <w:r w:rsidR="00C83B5D">
        <w:t xml:space="preserve"> </w:t>
      </w:r>
      <w:r>
        <w:t xml:space="preserve">people would be </w:t>
      </w:r>
      <w:r w:rsidRPr="005F6A8B">
        <w:rPr>
          <w:i/>
        </w:rPr>
        <w:t>NTRK</w:t>
      </w:r>
      <w:r w:rsidR="00582348">
        <w:t xml:space="preserve">-fusion positive (eligible for </w:t>
      </w:r>
      <w:r>
        <w:t>TRK inhibitor treatment)</w:t>
      </w:r>
      <w:r w:rsidR="00582348">
        <w:t>,</w:t>
      </w:r>
      <w:r>
        <w:t xml:space="preserve"> and </w:t>
      </w:r>
      <w:r w:rsidR="00D31A7E">
        <w:rPr>
          <w:highlight w:val="lightGray"/>
        </w:rPr>
        <w:t>REDACTED</w:t>
      </w:r>
      <w:r w:rsidR="00C83B5D">
        <w:t xml:space="preserve"> </w:t>
      </w:r>
      <w:r>
        <w:t xml:space="preserve">people would be </w:t>
      </w:r>
      <w:r w:rsidRPr="00582348">
        <w:rPr>
          <w:i/>
        </w:rPr>
        <w:t>NTRK</w:t>
      </w:r>
      <w:r>
        <w:t>-fus</w:t>
      </w:r>
      <w:r w:rsidR="00582348">
        <w:t xml:space="preserve">ion negative (not eligible for </w:t>
      </w:r>
      <w:r>
        <w:t>TRK inhibitor treatment).</w:t>
      </w:r>
    </w:p>
    <w:p w14:paraId="3BBDD5AB" w14:textId="49E1403C" w:rsidR="003905FD" w:rsidRDefault="003905FD" w:rsidP="005524E7">
      <w:pPr>
        <w:pStyle w:val="ListParagraph"/>
        <w:numPr>
          <w:ilvl w:val="1"/>
          <w:numId w:val="25"/>
        </w:numPr>
        <w:spacing w:after="120"/>
        <w:ind w:left="709" w:hanging="426"/>
      </w:pPr>
      <w:r>
        <w:t xml:space="preserve">The estimated sensitivity for pan-TRK IHC analysis is 95%, although Solomon and Hechtman (2019) have stated that IHC analysis for </w:t>
      </w:r>
      <w:r>
        <w:rPr>
          <w:i/>
          <w:iCs/>
        </w:rPr>
        <w:t xml:space="preserve">NTRK3 </w:t>
      </w:r>
      <w:r w:rsidRPr="00E94F76">
        <w:t>has a lower</w:t>
      </w:r>
      <w:r>
        <w:t xml:space="preserve"> sensitivity (75%)</w:t>
      </w:r>
      <w:r w:rsidRPr="00E94F76">
        <w:rPr>
          <w:vertAlign w:val="superscript"/>
        </w:rPr>
        <w:fldChar w:fldCharType="begin"/>
      </w:r>
      <w:r w:rsidRPr="00E94F76">
        <w:rPr>
          <w:vertAlign w:val="superscript"/>
        </w:rPr>
        <w:instrText xml:space="preserve"> NOTEREF _Ref24985402 \h </w:instrText>
      </w:r>
      <w:r>
        <w:rPr>
          <w:vertAlign w:val="superscript"/>
        </w:rPr>
        <w:instrText xml:space="preserve"> \* MERGEFORMAT </w:instrText>
      </w:r>
      <w:r w:rsidRPr="00E94F76">
        <w:rPr>
          <w:vertAlign w:val="superscript"/>
        </w:rPr>
      </w:r>
      <w:r w:rsidRPr="00E94F76">
        <w:rPr>
          <w:vertAlign w:val="superscript"/>
        </w:rPr>
        <w:fldChar w:fldCharType="separate"/>
      </w:r>
      <w:r w:rsidR="004A0849">
        <w:rPr>
          <w:vertAlign w:val="superscript"/>
        </w:rPr>
        <w:t>11</w:t>
      </w:r>
      <w:r w:rsidRPr="00E94F76">
        <w:rPr>
          <w:vertAlign w:val="superscript"/>
        </w:rPr>
        <w:fldChar w:fldCharType="end"/>
      </w:r>
      <w:r w:rsidRPr="00E94F76">
        <w:rPr>
          <w:i/>
          <w:iCs/>
          <w:vertAlign w:val="superscript"/>
        </w:rPr>
        <w:t>,</w:t>
      </w:r>
      <w:r>
        <w:rPr>
          <w:rStyle w:val="EndnoteReference"/>
        </w:rPr>
        <w:endnoteReference w:id="13"/>
      </w:r>
      <w:r w:rsidR="00582348">
        <w:t xml:space="preserve">. </w:t>
      </w:r>
      <w:r>
        <w:t xml:space="preserve">The estimated population for the proposed intervention is based on IHC test </w:t>
      </w:r>
      <w:r w:rsidR="00582348">
        <w:t xml:space="preserve">having a 95% sensitivity rate. </w:t>
      </w:r>
      <w:r>
        <w:t xml:space="preserve">It can be assumed that an additional 5% of patients will be tested for </w:t>
      </w:r>
      <w:r w:rsidRPr="00582348">
        <w:rPr>
          <w:b/>
        </w:rPr>
        <w:t xml:space="preserve">low frequency </w:t>
      </w:r>
      <w:r w:rsidRPr="00582348">
        <w:rPr>
          <w:i/>
        </w:rPr>
        <w:t>NTRK</w:t>
      </w:r>
      <w:r>
        <w:t xml:space="preserve"> gene fusion tumours with a </w:t>
      </w:r>
      <w:r w:rsidR="00582348">
        <w:t xml:space="preserve">negative result. </w:t>
      </w:r>
      <w:r>
        <w:t xml:space="preserve">The total estimated number of people with </w:t>
      </w:r>
      <w:r w:rsidRPr="00582348">
        <w:rPr>
          <w:b/>
        </w:rPr>
        <w:t>low frequency</w:t>
      </w:r>
      <w:r>
        <w:t xml:space="preserve"> </w:t>
      </w:r>
      <w:r w:rsidRPr="00582348">
        <w:rPr>
          <w:i/>
        </w:rPr>
        <w:t xml:space="preserve">NTRK </w:t>
      </w:r>
      <w:r>
        <w:t xml:space="preserve">gene fusion tumours who would undergo IHC analysis is </w:t>
      </w:r>
      <w:r w:rsidR="00D31A7E">
        <w:rPr>
          <w:highlight w:val="lightGray"/>
        </w:rPr>
        <w:t>REDACTED</w:t>
      </w:r>
      <w:r w:rsidR="00C83B5D">
        <w:t xml:space="preserve"> </w:t>
      </w:r>
      <w:r>
        <w:t>people</w:t>
      </w:r>
      <w:r w:rsidR="00582348">
        <w:t>,</w:t>
      </w:r>
      <w:r>
        <w:t xml:space="preserve"> out of which </w:t>
      </w:r>
      <w:r w:rsidR="00D31A7E">
        <w:rPr>
          <w:highlight w:val="lightGray"/>
        </w:rPr>
        <w:t>REDACTED</w:t>
      </w:r>
      <w:r w:rsidR="00C83B5D">
        <w:t xml:space="preserve"> </w:t>
      </w:r>
      <w:r>
        <w:t xml:space="preserve">people would be </w:t>
      </w:r>
      <w:r w:rsidRPr="00582348">
        <w:rPr>
          <w:i/>
        </w:rPr>
        <w:t>NTRK</w:t>
      </w:r>
      <w:r>
        <w:t>-fusion positive (eligible for FISH or RNA-NGS testing)</w:t>
      </w:r>
      <w:r w:rsidR="00582348">
        <w:t>,</w:t>
      </w:r>
      <w:r>
        <w:t xml:space="preserve"> and </w:t>
      </w:r>
      <w:r w:rsidR="00D31A7E">
        <w:rPr>
          <w:highlight w:val="lightGray"/>
        </w:rPr>
        <w:t>REDACTED</w:t>
      </w:r>
      <w:r w:rsidR="00C83B5D">
        <w:t xml:space="preserve"> </w:t>
      </w:r>
      <w:r>
        <w:t xml:space="preserve">people would be </w:t>
      </w:r>
      <w:r w:rsidRPr="00582348">
        <w:rPr>
          <w:i/>
        </w:rPr>
        <w:t>NTRK</w:t>
      </w:r>
      <w:r>
        <w:t>-fusion negative (not eligible for FISH or RNA-NGS testing).</w:t>
      </w:r>
    </w:p>
    <w:p w14:paraId="47907CF0" w14:textId="596F9305" w:rsidR="003905FD" w:rsidRDefault="003905FD" w:rsidP="00284332">
      <w:r>
        <w:t xml:space="preserve">Therefore, a total of approximately </w:t>
      </w:r>
      <w:r w:rsidR="00D31A7E">
        <w:rPr>
          <w:highlight w:val="lightGray"/>
        </w:rPr>
        <w:t>REDACTED</w:t>
      </w:r>
      <w:r w:rsidR="00C83B5D">
        <w:t xml:space="preserve"> </w:t>
      </w:r>
      <w:r>
        <w:t xml:space="preserve">people with suspected </w:t>
      </w:r>
      <w:r w:rsidRPr="00582348">
        <w:rPr>
          <w:i/>
        </w:rPr>
        <w:t>NTRK</w:t>
      </w:r>
      <w:r>
        <w:t>-fusion cancers will require FISH or RNA-NGS testing to determine true-positives</w:t>
      </w:r>
      <w:r w:rsidR="00582348">
        <w:t>,</w:t>
      </w:r>
      <w:r>
        <w:t xml:space="preserve"> and</w:t>
      </w:r>
      <w:r w:rsidR="00582348">
        <w:t xml:space="preserve"> consequently, eligibility for </w:t>
      </w:r>
      <w:r>
        <w:t>TRK i</w:t>
      </w:r>
      <w:r w:rsidR="00582348">
        <w:t xml:space="preserve">nhibitors, per year. </w:t>
      </w:r>
      <w:r>
        <w:t>However, caution around this estimate is noted</w:t>
      </w:r>
      <w:r w:rsidR="00582348">
        <w:t>,</w:t>
      </w:r>
      <w:r>
        <w:t xml:space="preserve"> given it is based on deaths and not incidence. Thus, these estimates </w:t>
      </w:r>
      <w:r w:rsidR="00582348">
        <w:t>should be subject to revision during</w:t>
      </w:r>
      <w:r>
        <w:t xml:space="preserve"> the assessment phase.</w:t>
      </w:r>
    </w:p>
    <w:p w14:paraId="25EBFF50" w14:textId="0EC64B6C" w:rsidR="003905FD" w:rsidRDefault="003905FD" w:rsidP="00E94F76">
      <w:pPr>
        <w:pStyle w:val="Caption"/>
        <w:spacing w:after="120"/>
        <w:ind w:left="0" w:firstLine="0"/>
        <w:rPr>
          <w:rFonts w:asciiTheme="minorHAnsi" w:hAnsiTheme="minorHAnsi" w:cstheme="minorHAnsi"/>
        </w:rPr>
      </w:pPr>
      <w:bookmarkStart w:id="7" w:name="_Ref21951871"/>
      <w:r w:rsidRPr="00284332">
        <w:rPr>
          <w:rFonts w:asciiTheme="minorHAnsi" w:hAnsiTheme="minorHAnsi" w:cstheme="minorHAnsi"/>
        </w:rPr>
        <w:lastRenderedPageBreak/>
        <w:t xml:space="preserve">Figure </w:t>
      </w:r>
      <w:r w:rsidRPr="00284332">
        <w:rPr>
          <w:rFonts w:asciiTheme="minorHAnsi" w:hAnsiTheme="minorHAnsi" w:cstheme="minorHAnsi"/>
        </w:rPr>
        <w:fldChar w:fldCharType="begin"/>
      </w:r>
      <w:r w:rsidRPr="00284332">
        <w:rPr>
          <w:rFonts w:asciiTheme="minorHAnsi" w:hAnsiTheme="minorHAnsi" w:cstheme="minorHAnsi"/>
        </w:rPr>
        <w:instrText xml:space="preserve"> SEQ Figure \* ARABIC </w:instrText>
      </w:r>
      <w:r w:rsidRPr="00284332">
        <w:rPr>
          <w:rFonts w:asciiTheme="minorHAnsi" w:hAnsiTheme="minorHAnsi" w:cstheme="minorHAnsi"/>
        </w:rPr>
        <w:fldChar w:fldCharType="separate"/>
      </w:r>
      <w:r w:rsidR="004A0849">
        <w:rPr>
          <w:rFonts w:asciiTheme="minorHAnsi" w:hAnsiTheme="minorHAnsi" w:cstheme="minorHAnsi"/>
          <w:noProof/>
        </w:rPr>
        <w:t>1</w:t>
      </w:r>
      <w:r w:rsidRPr="00284332">
        <w:rPr>
          <w:rFonts w:asciiTheme="minorHAnsi" w:hAnsiTheme="minorHAnsi" w:cstheme="minorHAnsi"/>
        </w:rPr>
        <w:fldChar w:fldCharType="end"/>
      </w:r>
      <w:bookmarkEnd w:id="7"/>
      <w:r w:rsidRPr="00284332">
        <w:rPr>
          <w:rFonts w:asciiTheme="minorHAnsi" w:hAnsiTheme="minorHAnsi" w:cstheme="minorHAnsi"/>
        </w:rPr>
        <w:t xml:space="preserve">: Process for determining the estimated population size for FISH or RNA-NGS </w:t>
      </w:r>
      <w:r>
        <w:rPr>
          <w:rFonts w:asciiTheme="minorHAnsi" w:hAnsiTheme="minorHAnsi" w:cstheme="minorHAnsi"/>
        </w:rPr>
        <w:t>diagnostic testing</w:t>
      </w:r>
      <w:r w:rsidRPr="00284332">
        <w:rPr>
          <w:rFonts w:asciiTheme="minorHAnsi" w:hAnsiTheme="minorHAnsi" w:cstheme="minorHAnsi"/>
        </w:rPr>
        <w:t xml:space="preserve"> for NTRK gene fusions in solid tumours</w:t>
      </w:r>
    </w:p>
    <w:p w14:paraId="3DCB9920" w14:textId="3B9FDFAA" w:rsidR="003905FD" w:rsidRPr="0074700A" w:rsidRDefault="00D31A7E" w:rsidP="00713DA7">
      <w:pPr>
        <w:rPr>
          <w:b/>
        </w:rPr>
      </w:pPr>
      <w:r w:rsidRPr="00D31A7E">
        <w:rPr>
          <w:b/>
          <w:highlight w:val="lightGray"/>
        </w:rPr>
        <w:t>REDACTED</w:t>
      </w:r>
      <w:r w:rsidR="0074700A" w:rsidRPr="00D31A7E">
        <w:rPr>
          <w:b/>
          <w:highlight w:val="lightGray"/>
        </w:rPr>
        <w:t>ED</w:t>
      </w:r>
    </w:p>
    <w:p w14:paraId="260549B0" w14:textId="77777777" w:rsidR="005524E7" w:rsidRDefault="005524E7" w:rsidP="008A435C">
      <w:pPr>
        <w:spacing w:after="0" w:line="240" w:lineRule="auto"/>
        <w:rPr>
          <w:b/>
        </w:rPr>
      </w:pPr>
    </w:p>
    <w:p w14:paraId="7B1A5A68" w14:textId="131EF763" w:rsidR="003905FD" w:rsidRDefault="003905FD" w:rsidP="008A435C">
      <w:pPr>
        <w:spacing w:after="0" w:line="240" w:lineRule="auto"/>
        <w:rPr>
          <w:b/>
        </w:rPr>
      </w:pPr>
      <w:r>
        <w:rPr>
          <w:b/>
        </w:rPr>
        <w:t xml:space="preserve">Prior test </w:t>
      </w:r>
    </w:p>
    <w:p w14:paraId="6C45DC4F" w14:textId="5E0BAFA2" w:rsidR="003905FD" w:rsidRPr="00E32421" w:rsidRDefault="003905FD" w:rsidP="00E94F76">
      <w:r>
        <w:t xml:space="preserve">Histological evaluation of tumour tissue sample for all people with low and high frequency </w:t>
      </w:r>
      <w:r w:rsidRPr="007B4591">
        <w:rPr>
          <w:i/>
        </w:rPr>
        <w:t xml:space="preserve">NTRK </w:t>
      </w:r>
      <w:r>
        <w:t>fusions.</w:t>
      </w:r>
    </w:p>
    <w:p w14:paraId="777CFBF3" w14:textId="77777777" w:rsidR="004A0849" w:rsidRDefault="003905FD">
      <w:pPr>
        <w:rPr>
          <w:rFonts w:cs="Calibri"/>
          <w:b/>
          <w:noProof/>
          <w:color w:val="0066FF"/>
          <w:sz w:val="28"/>
          <w:szCs w:val="28"/>
          <w:u w:val="single"/>
          <w:lang w:val="en-US"/>
        </w:rPr>
      </w:pPr>
      <w:r>
        <w:rPr>
          <w:bCs/>
        </w:rPr>
        <w:t>Adult and paediatric population</w:t>
      </w:r>
      <w:r w:rsidR="00582348">
        <w:rPr>
          <w:bCs/>
        </w:rPr>
        <w:t>s</w:t>
      </w:r>
      <w:r>
        <w:rPr>
          <w:bCs/>
        </w:rPr>
        <w:t xml:space="preserve"> with </w:t>
      </w:r>
      <w:r w:rsidRPr="00582348">
        <w:rPr>
          <w:b/>
          <w:bCs/>
        </w:rPr>
        <w:t>low frequency</w:t>
      </w:r>
      <w:r>
        <w:rPr>
          <w:bCs/>
        </w:rPr>
        <w:t xml:space="preserve"> </w:t>
      </w:r>
      <w:r w:rsidRPr="00582348">
        <w:rPr>
          <w:bCs/>
          <w:i/>
        </w:rPr>
        <w:t>NTRK</w:t>
      </w:r>
      <w:r>
        <w:rPr>
          <w:bCs/>
        </w:rPr>
        <w:t xml:space="preserve"> gene fusion tumours will undergo IHC analysis. </w:t>
      </w:r>
      <w:r>
        <w:t>IHC detects gene fusions in tumours by identifying abnormal up-regulation of fusion gene expression</w:t>
      </w:r>
      <w:r w:rsidR="00582348">
        <w:t>,</w:t>
      </w:r>
      <w:r>
        <w:t xml:space="preserve"> and is currently subsidised </w:t>
      </w:r>
      <w:r w:rsidR="00582348">
        <w:t>on</w:t>
      </w:r>
      <w:r>
        <w:t xml:space="preserve"> the MBS</w:t>
      </w:r>
      <w:r>
        <w:rPr>
          <w:rStyle w:val="EndnoteReference"/>
        </w:rPr>
        <w:endnoteReference w:id="14"/>
      </w:r>
      <w:r>
        <w:t xml:space="preserve"> </w:t>
      </w:r>
      <w:r>
        <w:rPr>
          <w:bCs/>
        </w:rPr>
        <w:t xml:space="preserve">(refer to </w:t>
      </w:r>
      <w:r>
        <w:rPr>
          <w:bCs/>
        </w:rPr>
        <w:fldChar w:fldCharType="begin"/>
      </w:r>
      <w:r>
        <w:rPr>
          <w:bCs/>
        </w:rPr>
        <w:instrText xml:space="preserve"> REF _Ref24974372 \h </w:instrText>
      </w:r>
      <w:r>
        <w:rPr>
          <w:bCs/>
        </w:rPr>
      </w:r>
      <w:r>
        <w:rPr>
          <w:bCs/>
        </w:rPr>
        <w:fldChar w:fldCharType="separate"/>
      </w:r>
      <w:r w:rsidR="004A0849">
        <w:rPr>
          <w:rFonts w:cs="Calibri"/>
          <w:b/>
          <w:noProof/>
          <w:color w:val="0066FF"/>
          <w:sz w:val="28"/>
          <w:szCs w:val="28"/>
          <w:u w:val="single"/>
          <w:lang w:val="en-US"/>
        </w:rPr>
        <w:br w:type="page"/>
      </w:r>
    </w:p>
    <w:p w14:paraId="10DA851A" w14:textId="77777777" w:rsidR="004A0849" w:rsidRPr="007D56AD" w:rsidRDefault="004A0849" w:rsidP="007D56AD">
      <w:pPr>
        <w:spacing w:after="120" w:line="240" w:lineRule="auto"/>
        <w:rPr>
          <w:rFonts w:cs="Calibri"/>
          <w:b/>
          <w:noProof/>
          <w:color w:val="00B0F0"/>
          <w:sz w:val="28"/>
          <w:szCs w:val="28"/>
          <w:u w:val="single"/>
          <w:lang w:val="en-US"/>
        </w:rPr>
      </w:pPr>
      <w:r w:rsidRPr="007D56AD">
        <w:rPr>
          <w:rFonts w:cs="Calibri"/>
          <w:b/>
          <w:noProof/>
          <w:color w:val="00B0F0"/>
          <w:sz w:val="28"/>
          <w:szCs w:val="28"/>
          <w:u w:val="single"/>
          <w:lang w:val="en-US"/>
        </w:rPr>
        <w:lastRenderedPageBreak/>
        <w:t>CONSULTATION FEEDBACK</w:t>
      </w:r>
    </w:p>
    <w:p w14:paraId="2A30F89C" w14:textId="77777777" w:rsidR="004A0849" w:rsidRPr="00713DA7" w:rsidRDefault="004A0849" w:rsidP="00713DA7">
      <w:pPr>
        <w:spacing w:after="0"/>
        <w:rPr>
          <w:b/>
          <w:bCs/>
          <w:i/>
          <w:iCs/>
        </w:rPr>
      </w:pPr>
      <w:r w:rsidRPr="00713DA7">
        <w:rPr>
          <w:i/>
        </w:rPr>
        <w:t xml:space="preserve">PASC </w:t>
      </w:r>
      <w:r>
        <w:rPr>
          <w:i/>
        </w:rPr>
        <w:t>noted t</w:t>
      </w:r>
      <w:r w:rsidRPr="00713DA7">
        <w:rPr>
          <w:i/>
        </w:rPr>
        <w:t xml:space="preserve">he letters of strong support </w:t>
      </w:r>
      <w:r>
        <w:rPr>
          <w:i/>
        </w:rPr>
        <w:t xml:space="preserve">received as part of </w:t>
      </w:r>
      <w:r w:rsidRPr="00713DA7">
        <w:rPr>
          <w:i/>
        </w:rPr>
        <w:t>consultation feedback.</w:t>
      </w:r>
    </w:p>
    <w:p w14:paraId="33BE3B0F" w14:textId="77777777" w:rsidR="004A0849" w:rsidRPr="00B438C0" w:rsidRDefault="004A0849" w:rsidP="00196BEE">
      <w:pPr>
        <w:spacing w:after="0"/>
        <w:rPr>
          <w:sz w:val="18"/>
          <w:szCs w:val="18"/>
        </w:rPr>
      </w:pPr>
    </w:p>
    <w:p w14:paraId="23EC85BE" w14:textId="77777777" w:rsidR="004A0849" w:rsidRPr="007D56AD" w:rsidRDefault="004A0849" w:rsidP="00196BEE">
      <w:pPr>
        <w:keepNext/>
        <w:keepLines/>
        <w:spacing w:after="120"/>
        <w:outlineLvl w:val="1"/>
        <w:rPr>
          <w:rFonts w:eastAsia="MS Gothic"/>
          <w:b/>
          <w:bCs/>
          <w:color w:val="00B0F0"/>
          <w:sz w:val="28"/>
          <w:szCs w:val="28"/>
          <w:u w:val="single"/>
        </w:rPr>
      </w:pPr>
      <w:r w:rsidRPr="007D56AD">
        <w:rPr>
          <w:rFonts w:eastAsia="MS Gothic"/>
          <w:b/>
          <w:bCs/>
          <w:color w:val="00B0F0"/>
          <w:sz w:val="28"/>
          <w:szCs w:val="28"/>
          <w:u w:val="single"/>
        </w:rPr>
        <w:t>NEXT STEPS</w:t>
      </w:r>
    </w:p>
    <w:p w14:paraId="43D394F4" w14:textId="77777777" w:rsidR="004A0849" w:rsidRPr="00B438C0" w:rsidRDefault="004A0849" w:rsidP="00713DA7">
      <w:pPr>
        <w:spacing w:after="0"/>
        <w:contextualSpacing/>
        <w:rPr>
          <w:i/>
          <w:iCs/>
          <w:sz w:val="16"/>
          <w:szCs w:val="16"/>
        </w:rPr>
      </w:pPr>
      <w:r>
        <w:rPr>
          <w:i/>
          <w:iCs/>
        </w:rPr>
        <w:t xml:space="preserve">Upon ratification of </w:t>
      </w:r>
      <w:r w:rsidRPr="00713DA7">
        <w:rPr>
          <w:i/>
          <w:iCs/>
        </w:rPr>
        <w:t>PICO 1602</w:t>
      </w:r>
      <w:r>
        <w:rPr>
          <w:i/>
          <w:iCs/>
        </w:rPr>
        <w:t xml:space="preserve">, </w:t>
      </w:r>
      <w:r w:rsidRPr="00713DA7">
        <w:rPr>
          <w:i/>
          <w:iCs/>
        </w:rPr>
        <w:t>the application can PROCEED to the pre-Evaluation Sub-Committee (ESC) stage.</w:t>
      </w:r>
      <w:r w:rsidRPr="00713DA7">
        <w:rPr>
          <w:i/>
          <w:iCs/>
        </w:rPr>
        <w:br/>
      </w:r>
    </w:p>
    <w:p w14:paraId="270620B2" w14:textId="77777777" w:rsidR="004A0849" w:rsidRPr="00713DA7" w:rsidRDefault="004A0849" w:rsidP="00713DA7">
      <w:pPr>
        <w:contextualSpacing/>
        <w:rPr>
          <w:i/>
          <w:iCs/>
        </w:rPr>
      </w:pPr>
      <w:r w:rsidRPr="00713DA7">
        <w:rPr>
          <w:i/>
          <w:iCs/>
        </w:rPr>
        <w:t>The applicant has elected to prepare its own ADAR (applicant-developed assessment report).</w:t>
      </w:r>
    </w:p>
    <w:p w14:paraId="31210E27" w14:textId="77777777" w:rsidR="004A0849" w:rsidRDefault="004A0849">
      <w:pPr>
        <w:rPr>
          <w:rFonts w:asciiTheme="majorHAnsi" w:eastAsiaTheme="majorEastAsia" w:hAnsiTheme="majorHAnsi" w:cstheme="majorBidi"/>
          <w:b/>
          <w:bCs/>
          <w:color w:val="365F91" w:themeColor="accent1" w:themeShade="BF"/>
          <w:sz w:val="28"/>
          <w:szCs w:val="28"/>
        </w:rPr>
      </w:pPr>
      <w:r>
        <w:br w:type="page"/>
      </w:r>
    </w:p>
    <w:p w14:paraId="70CC3DFC" w14:textId="222396B2" w:rsidR="003905FD" w:rsidRDefault="004A0849" w:rsidP="004E0CFA">
      <w:pPr>
        <w:spacing w:line="240" w:lineRule="auto"/>
      </w:pPr>
      <w:r w:rsidRPr="007B4591">
        <w:rPr>
          <w:color w:val="00B0F0"/>
        </w:rPr>
        <w:lastRenderedPageBreak/>
        <w:t>Appendix A</w:t>
      </w:r>
      <w:r w:rsidR="003905FD">
        <w:rPr>
          <w:bCs/>
        </w:rPr>
        <w:fldChar w:fldCharType="end"/>
      </w:r>
      <w:r w:rsidR="003905FD">
        <w:rPr>
          <w:bCs/>
        </w:rPr>
        <w:t xml:space="preserve"> for details)</w:t>
      </w:r>
      <w:r w:rsidR="003905FD">
        <w:t>.</w:t>
      </w:r>
    </w:p>
    <w:p w14:paraId="6C70A247" w14:textId="6B01E076" w:rsidR="003905FD" w:rsidRDefault="003905FD" w:rsidP="007809DB">
      <w:pPr>
        <w:spacing w:before="240"/>
        <w:rPr>
          <w:bCs/>
        </w:rPr>
      </w:pPr>
      <w:r>
        <w:rPr>
          <w:bCs/>
        </w:rPr>
        <w:t xml:space="preserve">Only those with a positive IHC test will be referred for FISH or RNA-NGS to confirm the presence of </w:t>
      </w:r>
      <w:r w:rsidRPr="00582348">
        <w:rPr>
          <w:bCs/>
          <w:i/>
        </w:rPr>
        <w:t>NTRK</w:t>
      </w:r>
      <w:r>
        <w:rPr>
          <w:bCs/>
        </w:rPr>
        <w:t xml:space="preserve"> gene fusions.</w:t>
      </w:r>
    </w:p>
    <w:p w14:paraId="55A78786" w14:textId="55484638" w:rsidR="003905FD" w:rsidRDefault="003905FD" w:rsidP="007809DB">
      <w:pPr>
        <w:spacing w:before="240"/>
        <w:rPr>
          <w:bCs/>
        </w:rPr>
      </w:pPr>
      <w:r w:rsidRPr="008137EE">
        <w:rPr>
          <w:bCs/>
        </w:rPr>
        <w:t>Adult and paediatric population</w:t>
      </w:r>
      <w:r w:rsidR="00582348">
        <w:rPr>
          <w:bCs/>
        </w:rPr>
        <w:t>s</w:t>
      </w:r>
      <w:r w:rsidRPr="008137EE">
        <w:rPr>
          <w:bCs/>
        </w:rPr>
        <w:t xml:space="preserve"> with</w:t>
      </w:r>
      <w:r>
        <w:rPr>
          <w:bCs/>
        </w:rPr>
        <w:t xml:space="preserve"> histologically-defined</w:t>
      </w:r>
      <w:r w:rsidRPr="008137EE">
        <w:rPr>
          <w:bCs/>
        </w:rPr>
        <w:t xml:space="preserve"> </w:t>
      </w:r>
      <w:r w:rsidRPr="00582348">
        <w:rPr>
          <w:b/>
          <w:bCs/>
        </w:rPr>
        <w:t>high frequency</w:t>
      </w:r>
      <w:r w:rsidRPr="008137EE">
        <w:rPr>
          <w:bCs/>
        </w:rPr>
        <w:t xml:space="preserve"> </w:t>
      </w:r>
      <w:r w:rsidRPr="00582348">
        <w:rPr>
          <w:bCs/>
          <w:i/>
        </w:rPr>
        <w:t>NTRK</w:t>
      </w:r>
      <w:r w:rsidRPr="008137EE">
        <w:rPr>
          <w:bCs/>
        </w:rPr>
        <w:t xml:space="preserve"> gene fusion tumours require no prior tests.</w:t>
      </w:r>
    </w:p>
    <w:p w14:paraId="5CABC43E" w14:textId="77777777" w:rsidR="003905FD" w:rsidRPr="007D56AD" w:rsidRDefault="003905FD" w:rsidP="00A57E2C">
      <w:pPr>
        <w:spacing w:after="120" w:line="240" w:lineRule="auto"/>
        <w:rPr>
          <w:b/>
          <w:color w:val="00B0F0"/>
          <w:sz w:val="28"/>
          <w:szCs w:val="28"/>
          <w:u w:val="single"/>
        </w:rPr>
      </w:pPr>
      <w:r w:rsidRPr="007D56AD">
        <w:rPr>
          <w:b/>
          <w:color w:val="00B0F0"/>
          <w:sz w:val="28"/>
          <w:szCs w:val="28"/>
          <w:u w:val="single"/>
        </w:rPr>
        <w:t>INTERVENTION</w:t>
      </w:r>
    </w:p>
    <w:p w14:paraId="7DCE4793" w14:textId="29B18BA0" w:rsidR="003905FD" w:rsidRPr="00426312" w:rsidRDefault="003905FD" w:rsidP="00FC5A99">
      <w:pPr>
        <w:spacing w:after="0"/>
        <w:rPr>
          <w:i/>
          <w:iCs/>
          <w:sz w:val="16"/>
          <w:szCs w:val="16"/>
        </w:rPr>
      </w:pPr>
      <w:r>
        <w:rPr>
          <w:i/>
          <w:iCs/>
        </w:rPr>
        <w:t>P</w:t>
      </w:r>
      <w:r w:rsidRPr="0048690A">
        <w:rPr>
          <w:i/>
          <w:iCs/>
        </w:rPr>
        <w:t>ASC confirmed the proposed intervention for the test and the drug (as detailed in this PICO</w:t>
      </w:r>
      <w:r w:rsidR="00582348">
        <w:rPr>
          <w:i/>
          <w:iCs/>
        </w:rPr>
        <w:t>)</w:t>
      </w:r>
      <w:r w:rsidRPr="0048690A">
        <w:rPr>
          <w:i/>
          <w:iCs/>
        </w:rPr>
        <w:t>.</w:t>
      </w:r>
      <w:r w:rsidRPr="0048690A">
        <w:rPr>
          <w:i/>
          <w:iCs/>
        </w:rPr>
        <w:br/>
      </w:r>
    </w:p>
    <w:p w14:paraId="6D9CBBE6" w14:textId="77777777" w:rsidR="003905FD" w:rsidRPr="00426312" w:rsidRDefault="003905FD" w:rsidP="00FC5A99">
      <w:pPr>
        <w:spacing w:after="0"/>
        <w:rPr>
          <w:i/>
          <w:iCs/>
          <w:sz w:val="16"/>
          <w:szCs w:val="16"/>
        </w:rPr>
      </w:pPr>
      <w:r w:rsidRPr="0048690A">
        <w:rPr>
          <w:i/>
          <w:iCs/>
        </w:rPr>
        <w:t xml:space="preserve">PASC noted IHC enables detection of TRK overexpression as a surrogate for the presence of an </w:t>
      </w:r>
      <w:r w:rsidRPr="007A71F4">
        <w:rPr>
          <w:i/>
          <w:iCs/>
        </w:rPr>
        <w:t>NTRK</w:t>
      </w:r>
      <w:r w:rsidRPr="0048690A">
        <w:rPr>
          <w:i/>
          <w:iCs/>
        </w:rPr>
        <w:t xml:space="preserve"> gene fusion. However, PASC advised that IHC results must be followed by confirmatory testing (using a molecular method) to verify the presence of a fusion. This is because overexpression of wild-type TRK proteins may also be detected.</w:t>
      </w:r>
      <w:r w:rsidRPr="0048690A">
        <w:rPr>
          <w:i/>
          <w:iCs/>
        </w:rPr>
        <w:br/>
      </w:r>
    </w:p>
    <w:p w14:paraId="30E15D2B" w14:textId="755F914F" w:rsidR="003905FD" w:rsidRPr="00426312" w:rsidRDefault="003905FD" w:rsidP="00FC5A99">
      <w:pPr>
        <w:spacing w:after="0"/>
        <w:rPr>
          <w:i/>
          <w:iCs/>
          <w:sz w:val="16"/>
          <w:szCs w:val="16"/>
        </w:rPr>
      </w:pPr>
      <w:r w:rsidRPr="0048690A">
        <w:rPr>
          <w:i/>
          <w:iCs/>
        </w:rPr>
        <w:t>PASC advised that education and training for pathologists would be required for them to use IHC as a triage test (as it is not commonly used in Australia).</w:t>
      </w:r>
      <w:r w:rsidRPr="0048690A">
        <w:rPr>
          <w:i/>
          <w:iCs/>
        </w:rPr>
        <w:br/>
      </w:r>
    </w:p>
    <w:p w14:paraId="50C002C7" w14:textId="6E566D45" w:rsidR="003905FD" w:rsidRPr="00426312" w:rsidRDefault="003905FD" w:rsidP="00FC5A99">
      <w:pPr>
        <w:spacing w:after="0"/>
        <w:rPr>
          <w:i/>
          <w:iCs/>
          <w:sz w:val="16"/>
          <w:szCs w:val="16"/>
        </w:rPr>
      </w:pPr>
      <w:r w:rsidRPr="0048690A">
        <w:rPr>
          <w:i/>
          <w:iCs/>
        </w:rPr>
        <w:t>PASC noted RNA-NGS has several advantages over DNA-NGS. However, access to RNA-NGS could be an issue, because few laboratories are currently performing this technique in Australia (compared with more widely diffused DNA-NGS methods).</w:t>
      </w:r>
      <w:r w:rsidRPr="0048690A">
        <w:rPr>
          <w:i/>
          <w:iCs/>
        </w:rPr>
        <w:br/>
      </w:r>
    </w:p>
    <w:p w14:paraId="7137630F" w14:textId="77777777" w:rsidR="003905FD" w:rsidRPr="0048690A" w:rsidRDefault="003905FD" w:rsidP="00FC5A99">
      <w:pPr>
        <w:spacing w:after="0"/>
        <w:rPr>
          <w:i/>
          <w:iCs/>
        </w:rPr>
      </w:pPr>
      <w:r w:rsidRPr="0048690A">
        <w:rPr>
          <w:i/>
          <w:iCs/>
        </w:rPr>
        <w:t>PASC noted fresh frozen tissue is preferable for FISH, as it is more reliable than when used on paraffin-embedded tissue. Fresh frozen tissue is also preferable for RNA-NGS, and specimens must be handled in a way that prevents degradation of RNA.</w:t>
      </w:r>
    </w:p>
    <w:p w14:paraId="447F105B" w14:textId="77777777" w:rsidR="003905FD" w:rsidRPr="00426312" w:rsidRDefault="003905FD" w:rsidP="00A57E2C">
      <w:pPr>
        <w:spacing w:after="0" w:line="240" w:lineRule="auto"/>
        <w:rPr>
          <w:sz w:val="16"/>
          <w:szCs w:val="16"/>
        </w:rPr>
      </w:pPr>
    </w:p>
    <w:p w14:paraId="613C2CE2" w14:textId="1F7FD4DD" w:rsidR="003905FD" w:rsidRDefault="003905FD" w:rsidP="00A57E2C">
      <w:pPr>
        <w:spacing w:after="0" w:line="240" w:lineRule="auto"/>
      </w:pPr>
      <w:r>
        <w:t xml:space="preserve">The proposed intervention includes two types of molecular testing methods: FISH or RNA-NGS.  These diagnostic tests are frequently used to detect </w:t>
      </w:r>
      <w:r w:rsidRPr="00582348">
        <w:rPr>
          <w:i/>
        </w:rPr>
        <w:t>NTRK</w:t>
      </w:r>
      <w:r>
        <w:t xml:space="preserve"> gene fusions using tumour tissue.</w:t>
      </w:r>
    </w:p>
    <w:p w14:paraId="32138C5D" w14:textId="3EA2C308" w:rsidR="003905FD" w:rsidRDefault="003905FD" w:rsidP="006D5D1B">
      <w:r>
        <w:t xml:space="preserve">The choice of test may depend on the frequency and type of </w:t>
      </w:r>
      <w:r w:rsidRPr="00582348">
        <w:rPr>
          <w:i/>
        </w:rPr>
        <w:t>NTRK</w:t>
      </w:r>
      <w:r>
        <w:t xml:space="preserve"> gene fusion in a particular tumour, cost of the test, turnaround time</w:t>
      </w:r>
      <w:r w:rsidR="00582348">
        <w:t>,</w:t>
      </w:r>
      <w:r>
        <w:t xml:space="preserve"> and availability of expertise and resources. </w:t>
      </w:r>
    </w:p>
    <w:p w14:paraId="4E19F660" w14:textId="77777777" w:rsidR="004A0849" w:rsidRDefault="003905FD" w:rsidP="006D5D1B">
      <w:r>
        <w:fldChar w:fldCharType="begin"/>
      </w:r>
      <w:r>
        <w:instrText xml:space="preserve"> REF _Ref21943314 \h  \* MERGEFORMAT </w:instrText>
      </w:r>
      <w:r>
        <w:fldChar w:fldCharType="separate"/>
      </w:r>
      <w:r w:rsidR="004A0849">
        <w:t>IHC,</w:t>
      </w:r>
      <w:r w:rsidR="004A0849">
        <w:rPr>
          <w:noProof/>
        </w:rPr>
        <w:t xml:space="preserve"> </w:t>
      </w:r>
      <w:r w:rsidR="004A0849">
        <w:t xml:space="preserve">FISH and RNA-NGS diagnostic tests used for </w:t>
      </w:r>
      <w:r w:rsidR="004A0849" w:rsidRPr="00582348">
        <w:rPr>
          <w:i/>
        </w:rPr>
        <w:t>NTRK</w:t>
      </w:r>
      <w:r w:rsidR="004A0849">
        <w:t xml:space="preserve"> gene fusion cancers.  According to Penault-Llorca et al (2019) and Hsiao et al (2019), IHC, FISH, reverse transcription polymerase chain reaction (RT-PCR) and NGS are commonly used (either standalone or in combination) as diagnostic tests for </w:t>
      </w:r>
      <w:r w:rsidR="004A0849" w:rsidRPr="00582348">
        <w:rPr>
          <w:i/>
        </w:rPr>
        <w:t>NTRK</w:t>
      </w:r>
      <w:r w:rsidR="004A0849" w:rsidRPr="004A0849">
        <w:rPr>
          <w:i/>
        </w:rPr>
        <w:t>-fusion</w:t>
      </w:r>
      <w:r w:rsidR="004A0849">
        <w:t xml:space="preserve"> cancers. </w:t>
      </w:r>
    </w:p>
    <w:p w14:paraId="550D9CBC" w14:textId="77777777" w:rsidR="004A0849" w:rsidRPr="00D152CB" w:rsidRDefault="004A0849" w:rsidP="006D5D1B">
      <w:r>
        <w:t>The applicant proposed a clinical algorithm which includes IHC, FISH or RNA-NGS. Since the tests stated in the literature do not have 100% specificity and sensitivity, they cannot be used as a reference standard for the proposed intervention (FISH or RNA-NGS). No reference standard was identified.</w:t>
      </w:r>
    </w:p>
    <w:p w14:paraId="0642CCAA" w14:textId="77777777" w:rsidR="004A0849" w:rsidRPr="00284332" w:rsidRDefault="004A0849" w:rsidP="00A57E2C">
      <w:pPr>
        <w:spacing w:before="240" w:after="120"/>
        <w:rPr>
          <w:b/>
          <w:i/>
          <w:u w:val="single"/>
        </w:rPr>
      </w:pPr>
      <w:r w:rsidRPr="00284332">
        <w:rPr>
          <w:b/>
          <w:i/>
          <w:u w:val="single"/>
        </w:rPr>
        <w:t xml:space="preserve">Fluorescent </w:t>
      </w:r>
      <w:r w:rsidRPr="00284332">
        <w:rPr>
          <w:b/>
          <w:i/>
          <w:iCs/>
          <w:u w:val="single"/>
        </w:rPr>
        <w:t xml:space="preserve">in-situ </w:t>
      </w:r>
      <w:r w:rsidRPr="00284332">
        <w:rPr>
          <w:b/>
          <w:i/>
          <w:u w:val="single"/>
        </w:rPr>
        <w:t>hybridisation (FISH)</w:t>
      </w:r>
    </w:p>
    <w:p w14:paraId="4BB24C9B" w14:textId="77777777" w:rsidR="004A0849" w:rsidRDefault="004A0849" w:rsidP="008137EE">
      <w:r>
        <w:t xml:space="preserve">Chromosomal alterations can be detected via FISH analysis by using fusion or break-apart probes .  The fusion FISH method is preferred if the specific genes involved in the oncogenic fusion are known.  If there is a range of possible gene fusion partners or if the fusion partners are unknown, a break-apart FISH assay is used and it is based on the proto-oncogene partner.  </w:t>
      </w:r>
    </w:p>
    <w:p w14:paraId="1231AEA7" w14:textId="77777777" w:rsidR="004A0849" w:rsidRDefault="004A0849" w:rsidP="008137EE">
      <w:r>
        <w:t xml:space="preserve">The </w:t>
      </w:r>
      <w:r>
        <w:rPr>
          <w:i/>
          <w:iCs/>
        </w:rPr>
        <w:t xml:space="preserve">ETV6 </w:t>
      </w:r>
      <w:r>
        <w:t xml:space="preserve">break-apart probe is known to be very effective in detecting </w:t>
      </w:r>
      <w:r>
        <w:rPr>
          <w:i/>
          <w:iCs/>
        </w:rPr>
        <w:t xml:space="preserve">ETV6-NTRK3 </w:t>
      </w:r>
      <w:r>
        <w:t xml:space="preserve">rearrangements in secretory carcinoma and infantile fibrosarcoma. FISH assays are limited to a single gene; hence </w:t>
      </w:r>
      <w:r>
        <w:lastRenderedPageBreak/>
        <w:t xml:space="preserve">three separate assays would be required to include </w:t>
      </w:r>
      <w:r>
        <w:rPr>
          <w:i/>
          <w:iCs/>
        </w:rPr>
        <w:t xml:space="preserve">NTRK1, NTRK2 </w:t>
      </w:r>
      <w:r>
        <w:t xml:space="preserve">and </w:t>
      </w:r>
      <w:r>
        <w:rPr>
          <w:i/>
          <w:iCs/>
        </w:rPr>
        <w:t xml:space="preserve">NTRK3 </w:t>
      </w:r>
      <w:r w:rsidRPr="008511F3">
        <w:t>which</w:t>
      </w:r>
      <w:r>
        <w:t xml:space="preserve"> makes the process expensive and time consuming. Also, FISH does not provide information on whether the gene fusion has a productive transcript. </w:t>
      </w:r>
      <w:r w:rsidRPr="00713DA7">
        <w:t>Fresh frozen tissue is preferable for FISH, as it is more reliable than when used on paraffin-embedded tissue.</w:t>
      </w:r>
    </w:p>
    <w:p w14:paraId="1705F611" w14:textId="77777777" w:rsidR="004A0849" w:rsidRPr="00E94F76" w:rsidRDefault="004A0849" w:rsidP="00A57E2C">
      <w:pPr>
        <w:spacing w:before="240" w:after="120"/>
        <w:rPr>
          <w:b/>
          <w:i/>
          <w:u w:val="single"/>
        </w:rPr>
      </w:pPr>
      <w:r w:rsidRPr="00E94F76">
        <w:rPr>
          <w:b/>
          <w:i/>
          <w:u w:val="single"/>
        </w:rPr>
        <w:t>RNA based next generation sequencing (RNA-NGS)</w:t>
      </w:r>
    </w:p>
    <w:p w14:paraId="5ABDA2E5" w14:textId="77777777" w:rsidR="004A0849" w:rsidRDefault="004A0849" w:rsidP="008137EE">
      <w:r>
        <w:t xml:space="preserve">NGS offers a range of parallel sequencing from specific gene panels to entire genomes, using limited tissue. It is a useful method to assess fusions in multiple genes and exons simultaneously. NGS can also provide information on the genes involved in the fusions and whether those fusions result in a productive transcript. </w:t>
      </w:r>
    </w:p>
    <w:p w14:paraId="381F184A" w14:textId="77777777" w:rsidR="004A0849" w:rsidRDefault="004A0849" w:rsidP="008137EE">
      <w:r>
        <w:t xml:space="preserve">The NGS method is well established and can use DNA or RNA from FFPE, fresh frozen (FF) or stabilised tumour tissue. </w:t>
      </w:r>
      <w:r w:rsidRPr="00713DA7">
        <w:t>Fresh frozen tissue is preferable for RNA-NGS however specimens must be handled in a way that prevents degradation of RNA.</w:t>
      </w:r>
      <w:r>
        <w:t xml:space="preserve">  RNA-NGS involves RNA extraction from FFPE tumour tissue which is used to prepare cDNA for amplicon or PCR-based sequencing. Since RNA is labile, there is a high risk of RNA degradation in FFPE tissue over time and quality control measures are required to assess the quantity and quality of RNA obtained.</w:t>
      </w:r>
    </w:p>
    <w:p w14:paraId="1BF39458" w14:textId="77777777" w:rsidR="004A0849" w:rsidRPr="00E94F76" w:rsidRDefault="004A0849" w:rsidP="00A57E2C">
      <w:pPr>
        <w:spacing w:after="120"/>
        <w:rPr>
          <w:b/>
          <w:i/>
          <w:u w:val="single"/>
        </w:rPr>
      </w:pPr>
      <w:r w:rsidRPr="00E94F76">
        <w:rPr>
          <w:b/>
          <w:i/>
          <w:u w:val="single"/>
        </w:rPr>
        <w:t>Testing sequence</w:t>
      </w:r>
    </w:p>
    <w:p w14:paraId="6A8EB60E" w14:textId="77777777" w:rsidR="004A0849" w:rsidRDefault="004A0849" w:rsidP="00641FC8">
      <w:r w:rsidRPr="00E94F76">
        <w:t>Marked differences in the prevalence of NTRK gene fusions across tumour types mean that clinical diagnostic strategies will vary accordingly but will rely on IHC, FISH and NGS assays</w:t>
      </w:r>
      <w:r w:rsidRPr="004A0849">
        <w:t>6</w:t>
      </w:r>
      <w:r w:rsidRPr="00E94F76">
        <w:t>.</w:t>
      </w:r>
    </w:p>
    <w:p w14:paraId="7FEB18DD" w14:textId="77777777" w:rsidR="004A0849" w:rsidRDefault="004A0849" w:rsidP="00B62F1B">
      <w:r>
        <w:t xml:space="preserve">Patients with </w:t>
      </w:r>
      <w:r w:rsidRPr="006B73B0">
        <w:rPr>
          <w:b/>
        </w:rPr>
        <w:t>high frequency</w:t>
      </w:r>
      <w:r>
        <w:t xml:space="preserve"> </w:t>
      </w:r>
      <w:r>
        <w:rPr>
          <w:i/>
        </w:rPr>
        <w:t>NTRK-</w:t>
      </w:r>
      <w:r w:rsidRPr="004A0849">
        <w:rPr>
          <w:i/>
        </w:rPr>
        <w:t>fusion</w:t>
      </w:r>
      <w:r>
        <w:t xml:space="preserve"> tumours that are locally advanced or metastatic will first undergo IHC testing followed by either FISH or RNA-NGS to identify the presence of oncogenic NTRK gene fusions. Although these tests (FISH/RNA-NGS) may be done sequentially in some cases, the applicant has proposed that either FISH or RNA-NGS testing should be specified in the PICO Confirmation. Patients with a positive result will commence TRK inhibitor treatment, and those with a negative result will undergo other investigations and be treated with usual standard of care (i.e. chemotherapy, radiotherapy, palliation, etc).</w:t>
      </w:r>
    </w:p>
    <w:p w14:paraId="7925D80F" w14:textId="77777777" w:rsidR="004A0849" w:rsidRDefault="004A0849">
      <w:r>
        <w:br w:type="page"/>
      </w:r>
    </w:p>
    <w:p w14:paraId="3BDEA85E" w14:textId="77777777" w:rsidR="004A0849" w:rsidRDefault="004A0849" w:rsidP="00713DA7">
      <w:pPr>
        <w:spacing w:after="0"/>
      </w:pPr>
      <w:r w:rsidRPr="00E94F76">
        <w:lastRenderedPageBreak/>
        <w:t xml:space="preserve">Patients with </w:t>
      </w:r>
      <w:r w:rsidRPr="006B73B0">
        <w:rPr>
          <w:b/>
        </w:rPr>
        <w:t>low frequency</w:t>
      </w:r>
      <w:r>
        <w:t xml:space="preserve"> </w:t>
      </w:r>
      <w:r w:rsidRPr="006B73B0">
        <w:rPr>
          <w:i/>
        </w:rPr>
        <w:t>NTRK</w:t>
      </w:r>
      <w:r w:rsidRPr="004A0849">
        <w:rPr>
          <w:i/>
        </w:rPr>
        <w:t>-fusion</w:t>
      </w:r>
      <w:r w:rsidRPr="00E94F76">
        <w:t xml:space="preserve"> tumours that are locally advanced or metastatic will </w:t>
      </w:r>
      <w:r>
        <w:t xml:space="preserve">(in most cases) </w:t>
      </w:r>
      <w:r w:rsidRPr="00E94F76">
        <w:t>first undergo IHC analysis</w:t>
      </w:r>
      <w:r>
        <w:t>, while in</w:t>
      </w:r>
      <w:r w:rsidRPr="00E94F76">
        <w:t xml:space="preserve"> some cases [e.g. thyroid or NSCLC]</w:t>
      </w:r>
      <w:r>
        <w:t>,</w:t>
      </w:r>
      <w:r w:rsidRPr="00E94F76">
        <w:t xml:space="preserve"> NGS may be routinely performed</w:t>
      </w:r>
      <w:r w:rsidRPr="004A0849">
        <w:t>6</w:t>
      </w:r>
      <w:r>
        <w:t xml:space="preserve">. </w:t>
      </w:r>
      <w:r w:rsidRPr="00E94F76">
        <w:t>Patients with a positive IHC test will then undergo FISH or RNA-NGS</w:t>
      </w:r>
      <w:r>
        <w:t>.</w:t>
      </w:r>
      <w:r w:rsidRPr="00E94F76">
        <w:t xml:space="preserve"> </w:t>
      </w:r>
      <w:r w:rsidRPr="00713DA7">
        <w:t>IHC results must be followed by confirmatory testing (using a molecular method) to verify the presence of a fusion. This is because overexpression of wild-type TRK proteins may also be detected.</w:t>
      </w:r>
      <w:r>
        <w:t xml:space="preserve"> I</w:t>
      </w:r>
      <w:r w:rsidRPr="00E94F76">
        <w:t>f found to be</w:t>
      </w:r>
      <w:r>
        <w:t xml:space="preserve"> positive for </w:t>
      </w:r>
      <w:r w:rsidRPr="006B73B0">
        <w:rPr>
          <w:i/>
        </w:rPr>
        <w:t>NTRK</w:t>
      </w:r>
      <w:r>
        <w:t xml:space="preserve"> gene fusions, they will commence on TRK inhibitor treatment. Patients with a negative result will undergo other investigations and be treated with usual standard of care. </w:t>
      </w:r>
      <w:r>
        <w:br/>
      </w:r>
    </w:p>
    <w:p w14:paraId="67EDEDCC" w14:textId="77777777" w:rsidR="004A0849" w:rsidRDefault="004A0849" w:rsidP="00B62F1B">
      <w:r>
        <w:t xml:space="preserve">Patients with </w:t>
      </w:r>
      <w:r w:rsidRPr="006B73B0">
        <w:rPr>
          <w:i/>
        </w:rPr>
        <w:t xml:space="preserve">NTRK </w:t>
      </w:r>
      <w:r>
        <w:t>gene fusions are currently treated according to the tumour-specific treatment guidelines which can involve several types of chemotherapy and/or radiotherapy. Untargeted chemotherapy induces tumour resistance which reduces the effect of subsequent lines of chemotherapy . Also, there is a greater risk of toxicity, increased costs from trialling the various lines of chemotherapy and an increased risk of developing secondary cancers. Larotrectinib offers targeted treatment for NTRK gene fusion tumours, which reduces the risks involved with untargeted chemotherapy, improves overall survival, and has minimal adverse effects (95% of adverse events were classified as grade 1 or 2).  It is reported to shrink solid tumours which facilitates surgical tumour resection.</w:t>
      </w:r>
    </w:p>
    <w:p w14:paraId="2DC8882C" w14:textId="77777777" w:rsidR="004A0849" w:rsidRDefault="004A0849" w:rsidP="00B62F1B">
      <w:r>
        <w:t>FISH or RNA-NGS will be required to assess eligibility for Pharmaceutical Benefits Scheme (PBS) funded NTRK inhibitor treatment on detecting gene fusions in solid tumour samples.</w:t>
      </w:r>
    </w:p>
    <w:p w14:paraId="011CCA64" w14:textId="77777777" w:rsidR="004A0849" w:rsidRDefault="004A0849" w:rsidP="00B62F1B">
      <w:r>
        <w:t xml:space="preserve">FISH (to detect </w:t>
      </w:r>
      <w:r w:rsidRPr="007B4591">
        <w:rPr>
          <w:i/>
        </w:rPr>
        <w:t>NTRK</w:t>
      </w:r>
      <w:r>
        <w:t xml:space="preserve"> gene fusions) and RNA-NGS tests are not currently funded on the MBS, but are accessed on a user-pay basis.</w:t>
      </w:r>
    </w:p>
    <w:p w14:paraId="488D1FF7" w14:textId="77777777" w:rsidR="004A0849" w:rsidRDefault="004A0849" w:rsidP="00C9235B">
      <w:r>
        <w:t>The proposed molecular tests are once-off diagnostic tests that would be accessible via referral from a paediatric specialist or consultant physician. The patient’s tumour sample would be delivered to a National Association of Testing Authorities (NATA)-accredited pathology laboratory, for analysis and interpretation by accredited pathologists or medical scientists.</w:t>
      </w:r>
    </w:p>
    <w:p w14:paraId="69102510" w14:textId="77777777" w:rsidR="004A0849" w:rsidRPr="00A00DA4" w:rsidRDefault="004A0849" w:rsidP="00A57E2C">
      <w:pPr>
        <w:spacing w:after="120"/>
        <w:rPr>
          <w:b/>
          <w:i/>
        </w:rPr>
      </w:pPr>
      <w:r w:rsidRPr="00A00DA4">
        <w:rPr>
          <w:b/>
          <w:i/>
        </w:rPr>
        <w:t>TRK inhibitor treatment</w:t>
      </w:r>
    </w:p>
    <w:p w14:paraId="2B6AD66B" w14:textId="77777777" w:rsidR="004A0849" w:rsidRDefault="004A0849" w:rsidP="0074700A">
      <w:pPr>
        <w:rPr>
          <w:b/>
          <w:color w:val="00B0F0"/>
          <w:sz w:val="28"/>
          <w:szCs w:val="28"/>
          <w:u w:val="single"/>
        </w:rPr>
      </w:pPr>
      <w:r w:rsidRPr="009F49E0">
        <w:t xml:space="preserve">Selective inhibition of TRK proteins offer a precision medicine approach to the treatment of a range of tumour types. </w:t>
      </w:r>
      <w:r>
        <w:t>T</w:t>
      </w:r>
      <w:r w:rsidRPr="00CF3E8A">
        <w:t>yrosine</w:t>
      </w:r>
      <w:r w:rsidRPr="009F49E0">
        <w:t xml:space="preserve"> kinase inhibitors (TKIs), like larotrectinib and entrectinib, are being developed and marketed for the treatment of </w:t>
      </w:r>
      <w:r w:rsidRPr="009F49E0">
        <w:rPr>
          <w:i/>
        </w:rPr>
        <w:t>NTRK</w:t>
      </w:r>
      <w:r w:rsidRPr="009F49E0">
        <w:t xml:space="preserve"> gene fusion tumours. Larotrectinib, a TKI specific for </w:t>
      </w:r>
      <w:r w:rsidRPr="009F49E0">
        <w:rPr>
          <w:i/>
        </w:rPr>
        <w:t>NTRK</w:t>
      </w:r>
      <w:r w:rsidRPr="004A0849">
        <w:rPr>
          <w:i/>
        </w:rPr>
        <w:t>-fusion</w:t>
      </w:r>
      <w:r w:rsidRPr="009F49E0">
        <w:t xml:space="preserve"> cancers, demonstrates anti-tumour activity in cells with TRK protein overexpression. The three multi-centre, open-label, single-arm clinical trials, LOXO-TRK-14001, SCOUT and NAVIGATE</w:t>
      </w:r>
      <w:r>
        <w:t xml:space="preserve">, involved 55 adult and paediatric patients with </w:t>
      </w:r>
      <w:r w:rsidRPr="007B4591">
        <w:rPr>
          <w:i/>
        </w:rPr>
        <w:t>NTRK</w:t>
      </w:r>
      <w:r w:rsidRPr="004A0849">
        <w:rPr>
          <w:i/>
        </w:rPr>
        <w:t>-fusion</w:t>
      </w:r>
      <w:r>
        <w:t xml:space="preserve"> positive, locally advanced, or metastatic solid tumours. The overall response rate (ORR) was 75% (95% CI);  13% of the patients (7 out of 55) had a complete response, 62% (34 out of 55) had a partial response, 13% (7 out of 55) had stable disease and 9% (5 out of 55) had progressive disease. Larotrectinib is US Food and Drug Administration (FDA)-approved for the treatment of adult and paediatric patients with solid tumours who have an </w:t>
      </w:r>
      <w:r w:rsidRPr="006B73B0">
        <w:rPr>
          <w:i/>
        </w:rPr>
        <w:t xml:space="preserve">NTRK </w:t>
      </w:r>
      <w:r>
        <w:t xml:space="preserve">gene fusion. Applications/submissions are currently underway for Therapeutic Goods Administration (TGA) and PBS listing. Non-fusion </w:t>
      </w:r>
      <w:r w:rsidRPr="009F604D">
        <w:rPr>
          <w:i/>
        </w:rPr>
        <w:t>NTRK</w:t>
      </w:r>
      <w:r>
        <w:t xml:space="preserve"> gene alterations, like mutation or amplification, do not respond to larotrectinib. Therefore, </w:t>
      </w:r>
      <w:r w:rsidRPr="009F604D">
        <w:rPr>
          <w:i/>
        </w:rPr>
        <w:t>NTRK</w:t>
      </w:r>
      <w:r>
        <w:t xml:space="preserve"> gene fusion identification via diagnostic tests is necessary prior to commencing treatment.</w:t>
      </w:r>
    </w:p>
    <w:p w14:paraId="3CB08729" w14:textId="77777777" w:rsidR="004A0849" w:rsidRPr="00284332" w:rsidRDefault="004A0849" w:rsidP="00284332">
      <w:pPr>
        <w:rPr>
          <w:rFonts w:asciiTheme="minorHAnsi" w:hAnsiTheme="minorHAnsi" w:cstheme="minorHAnsi"/>
        </w:rPr>
        <w:sectPr w:rsidR="004A0849" w:rsidRPr="00284332" w:rsidSect="00594CDF">
          <w:headerReference w:type="even" r:id="rId12"/>
          <w:footerReference w:type="default" r:id="rId13"/>
          <w:footnotePr>
            <w:numRestart w:val="eachPage"/>
          </w:footnotePr>
          <w:endnotePr>
            <w:numFmt w:val="decimal"/>
          </w:endnotePr>
          <w:pgSz w:w="11906" w:h="16838"/>
          <w:pgMar w:top="709" w:right="1440" w:bottom="964" w:left="1440" w:header="709" w:footer="454" w:gutter="0"/>
          <w:cols w:space="708"/>
          <w:docGrid w:linePitch="360"/>
        </w:sectPr>
      </w:pPr>
    </w:p>
    <w:p w14:paraId="5B3E03E3" w14:textId="77777777" w:rsidR="004A0849" w:rsidRPr="004D6B11" w:rsidRDefault="004A0849" w:rsidP="002D58F5">
      <w:pPr>
        <w:spacing w:line="240" w:lineRule="auto"/>
        <w:rPr>
          <w:rFonts w:asciiTheme="minorHAnsi" w:hAnsiTheme="minorHAnsi" w:cstheme="minorHAnsi"/>
          <w:b/>
          <w:bCs/>
          <w:lang w:val="en-GB" w:eastAsia="ja-JP"/>
        </w:rPr>
      </w:pPr>
      <w:r w:rsidRPr="00411C5E">
        <w:rPr>
          <w:rFonts w:asciiTheme="minorHAnsi" w:hAnsiTheme="minorHAnsi" w:cstheme="minorHAnsi"/>
          <w:b/>
          <w:bCs/>
        </w:rPr>
        <w:lastRenderedPageBreak/>
        <w:t xml:space="preserve">Table </w:t>
      </w:r>
      <w:r>
        <w:rPr>
          <w:rFonts w:asciiTheme="minorHAnsi" w:hAnsiTheme="minorHAnsi" w:cstheme="minorHAnsi"/>
          <w:b/>
          <w:bCs/>
          <w:noProof/>
        </w:rPr>
        <w:t>2</w:t>
      </w:r>
      <w:r>
        <w:rPr>
          <w:rFonts w:asciiTheme="minorHAnsi" w:hAnsiTheme="minorHAnsi" w:cstheme="minorHAnsi"/>
          <w:b/>
          <w:bCs/>
        </w:rPr>
        <w:t>:</w:t>
      </w:r>
      <w:r w:rsidRPr="00411C5E">
        <w:rPr>
          <w:rFonts w:asciiTheme="minorHAnsi" w:hAnsiTheme="minorHAnsi" w:cstheme="minorHAnsi"/>
          <w:b/>
          <w:bCs/>
        </w:rPr>
        <w:t xml:space="preserve"> Clinical laboratory techniques used to identify tumours harbouring </w:t>
      </w:r>
      <w:r w:rsidRPr="009F604D">
        <w:rPr>
          <w:rFonts w:asciiTheme="minorHAnsi" w:hAnsiTheme="minorHAnsi" w:cstheme="minorHAnsi"/>
          <w:b/>
          <w:bCs/>
          <w:i/>
        </w:rPr>
        <w:t xml:space="preserve">NTRK </w:t>
      </w:r>
      <w:r w:rsidRPr="00411C5E">
        <w:rPr>
          <w:rFonts w:asciiTheme="minorHAnsi" w:hAnsiTheme="minorHAnsi" w:cstheme="minorHAnsi"/>
          <w:b/>
          <w:bCs/>
        </w:rPr>
        <w:t>gene fusions</w:t>
      </w:r>
    </w:p>
    <w:p w14:paraId="0B2C164C" w14:textId="1E2C1AE2" w:rsidR="003905FD" w:rsidRDefault="003905FD" w:rsidP="006D5D1B">
      <w:r>
        <w:fldChar w:fldCharType="end"/>
      </w:r>
      <w:r>
        <w:t xml:space="preserve"> </w:t>
      </w:r>
      <w:r w:rsidR="00E175FF">
        <w:t xml:space="preserve">(below) </w:t>
      </w:r>
      <w:r>
        <w:t xml:space="preserve">compares </w:t>
      </w:r>
      <w:bookmarkStart w:id="8" w:name="_Ref21943314"/>
      <w:r>
        <w:t xml:space="preserve">IHC, FISH and RNA-NGS diagnostic tests used for </w:t>
      </w:r>
      <w:r w:rsidRPr="00582348">
        <w:rPr>
          <w:i/>
        </w:rPr>
        <w:t>NTRK</w:t>
      </w:r>
      <w:r>
        <w:t xml:space="preserve"> gene fusion cancers.  According to Penault-Llorca et al (2019) and Hsiao et al (2019), IHC, FISH, reverse transcription polymerase chain reaction (RT-PCR) and NGS are commonly used (either standalone or in combination) as diagnostic tests for </w:t>
      </w:r>
      <w:r w:rsidRPr="00582348">
        <w:rPr>
          <w:i/>
        </w:rPr>
        <w:t>NTRK</w:t>
      </w:r>
      <w:r w:rsidR="006B73B0">
        <w:t>-</w:t>
      </w:r>
      <w:r>
        <w:t xml:space="preserve">fusion cancers. </w:t>
      </w:r>
    </w:p>
    <w:p w14:paraId="68E666FA" w14:textId="1A5424C6" w:rsidR="003905FD" w:rsidRPr="00D152CB" w:rsidRDefault="003905FD" w:rsidP="006D5D1B">
      <w:r>
        <w:t>The applicant proposed a clinical algorithm which includes IHC, FISH or RNA-NGS. Since the tests stated in the literature do not have 100% specificity and sensitivity, they cannot be used as a reference standard for the proposed intervention (FISH or RNA-NGS). No reference standard was identified.</w:t>
      </w:r>
    </w:p>
    <w:p w14:paraId="1EE3C8D8" w14:textId="671164D6" w:rsidR="003905FD" w:rsidRPr="00284332" w:rsidRDefault="003905FD" w:rsidP="00A57E2C">
      <w:pPr>
        <w:spacing w:before="240" w:after="120"/>
        <w:rPr>
          <w:b/>
          <w:i/>
          <w:u w:val="single"/>
        </w:rPr>
      </w:pPr>
      <w:r w:rsidRPr="00284332">
        <w:rPr>
          <w:b/>
          <w:i/>
          <w:u w:val="single"/>
        </w:rPr>
        <w:t xml:space="preserve">Fluorescent </w:t>
      </w:r>
      <w:r w:rsidRPr="00284332">
        <w:rPr>
          <w:b/>
          <w:i/>
          <w:iCs/>
          <w:u w:val="single"/>
        </w:rPr>
        <w:t xml:space="preserve">in-situ </w:t>
      </w:r>
      <w:r w:rsidRPr="00284332">
        <w:rPr>
          <w:b/>
          <w:i/>
          <w:u w:val="single"/>
        </w:rPr>
        <w:t>hybridisation (FISH)</w:t>
      </w:r>
    </w:p>
    <w:p w14:paraId="51863E97" w14:textId="77777777" w:rsidR="003905FD" w:rsidRDefault="003905FD" w:rsidP="008137EE">
      <w:r>
        <w:t>Chromosomal alterations can be detected via FISH analysis by using fusion or break-apart probes</w:t>
      </w:r>
      <w:r>
        <w:rPr>
          <w:rStyle w:val="EndnoteReference"/>
        </w:rPr>
        <w:endnoteReference w:id="15"/>
      </w:r>
      <w:r>
        <w:t xml:space="preserve"> .  The fusion FISH method is preferred if the specific genes involved in the oncogenic fusion are known.  If there is a range of possible gene fusion partners or if the fusion partners are unknown, a break-apart FISH assay is used and it is based on the proto-oncogene partner</w:t>
      </w:r>
      <w:r>
        <w:rPr>
          <w:rStyle w:val="EndnoteReference"/>
          <w:i/>
          <w:iCs/>
        </w:rPr>
        <w:endnoteReference w:id="16"/>
      </w:r>
      <w:r>
        <w:t xml:space="preserve">.  </w:t>
      </w:r>
    </w:p>
    <w:p w14:paraId="239CD2F9" w14:textId="3A81E9D8" w:rsidR="003905FD" w:rsidRDefault="003905FD" w:rsidP="008137EE">
      <w:r>
        <w:t xml:space="preserve">The </w:t>
      </w:r>
      <w:r>
        <w:rPr>
          <w:i/>
          <w:iCs/>
        </w:rPr>
        <w:t xml:space="preserve">ETV6 </w:t>
      </w:r>
      <w:r>
        <w:t xml:space="preserve">break-apart probe is known to be very effective in detecting </w:t>
      </w:r>
      <w:r>
        <w:rPr>
          <w:i/>
          <w:iCs/>
        </w:rPr>
        <w:t xml:space="preserve">ETV6-NTRK3 </w:t>
      </w:r>
      <w:r>
        <w:t>rearrangements in secretory carcinoma and infantile fibrosarcoma</w:t>
      </w:r>
      <w:r>
        <w:rPr>
          <w:rStyle w:val="EndnoteReference"/>
        </w:rPr>
        <w:endnoteReference w:id="17"/>
      </w:r>
      <w:r>
        <w:t xml:space="preserve">. FISH assays are limited to a single gene; hence three separate assays would be required to include </w:t>
      </w:r>
      <w:r>
        <w:rPr>
          <w:i/>
          <w:iCs/>
        </w:rPr>
        <w:t xml:space="preserve">NTRK1, NTRK2 </w:t>
      </w:r>
      <w:r>
        <w:t xml:space="preserve">and </w:t>
      </w:r>
      <w:r>
        <w:rPr>
          <w:i/>
          <w:iCs/>
        </w:rPr>
        <w:t xml:space="preserve">NTRK3 </w:t>
      </w:r>
      <w:r w:rsidRPr="008511F3">
        <w:t>which</w:t>
      </w:r>
      <w:r>
        <w:t xml:space="preserve"> makes the process expensive and time consuming. Also, FISH does not provide information on whether the gene fusion has a productive transcript</w:t>
      </w:r>
      <w:r>
        <w:rPr>
          <w:rStyle w:val="EndnoteReference"/>
        </w:rPr>
        <w:endnoteReference w:id="18"/>
      </w:r>
      <w:r>
        <w:t xml:space="preserve">. </w:t>
      </w:r>
      <w:r w:rsidRPr="00713DA7">
        <w:t>Fresh frozen tissue is preferable for FISH, as it is more reliable than when used on paraffin-embedded tissue.</w:t>
      </w:r>
    </w:p>
    <w:p w14:paraId="52565F64" w14:textId="77777777" w:rsidR="003905FD" w:rsidRPr="00E94F76" w:rsidRDefault="003905FD" w:rsidP="00A57E2C">
      <w:pPr>
        <w:spacing w:before="240" w:after="120"/>
        <w:rPr>
          <w:b/>
          <w:i/>
          <w:u w:val="single"/>
        </w:rPr>
      </w:pPr>
      <w:r w:rsidRPr="00E94F76">
        <w:rPr>
          <w:b/>
          <w:i/>
          <w:u w:val="single"/>
        </w:rPr>
        <w:t>RNA based next generation sequencing (RNA-NGS)</w:t>
      </w:r>
    </w:p>
    <w:p w14:paraId="43BCFF9D" w14:textId="77777777" w:rsidR="003905FD" w:rsidRDefault="003905FD" w:rsidP="008137EE">
      <w:r>
        <w:t xml:space="preserve">NGS offers a range of parallel sequencing from specific gene panels to entire genomes, using limited tissue. It is a useful method to assess fusions in multiple genes and exons simultaneously. NGS can also provide information on the genes involved in the fusions and whether those fusions result in a productive transcript. </w:t>
      </w:r>
    </w:p>
    <w:p w14:paraId="56965D5D" w14:textId="73F2C6AE" w:rsidR="003905FD" w:rsidRDefault="003905FD" w:rsidP="008137EE">
      <w:r>
        <w:t xml:space="preserve">The NGS method is well established and can use DNA or RNA from FFPE, fresh frozen (FF) or stabilised tumour tissue. </w:t>
      </w:r>
      <w:r w:rsidRPr="00713DA7">
        <w:t>Fresh frozen tissue is preferable for RNA-NGS however specimens must be handled in a way that prevents degradation of RNA.</w:t>
      </w:r>
      <w:r>
        <w:t xml:space="preserve">  RNA-NGS involves RNA extraction from FFPE tumour tissue which is used to prepare cDNA for amplicon or PCR-based sequencing. Since RNA is labile, there is a high risk of RNA degradation in FFPE tissue over time and quality control measures are required to assess the quantity and quality of RNA obtained</w:t>
      </w:r>
      <w:r>
        <w:rPr>
          <w:rStyle w:val="EndnoteReference"/>
        </w:rPr>
        <w:endnoteReference w:id="19"/>
      </w:r>
      <w:r>
        <w:t>.</w:t>
      </w:r>
    </w:p>
    <w:p w14:paraId="725E41E7" w14:textId="0AC813F7" w:rsidR="003905FD" w:rsidRPr="00E94F76" w:rsidRDefault="003905FD" w:rsidP="00A57E2C">
      <w:pPr>
        <w:spacing w:after="120"/>
        <w:rPr>
          <w:b/>
          <w:i/>
          <w:u w:val="single"/>
        </w:rPr>
      </w:pPr>
      <w:r w:rsidRPr="00E94F76">
        <w:rPr>
          <w:b/>
          <w:i/>
          <w:u w:val="single"/>
        </w:rPr>
        <w:t>Testing sequence</w:t>
      </w:r>
    </w:p>
    <w:p w14:paraId="05A38542" w14:textId="14ED748C" w:rsidR="003905FD" w:rsidRDefault="003905FD" w:rsidP="00641FC8">
      <w:r w:rsidRPr="00E94F76">
        <w:t>Marked differences in the prevalence of NTRK gene fusions across tumour types mean that clinical diagnostic strategies will vary accordingly but will rely on IHC, FISH and NGS assays</w:t>
      </w:r>
      <w:r w:rsidRPr="00E94F76">
        <w:rPr>
          <w:vertAlign w:val="superscript"/>
        </w:rPr>
        <w:t>6</w:t>
      </w:r>
      <w:r w:rsidRPr="00E94F76">
        <w:t>.</w:t>
      </w:r>
    </w:p>
    <w:p w14:paraId="3C92E339" w14:textId="41AAF111" w:rsidR="003905FD" w:rsidRDefault="003905FD" w:rsidP="00B62F1B">
      <w:r>
        <w:t xml:space="preserve">Patients with </w:t>
      </w:r>
      <w:r w:rsidRPr="006B73B0">
        <w:rPr>
          <w:b/>
        </w:rPr>
        <w:t>high frequency</w:t>
      </w:r>
      <w:r>
        <w:t xml:space="preserve"> </w:t>
      </w:r>
      <w:r w:rsidR="006B73B0">
        <w:rPr>
          <w:i/>
        </w:rPr>
        <w:t>NTRK-</w:t>
      </w:r>
      <w:r>
        <w:t>fusion tumours that are locally advanced or metastatic will first undergo IHC testing followed by either FISH or RNA-NGS to identify the presence of oncogenic NTRK gene fusions. Although these tests (FISH/RNA-NGS) may be done sequentially in some cases, the applicant has proposed that either FISH or RNA-NGS testing should be specified in the PICO Confirmation</w:t>
      </w:r>
      <w:r>
        <w:rPr>
          <w:rStyle w:val="EndnoteReference"/>
        </w:rPr>
        <w:endnoteReference w:id="20"/>
      </w:r>
      <w:r>
        <w:t>. Patients with a po</w:t>
      </w:r>
      <w:r w:rsidR="006B73B0">
        <w:t xml:space="preserve">sitive result will commence </w:t>
      </w:r>
      <w:r>
        <w:t>TRK inhibitor treatment</w:t>
      </w:r>
      <w:r w:rsidR="006B73B0">
        <w:t>,</w:t>
      </w:r>
      <w:r>
        <w:t xml:space="preserve"> and those with a negative result will undergo other investigations and be treated with usual standard of care (i.e. chemotherapy, radiotherapy, palliation, etc).</w:t>
      </w:r>
    </w:p>
    <w:p w14:paraId="2950C951" w14:textId="77777777" w:rsidR="00D31A7E" w:rsidRDefault="00D31A7E">
      <w:r>
        <w:lastRenderedPageBreak/>
        <w:br w:type="page"/>
      </w:r>
    </w:p>
    <w:p w14:paraId="63CC183B" w14:textId="3A4FFAAE" w:rsidR="003905FD" w:rsidRDefault="003905FD" w:rsidP="00713DA7">
      <w:pPr>
        <w:spacing w:after="0"/>
      </w:pPr>
      <w:r w:rsidRPr="00E94F76">
        <w:lastRenderedPageBreak/>
        <w:t xml:space="preserve">Patients with </w:t>
      </w:r>
      <w:r w:rsidRPr="006B73B0">
        <w:rPr>
          <w:b/>
        </w:rPr>
        <w:t>low frequency</w:t>
      </w:r>
      <w:r w:rsidR="006B73B0">
        <w:t xml:space="preserve"> </w:t>
      </w:r>
      <w:r w:rsidR="006B73B0" w:rsidRPr="006B73B0">
        <w:rPr>
          <w:i/>
        </w:rPr>
        <w:t>NTRK</w:t>
      </w:r>
      <w:r w:rsidR="006B73B0">
        <w:t>-</w:t>
      </w:r>
      <w:r w:rsidRPr="00E94F76">
        <w:t xml:space="preserve">fusion tumours that are locally advanced or metastatic will </w:t>
      </w:r>
      <w:r w:rsidR="006B73B0">
        <w:t xml:space="preserve">(in most cases) </w:t>
      </w:r>
      <w:r w:rsidRPr="00E94F76">
        <w:t>first undergo IHC analysis</w:t>
      </w:r>
      <w:r w:rsidR="006B73B0">
        <w:t>, while in</w:t>
      </w:r>
      <w:r w:rsidRPr="00E94F76">
        <w:t xml:space="preserve"> some cases [e.g. thyroid or NSCLC]</w:t>
      </w:r>
      <w:r w:rsidR="006B73B0">
        <w:t>,</w:t>
      </w:r>
      <w:r w:rsidRPr="00E94F76">
        <w:t xml:space="preserve"> NGS may be routinely performed</w:t>
      </w:r>
      <w:r w:rsidRPr="00F16782">
        <w:rPr>
          <w:vertAlign w:val="superscript"/>
        </w:rPr>
        <w:t>6</w:t>
      </w:r>
      <w:r>
        <w:t xml:space="preserve">. </w:t>
      </w:r>
      <w:r w:rsidRPr="00E94F76">
        <w:t>Patients with a positive IHC test will then undergo FISH or RNA-NGS</w:t>
      </w:r>
      <w:r>
        <w:t>.</w:t>
      </w:r>
      <w:r w:rsidRPr="00E94F76">
        <w:t xml:space="preserve"> </w:t>
      </w:r>
      <w:r w:rsidRPr="00713DA7">
        <w:t>IHC results must be followed by confirmatory testing (using a molecular method) to verify the presence of a fusion. This is because overexpression of wild-type TRK proteins may also be detected.</w:t>
      </w:r>
      <w:r>
        <w:t xml:space="preserve"> I</w:t>
      </w:r>
      <w:r w:rsidRPr="00E94F76">
        <w:t>f found to be</w:t>
      </w:r>
      <w:r>
        <w:t xml:space="preserve"> positive for </w:t>
      </w:r>
      <w:r w:rsidRPr="006B73B0">
        <w:rPr>
          <w:i/>
        </w:rPr>
        <w:t>NTRK</w:t>
      </w:r>
      <w:r>
        <w:t xml:space="preserve"> gene fusions, they will</w:t>
      </w:r>
      <w:r w:rsidR="006B73B0">
        <w:t xml:space="preserve"> commence on </w:t>
      </w:r>
      <w:r>
        <w:t xml:space="preserve">TRK inhibitor treatment. Patients with a negative result will undergo other investigations and be treated with usual standard of care. </w:t>
      </w:r>
      <w:r>
        <w:br/>
      </w:r>
    </w:p>
    <w:p w14:paraId="7D59B3A4" w14:textId="6D34BED3" w:rsidR="003905FD" w:rsidRDefault="003905FD" w:rsidP="00B62F1B">
      <w:r>
        <w:t xml:space="preserve">Patients with </w:t>
      </w:r>
      <w:r w:rsidRPr="006B73B0">
        <w:rPr>
          <w:i/>
        </w:rPr>
        <w:t xml:space="preserve">NTRK </w:t>
      </w:r>
      <w:r>
        <w:t xml:space="preserve">gene fusions are currently treated according to the tumour-specific treatment guidelines which can involve several types of chemotherapy and/or radiotherapy. Untargeted chemotherapy induces tumour resistance which reduces the effect of subsequent lines of </w:t>
      </w:r>
      <w:r w:rsidR="005524E7">
        <w:t>c</w:t>
      </w:r>
      <w:r>
        <w:t xml:space="preserve">hemotherapy </w:t>
      </w:r>
      <w:r>
        <w:rPr>
          <w:rStyle w:val="EndnoteReference"/>
        </w:rPr>
        <w:endnoteReference w:id="21"/>
      </w:r>
      <w:r>
        <w:t>. Also, there is a greater risk of toxicity, increased costs from trialling the various lines of chemotherapy and an increased risk of developing secondary cancers</w:t>
      </w:r>
      <w:r>
        <w:rPr>
          <w:rStyle w:val="EndnoteReference"/>
        </w:rPr>
        <w:endnoteReference w:id="22"/>
      </w:r>
      <w:r>
        <w:t>. Larotrectinib offers targeted treatment for NTRK gene fusion tumours, which reduces the risks involved with untargeted chemotherapy, improves overall survival, and has minimal adverse effects (95% of adverse events were classified as grade 1 or 2).  It is reported to shrink solid tumours which facilitates surgical tumour resection</w:t>
      </w:r>
      <w:r>
        <w:rPr>
          <w:rStyle w:val="EndnoteReference"/>
        </w:rPr>
        <w:endnoteReference w:id="23"/>
      </w:r>
      <w:r>
        <w:t>.</w:t>
      </w:r>
    </w:p>
    <w:p w14:paraId="754D8520" w14:textId="3654E1C9" w:rsidR="003905FD" w:rsidRDefault="003905FD" w:rsidP="00B62F1B">
      <w:r>
        <w:t>FISH or RNA-NGS will be required to assess eligibility for Pharmaceutical Benefits Scheme (PBS) funded NTRK inhibitor treatment on detecting gene fusions in solid tumour samples.</w:t>
      </w:r>
    </w:p>
    <w:p w14:paraId="39F901DB" w14:textId="75C1D833" w:rsidR="003905FD" w:rsidRDefault="003905FD" w:rsidP="00B62F1B">
      <w:r>
        <w:t xml:space="preserve">FISH (to detect </w:t>
      </w:r>
      <w:r w:rsidRPr="007B4591">
        <w:rPr>
          <w:i/>
        </w:rPr>
        <w:t>NTRK</w:t>
      </w:r>
      <w:r>
        <w:t xml:space="preserve"> gene fusions) and RNA-NGS tests are </w:t>
      </w:r>
      <w:r w:rsidR="006B73B0">
        <w:t>not currently funded on</w:t>
      </w:r>
      <w:r>
        <w:t xml:space="preserve"> the MBS</w:t>
      </w:r>
      <w:r w:rsidR="006B73B0">
        <w:t>, but are accessed on a user-</w:t>
      </w:r>
      <w:r>
        <w:t>pay basis.</w:t>
      </w:r>
    </w:p>
    <w:p w14:paraId="778919B3" w14:textId="55FA9DFC" w:rsidR="003905FD" w:rsidRDefault="003905FD" w:rsidP="00C9235B">
      <w:r>
        <w:t xml:space="preserve">The proposed molecular tests are </w:t>
      </w:r>
      <w:r w:rsidR="006B73B0">
        <w:t>once-</w:t>
      </w:r>
      <w:r>
        <w:t>off diagnostic tests</w:t>
      </w:r>
      <w:r w:rsidR="006B73B0">
        <w:t xml:space="preserve"> that would be accessible via </w:t>
      </w:r>
      <w:r>
        <w:t xml:space="preserve">referral from a paediatric specialist or consultant physician. The patient’s tumour sample </w:t>
      </w:r>
      <w:r w:rsidR="006B73B0">
        <w:t xml:space="preserve">would be </w:t>
      </w:r>
      <w:r>
        <w:t>delivered to a National Associatio</w:t>
      </w:r>
      <w:r w:rsidR="006B73B0">
        <w:t>n of Testing Authorities (NATA)-</w:t>
      </w:r>
      <w:r>
        <w:t>accredited pathology laboratory</w:t>
      </w:r>
      <w:r w:rsidR="006B73B0">
        <w:t>,</w:t>
      </w:r>
      <w:r>
        <w:t xml:space="preserve"> for analysis and interpretation by accredited pathologists or medical scientists.</w:t>
      </w:r>
    </w:p>
    <w:p w14:paraId="0E39B941" w14:textId="231D1978" w:rsidR="003905FD" w:rsidRPr="00A00DA4" w:rsidRDefault="003905FD" w:rsidP="00A57E2C">
      <w:pPr>
        <w:spacing w:after="120"/>
        <w:rPr>
          <w:b/>
          <w:i/>
        </w:rPr>
      </w:pPr>
      <w:r w:rsidRPr="00A00DA4">
        <w:rPr>
          <w:b/>
          <w:i/>
        </w:rPr>
        <w:t>TRK inhibitor treatment</w:t>
      </w:r>
    </w:p>
    <w:p w14:paraId="0E172CC5" w14:textId="6F9D9978" w:rsidR="00E175FF" w:rsidRDefault="003905FD" w:rsidP="0074700A">
      <w:pPr>
        <w:rPr>
          <w:b/>
          <w:color w:val="00B0F0"/>
          <w:sz w:val="28"/>
          <w:szCs w:val="28"/>
          <w:u w:val="single"/>
        </w:rPr>
      </w:pPr>
      <w:r w:rsidRPr="009F49E0">
        <w:t>Sel</w:t>
      </w:r>
      <w:r w:rsidR="00CB48BD" w:rsidRPr="009F49E0">
        <w:t xml:space="preserve">ective inhibition of TRK </w:t>
      </w:r>
      <w:r w:rsidRPr="009F49E0">
        <w:t>proteins offer a precision medicine approach to the treatment of a range of tumour types</w:t>
      </w:r>
      <w:r w:rsidRPr="009F49E0">
        <w:rPr>
          <w:rStyle w:val="EndnoteReference"/>
        </w:rPr>
        <w:endnoteReference w:id="24"/>
      </w:r>
      <w:r w:rsidR="007B4591" w:rsidRPr="009F49E0">
        <w:t xml:space="preserve">. </w:t>
      </w:r>
      <w:r w:rsidR="00CF3E8A">
        <w:t>T</w:t>
      </w:r>
      <w:r w:rsidR="00CF3E8A" w:rsidRPr="00CF3E8A">
        <w:rPr>
          <w:lang w:eastAsia="en-GB"/>
        </w:rPr>
        <w:t>yrosine</w:t>
      </w:r>
      <w:r w:rsidR="00CB48BD" w:rsidRPr="009F49E0">
        <w:t xml:space="preserve"> </w:t>
      </w:r>
      <w:r w:rsidRPr="009F49E0">
        <w:t>kinase inhibitors (TKIs)</w:t>
      </w:r>
      <w:r w:rsidR="009F49E0" w:rsidRPr="009F49E0">
        <w:t>,</w:t>
      </w:r>
      <w:r w:rsidRPr="009F49E0">
        <w:t xml:space="preserve"> like larotrectinib and entrectinib</w:t>
      </w:r>
      <w:r w:rsidR="009F49E0" w:rsidRPr="009F49E0">
        <w:t>,</w:t>
      </w:r>
      <w:r w:rsidRPr="009F49E0">
        <w:t xml:space="preserve"> are being developed and marketed for the treatment of </w:t>
      </w:r>
      <w:r w:rsidRPr="009F49E0">
        <w:rPr>
          <w:i/>
        </w:rPr>
        <w:t>NTRK</w:t>
      </w:r>
      <w:r w:rsidRPr="009F49E0">
        <w:t xml:space="preserve"> gene fusion tumours. Larotrectinib, a TKI specific for </w:t>
      </w:r>
      <w:r w:rsidRPr="009F49E0">
        <w:rPr>
          <w:i/>
        </w:rPr>
        <w:t>NTRK</w:t>
      </w:r>
      <w:r w:rsidR="006B73B0" w:rsidRPr="009F49E0">
        <w:t>-</w:t>
      </w:r>
      <w:r w:rsidRPr="009F49E0">
        <w:t>fusion cancers, demonstrates anti-tumour activity in cells with TRK protein overexpression</w:t>
      </w:r>
      <w:r w:rsidRPr="009F49E0">
        <w:rPr>
          <w:rStyle w:val="EndnoteReference"/>
        </w:rPr>
        <w:endnoteReference w:id="25"/>
      </w:r>
      <w:r w:rsidRPr="009F49E0">
        <w:t>. The three multi-centre, open-label, single-arm clinical trials, LOXO-TRK-14001, SCOUT and NAVIGATE</w:t>
      </w:r>
      <w:r>
        <w:t xml:space="preserve">, involved 55 adult and paediatric patients with </w:t>
      </w:r>
      <w:r w:rsidRPr="007B4591">
        <w:rPr>
          <w:i/>
        </w:rPr>
        <w:t>NTRK</w:t>
      </w:r>
      <w:r>
        <w:t>-fusion positive, locally advanced, or metastatic solid tumours. The overall response rate (ORR) was 75% (95% CI);  13% of the patients (7 out of 55) had a complete response, 62% (34 out of 55) had a partial response, 13% (7 out of 55) had stable disease and 9% (5 out of 55) had progressive disease</w:t>
      </w:r>
      <w:r>
        <w:rPr>
          <w:rStyle w:val="EndnoteReference"/>
        </w:rPr>
        <w:endnoteReference w:id="26"/>
      </w:r>
      <w:r w:rsidR="005524E7">
        <w:t xml:space="preserve">. Larotrectinib is </w:t>
      </w:r>
      <w:r>
        <w:t>US Food and Drug Administration (FDA)</w:t>
      </w:r>
      <w:r w:rsidR="006B73B0">
        <w:t>-</w:t>
      </w:r>
      <w:r>
        <w:t xml:space="preserve">approved for the treatment of adult and paediatric patients with solid tumours who have an </w:t>
      </w:r>
      <w:r w:rsidRPr="006B73B0">
        <w:rPr>
          <w:i/>
        </w:rPr>
        <w:t xml:space="preserve">NTRK </w:t>
      </w:r>
      <w:r>
        <w:t>gene fusion</w:t>
      </w:r>
      <w:r w:rsidR="009F604D">
        <w:t>. Applications/submissions are currently u</w:t>
      </w:r>
      <w:r>
        <w:t>nder</w:t>
      </w:r>
      <w:r w:rsidR="009F604D">
        <w:t>way</w:t>
      </w:r>
      <w:r>
        <w:t xml:space="preserve"> for Therapeutic Goods Administration (TGA) and PBS listing. Non-fusion </w:t>
      </w:r>
      <w:r w:rsidRPr="009F604D">
        <w:rPr>
          <w:i/>
        </w:rPr>
        <w:t>NTRK</w:t>
      </w:r>
      <w:r>
        <w:t xml:space="preserve"> gene alterations, like mutation or amplification, </w:t>
      </w:r>
      <w:r w:rsidR="009F604D">
        <w:t>do not respond to larotrectinib. T</w:t>
      </w:r>
      <w:r>
        <w:t xml:space="preserve">herefore, </w:t>
      </w:r>
      <w:r w:rsidRPr="009F604D">
        <w:rPr>
          <w:i/>
        </w:rPr>
        <w:t>NTRK</w:t>
      </w:r>
      <w:r>
        <w:t xml:space="preserve"> gene fusion identification via diagnostic tests is necessary prior to commencing treatment</w:t>
      </w:r>
      <w:r>
        <w:rPr>
          <w:rStyle w:val="EndnoteReference"/>
        </w:rPr>
        <w:endnoteReference w:id="27"/>
      </w:r>
      <w:r>
        <w:t>.</w:t>
      </w:r>
    </w:p>
    <w:p w14:paraId="1EE3700B" w14:textId="76274F94" w:rsidR="003905FD" w:rsidRPr="00284332" w:rsidRDefault="003905FD" w:rsidP="00284332">
      <w:pPr>
        <w:rPr>
          <w:rFonts w:asciiTheme="minorHAnsi" w:hAnsiTheme="minorHAnsi" w:cstheme="minorHAnsi"/>
        </w:rPr>
        <w:sectPr w:rsidR="003905FD" w:rsidRPr="00284332" w:rsidSect="00594CDF">
          <w:headerReference w:type="even" r:id="rId14"/>
          <w:footerReference w:type="default" r:id="rId15"/>
          <w:footnotePr>
            <w:numRestart w:val="eachPage"/>
          </w:footnotePr>
          <w:endnotePr>
            <w:numFmt w:val="decimal"/>
          </w:endnotePr>
          <w:pgSz w:w="11906" w:h="16838"/>
          <w:pgMar w:top="709" w:right="1440" w:bottom="964" w:left="1440" w:header="709" w:footer="454" w:gutter="0"/>
          <w:cols w:space="708"/>
          <w:docGrid w:linePitch="360"/>
        </w:sectPr>
      </w:pPr>
    </w:p>
    <w:p w14:paraId="43523137" w14:textId="7305A8A4" w:rsidR="003905FD" w:rsidRPr="004D6B11" w:rsidRDefault="003905FD" w:rsidP="002D58F5">
      <w:pPr>
        <w:spacing w:line="240" w:lineRule="auto"/>
        <w:rPr>
          <w:rFonts w:asciiTheme="minorHAnsi" w:hAnsiTheme="minorHAnsi" w:cstheme="minorHAnsi"/>
          <w:b/>
          <w:bCs/>
          <w:lang w:val="en-GB" w:eastAsia="ja-JP"/>
        </w:rPr>
      </w:pPr>
      <w:r w:rsidRPr="00411C5E">
        <w:rPr>
          <w:rFonts w:asciiTheme="minorHAnsi" w:hAnsiTheme="minorHAnsi" w:cstheme="minorHAnsi"/>
          <w:b/>
          <w:bCs/>
        </w:rPr>
        <w:lastRenderedPageBreak/>
        <w:t xml:space="preserve">Table </w:t>
      </w:r>
      <w:r w:rsidRPr="00411C5E">
        <w:rPr>
          <w:rFonts w:asciiTheme="minorHAnsi" w:hAnsiTheme="minorHAnsi" w:cstheme="minorHAnsi"/>
          <w:b/>
          <w:bCs/>
        </w:rPr>
        <w:fldChar w:fldCharType="begin"/>
      </w:r>
      <w:r w:rsidRPr="00411C5E">
        <w:rPr>
          <w:rFonts w:asciiTheme="minorHAnsi" w:hAnsiTheme="minorHAnsi" w:cstheme="minorHAnsi"/>
          <w:b/>
          <w:bCs/>
        </w:rPr>
        <w:instrText xml:space="preserve"> SEQ Table \* ARABIC </w:instrText>
      </w:r>
      <w:r w:rsidRPr="00411C5E">
        <w:rPr>
          <w:rFonts w:asciiTheme="minorHAnsi" w:hAnsiTheme="minorHAnsi" w:cstheme="minorHAnsi"/>
          <w:b/>
          <w:bCs/>
        </w:rPr>
        <w:fldChar w:fldCharType="separate"/>
      </w:r>
      <w:r w:rsidR="004A0849">
        <w:rPr>
          <w:rFonts w:asciiTheme="minorHAnsi" w:hAnsiTheme="minorHAnsi" w:cstheme="minorHAnsi"/>
          <w:b/>
          <w:bCs/>
          <w:noProof/>
        </w:rPr>
        <w:t>2</w:t>
      </w:r>
      <w:r w:rsidRPr="00411C5E">
        <w:rPr>
          <w:rFonts w:asciiTheme="minorHAnsi" w:hAnsiTheme="minorHAnsi" w:cstheme="minorHAnsi"/>
          <w:b/>
          <w:bCs/>
        </w:rPr>
        <w:fldChar w:fldCharType="end"/>
      </w:r>
      <w:r>
        <w:rPr>
          <w:rFonts w:asciiTheme="minorHAnsi" w:hAnsiTheme="minorHAnsi" w:cstheme="minorHAnsi"/>
          <w:b/>
          <w:bCs/>
        </w:rPr>
        <w:t>:</w:t>
      </w:r>
      <w:r w:rsidRPr="00411C5E">
        <w:rPr>
          <w:rFonts w:asciiTheme="minorHAnsi" w:hAnsiTheme="minorHAnsi" w:cstheme="minorHAnsi"/>
          <w:b/>
          <w:bCs/>
        </w:rPr>
        <w:t xml:space="preserve"> Clinical laboratory techniques used to identify tumours harbouring </w:t>
      </w:r>
      <w:r w:rsidRPr="009F604D">
        <w:rPr>
          <w:rFonts w:asciiTheme="minorHAnsi" w:hAnsiTheme="minorHAnsi" w:cstheme="minorHAnsi"/>
          <w:b/>
          <w:bCs/>
          <w:i/>
        </w:rPr>
        <w:t xml:space="preserve">NTRK </w:t>
      </w:r>
      <w:r w:rsidRPr="00411C5E">
        <w:rPr>
          <w:rFonts w:asciiTheme="minorHAnsi" w:hAnsiTheme="minorHAnsi" w:cstheme="minorHAnsi"/>
          <w:b/>
          <w:bCs/>
        </w:rPr>
        <w:t>gene fusions</w:t>
      </w:r>
    </w:p>
    <w:tbl>
      <w:tblPr>
        <w:tblStyle w:val="TableGrid"/>
        <w:tblW w:w="13795" w:type="dxa"/>
        <w:tblLayout w:type="fixed"/>
        <w:tblCellMar>
          <w:left w:w="57" w:type="dxa"/>
          <w:right w:w="0" w:type="dxa"/>
        </w:tblCellMar>
        <w:tblLook w:val="04A0" w:firstRow="1" w:lastRow="0" w:firstColumn="1" w:lastColumn="0" w:noHBand="0" w:noVBand="1"/>
        <w:tblCaption w:val="Table 2"/>
        <w:tblDescription w:val="Table"/>
      </w:tblPr>
      <w:tblGrid>
        <w:gridCol w:w="555"/>
        <w:gridCol w:w="702"/>
        <w:gridCol w:w="1262"/>
        <w:gridCol w:w="2664"/>
        <w:gridCol w:w="1121"/>
        <w:gridCol w:w="3926"/>
        <w:gridCol w:w="3565"/>
      </w:tblGrid>
      <w:tr w:rsidR="003905FD" w:rsidRPr="00602459" w14:paraId="73D76FAC" w14:textId="77777777" w:rsidTr="0074700A">
        <w:trPr>
          <w:trHeight w:val="20"/>
          <w:tblHeader/>
        </w:trPr>
        <w:tc>
          <w:tcPr>
            <w:tcW w:w="1257" w:type="dxa"/>
            <w:gridSpan w:val="2"/>
            <w:shd w:val="clear" w:color="auto" w:fill="262626" w:themeFill="text1" w:themeFillTint="D9"/>
            <w:vAlign w:val="center"/>
          </w:tcPr>
          <w:bookmarkEnd w:id="8"/>
          <w:p w14:paraId="18351AE2" w14:textId="77777777" w:rsidR="003905FD" w:rsidRPr="00602459" w:rsidRDefault="003905FD" w:rsidP="00AD2055">
            <w:pP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Diagnostic test</w:t>
            </w:r>
          </w:p>
        </w:tc>
        <w:tc>
          <w:tcPr>
            <w:tcW w:w="1262" w:type="dxa"/>
            <w:shd w:val="clear" w:color="auto" w:fill="262626" w:themeFill="text1" w:themeFillTint="D9"/>
            <w:vAlign w:val="center"/>
          </w:tcPr>
          <w:p w14:paraId="485511AA" w14:textId="77777777" w:rsidR="003905FD" w:rsidRPr="00602459" w:rsidRDefault="003905FD" w:rsidP="00DA47F2">
            <w:pPr>
              <w:jc w:val="cente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Sample requirements</w:t>
            </w:r>
          </w:p>
        </w:tc>
        <w:tc>
          <w:tcPr>
            <w:tcW w:w="2664" w:type="dxa"/>
            <w:shd w:val="clear" w:color="auto" w:fill="262626" w:themeFill="text1" w:themeFillTint="D9"/>
            <w:vAlign w:val="center"/>
          </w:tcPr>
          <w:p w14:paraId="02937E21" w14:textId="19473824" w:rsidR="003905FD" w:rsidRPr="00602459" w:rsidRDefault="003905FD" w:rsidP="00DA47F2">
            <w:pPr>
              <w:jc w:val="cente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Pre</w:t>
            </w:r>
            <w:r w:rsidR="00724BA7">
              <w:rPr>
                <w:rFonts w:asciiTheme="minorHAnsi" w:hAnsiTheme="minorHAnsi" w:cstheme="minorHAnsi"/>
                <w:b/>
                <w:bCs/>
                <w:sz w:val="18"/>
                <w:szCs w:val="18"/>
                <w:lang w:val="en-GB" w:eastAsia="ja-JP"/>
              </w:rPr>
              <w:t>-</w:t>
            </w:r>
            <w:r w:rsidRPr="00602459">
              <w:rPr>
                <w:rFonts w:asciiTheme="minorHAnsi" w:hAnsiTheme="minorHAnsi" w:cstheme="minorHAnsi"/>
                <w:b/>
                <w:bCs/>
                <w:sz w:val="18"/>
                <w:szCs w:val="18"/>
                <w:lang w:val="en-GB" w:eastAsia="ja-JP"/>
              </w:rPr>
              <w:t>analytical consideration</w:t>
            </w:r>
          </w:p>
        </w:tc>
        <w:tc>
          <w:tcPr>
            <w:tcW w:w="1121" w:type="dxa"/>
            <w:shd w:val="clear" w:color="auto" w:fill="262626" w:themeFill="text1" w:themeFillTint="D9"/>
            <w:vAlign w:val="center"/>
          </w:tcPr>
          <w:p w14:paraId="6F5A6385" w14:textId="77777777" w:rsidR="003905FD" w:rsidRPr="00602459" w:rsidRDefault="003905FD" w:rsidP="00DA47F2">
            <w:pPr>
              <w:jc w:val="cente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Turnaround time</w:t>
            </w:r>
          </w:p>
        </w:tc>
        <w:tc>
          <w:tcPr>
            <w:tcW w:w="3926" w:type="dxa"/>
            <w:shd w:val="clear" w:color="auto" w:fill="262626" w:themeFill="text1" w:themeFillTint="D9"/>
            <w:vAlign w:val="center"/>
          </w:tcPr>
          <w:p w14:paraId="79A8D39C" w14:textId="77777777" w:rsidR="003905FD" w:rsidRPr="00602459" w:rsidRDefault="003905FD" w:rsidP="00DA47F2">
            <w:pPr>
              <w:jc w:val="cente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Advantages</w:t>
            </w:r>
          </w:p>
        </w:tc>
        <w:tc>
          <w:tcPr>
            <w:tcW w:w="3565" w:type="dxa"/>
            <w:shd w:val="clear" w:color="auto" w:fill="262626" w:themeFill="text1" w:themeFillTint="D9"/>
            <w:vAlign w:val="center"/>
          </w:tcPr>
          <w:p w14:paraId="5CCB06F9" w14:textId="77777777" w:rsidR="003905FD" w:rsidRPr="00602459" w:rsidRDefault="003905FD" w:rsidP="00DA47F2">
            <w:pPr>
              <w:jc w:val="cente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Disadvantages</w:t>
            </w:r>
          </w:p>
        </w:tc>
      </w:tr>
      <w:tr w:rsidR="003905FD" w:rsidRPr="00602459" w14:paraId="5DC1BF4D" w14:textId="77777777" w:rsidTr="00DA47F2">
        <w:trPr>
          <w:trHeight w:val="20"/>
        </w:trPr>
        <w:tc>
          <w:tcPr>
            <w:tcW w:w="1257" w:type="dxa"/>
            <w:gridSpan w:val="2"/>
            <w:shd w:val="clear" w:color="auto" w:fill="auto"/>
          </w:tcPr>
          <w:p w14:paraId="2AE404EF" w14:textId="77777777" w:rsidR="003905FD" w:rsidRPr="00602459" w:rsidRDefault="003905FD" w:rsidP="00810D49">
            <w:pP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IHC</w:t>
            </w:r>
          </w:p>
        </w:tc>
        <w:tc>
          <w:tcPr>
            <w:tcW w:w="1262" w:type="dxa"/>
            <w:shd w:val="clear" w:color="auto" w:fill="auto"/>
          </w:tcPr>
          <w:p w14:paraId="089E0A96" w14:textId="7777777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FFPE tissue</w:t>
            </w:r>
          </w:p>
        </w:tc>
        <w:tc>
          <w:tcPr>
            <w:tcW w:w="2664" w:type="dxa"/>
            <w:shd w:val="clear" w:color="auto" w:fill="auto"/>
          </w:tcPr>
          <w:p w14:paraId="3208D417" w14:textId="77777777" w:rsidR="003905FD" w:rsidRPr="00B62F1B" w:rsidRDefault="003905FD" w:rsidP="00B62F1B">
            <w:pPr>
              <w:pStyle w:val="ListParagraph"/>
              <w:numPr>
                <w:ilvl w:val="0"/>
                <w:numId w:val="30"/>
              </w:numPr>
              <w:ind w:left="284" w:hanging="284"/>
              <w:rPr>
                <w:rFonts w:asciiTheme="minorHAnsi" w:hAnsiTheme="minorHAnsi" w:cstheme="minorHAnsi"/>
                <w:sz w:val="18"/>
                <w:szCs w:val="18"/>
                <w:lang w:val="en-GB" w:eastAsia="ja-JP"/>
              </w:rPr>
            </w:pPr>
            <w:r w:rsidRPr="00B62F1B">
              <w:rPr>
                <w:rFonts w:asciiTheme="minorHAnsi" w:hAnsiTheme="minorHAnsi" w:cstheme="minorHAnsi"/>
                <w:sz w:val="18"/>
                <w:szCs w:val="18"/>
                <w:lang w:val="en-GB" w:eastAsia="ja-JP"/>
              </w:rPr>
              <w:t>Variability in fixation processes may impact the quality of staining</w:t>
            </w:r>
          </w:p>
        </w:tc>
        <w:tc>
          <w:tcPr>
            <w:tcW w:w="1121" w:type="dxa"/>
            <w:shd w:val="clear" w:color="auto" w:fill="auto"/>
          </w:tcPr>
          <w:p w14:paraId="17BD47A8" w14:textId="7777777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1-2 days</w:t>
            </w:r>
          </w:p>
        </w:tc>
        <w:tc>
          <w:tcPr>
            <w:tcW w:w="3926" w:type="dxa"/>
            <w:shd w:val="clear" w:color="auto" w:fill="auto"/>
          </w:tcPr>
          <w:p w14:paraId="5372AE94" w14:textId="68778212"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Rapid and inexpensive process</w:t>
            </w:r>
          </w:p>
          <w:p w14:paraId="71A04698" w14:textId="1FB78605" w:rsidR="003905FD" w:rsidRPr="00662D00"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Established approach, widely available within clinical laboratories</w:t>
            </w:r>
          </w:p>
        </w:tc>
        <w:tc>
          <w:tcPr>
            <w:tcW w:w="3565" w:type="dxa"/>
            <w:shd w:val="clear" w:color="auto" w:fill="auto"/>
          </w:tcPr>
          <w:p w14:paraId="2CC12576" w14:textId="037FE36D"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 xml:space="preserve">Indication-specific specificity for </w:t>
            </w:r>
            <w:r w:rsidRPr="00CB48BD">
              <w:rPr>
                <w:rFonts w:asciiTheme="minorHAnsi" w:hAnsiTheme="minorHAnsi" w:cstheme="minorHAnsi"/>
                <w:i/>
                <w:sz w:val="18"/>
                <w:szCs w:val="18"/>
                <w:lang w:val="en-GB" w:eastAsia="ja-JP"/>
              </w:rPr>
              <w:t>NTRK</w:t>
            </w:r>
            <w:r w:rsidRPr="00662D00">
              <w:rPr>
                <w:rFonts w:asciiTheme="minorHAnsi" w:hAnsiTheme="minorHAnsi" w:cstheme="minorHAnsi"/>
                <w:sz w:val="18"/>
                <w:szCs w:val="18"/>
                <w:lang w:val="en-GB" w:eastAsia="ja-JP"/>
              </w:rPr>
              <w:t xml:space="preserve"> gene fusion prediction not well characterised</w:t>
            </w:r>
          </w:p>
          <w:p w14:paraId="08C6FD9B" w14:textId="5815A96B"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 xml:space="preserve">Sensitivity </w:t>
            </w:r>
            <w:r w:rsidRPr="0033037F">
              <w:rPr>
                <w:rFonts w:asciiTheme="minorHAnsi" w:hAnsiTheme="minorHAnsi" w:cstheme="minorHAnsi"/>
                <w:sz w:val="18"/>
                <w:szCs w:val="18"/>
                <w:lang w:val="en-GB" w:eastAsia="ja-JP"/>
              </w:rPr>
              <w:t>of TRK</w:t>
            </w:r>
            <w:r w:rsidR="00066BE9" w:rsidRPr="0033037F">
              <w:rPr>
                <w:rFonts w:asciiTheme="minorHAnsi" w:hAnsiTheme="minorHAnsi" w:cstheme="minorHAnsi"/>
                <w:sz w:val="18"/>
                <w:szCs w:val="18"/>
                <w:lang w:val="en-GB" w:eastAsia="ja-JP"/>
              </w:rPr>
              <w:t xml:space="preserve">C </w:t>
            </w:r>
            <w:r w:rsidRPr="0033037F">
              <w:rPr>
                <w:rFonts w:asciiTheme="minorHAnsi" w:hAnsiTheme="minorHAnsi" w:cstheme="minorHAnsi"/>
                <w:sz w:val="18"/>
                <w:szCs w:val="18"/>
                <w:lang w:val="en-GB" w:eastAsia="ja-JP"/>
              </w:rPr>
              <w:t>proteins</w:t>
            </w:r>
            <w:r w:rsidRPr="00662D00">
              <w:rPr>
                <w:rFonts w:asciiTheme="minorHAnsi" w:hAnsiTheme="minorHAnsi" w:cstheme="minorHAnsi"/>
                <w:sz w:val="18"/>
                <w:szCs w:val="18"/>
                <w:lang w:val="en-GB" w:eastAsia="ja-JP"/>
              </w:rPr>
              <w:t xml:space="preserve"> may be low</w:t>
            </w:r>
          </w:p>
          <w:p w14:paraId="54FBDFB3" w14:textId="0A0E25FC" w:rsidR="003905FD" w:rsidRPr="00662D00" w:rsidRDefault="003905FD" w:rsidP="000C79C5">
            <w:pPr>
              <w:pStyle w:val="ListParagraph"/>
              <w:numPr>
                <w:ilvl w:val="0"/>
                <w:numId w:val="29"/>
              </w:numPr>
              <w:ind w:left="284" w:hanging="284"/>
              <w:rPr>
                <w:rFonts w:asciiTheme="minorHAnsi" w:hAnsiTheme="minorHAnsi" w:cstheme="minorHAnsi"/>
                <w:i/>
                <w:iCs/>
                <w:sz w:val="18"/>
                <w:szCs w:val="18"/>
                <w:lang w:val="en-GB" w:eastAsia="ja-JP"/>
              </w:rPr>
            </w:pPr>
            <w:r w:rsidRPr="00662D00">
              <w:rPr>
                <w:rFonts w:asciiTheme="minorHAnsi" w:hAnsiTheme="minorHAnsi" w:cstheme="minorHAnsi"/>
                <w:sz w:val="18"/>
                <w:szCs w:val="18"/>
                <w:lang w:val="en-GB" w:eastAsia="ja-JP"/>
              </w:rPr>
              <w:t>Assay not easily multiplexed for other biomarkers</w:t>
            </w:r>
          </w:p>
        </w:tc>
      </w:tr>
      <w:tr w:rsidR="003905FD" w:rsidRPr="00602459" w14:paraId="18E8D0AF" w14:textId="77777777" w:rsidTr="00B62F1B">
        <w:trPr>
          <w:trHeight w:val="20"/>
        </w:trPr>
        <w:tc>
          <w:tcPr>
            <w:tcW w:w="555" w:type="dxa"/>
            <w:vMerge w:val="restart"/>
            <w:shd w:val="clear" w:color="auto" w:fill="D9D9D9" w:themeFill="background1" w:themeFillShade="D9"/>
            <w:vAlign w:val="center"/>
          </w:tcPr>
          <w:p w14:paraId="6CD4CEAD" w14:textId="77777777" w:rsidR="003905FD" w:rsidRPr="00602459" w:rsidRDefault="003905FD" w:rsidP="00810D49">
            <w:pP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 xml:space="preserve">FISH </w:t>
            </w:r>
          </w:p>
        </w:tc>
        <w:tc>
          <w:tcPr>
            <w:tcW w:w="701" w:type="dxa"/>
            <w:shd w:val="clear" w:color="auto" w:fill="D9D9D9" w:themeFill="background1" w:themeFillShade="D9"/>
          </w:tcPr>
          <w:p w14:paraId="3B09BDA8" w14:textId="7777777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Fusion</w:t>
            </w:r>
          </w:p>
        </w:tc>
        <w:tc>
          <w:tcPr>
            <w:tcW w:w="1262" w:type="dxa"/>
            <w:shd w:val="clear" w:color="auto" w:fill="D9D9D9" w:themeFill="background1" w:themeFillShade="D9"/>
          </w:tcPr>
          <w:p w14:paraId="7FBDA4C7" w14:textId="43BF6E5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FFPE tissue</w:t>
            </w:r>
            <w:r>
              <w:rPr>
                <w:rFonts w:asciiTheme="minorHAnsi" w:hAnsiTheme="minorHAnsi" w:cstheme="minorHAnsi"/>
                <w:sz w:val="18"/>
                <w:szCs w:val="18"/>
                <w:lang w:val="en-GB" w:eastAsia="ja-JP"/>
              </w:rPr>
              <w:t>, fresh frozen tissue</w:t>
            </w:r>
          </w:p>
        </w:tc>
        <w:tc>
          <w:tcPr>
            <w:tcW w:w="2664" w:type="dxa"/>
            <w:shd w:val="clear" w:color="auto" w:fill="D9D9D9" w:themeFill="background1" w:themeFillShade="D9"/>
          </w:tcPr>
          <w:p w14:paraId="296762D3" w14:textId="1F0AD09A" w:rsidR="003905FD" w:rsidRPr="00602459" w:rsidRDefault="003905FD" w:rsidP="00810D49">
            <w:pPr>
              <w:rPr>
                <w:rFonts w:asciiTheme="minorHAnsi" w:hAnsiTheme="minorHAnsi" w:cstheme="minorHAnsi"/>
                <w:sz w:val="18"/>
                <w:szCs w:val="18"/>
                <w:lang w:val="en-GB" w:eastAsia="ja-JP"/>
              </w:rPr>
            </w:pPr>
            <w:r>
              <w:rPr>
                <w:rFonts w:asciiTheme="minorHAnsi" w:hAnsiTheme="minorHAnsi" w:cstheme="minorHAnsi"/>
                <w:sz w:val="18"/>
                <w:szCs w:val="18"/>
                <w:lang w:val="en-GB" w:eastAsia="ja-JP"/>
              </w:rPr>
              <w:t>n/a</w:t>
            </w:r>
          </w:p>
        </w:tc>
        <w:tc>
          <w:tcPr>
            <w:tcW w:w="1121" w:type="dxa"/>
            <w:shd w:val="clear" w:color="auto" w:fill="D9D9D9" w:themeFill="background1" w:themeFillShade="D9"/>
          </w:tcPr>
          <w:p w14:paraId="7E470E4B" w14:textId="7777777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1-2 days</w:t>
            </w:r>
          </w:p>
        </w:tc>
        <w:tc>
          <w:tcPr>
            <w:tcW w:w="3926" w:type="dxa"/>
            <w:shd w:val="clear" w:color="auto" w:fill="D9D9D9" w:themeFill="background1" w:themeFillShade="D9"/>
          </w:tcPr>
          <w:p w14:paraId="06FC44B1" w14:textId="71E7C5D4"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High specificity</w:t>
            </w:r>
          </w:p>
          <w:p w14:paraId="16E3EE14" w14:textId="5212325E" w:rsidR="003905FD" w:rsidRPr="00662D00"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Can detect alterations present in small subsets of cells</w:t>
            </w:r>
          </w:p>
        </w:tc>
        <w:tc>
          <w:tcPr>
            <w:tcW w:w="3565" w:type="dxa"/>
            <w:shd w:val="clear" w:color="auto" w:fill="D9D9D9" w:themeFill="background1" w:themeFillShade="D9"/>
          </w:tcPr>
          <w:p w14:paraId="41313C73" w14:textId="41466148" w:rsidR="003905FD" w:rsidRPr="00662D00"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 xml:space="preserve">Individual assay limited to detection of specific 5’ partner and </w:t>
            </w:r>
            <w:r w:rsidRPr="00724BA7">
              <w:rPr>
                <w:rFonts w:asciiTheme="minorHAnsi" w:hAnsiTheme="minorHAnsi" w:cstheme="minorHAnsi"/>
                <w:i/>
                <w:sz w:val="18"/>
                <w:szCs w:val="18"/>
                <w:lang w:val="en-GB" w:eastAsia="ja-JP"/>
              </w:rPr>
              <w:t>NTRK</w:t>
            </w:r>
            <w:r w:rsidRPr="00662D00">
              <w:rPr>
                <w:rFonts w:asciiTheme="minorHAnsi" w:hAnsiTheme="minorHAnsi" w:cstheme="minorHAnsi"/>
                <w:i/>
                <w:iCs/>
                <w:sz w:val="18"/>
                <w:szCs w:val="18"/>
                <w:lang w:val="en-GB" w:eastAsia="ja-JP"/>
              </w:rPr>
              <w:t xml:space="preserve"> </w:t>
            </w:r>
            <w:r w:rsidRPr="00662D00">
              <w:rPr>
                <w:rFonts w:asciiTheme="minorHAnsi" w:hAnsiTheme="minorHAnsi" w:cstheme="minorHAnsi"/>
                <w:sz w:val="18"/>
                <w:szCs w:val="18"/>
                <w:lang w:val="en-GB" w:eastAsia="ja-JP"/>
              </w:rPr>
              <w:t>gene pair</w:t>
            </w:r>
          </w:p>
        </w:tc>
      </w:tr>
      <w:tr w:rsidR="003905FD" w:rsidRPr="00602459" w14:paraId="72188B74" w14:textId="77777777" w:rsidTr="00B62F1B">
        <w:trPr>
          <w:trHeight w:val="20"/>
        </w:trPr>
        <w:tc>
          <w:tcPr>
            <w:tcW w:w="555" w:type="dxa"/>
            <w:vMerge/>
            <w:shd w:val="clear" w:color="auto" w:fill="D9D9D9" w:themeFill="background1" w:themeFillShade="D9"/>
          </w:tcPr>
          <w:p w14:paraId="369A994C" w14:textId="77777777" w:rsidR="003905FD" w:rsidRPr="00602459" w:rsidRDefault="003905FD" w:rsidP="00810D49">
            <w:pPr>
              <w:rPr>
                <w:rFonts w:asciiTheme="minorHAnsi" w:hAnsiTheme="minorHAnsi" w:cstheme="minorHAnsi"/>
                <w:sz w:val="18"/>
                <w:szCs w:val="18"/>
                <w:lang w:val="en-GB" w:eastAsia="ja-JP"/>
              </w:rPr>
            </w:pPr>
          </w:p>
        </w:tc>
        <w:tc>
          <w:tcPr>
            <w:tcW w:w="701" w:type="dxa"/>
            <w:shd w:val="clear" w:color="auto" w:fill="D9D9D9" w:themeFill="background1" w:themeFillShade="D9"/>
          </w:tcPr>
          <w:p w14:paraId="63F7DCA3" w14:textId="77777777" w:rsidR="003905FD" w:rsidRPr="00602459" w:rsidRDefault="003905FD" w:rsidP="00810D49">
            <w:pPr>
              <w:rPr>
                <w:rFonts w:asciiTheme="minorHAnsi" w:hAnsiTheme="minorHAnsi" w:cstheme="minorHAnsi"/>
                <w:sz w:val="18"/>
                <w:szCs w:val="18"/>
                <w:lang w:val="en-GB" w:eastAsia="ja-JP"/>
              </w:rPr>
            </w:pPr>
            <w:r w:rsidRPr="00CB48BD">
              <w:rPr>
                <w:rFonts w:asciiTheme="minorHAnsi" w:hAnsiTheme="minorHAnsi" w:cstheme="minorHAnsi"/>
                <w:i/>
                <w:sz w:val="18"/>
                <w:szCs w:val="18"/>
                <w:lang w:val="en-GB" w:eastAsia="ja-JP"/>
              </w:rPr>
              <w:t>NTRK</w:t>
            </w:r>
            <w:r w:rsidRPr="00602459">
              <w:rPr>
                <w:rFonts w:asciiTheme="minorHAnsi" w:hAnsiTheme="minorHAnsi" w:cstheme="minorHAnsi"/>
                <w:sz w:val="18"/>
                <w:szCs w:val="18"/>
                <w:lang w:val="en-GB" w:eastAsia="ja-JP"/>
              </w:rPr>
              <w:t xml:space="preserve"> break apart</w:t>
            </w:r>
          </w:p>
        </w:tc>
        <w:tc>
          <w:tcPr>
            <w:tcW w:w="1262" w:type="dxa"/>
            <w:shd w:val="clear" w:color="auto" w:fill="D9D9D9" w:themeFill="background1" w:themeFillShade="D9"/>
          </w:tcPr>
          <w:p w14:paraId="36D845DD" w14:textId="1F67E354"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FFPE tissue</w:t>
            </w:r>
            <w:r>
              <w:rPr>
                <w:rFonts w:asciiTheme="minorHAnsi" w:hAnsiTheme="minorHAnsi" w:cstheme="minorHAnsi"/>
                <w:sz w:val="18"/>
                <w:szCs w:val="18"/>
                <w:lang w:val="en-GB" w:eastAsia="ja-JP"/>
              </w:rPr>
              <w:t>, fresh frozen tissue</w:t>
            </w:r>
          </w:p>
        </w:tc>
        <w:tc>
          <w:tcPr>
            <w:tcW w:w="2664" w:type="dxa"/>
            <w:shd w:val="clear" w:color="auto" w:fill="D9D9D9" w:themeFill="background1" w:themeFillShade="D9"/>
          </w:tcPr>
          <w:p w14:paraId="21FCF14D" w14:textId="28C9E47F" w:rsidR="003905FD" w:rsidRPr="00602459" w:rsidRDefault="003905FD" w:rsidP="00810D49">
            <w:pPr>
              <w:rPr>
                <w:rFonts w:asciiTheme="minorHAnsi" w:hAnsiTheme="minorHAnsi" w:cstheme="minorHAnsi"/>
                <w:sz w:val="18"/>
                <w:szCs w:val="18"/>
                <w:lang w:val="en-GB" w:eastAsia="ja-JP"/>
              </w:rPr>
            </w:pPr>
            <w:r>
              <w:rPr>
                <w:rFonts w:asciiTheme="minorHAnsi" w:hAnsiTheme="minorHAnsi" w:cstheme="minorHAnsi"/>
                <w:sz w:val="18"/>
                <w:szCs w:val="18"/>
                <w:lang w:val="en-GB" w:eastAsia="ja-JP"/>
              </w:rPr>
              <w:t>n/a</w:t>
            </w:r>
          </w:p>
        </w:tc>
        <w:tc>
          <w:tcPr>
            <w:tcW w:w="1121" w:type="dxa"/>
            <w:shd w:val="clear" w:color="auto" w:fill="D9D9D9" w:themeFill="background1" w:themeFillShade="D9"/>
          </w:tcPr>
          <w:p w14:paraId="7FC1CB6B" w14:textId="7777777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1-2 days</w:t>
            </w:r>
          </w:p>
        </w:tc>
        <w:tc>
          <w:tcPr>
            <w:tcW w:w="3926" w:type="dxa"/>
            <w:shd w:val="clear" w:color="auto" w:fill="D9D9D9" w:themeFill="background1" w:themeFillShade="D9"/>
          </w:tcPr>
          <w:p w14:paraId="1BD3C8D3" w14:textId="21B9E44C" w:rsidR="003905FD" w:rsidRPr="00662D00"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 xml:space="preserve">Detects </w:t>
            </w:r>
            <w:r w:rsidRPr="00724BA7">
              <w:rPr>
                <w:rFonts w:asciiTheme="minorHAnsi" w:hAnsiTheme="minorHAnsi" w:cstheme="minorHAnsi"/>
                <w:i/>
                <w:sz w:val="18"/>
                <w:szCs w:val="18"/>
                <w:lang w:val="en-GB" w:eastAsia="ja-JP"/>
              </w:rPr>
              <w:t>NTRK</w:t>
            </w:r>
            <w:r w:rsidRPr="00662D00">
              <w:rPr>
                <w:rFonts w:asciiTheme="minorHAnsi" w:hAnsiTheme="minorHAnsi" w:cstheme="minorHAnsi"/>
                <w:sz w:val="18"/>
                <w:szCs w:val="18"/>
                <w:lang w:val="en-GB" w:eastAsia="ja-JP"/>
              </w:rPr>
              <w:t xml:space="preserve"> rearrangements without knowledge of 5’ partner</w:t>
            </w:r>
          </w:p>
        </w:tc>
        <w:tc>
          <w:tcPr>
            <w:tcW w:w="3565" w:type="dxa"/>
            <w:shd w:val="clear" w:color="auto" w:fill="D9D9D9" w:themeFill="background1" w:themeFillShade="D9"/>
          </w:tcPr>
          <w:p w14:paraId="26CBFA5B" w14:textId="14CCD1C4"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Sensitivity and specificity variable, depending on assay design and parameters</w:t>
            </w:r>
          </w:p>
          <w:p w14:paraId="7A503545" w14:textId="1E73DE0F" w:rsidR="003905FD" w:rsidRPr="00662D00"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Multiple or complex FISH assays may be required for complete coverage</w:t>
            </w:r>
          </w:p>
        </w:tc>
      </w:tr>
      <w:tr w:rsidR="003905FD" w:rsidRPr="00602459" w14:paraId="4C1A862A" w14:textId="77777777" w:rsidTr="00DA47F2">
        <w:trPr>
          <w:trHeight w:val="20"/>
        </w:trPr>
        <w:tc>
          <w:tcPr>
            <w:tcW w:w="1257" w:type="dxa"/>
            <w:gridSpan w:val="2"/>
            <w:shd w:val="clear" w:color="auto" w:fill="auto"/>
          </w:tcPr>
          <w:p w14:paraId="32AAD6DB" w14:textId="77777777" w:rsidR="003905FD" w:rsidRPr="00602459" w:rsidRDefault="003905FD" w:rsidP="00810D49">
            <w:pPr>
              <w:rPr>
                <w:rFonts w:asciiTheme="minorHAnsi" w:hAnsiTheme="minorHAnsi" w:cstheme="minorHAnsi"/>
                <w:b/>
                <w:bCs/>
                <w:sz w:val="18"/>
                <w:szCs w:val="18"/>
                <w:lang w:val="en-GB" w:eastAsia="ja-JP"/>
              </w:rPr>
            </w:pPr>
            <w:r w:rsidRPr="00602459">
              <w:rPr>
                <w:rFonts w:asciiTheme="minorHAnsi" w:hAnsiTheme="minorHAnsi" w:cstheme="minorHAnsi"/>
                <w:b/>
                <w:bCs/>
                <w:sz w:val="18"/>
                <w:szCs w:val="18"/>
                <w:lang w:val="en-GB" w:eastAsia="ja-JP"/>
              </w:rPr>
              <w:t>RNA-NGS</w:t>
            </w:r>
          </w:p>
        </w:tc>
        <w:tc>
          <w:tcPr>
            <w:tcW w:w="1262" w:type="dxa"/>
            <w:shd w:val="clear" w:color="auto" w:fill="auto"/>
          </w:tcPr>
          <w:p w14:paraId="5F0150D2" w14:textId="56F18699" w:rsidR="003905FD" w:rsidRPr="00602459" w:rsidRDefault="003905FD" w:rsidP="00810D49">
            <w:pPr>
              <w:rPr>
                <w:rFonts w:asciiTheme="minorHAnsi" w:hAnsiTheme="minorHAnsi" w:cstheme="minorHAnsi"/>
                <w:sz w:val="18"/>
                <w:szCs w:val="18"/>
                <w:lang w:val="en-GB" w:eastAsia="ja-JP"/>
              </w:rPr>
            </w:pPr>
            <w:r>
              <w:rPr>
                <w:rFonts w:asciiTheme="minorHAnsi" w:hAnsiTheme="minorHAnsi" w:cstheme="minorHAnsi"/>
                <w:sz w:val="18"/>
                <w:szCs w:val="18"/>
                <w:lang w:val="en-GB" w:eastAsia="ja-JP"/>
              </w:rPr>
              <w:t xml:space="preserve">Snap frozen, fresh or </w:t>
            </w:r>
            <w:r w:rsidRPr="00602459">
              <w:rPr>
                <w:rFonts w:asciiTheme="minorHAnsi" w:hAnsiTheme="minorHAnsi" w:cstheme="minorHAnsi"/>
                <w:sz w:val="18"/>
                <w:szCs w:val="18"/>
                <w:lang w:val="en-GB" w:eastAsia="ja-JP"/>
              </w:rPr>
              <w:t>FFPE tissue</w:t>
            </w:r>
          </w:p>
        </w:tc>
        <w:tc>
          <w:tcPr>
            <w:tcW w:w="2664" w:type="dxa"/>
            <w:shd w:val="clear" w:color="auto" w:fill="auto"/>
          </w:tcPr>
          <w:p w14:paraId="50866A25" w14:textId="4DE5B180" w:rsidR="003905FD" w:rsidRPr="00B62F1B" w:rsidRDefault="003905FD" w:rsidP="00B62F1B">
            <w:pPr>
              <w:pStyle w:val="ListParagraph"/>
              <w:numPr>
                <w:ilvl w:val="0"/>
                <w:numId w:val="14"/>
              </w:numPr>
              <w:ind w:left="284" w:hanging="284"/>
              <w:rPr>
                <w:rFonts w:asciiTheme="minorHAnsi" w:hAnsiTheme="minorHAnsi" w:cstheme="minorHAnsi"/>
                <w:sz w:val="18"/>
                <w:szCs w:val="18"/>
                <w:lang w:val="en-GB" w:eastAsia="ja-JP"/>
              </w:rPr>
            </w:pPr>
            <w:r w:rsidRPr="00B62F1B">
              <w:rPr>
                <w:rFonts w:asciiTheme="minorHAnsi" w:hAnsiTheme="minorHAnsi" w:cstheme="minorHAnsi"/>
                <w:sz w:val="18"/>
                <w:szCs w:val="18"/>
                <w:lang w:val="en-GB" w:eastAsia="ja-JP"/>
              </w:rPr>
              <w:t>Data acquisition may be affected by tumour heterogeneity</w:t>
            </w:r>
          </w:p>
          <w:p w14:paraId="4FA2EFD2" w14:textId="1967F37C" w:rsidR="003905FD" w:rsidRPr="00B62F1B" w:rsidRDefault="003905FD" w:rsidP="00B62F1B">
            <w:pPr>
              <w:pStyle w:val="ListParagraph"/>
              <w:numPr>
                <w:ilvl w:val="0"/>
                <w:numId w:val="14"/>
              </w:numPr>
              <w:ind w:left="284" w:hanging="284"/>
              <w:rPr>
                <w:rFonts w:asciiTheme="minorHAnsi" w:hAnsiTheme="minorHAnsi" w:cstheme="minorHAnsi"/>
                <w:sz w:val="18"/>
                <w:szCs w:val="18"/>
                <w:lang w:val="en-GB" w:eastAsia="ja-JP"/>
              </w:rPr>
            </w:pPr>
            <w:r w:rsidRPr="00B62F1B">
              <w:rPr>
                <w:rFonts w:asciiTheme="minorHAnsi" w:hAnsiTheme="minorHAnsi" w:cstheme="minorHAnsi"/>
                <w:sz w:val="18"/>
                <w:szCs w:val="18"/>
                <w:lang w:val="en-GB" w:eastAsia="ja-JP"/>
              </w:rPr>
              <w:t>Sensitivity for fusions varies according to enrichment method</w:t>
            </w:r>
          </w:p>
          <w:p w14:paraId="38D73816" w14:textId="73CA9C4B" w:rsidR="003905FD" w:rsidRPr="00B62F1B" w:rsidRDefault="003905FD" w:rsidP="00B62F1B">
            <w:pPr>
              <w:pStyle w:val="ListParagraph"/>
              <w:numPr>
                <w:ilvl w:val="0"/>
                <w:numId w:val="29"/>
              </w:numPr>
              <w:ind w:left="284" w:hanging="284"/>
              <w:rPr>
                <w:rFonts w:asciiTheme="minorHAnsi" w:hAnsiTheme="minorHAnsi" w:cstheme="minorHAnsi"/>
                <w:sz w:val="18"/>
                <w:szCs w:val="18"/>
                <w:lang w:val="en-GB" w:eastAsia="ja-JP"/>
              </w:rPr>
            </w:pPr>
            <w:r w:rsidRPr="00B62F1B">
              <w:rPr>
                <w:rFonts w:asciiTheme="minorHAnsi" w:hAnsiTheme="minorHAnsi" w:cstheme="minorHAnsi"/>
                <w:sz w:val="18"/>
                <w:szCs w:val="18"/>
                <w:lang w:val="en-GB" w:eastAsia="ja-JP"/>
              </w:rPr>
              <w:t>RNA is labile</w:t>
            </w:r>
          </w:p>
        </w:tc>
        <w:tc>
          <w:tcPr>
            <w:tcW w:w="1121" w:type="dxa"/>
            <w:shd w:val="clear" w:color="auto" w:fill="auto"/>
          </w:tcPr>
          <w:p w14:paraId="338F73F1" w14:textId="77777777" w:rsidR="003905FD" w:rsidRPr="00602459" w:rsidRDefault="003905FD" w:rsidP="00810D49">
            <w:pPr>
              <w:rPr>
                <w:rFonts w:asciiTheme="minorHAnsi" w:hAnsiTheme="minorHAnsi" w:cstheme="minorHAnsi"/>
                <w:sz w:val="18"/>
                <w:szCs w:val="18"/>
                <w:lang w:val="en-GB" w:eastAsia="ja-JP"/>
              </w:rPr>
            </w:pPr>
            <w:r w:rsidRPr="00602459">
              <w:rPr>
                <w:rFonts w:asciiTheme="minorHAnsi" w:hAnsiTheme="minorHAnsi" w:cstheme="minorHAnsi"/>
                <w:sz w:val="18"/>
                <w:szCs w:val="18"/>
                <w:lang w:val="en-GB" w:eastAsia="ja-JP"/>
              </w:rPr>
              <w:t>5-7 days</w:t>
            </w:r>
          </w:p>
        </w:tc>
        <w:tc>
          <w:tcPr>
            <w:tcW w:w="3926" w:type="dxa"/>
            <w:shd w:val="clear" w:color="auto" w:fill="auto"/>
          </w:tcPr>
          <w:p w14:paraId="215FB720" w14:textId="4A912179"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Ability to interrogate all clinically actionable genomic content</w:t>
            </w:r>
          </w:p>
          <w:p w14:paraId="7001008B" w14:textId="6318519C"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Most tissue-sparing approach for broad genomic analysis</w:t>
            </w:r>
          </w:p>
          <w:p w14:paraId="717EBDFE" w14:textId="57C5910B"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Only transcriptionally active fusions detected</w:t>
            </w:r>
          </w:p>
          <w:p w14:paraId="06A72E5D" w14:textId="081EE8B8" w:rsidR="003905FD"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Commercially available kits cover all potentially oncogenic actionable fusions, without knowledge of 5’ partners or breakpoints</w:t>
            </w:r>
          </w:p>
          <w:p w14:paraId="264BAFE3" w14:textId="529FF81C" w:rsidR="003905FD" w:rsidRPr="00284332" w:rsidRDefault="003905FD" w:rsidP="00284332">
            <w:pPr>
              <w:pStyle w:val="ListParagraph"/>
              <w:numPr>
                <w:ilvl w:val="0"/>
                <w:numId w:val="29"/>
              </w:numPr>
              <w:ind w:left="284" w:hanging="284"/>
              <w:rPr>
                <w:rFonts w:asciiTheme="minorHAnsi" w:hAnsiTheme="minorHAnsi" w:cstheme="minorHAnsi"/>
                <w:sz w:val="18"/>
                <w:szCs w:val="18"/>
                <w:lang w:val="en-GB" w:eastAsia="ja-JP"/>
              </w:rPr>
            </w:pPr>
            <w:r w:rsidRPr="00284332">
              <w:rPr>
                <w:rFonts w:asciiTheme="minorHAnsi" w:hAnsiTheme="minorHAnsi" w:cstheme="minorHAnsi"/>
                <w:sz w:val="18"/>
                <w:szCs w:val="18"/>
                <w:lang w:val="en-GB" w:eastAsia="ja-JP"/>
              </w:rPr>
              <w:t>Allows in-frame vs out of frame confirmation for all fusions</w:t>
            </w:r>
          </w:p>
        </w:tc>
        <w:tc>
          <w:tcPr>
            <w:tcW w:w="3565" w:type="dxa"/>
            <w:shd w:val="clear" w:color="auto" w:fill="auto"/>
          </w:tcPr>
          <w:p w14:paraId="40A75F9F" w14:textId="66D24F05"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May require high level of infrastructure investment</w:t>
            </w:r>
          </w:p>
          <w:p w14:paraId="700C2D87" w14:textId="2F28B45F"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Requires high-level bioinformatics capability</w:t>
            </w:r>
          </w:p>
          <w:p w14:paraId="1E3B7AEC" w14:textId="7012993E" w:rsidR="003905FD" w:rsidRPr="00662D00" w:rsidRDefault="003905FD" w:rsidP="000C79C5">
            <w:pPr>
              <w:pStyle w:val="ListParagraph"/>
              <w:numPr>
                <w:ilvl w:val="0"/>
                <w:numId w:val="14"/>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Does not confirm that protein is generated</w:t>
            </w:r>
          </w:p>
          <w:p w14:paraId="6AE77258" w14:textId="3CDC8436" w:rsidR="003905FD" w:rsidRPr="00662D00" w:rsidRDefault="003905FD" w:rsidP="000C79C5">
            <w:pPr>
              <w:pStyle w:val="ListParagraph"/>
              <w:numPr>
                <w:ilvl w:val="0"/>
                <w:numId w:val="29"/>
              </w:numPr>
              <w:ind w:left="284" w:hanging="284"/>
              <w:rPr>
                <w:rFonts w:asciiTheme="minorHAnsi" w:hAnsiTheme="minorHAnsi" w:cstheme="minorHAnsi"/>
                <w:sz w:val="18"/>
                <w:szCs w:val="18"/>
                <w:lang w:val="en-GB" w:eastAsia="ja-JP"/>
              </w:rPr>
            </w:pPr>
            <w:r w:rsidRPr="00662D00">
              <w:rPr>
                <w:rFonts w:asciiTheme="minorHAnsi" w:hAnsiTheme="minorHAnsi" w:cstheme="minorHAnsi"/>
                <w:sz w:val="18"/>
                <w:szCs w:val="18"/>
                <w:lang w:val="en-GB" w:eastAsia="ja-JP"/>
              </w:rPr>
              <w:t>Detection of transcripts expressed at low levels may be challenging</w:t>
            </w:r>
          </w:p>
        </w:tc>
      </w:tr>
    </w:tbl>
    <w:p w14:paraId="5B0D5601" w14:textId="77777777" w:rsidR="003905FD" w:rsidRDefault="003905FD" w:rsidP="00505E50">
      <w:pPr>
        <w:spacing w:after="0" w:line="240" w:lineRule="auto"/>
        <w:rPr>
          <w:sz w:val="16"/>
          <w:szCs w:val="16"/>
        </w:rPr>
      </w:pPr>
      <w:r>
        <w:rPr>
          <w:sz w:val="16"/>
          <w:szCs w:val="16"/>
        </w:rPr>
        <w:t xml:space="preserve">Abbreviations: FFPE, formalin-fixed paraffin-embedded </w:t>
      </w:r>
    </w:p>
    <w:p w14:paraId="6F763137" w14:textId="6184514B" w:rsidR="003905FD" w:rsidRDefault="003905FD" w:rsidP="00505E50">
      <w:pPr>
        <w:spacing w:after="0" w:line="240" w:lineRule="auto"/>
        <w:rPr>
          <w:sz w:val="16"/>
          <w:szCs w:val="16"/>
        </w:rPr>
      </w:pPr>
      <w:r>
        <w:rPr>
          <w:sz w:val="16"/>
          <w:szCs w:val="16"/>
        </w:rPr>
        <w:t>Source: Hs</w:t>
      </w:r>
      <w:r w:rsidR="008E50D2">
        <w:rPr>
          <w:sz w:val="16"/>
          <w:szCs w:val="16"/>
        </w:rPr>
        <w:t>ia</w:t>
      </w:r>
      <w:r>
        <w:rPr>
          <w:sz w:val="16"/>
          <w:szCs w:val="16"/>
        </w:rPr>
        <w:t xml:space="preserve">o </w:t>
      </w:r>
      <w:r w:rsidRPr="0016191F">
        <w:rPr>
          <w:sz w:val="16"/>
          <w:szCs w:val="16"/>
        </w:rPr>
        <w:t>et al. (2019)</w:t>
      </w:r>
      <w:r w:rsidRPr="0016191F">
        <w:rPr>
          <w:rStyle w:val="EndnoteReference"/>
          <w:sz w:val="16"/>
          <w:szCs w:val="16"/>
        </w:rPr>
        <w:endnoteReference w:id="28"/>
      </w:r>
    </w:p>
    <w:p w14:paraId="1A09BCBE" w14:textId="77777777" w:rsidR="003905FD" w:rsidRDefault="003905FD" w:rsidP="00505E50">
      <w:pPr>
        <w:spacing w:after="0" w:line="240" w:lineRule="auto"/>
        <w:rPr>
          <w:sz w:val="16"/>
          <w:szCs w:val="16"/>
        </w:rPr>
        <w:sectPr w:rsidR="003905FD" w:rsidSect="003454A9">
          <w:footnotePr>
            <w:numRestart w:val="eachPage"/>
          </w:footnotePr>
          <w:endnotePr>
            <w:numFmt w:val="decimal"/>
          </w:endnotePr>
          <w:pgSz w:w="16838" w:h="11906" w:orient="landscape"/>
          <w:pgMar w:top="993" w:right="1440" w:bottom="1440" w:left="1440" w:header="708" w:footer="708" w:gutter="0"/>
          <w:cols w:space="708"/>
          <w:docGrid w:linePitch="360"/>
        </w:sectPr>
      </w:pPr>
    </w:p>
    <w:p w14:paraId="583A70C1" w14:textId="77777777" w:rsidR="003454A9" w:rsidRPr="007D56AD" w:rsidRDefault="003454A9" w:rsidP="003454A9">
      <w:pPr>
        <w:spacing w:after="120"/>
        <w:rPr>
          <w:b/>
          <w:color w:val="00B0F0"/>
          <w:sz w:val="28"/>
          <w:szCs w:val="28"/>
          <w:u w:val="single"/>
        </w:rPr>
      </w:pPr>
      <w:r w:rsidRPr="007D56AD">
        <w:rPr>
          <w:b/>
          <w:color w:val="00B0F0"/>
          <w:sz w:val="28"/>
          <w:szCs w:val="28"/>
          <w:u w:val="single"/>
        </w:rPr>
        <w:lastRenderedPageBreak/>
        <w:t>COMPARATOR/S</w:t>
      </w:r>
    </w:p>
    <w:p w14:paraId="550470A2" w14:textId="77777777" w:rsidR="003454A9" w:rsidRPr="00426312" w:rsidRDefault="003454A9" w:rsidP="003454A9">
      <w:pPr>
        <w:spacing w:after="0"/>
        <w:rPr>
          <w:i/>
          <w:iCs/>
          <w:sz w:val="16"/>
          <w:szCs w:val="16"/>
        </w:rPr>
      </w:pPr>
      <w:r w:rsidRPr="0048690A">
        <w:rPr>
          <w:i/>
          <w:iCs/>
        </w:rPr>
        <w:t>PASC confirmed the proposed compar</w:t>
      </w:r>
      <w:r>
        <w:rPr>
          <w:i/>
          <w:iCs/>
        </w:rPr>
        <w:t>ators, as detailed in this PICO</w:t>
      </w:r>
      <w:r w:rsidRPr="0048690A">
        <w:rPr>
          <w:i/>
          <w:iCs/>
        </w:rPr>
        <w:t>.</w:t>
      </w:r>
      <w:r w:rsidRPr="0048690A">
        <w:rPr>
          <w:i/>
          <w:iCs/>
        </w:rPr>
        <w:br/>
      </w:r>
    </w:p>
    <w:p w14:paraId="2661CC7F" w14:textId="77777777" w:rsidR="003454A9" w:rsidRDefault="003454A9" w:rsidP="003454A9">
      <w:pPr>
        <w:spacing w:after="0"/>
        <w:rPr>
          <w:b/>
          <w:i/>
          <w:sz w:val="16"/>
          <w:szCs w:val="16"/>
        </w:rPr>
      </w:pPr>
      <w:r w:rsidRPr="0048690A">
        <w:rPr>
          <w:i/>
          <w:iCs/>
        </w:rPr>
        <w:t>PASC noted entrectinib could become a near-market comparator for larotrectinib.</w:t>
      </w:r>
    </w:p>
    <w:p w14:paraId="10EEEF38" w14:textId="77777777" w:rsidR="003454A9" w:rsidRPr="00A57E2C" w:rsidRDefault="003454A9" w:rsidP="003454A9">
      <w:pPr>
        <w:spacing w:after="0"/>
        <w:rPr>
          <w:b/>
          <w:i/>
          <w:sz w:val="16"/>
          <w:szCs w:val="16"/>
        </w:rPr>
      </w:pPr>
    </w:p>
    <w:p w14:paraId="395BEAF8" w14:textId="77777777" w:rsidR="003454A9" w:rsidRPr="009F604D" w:rsidRDefault="003454A9" w:rsidP="003454A9">
      <w:pPr>
        <w:spacing w:after="120"/>
        <w:rPr>
          <w:b/>
          <w:i/>
          <w:sz w:val="24"/>
          <w:szCs w:val="24"/>
        </w:rPr>
      </w:pPr>
      <w:r w:rsidRPr="009F604D">
        <w:rPr>
          <w:b/>
          <w:i/>
          <w:color w:val="00B0F0"/>
          <w:sz w:val="24"/>
          <w:szCs w:val="24"/>
        </w:rPr>
        <w:t>Comparator for NTRK gene fusion testing:</w:t>
      </w:r>
    </w:p>
    <w:p w14:paraId="16520BB5" w14:textId="77777777" w:rsidR="003454A9" w:rsidRDefault="003454A9" w:rsidP="003454A9">
      <w:r>
        <w:t xml:space="preserve">The comparator for the proposed intervention is ‘no NTRK gene fusion testing’.  </w:t>
      </w:r>
      <w:r w:rsidRPr="000217EE">
        <w:t xml:space="preserve">MBS subsidised FISH tests are available for </w:t>
      </w:r>
      <w:r>
        <w:t>assessing eligibility to crizotinib, ceritinib or alectinib in patients with locally advanced or metastatic non-small cell lung cancer. These FISH tests are not suitable comparators since they are not specific for NTRK gene fusions.</w:t>
      </w:r>
    </w:p>
    <w:p w14:paraId="6497C989" w14:textId="77777777" w:rsidR="003454A9" w:rsidRPr="009F604D" w:rsidRDefault="003454A9" w:rsidP="003454A9">
      <w:pPr>
        <w:spacing w:after="120"/>
        <w:rPr>
          <w:b/>
          <w:i/>
          <w:color w:val="00B0F0"/>
          <w:sz w:val="24"/>
          <w:szCs w:val="24"/>
        </w:rPr>
      </w:pPr>
      <w:r w:rsidRPr="009F604D">
        <w:rPr>
          <w:b/>
          <w:i/>
          <w:color w:val="00B0F0"/>
          <w:sz w:val="24"/>
          <w:szCs w:val="24"/>
        </w:rPr>
        <w:t>Comparator for treatment:</w:t>
      </w:r>
    </w:p>
    <w:p w14:paraId="2E1B821C" w14:textId="77777777" w:rsidR="003454A9" w:rsidRDefault="003454A9" w:rsidP="003454A9">
      <w:r>
        <w:t>Usual standard of care (SoC) is the comparator for TRK inhibitor treatment. SoC may involve untargeted chemotherapy and/or immunotherapy (with or without radiotherapy) that is chosen on the basis of tumour histology, prior treatments and treatment tolerance. SoC may also include supportive care.</w:t>
      </w:r>
    </w:p>
    <w:p w14:paraId="705B30E1" w14:textId="77777777" w:rsidR="003454A9" w:rsidRPr="007D56AD" w:rsidRDefault="003454A9" w:rsidP="003454A9">
      <w:pPr>
        <w:spacing w:after="120"/>
        <w:rPr>
          <w:b/>
          <w:color w:val="00B0F0"/>
          <w:sz w:val="28"/>
          <w:szCs w:val="28"/>
          <w:u w:val="single"/>
        </w:rPr>
      </w:pPr>
      <w:r w:rsidRPr="007D56AD">
        <w:rPr>
          <w:b/>
          <w:color w:val="00B0F0"/>
          <w:sz w:val="28"/>
          <w:szCs w:val="28"/>
          <w:u w:val="single"/>
        </w:rPr>
        <w:t>OUTCOMES</w:t>
      </w:r>
    </w:p>
    <w:p w14:paraId="756F173B" w14:textId="77777777" w:rsidR="003454A9" w:rsidRPr="00056B55" w:rsidRDefault="003454A9" w:rsidP="003454A9">
      <w:pPr>
        <w:spacing w:after="120"/>
        <w:rPr>
          <w:i/>
          <w:color w:val="00B0F0"/>
          <w:u w:val="single"/>
        </w:rPr>
      </w:pPr>
      <w:r w:rsidRPr="00056B55">
        <w:rPr>
          <w:i/>
          <w:color w:val="00B0F0"/>
          <w:u w:val="single"/>
        </w:rPr>
        <w:t>Patient-relevant outcomes</w:t>
      </w:r>
    </w:p>
    <w:p w14:paraId="41DB1710" w14:textId="77777777" w:rsidR="003454A9" w:rsidRDefault="003454A9" w:rsidP="003454A9">
      <w:r>
        <w:t>From a patient perspective, FISH or RNA-NGS analysis offers the opportunity to commence on targeted therapy instead of several lines of untargeted chemotherapy that may result in toxicity, tumour resistance and disease progression.</w:t>
      </w:r>
    </w:p>
    <w:p w14:paraId="0D10988F" w14:textId="77777777" w:rsidR="003454A9" w:rsidRDefault="003454A9" w:rsidP="003454A9">
      <w:r>
        <w:t>From a clinical perspective, an accurate diagnosis of the cause of a tumour is important because of its prognostic and therapeutic implications for the patient. Detecting the presence of NTRK gene fusions in tumours may reduce the number of patients with tumours that are over treated and thus exposed to toxic effects from untargeted chemotherapy without deriving benefit. FISH or RNA-NGS would provide clinicians with additional information that would inform whether they recommend a patient for targeted chemotherapy such as TRK inhibitor treatment.</w:t>
      </w:r>
    </w:p>
    <w:p w14:paraId="50B94DF6" w14:textId="77777777" w:rsidR="003454A9" w:rsidRDefault="003454A9" w:rsidP="003454A9">
      <w:r>
        <w:t>IHC, FISH or RNA-NGS testing have a high sensitivity and specificity profile. However, there is still a risk that patients are missed or misdiagnosed. Incorrectly diagnosed patients may then go on to receive inappropriate treatment, based on false-negative or false-positive results (i.e. not receive TRK inhibitor treatment, or alternatively receive unnecessary TRK inhibitor treatment), exposing them to possible side effects or a missed treatment opportunity, and incurring healthcare costs.</w:t>
      </w:r>
    </w:p>
    <w:p w14:paraId="6FF0B00E" w14:textId="09C7B2F6" w:rsidR="003454A9" w:rsidRDefault="00056B55" w:rsidP="003454A9">
      <w:r>
        <w:t xml:space="preserve">The listed </w:t>
      </w:r>
      <w:r w:rsidR="003454A9">
        <w:t xml:space="preserve">outcomes </w:t>
      </w:r>
      <w:r>
        <w:t xml:space="preserve">(under ‘Test’ and ‘Drug’ </w:t>
      </w:r>
      <w:r w:rsidR="00703E8C">
        <w:t xml:space="preserve">outcomes) </w:t>
      </w:r>
      <w:r>
        <w:t>below are</w:t>
      </w:r>
      <w:r w:rsidR="003454A9">
        <w:t xml:space="preserve"> considered re</w:t>
      </w:r>
      <w:r>
        <w:t xml:space="preserve">levant to the assessment of </w:t>
      </w:r>
      <w:r w:rsidR="003454A9">
        <w:t>comparative effectiveness and safety of larotrectinib and FISH or RNA-NGS testing for people with locally advanced or metastatic solid tumours.</w:t>
      </w:r>
    </w:p>
    <w:p w14:paraId="53C39029" w14:textId="77777777" w:rsidR="00056B55" w:rsidRPr="007B4591" w:rsidRDefault="00056B55" w:rsidP="00056B55">
      <w:pPr>
        <w:spacing w:before="120" w:after="120"/>
        <w:rPr>
          <w:i/>
          <w:color w:val="00B0F0"/>
          <w:u w:val="single"/>
        </w:rPr>
      </w:pPr>
      <w:r w:rsidRPr="007B4591">
        <w:rPr>
          <w:i/>
          <w:color w:val="00B0F0"/>
          <w:u w:val="single"/>
        </w:rPr>
        <w:t>Healthcare system outcomes</w:t>
      </w:r>
    </w:p>
    <w:p w14:paraId="107E5C13" w14:textId="77777777" w:rsidR="00056B55" w:rsidRDefault="00056B55" w:rsidP="00056B55">
      <w:r>
        <w:t xml:space="preserve">The availability of FISH or RNA-NGS to detect </w:t>
      </w:r>
      <w:r w:rsidRPr="00322881">
        <w:rPr>
          <w:i/>
        </w:rPr>
        <w:t>NTRK</w:t>
      </w:r>
      <w:r>
        <w:t xml:space="preserve"> gene fusions in people with locally advanced or metastatic solid tumour will have implications for the Australian healthcare system. </w:t>
      </w:r>
    </w:p>
    <w:p w14:paraId="5A9EFCF3" w14:textId="77777777" w:rsidR="00056B55" w:rsidRDefault="00056B55" w:rsidP="00056B55">
      <w:r>
        <w:t xml:space="preserve">Depending on the molecular test results, patients may be recommended to receive TRK inhibitor treatment (if listed on the PBS), which might have cost-saving implications for the PBS, MBS, and other healthcare resource use (e.g. public/private hospitalisation and/or day procedure admission, private healthcare </w:t>
      </w:r>
      <w:r>
        <w:lastRenderedPageBreak/>
        <w:t xml:space="preserve">insurance). This will result from reduction in use of untargeted chemotherapy and/or radiotherapy, and reduction in day procedure admissions (for intravenous chemotherapy administration). For patients with a negative </w:t>
      </w:r>
      <w:r w:rsidRPr="00130197">
        <w:rPr>
          <w:i/>
        </w:rPr>
        <w:t xml:space="preserve">NTRK </w:t>
      </w:r>
      <w:r>
        <w:t>gene fusion result, there is likely to be no impact on healthcare resources, given usual standard of care will continue to be recommended. However, there could be false-negative results that are unlikely to be re-tested, unless queried by a clinician.</w:t>
      </w:r>
    </w:p>
    <w:p w14:paraId="24D1C2E1" w14:textId="66333492" w:rsidR="003905FD" w:rsidRDefault="003905FD" w:rsidP="007D56AD">
      <w:pPr>
        <w:spacing w:after="120"/>
        <w:rPr>
          <w:i/>
          <w:iCs/>
        </w:rPr>
      </w:pPr>
      <w:r w:rsidRPr="0048690A">
        <w:rPr>
          <w:i/>
          <w:iCs/>
        </w:rPr>
        <w:t xml:space="preserve">PASC confirmed the proposed outcomes for the test and drug, as detailed </w:t>
      </w:r>
      <w:r w:rsidR="00056B55">
        <w:rPr>
          <w:i/>
          <w:iCs/>
        </w:rPr>
        <w:t>below:</w:t>
      </w:r>
    </w:p>
    <w:p w14:paraId="32C3EC47" w14:textId="63FC96D7" w:rsidR="003905FD" w:rsidRPr="00056B55" w:rsidRDefault="003905FD" w:rsidP="00193D79">
      <w:pPr>
        <w:spacing w:after="120"/>
        <w:rPr>
          <w:b/>
          <w:iCs/>
          <w:color w:val="00B0F0"/>
          <w:sz w:val="26"/>
          <w:szCs w:val="26"/>
          <w:u w:val="single"/>
        </w:rPr>
      </w:pPr>
      <w:r w:rsidRPr="00056B55">
        <w:rPr>
          <w:b/>
          <w:iCs/>
          <w:color w:val="00B0F0"/>
          <w:sz w:val="26"/>
          <w:szCs w:val="26"/>
          <w:u w:val="single"/>
        </w:rPr>
        <w:t>Test outcomes</w:t>
      </w:r>
    </w:p>
    <w:p w14:paraId="011F2154" w14:textId="5AF637B4" w:rsidR="003905FD" w:rsidRDefault="003905FD" w:rsidP="00322881">
      <w:pPr>
        <w:spacing w:after="100"/>
        <w:rPr>
          <w:i/>
          <w:iCs/>
        </w:rPr>
      </w:pPr>
      <w:r>
        <w:rPr>
          <w:i/>
          <w:iCs/>
        </w:rPr>
        <w:t>Effectiveness:</w:t>
      </w:r>
    </w:p>
    <w:p w14:paraId="317921D1" w14:textId="46116761" w:rsidR="003905FD" w:rsidRPr="00284332" w:rsidRDefault="003905FD" w:rsidP="00284332">
      <w:pPr>
        <w:pStyle w:val="ListParagraph"/>
        <w:numPr>
          <w:ilvl w:val="0"/>
          <w:numId w:val="12"/>
        </w:numPr>
        <w:spacing w:after="0"/>
        <w:ind w:left="336"/>
        <w:rPr>
          <w:u w:val="single"/>
        </w:rPr>
      </w:pPr>
      <w:r>
        <w:t>Impact on clinical management</w:t>
      </w:r>
    </w:p>
    <w:p w14:paraId="46926378" w14:textId="16516FC8" w:rsidR="003905FD" w:rsidRDefault="003905FD" w:rsidP="00322881">
      <w:pPr>
        <w:spacing w:before="160" w:after="100"/>
        <w:rPr>
          <w:i/>
          <w:iCs/>
        </w:rPr>
      </w:pPr>
      <w:r>
        <w:rPr>
          <w:i/>
          <w:iCs/>
        </w:rPr>
        <w:t>Safety:</w:t>
      </w:r>
    </w:p>
    <w:p w14:paraId="78FECD07" w14:textId="2337CA48" w:rsidR="003905FD" w:rsidRPr="001D5CEF" w:rsidRDefault="003905FD" w:rsidP="003351E7">
      <w:pPr>
        <w:pStyle w:val="ListParagraph"/>
        <w:numPr>
          <w:ilvl w:val="0"/>
          <w:numId w:val="11"/>
        </w:numPr>
        <w:spacing w:after="0"/>
        <w:ind w:left="336"/>
        <w:rPr>
          <w:u w:val="single"/>
        </w:rPr>
      </w:pPr>
      <w:r>
        <w:t>Adverse events from obtaining a sample (biopsy/re-biopsy) for testing</w:t>
      </w:r>
    </w:p>
    <w:p w14:paraId="620C8EF6" w14:textId="77777777" w:rsidR="003905FD" w:rsidRPr="000C4279" w:rsidRDefault="003905FD" w:rsidP="003351E7">
      <w:pPr>
        <w:pStyle w:val="ListParagraph"/>
        <w:numPr>
          <w:ilvl w:val="0"/>
          <w:numId w:val="11"/>
        </w:numPr>
        <w:spacing w:after="0"/>
        <w:ind w:left="336"/>
        <w:rPr>
          <w:u w:val="single"/>
        </w:rPr>
      </w:pPr>
      <w:r>
        <w:t>Psychological effects of false positives or false negatives</w:t>
      </w:r>
    </w:p>
    <w:p w14:paraId="2A48D14E" w14:textId="69A39A95" w:rsidR="003905FD" w:rsidRPr="00284332" w:rsidRDefault="003905FD" w:rsidP="00284332">
      <w:pPr>
        <w:pStyle w:val="ListParagraph"/>
        <w:numPr>
          <w:ilvl w:val="0"/>
          <w:numId w:val="11"/>
        </w:numPr>
        <w:spacing w:after="0"/>
        <w:ind w:left="336"/>
        <w:rPr>
          <w:u w:val="single"/>
        </w:rPr>
      </w:pPr>
      <w:r>
        <w:t>Adverse events from false positives or false negatives</w:t>
      </w:r>
    </w:p>
    <w:p w14:paraId="14D08DE9" w14:textId="684211FB" w:rsidR="003905FD" w:rsidRDefault="003905FD" w:rsidP="00322881">
      <w:pPr>
        <w:spacing w:before="160" w:after="120"/>
        <w:rPr>
          <w:i/>
          <w:iCs/>
        </w:rPr>
      </w:pPr>
      <w:r>
        <w:rPr>
          <w:i/>
          <w:iCs/>
        </w:rPr>
        <w:t>Analytical validity</w:t>
      </w:r>
      <w:r>
        <w:rPr>
          <w:rStyle w:val="FootnoteReference"/>
          <w:i/>
          <w:iCs/>
        </w:rPr>
        <w:footnoteReference w:id="1"/>
      </w:r>
      <w:r w:rsidRPr="003905FD">
        <w:rPr>
          <w:i/>
          <w:iCs/>
          <w:vertAlign w:val="superscript"/>
        </w:rPr>
        <w:t>,</w:t>
      </w:r>
      <w:r>
        <w:rPr>
          <w:rStyle w:val="EndnoteReference"/>
          <w:i/>
          <w:iCs/>
        </w:rPr>
        <w:endnoteReference w:id="29"/>
      </w:r>
      <w:r>
        <w:rPr>
          <w:i/>
          <w:iCs/>
        </w:rPr>
        <w:t>:</w:t>
      </w:r>
    </w:p>
    <w:p w14:paraId="1FE0ED27" w14:textId="77777777" w:rsidR="003905FD" w:rsidRPr="00253F4E" w:rsidRDefault="003905FD" w:rsidP="003351E7">
      <w:pPr>
        <w:pStyle w:val="ListParagraph"/>
        <w:numPr>
          <w:ilvl w:val="0"/>
          <w:numId w:val="13"/>
        </w:numPr>
        <w:spacing w:after="0"/>
        <w:ind w:left="336"/>
        <w:rPr>
          <w:u w:val="single"/>
        </w:rPr>
      </w:pPr>
      <w:r>
        <w:t>Analytical sensitivity and specificity</w:t>
      </w:r>
    </w:p>
    <w:p w14:paraId="2B3D14CA" w14:textId="61534B8B" w:rsidR="003905FD" w:rsidRPr="00253F4E" w:rsidRDefault="003905FD" w:rsidP="003351E7">
      <w:pPr>
        <w:pStyle w:val="ListParagraph"/>
        <w:numPr>
          <w:ilvl w:val="0"/>
          <w:numId w:val="13"/>
        </w:numPr>
        <w:spacing w:after="0"/>
        <w:ind w:left="336"/>
        <w:rPr>
          <w:u w:val="single"/>
        </w:rPr>
      </w:pPr>
      <w:r>
        <w:t>Likelihood ratios</w:t>
      </w:r>
    </w:p>
    <w:p w14:paraId="278C7462" w14:textId="731F32AA" w:rsidR="003905FD" w:rsidRPr="00563ABB" w:rsidRDefault="003905FD" w:rsidP="00563ABB">
      <w:pPr>
        <w:pStyle w:val="ListParagraph"/>
        <w:numPr>
          <w:ilvl w:val="0"/>
          <w:numId w:val="13"/>
        </w:numPr>
        <w:spacing w:after="0"/>
        <w:ind w:left="336"/>
        <w:rPr>
          <w:u w:val="single"/>
        </w:rPr>
      </w:pPr>
      <w:r>
        <w:t>Rate of repeat testing</w:t>
      </w:r>
    </w:p>
    <w:p w14:paraId="3CE9BC9C" w14:textId="77777777" w:rsidR="003905FD" w:rsidRDefault="003905FD" w:rsidP="00322881">
      <w:pPr>
        <w:spacing w:before="160" w:after="120"/>
        <w:rPr>
          <w:i/>
          <w:iCs/>
        </w:rPr>
      </w:pPr>
      <w:r>
        <w:rPr>
          <w:i/>
          <w:iCs/>
        </w:rPr>
        <w:t>Clinical validity</w:t>
      </w:r>
      <w:r>
        <w:rPr>
          <w:rStyle w:val="EndnoteReference"/>
          <w:i/>
          <w:iCs/>
        </w:rPr>
        <w:endnoteReference w:id="30"/>
      </w:r>
      <w:r>
        <w:rPr>
          <w:i/>
          <w:iCs/>
        </w:rPr>
        <w:t>:</w:t>
      </w:r>
    </w:p>
    <w:p w14:paraId="6DF57221" w14:textId="03554848" w:rsidR="003905FD" w:rsidRPr="00E94F76" w:rsidRDefault="003905FD" w:rsidP="00D420DB">
      <w:pPr>
        <w:pStyle w:val="ListParagraph"/>
        <w:numPr>
          <w:ilvl w:val="0"/>
          <w:numId w:val="14"/>
        </w:numPr>
        <w:spacing w:after="0"/>
        <w:ind w:left="336"/>
        <w:rPr>
          <w:u w:val="single"/>
        </w:rPr>
      </w:pPr>
      <w:r>
        <w:t>Clinical specificity and sensitivity</w:t>
      </w:r>
    </w:p>
    <w:p w14:paraId="6299AF5F" w14:textId="5A8635DB" w:rsidR="003905FD" w:rsidRDefault="003905FD" w:rsidP="00E94F76">
      <w:pPr>
        <w:pStyle w:val="ListParagraph"/>
        <w:numPr>
          <w:ilvl w:val="0"/>
          <w:numId w:val="14"/>
        </w:numPr>
        <w:spacing w:after="0"/>
        <w:ind w:left="336"/>
      </w:pPr>
      <w:r>
        <w:t>Positive and negative predictive values</w:t>
      </w:r>
    </w:p>
    <w:p w14:paraId="1B06D33E" w14:textId="436C1958" w:rsidR="003905FD" w:rsidRPr="00E94F76" w:rsidRDefault="003905FD" w:rsidP="00322881">
      <w:pPr>
        <w:spacing w:before="160" w:after="120"/>
        <w:ind w:left="-24"/>
        <w:rPr>
          <w:i/>
        </w:rPr>
      </w:pPr>
      <w:r w:rsidRPr="00E94F76">
        <w:rPr>
          <w:i/>
        </w:rPr>
        <w:t>Clinical utility:</w:t>
      </w:r>
    </w:p>
    <w:p w14:paraId="25151CC9" w14:textId="1C60F7E8" w:rsidR="003905FD" w:rsidRDefault="00CB48BD" w:rsidP="00E94F76">
      <w:pPr>
        <w:pStyle w:val="ListParagraph"/>
        <w:numPr>
          <w:ilvl w:val="0"/>
          <w:numId w:val="31"/>
        </w:numPr>
        <w:spacing w:after="0"/>
        <w:ind w:left="357" w:hanging="357"/>
      </w:pPr>
      <w:r>
        <w:t xml:space="preserve">Prognostic effect of </w:t>
      </w:r>
      <w:r w:rsidRPr="00CB48BD">
        <w:rPr>
          <w:i/>
        </w:rPr>
        <w:t xml:space="preserve">NTRK </w:t>
      </w:r>
      <w:r w:rsidR="003905FD" w:rsidRPr="00AA7EEE">
        <w:t>fusion in patients with locally advanced or metastatic solid tumours.</w:t>
      </w:r>
    </w:p>
    <w:p w14:paraId="105C5067" w14:textId="56581B95" w:rsidR="003905FD" w:rsidRDefault="003905FD" w:rsidP="00E94F76">
      <w:pPr>
        <w:pStyle w:val="ListParagraph"/>
        <w:numPr>
          <w:ilvl w:val="0"/>
          <w:numId w:val="31"/>
        </w:numPr>
        <w:spacing w:after="0"/>
        <w:ind w:left="357" w:hanging="357"/>
      </w:pPr>
      <w:r w:rsidRPr="00AA7EEE">
        <w:t>Treatment effect modification of larotrectinib in patients with locally advanc</w:t>
      </w:r>
      <w:r w:rsidR="00CB48BD">
        <w:t xml:space="preserve">ed or metastatic confirmed </w:t>
      </w:r>
      <w:r w:rsidR="00CB48BD" w:rsidRPr="00CB48BD">
        <w:rPr>
          <w:i/>
        </w:rPr>
        <w:t>NTRK</w:t>
      </w:r>
      <w:r w:rsidR="00CB48BD">
        <w:t xml:space="preserve"> </w:t>
      </w:r>
      <w:r w:rsidRPr="00AA7EEE">
        <w:t xml:space="preserve">fusion solid tumours.  </w:t>
      </w:r>
    </w:p>
    <w:p w14:paraId="61FA1693" w14:textId="77777777" w:rsidR="003905FD" w:rsidRDefault="003905FD" w:rsidP="00322881">
      <w:pPr>
        <w:spacing w:before="160" w:after="120"/>
        <w:rPr>
          <w:i/>
          <w:iCs/>
        </w:rPr>
      </w:pPr>
      <w:r>
        <w:rPr>
          <w:i/>
          <w:iCs/>
        </w:rPr>
        <w:t>Healthcare resource use:</w:t>
      </w:r>
    </w:p>
    <w:p w14:paraId="5240EE87" w14:textId="77777777" w:rsidR="003905FD" w:rsidRPr="00140666" w:rsidRDefault="003905FD" w:rsidP="00DD348C">
      <w:pPr>
        <w:pStyle w:val="ListParagraph"/>
        <w:numPr>
          <w:ilvl w:val="0"/>
          <w:numId w:val="15"/>
        </w:numPr>
        <w:spacing w:after="0"/>
        <w:ind w:left="336"/>
        <w:rPr>
          <w:u w:val="single"/>
        </w:rPr>
      </w:pPr>
      <w:r>
        <w:t>Number of, and cost associated with molecular testing (FISH/RNA-NGS)</w:t>
      </w:r>
    </w:p>
    <w:p w14:paraId="01FD001D" w14:textId="311CFD11" w:rsidR="003905FD" w:rsidRPr="00284332" w:rsidRDefault="003905FD" w:rsidP="00284332">
      <w:pPr>
        <w:pStyle w:val="ListParagraph"/>
        <w:numPr>
          <w:ilvl w:val="0"/>
          <w:numId w:val="15"/>
        </w:numPr>
        <w:spacing w:after="0"/>
        <w:ind w:left="336"/>
        <w:rPr>
          <w:u w:val="single"/>
        </w:rPr>
      </w:pPr>
      <w:r>
        <w:t>Number of, and cost associated with obtaining appropriate tissue via biopsy/re-biopsy</w:t>
      </w:r>
    </w:p>
    <w:p w14:paraId="68894CFE" w14:textId="0A6236BA" w:rsidR="003905FD" w:rsidRPr="00056B55" w:rsidRDefault="003905FD" w:rsidP="007D56AD">
      <w:pPr>
        <w:spacing w:before="120" w:after="120"/>
        <w:rPr>
          <w:b/>
          <w:color w:val="00B0F0"/>
          <w:sz w:val="26"/>
          <w:szCs w:val="26"/>
          <w:u w:val="single"/>
        </w:rPr>
      </w:pPr>
      <w:r w:rsidRPr="00056B55">
        <w:rPr>
          <w:b/>
          <w:color w:val="00B0F0"/>
          <w:sz w:val="26"/>
          <w:szCs w:val="26"/>
          <w:u w:val="single"/>
        </w:rPr>
        <w:t>Drug outcomes</w:t>
      </w:r>
    </w:p>
    <w:p w14:paraId="0352C50D" w14:textId="5E5301CE" w:rsidR="003905FD" w:rsidRDefault="003905FD" w:rsidP="00193D79">
      <w:pPr>
        <w:spacing w:after="120"/>
        <w:rPr>
          <w:i/>
          <w:iCs/>
        </w:rPr>
      </w:pPr>
      <w:r>
        <w:rPr>
          <w:i/>
          <w:iCs/>
        </w:rPr>
        <w:t>Effectiveness:</w:t>
      </w:r>
    </w:p>
    <w:p w14:paraId="16061243" w14:textId="77777777" w:rsidR="003905FD" w:rsidRPr="00C0242A" w:rsidRDefault="003905FD" w:rsidP="00DF6945">
      <w:pPr>
        <w:pStyle w:val="ListParagraph"/>
        <w:numPr>
          <w:ilvl w:val="0"/>
          <w:numId w:val="12"/>
        </w:numPr>
        <w:spacing w:after="0"/>
        <w:ind w:left="336"/>
        <w:rPr>
          <w:u w:val="single"/>
        </w:rPr>
      </w:pPr>
      <w:r>
        <w:t>Disease-free and/or overall survival</w:t>
      </w:r>
    </w:p>
    <w:p w14:paraId="01F7468C" w14:textId="77777777" w:rsidR="003905FD" w:rsidRPr="00C0242A" w:rsidRDefault="003905FD" w:rsidP="00DF6945">
      <w:pPr>
        <w:pStyle w:val="ListParagraph"/>
        <w:numPr>
          <w:ilvl w:val="0"/>
          <w:numId w:val="12"/>
        </w:numPr>
        <w:spacing w:after="0"/>
        <w:ind w:left="336"/>
        <w:rPr>
          <w:u w:val="single"/>
        </w:rPr>
      </w:pPr>
      <w:r>
        <w:t>Disease progression</w:t>
      </w:r>
    </w:p>
    <w:p w14:paraId="065A10CD" w14:textId="77777777" w:rsidR="003905FD" w:rsidRPr="000A63E3" w:rsidRDefault="003905FD" w:rsidP="00DF6945">
      <w:pPr>
        <w:pStyle w:val="ListParagraph"/>
        <w:numPr>
          <w:ilvl w:val="0"/>
          <w:numId w:val="12"/>
        </w:numPr>
        <w:spacing w:after="0"/>
        <w:ind w:left="336"/>
        <w:rPr>
          <w:u w:val="single"/>
        </w:rPr>
      </w:pPr>
      <w:r>
        <w:t>Disease-related mortality</w:t>
      </w:r>
    </w:p>
    <w:p w14:paraId="484334D5" w14:textId="77777777" w:rsidR="003905FD" w:rsidRPr="00165B3B" w:rsidRDefault="003905FD" w:rsidP="00DF6945">
      <w:pPr>
        <w:pStyle w:val="ListParagraph"/>
        <w:numPr>
          <w:ilvl w:val="0"/>
          <w:numId w:val="12"/>
        </w:numPr>
        <w:spacing w:after="0"/>
        <w:ind w:left="336"/>
        <w:rPr>
          <w:u w:val="single"/>
        </w:rPr>
      </w:pPr>
      <w:r>
        <w:t>Incidence of metastases</w:t>
      </w:r>
    </w:p>
    <w:p w14:paraId="554EAE3A" w14:textId="77777777" w:rsidR="003905FD" w:rsidRPr="00165B3B" w:rsidRDefault="003905FD" w:rsidP="00DF6945">
      <w:pPr>
        <w:pStyle w:val="ListParagraph"/>
        <w:numPr>
          <w:ilvl w:val="0"/>
          <w:numId w:val="12"/>
        </w:numPr>
        <w:spacing w:after="0"/>
        <w:ind w:left="336"/>
        <w:rPr>
          <w:u w:val="single"/>
        </w:rPr>
      </w:pPr>
      <w:r>
        <w:t>Tumour recurrence (relapse/refractory)</w:t>
      </w:r>
    </w:p>
    <w:p w14:paraId="467ED657" w14:textId="77777777" w:rsidR="003905FD" w:rsidRPr="0051764F" w:rsidRDefault="003905FD" w:rsidP="00DF6945">
      <w:pPr>
        <w:pStyle w:val="ListParagraph"/>
        <w:numPr>
          <w:ilvl w:val="0"/>
          <w:numId w:val="12"/>
        </w:numPr>
        <w:spacing w:after="0"/>
        <w:ind w:left="336"/>
        <w:rPr>
          <w:u w:val="single"/>
        </w:rPr>
      </w:pPr>
      <w:r>
        <w:t>Tumour control (regression/remission)</w:t>
      </w:r>
    </w:p>
    <w:p w14:paraId="0699A6F1" w14:textId="3D05985C" w:rsidR="003905FD" w:rsidRPr="00DF6945" w:rsidRDefault="003905FD" w:rsidP="00F51530">
      <w:pPr>
        <w:pStyle w:val="ListParagraph"/>
        <w:numPr>
          <w:ilvl w:val="0"/>
          <w:numId w:val="12"/>
        </w:numPr>
        <w:spacing w:after="0"/>
        <w:ind w:left="336"/>
        <w:rPr>
          <w:u w:val="single"/>
        </w:rPr>
      </w:pPr>
      <w:r>
        <w:t>Health-related quality of life</w:t>
      </w:r>
    </w:p>
    <w:p w14:paraId="58A9A224" w14:textId="0A85A86E" w:rsidR="003905FD" w:rsidRDefault="003905FD" w:rsidP="00193D79">
      <w:pPr>
        <w:spacing w:before="240" w:after="120"/>
        <w:rPr>
          <w:i/>
          <w:iCs/>
        </w:rPr>
      </w:pPr>
      <w:r>
        <w:rPr>
          <w:i/>
          <w:iCs/>
        </w:rPr>
        <w:lastRenderedPageBreak/>
        <w:t>Safety:</w:t>
      </w:r>
    </w:p>
    <w:p w14:paraId="1E4CE5E8" w14:textId="77777777" w:rsidR="003905FD" w:rsidRPr="00892A8C" w:rsidRDefault="003905FD" w:rsidP="00DF6945">
      <w:pPr>
        <w:pStyle w:val="ListParagraph"/>
        <w:numPr>
          <w:ilvl w:val="0"/>
          <w:numId w:val="11"/>
        </w:numPr>
        <w:spacing w:after="0"/>
        <w:ind w:left="336"/>
        <w:rPr>
          <w:u w:val="single"/>
        </w:rPr>
      </w:pPr>
      <w:r>
        <w:t>Adverse events from larotrectinib</w:t>
      </w:r>
    </w:p>
    <w:p w14:paraId="1FC93A3C" w14:textId="411B2929" w:rsidR="003905FD" w:rsidRPr="00E460D7" w:rsidRDefault="003905FD" w:rsidP="00284332">
      <w:pPr>
        <w:pStyle w:val="ListParagraph"/>
        <w:numPr>
          <w:ilvl w:val="0"/>
          <w:numId w:val="11"/>
        </w:numPr>
        <w:spacing w:before="240" w:after="0"/>
        <w:ind w:left="336"/>
        <w:rPr>
          <w:u w:val="single"/>
        </w:rPr>
      </w:pPr>
      <w:r>
        <w:t>Adverse events from drug interactions</w:t>
      </w:r>
    </w:p>
    <w:p w14:paraId="276D958A" w14:textId="1FFDB61D" w:rsidR="003905FD" w:rsidRPr="007B4591" w:rsidRDefault="003905FD" w:rsidP="00193D79">
      <w:pPr>
        <w:spacing w:before="240" w:after="120"/>
        <w:rPr>
          <w:i/>
          <w:iCs/>
        </w:rPr>
      </w:pPr>
      <w:r w:rsidRPr="007B4591">
        <w:rPr>
          <w:i/>
          <w:iCs/>
        </w:rPr>
        <w:t>Healthcare resource use:</w:t>
      </w:r>
    </w:p>
    <w:p w14:paraId="69997C1E" w14:textId="77777777" w:rsidR="003905FD" w:rsidRPr="005F2316" w:rsidRDefault="003905FD" w:rsidP="006940D4">
      <w:pPr>
        <w:pStyle w:val="ListParagraph"/>
        <w:numPr>
          <w:ilvl w:val="0"/>
          <w:numId w:val="15"/>
        </w:numPr>
        <w:spacing w:after="0"/>
        <w:ind w:left="336"/>
        <w:rPr>
          <w:u w:val="single"/>
        </w:rPr>
      </w:pPr>
      <w:r>
        <w:t>Cost of larotrectinib</w:t>
      </w:r>
    </w:p>
    <w:p w14:paraId="403B7EE3" w14:textId="77777777" w:rsidR="003905FD" w:rsidRPr="00BE31EB" w:rsidRDefault="003905FD" w:rsidP="006940D4">
      <w:pPr>
        <w:pStyle w:val="ListParagraph"/>
        <w:numPr>
          <w:ilvl w:val="0"/>
          <w:numId w:val="15"/>
        </w:numPr>
        <w:spacing w:after="0"/>
        <w:ind w:left="336"/>
        <w:rPr>
          <w:u w:val="single"/>
        </w:rPr>
      </w:pPr>
      <w:r>
        <w:t>Cost offset by reducing number of untargeted therapies</w:t>
      </w:r>
    </w:p>
    <w:p w14:paraId="457FAB32" w14:textId="77777777" w:rsidR="003905FD" w:rsidRPr="002E63C9" w:rsidRDefault="003905FD" w:rsidP="006940D4">
      <w:pPr>
        <w:pStyle w:val="ListParagraph"/>
        <w:numPr>
          <w:ilvl w:val="0"/>
          <w:numId w:val="15"/>
        </w:numPr>
        <w:spacing w:after="0"/>
        <w:ind w:left="336"/>
        <w:rPr>
          <w:u w:val="single"/>
        </w:rPr>
      </w:pPr>
      <w:r>
        <w:t>Cost offset by reducing number of hospitalisations for chemotherapy and/or radiotherapy</w:t>
      </w:r>
    </w:p>
    <w:p w14:paraId="4DD78A1C" w14:textId="77777777" w:rsidR="003905FD" w:rsidRPr="0016193B" w:rsidRDefault="003905FD" w:rsidP="006940D4">
      <w:pPr>
        <w:pStyle w:val="ListParagraph"/>
        <w:numPr>
          <w:ilvl w:val="0"/>
          <w:numId w:val="15"/>
        </w:numPr>
        <w:spacing w:after="0"/>
        <w:ind w:left="336"/>
        <w:rPr>
          <w:u w:val="single"/>
        </w:rPr>
      </w:pPr>
      <w:r>
        <w:t>Specialist visits</w:t>
      </w:r>
    </w:p>
    <w:p w14:paraId="60DA320E" w14:textId="77777777" w:rsidR="003905FD" w:rsidRPr="005F2316" w:rsidRDefault="003905FD" w:rsidP="006940D4">
      <w:pPr>
        <w:pStyle w:val="ListParagraph"/>
        <w:numPr>
          <w:ilvl w:val="0"/>
          <w:numId w:val="15"/>
        </w:numPr>
        <w:spacing w:after="0"/>
        <w:ind w:left="336"/>
        <w:rPr>
          <w:u w:val="single"/>
        </w:rPr>
      </w:pPr>
      <w:r>
        <w:t>Patient monitoring during treatment</w:t>
      </w:r>
    </w:p>
    <w:p w14:paraId="2DBF33C8" w14:textId="77777777" w:rsidR="003905FD" w:rsidRPr="0044317E" w:rsidRDefault="003905FD" w:rsidP="006940D4">
      <w:pPr>
        <w:pStyle w:val="ListParagraph"/>
        <w:numPr>
          <w:ilvl w:val="0"/>
          <w:numId w:val="15"/>
        </w:numPr>
        <w:spacing w:after="0"/>
        <w:ind w:left="336"/>
        <w:rPr>
          <w:u w:val="single"/>
        </w:rPr>
      </w:pPr>
      <w:r>
        <w:t>Cost per quality-adjusted life year</w:t>
      </w:r>
    </w:p>
    <w:p w14:paraId="1B323A54" w14:textId="77777777" w:rsidR="003905FD" w:rsidRPr="00B62F1B" w:rsidRDefault="003905FD" w:rsidP="006940D4">
      <w:pPr>
        <w:pStyle w:val="ListParagraph"/>
        <w:numPr>
          <w:ilvl w:val="0"/>
          <w:numId w:val="15"/>
        </w:numPr>
        <w:spacing w:after="0"/>
        <w:ind w:left="336"/>
      </w:pPr>
      <w:r w:rsidRPr="00B62F1B">
        <w:t>Total Australian Government healthcare costs</w:t>
      </w:r>
    </w:p>
    <w:p w14:paraId="30B29116" w14:textId="767AA543" w:rsidR="003905FD" w:rsidRPr="007D56AD" w:rsidRDefault="003905FD" w:rsidP="00056B55">
      <w:pPr>
        <w:pStyle w:val="Heading2"/>
        <w:spacing w:before="160" w:line="240" w:lineRule="auto"/>
        <w:jc w:val="both"/>
        <w:rPr>
          <w:i w:val="0"/>
          <w:color w:val="00B0F0"/>
          <w:sz w:val="28"/>
          <w:szCs w:val="28"/>
        </w:rPr>
      </w:pPr>
      <w:r w:rsidRPr="007D56AD">
        <w:rPr>
          <w:i w:val="0"/>
          <w:color w:val="00B0F0"/>
          <w:sz w:val="28"/>
          <w:szCs w:val="28"/>
        </w:rPr>
        <w:t>CLINICAL MANAGEMENT ALGORITHMS</w:t>
      </w:r>
    </w:p>
    <w:p w14:paraId="7B5F8F96" w14:textId="77777777" w:rsidR="003905FD" w:rsidRPr="00383CAE" w:rsidRDefault="003905FD" w:rsidP="007D2C9F">
      <w:pPr>
        <w:spacing w:after="0"/>
        <w:rPr>
          <w:i/>
          <w:iCs/>
          <w:sz w:val="16"/>
          <w:szCs w:val="16"/>
        </w:rPr>
      </w:pPr>
      <w:r w:rsidRPr="00550FE4">
        <w:rPr>
          <w:i/>
          <w:iCs/>
        </w:rPr>
        <w:t>PASC noted the proposed algorithm appeared to be based on cost, rather than test performance (i.e. additional molecular testing is not proposed to be performed if a negative result is achieved by a single method).</w:t>
      </w:r>
      <w:r w:rsidRPr="00550FE4">
        <w:rPr>
          <w:i/>
          <w:iCs/>
        </w:rPr>
        <w:br/>
      </w:r>
    </w:p>
    <w:p w14:paraId="1C1462AF" w14:textId="77777777" w:rsidR="003905FD" w:rsidRPr="00265FAF" w:rsidRDefault="003905FD" w:rsidP="007D2C9F">
      <w:pPr>
        <w:spacing w:after="0"/>
        <w:rPr>
          <w:i/>
          <w:iCs/>
          <w:sz w:val="16"/>
          <w:szCs w:val="16"/>
        </w:rPr>
      </w:pPr>
      <w:r w:rsidRPr="00550FE4">
        <w:rPr>
          <w:i/>
          <w:iCs/>
        </w:rPr>
        <w:t>PASC advised that including IHC testing for all proposed subpopulations would be beneficial, as it reduces complexity of the algorithm and provides a time-efficient and tissue-efficient technique that may be used for routine screening. As high frequency NTRK gene fusions occur in certain rare adult and paediatric cancers, the addition of IHC testing to the proposed testing algorithm in these subpopulations would only lead to a small increase in patient numbers eligible for IHC testing.</w:t>
      </w:r>
      <w:r w:rsidRPr="00550FE4">
        <w:rPr>
          <w:i/>
          <w:iCs/>
        </w:rPr>
        <w:br/>
      </w:r>
    </w:p>
    <w:p w14:paraId="551A8A59" w14:textId="2BE7E538" w:rsidR="003905FD" w:rsidRDefault="003905FD" w:rsidP="001666E3">
      <w:pPr>
        <w:spacing w:after="0"/>
        <w:rPr>
          <w:i/>
          <w:iCs/>
        </w:rPr>
      </w:pPr>
      <w:r w:rsidRPr="00550FE4">
        <w:rPr>
          <w:i/>
          <w:iCs/>
        </w:rPr>
        <w:t>PASC noted a potential issue will be the substantial overall increase in volume of IHC testing that will occur if the application is recommended. PASC advised that this should be accounted for in the economic evaluation and financial estimates.</w:t>
      </w:r>
    </w:p>
    <w:p w14:paraId="7A51625E" w14:textId="41BC9AB6" w:rsidR="00265FAF" w:rsidRPr="00265FAF" w:rsidRDefault="00265FAF" w:rsidP="001666E3">
      <w:pPr>
        <w:spacing w:after="0"/>
        <w:rPr>
          <w:i/>
          <w:iCs/>
          <w:sz w:val="16"/>
          <w:szCs w:val="16"/>
        </w:rPr>
      </w:pPr>
    </w:p>
    <w:p w14:paraId="0BAAECBA" w14:textId="79452D76" w:rsidR="00160402" w:rsidRPr="007A0A68" w:rsidRDefault="00C571A9" w:rsidP="001666E3">
      <w:pPr>
        <w:spacing w:after="0"/>
        <w:rPr>
          <w:i/>
          <w:iCs/>
        </w:rPr>
      </w:pPr>
      <w:r w:rsidRPr="007A0A68">
        <w:rPr>
          <w:i/>
          <w:iCs/>
        </w:rPr>
        <w:t>Since the PASC meeting, th</w:t>
      </w:r>
      <w:r w:rsidR="00265FAF" w:rsidRPr="007A0A68">
        <w:rPr>
          <w:i/>
          <w:iCs/>
        </w:rPr>
        <w:t>e applicant</w:t>
      </w:r>
      <w:r w:rsidRPr="007A0A68">
        <w:rPr>
          <w:i/>
          <w:iCs/>
        </w:rPr>
        <w:t xml:space="preserve"> raised the following </w:t>
      </w:r>
      <w:r w:rsidR="00160402" w:rsidRPr="007A0A68">
        <w:rPr>
          <w:i/>
          <w:iCs/>
        </w:rPr>
        <w:t>concerns about the algorithms:</w:t>
      </w:r>
    </w:p>
    <w:p w14:paraId="291897F0" w14:textId="788D6EE1" w:rsidR="00C571A9" w:rsidRPr="007A0A68" w:rsidRDefault="00C571A9" w:rsidP="00C571A9">
      <w:pPr>
        <w:numPr>
          <w:ilvl w:val="0"/>
          <w:numId w:val="40"/>
        </w:numPr>
        <w:spacing w:after="0" w:line="240" w:lineRule="auto"/>
        <w:rPr>
          <w:rFonts w:eastAsia="Times New Roman" w:cs="Calibri"/>
          <w:i/>
        </w:rPr>
      </w:pPr>
      <w:r w:rsidRPr="007A0A68">
        <w:rPr>
          <w:rFonts w:eastAsia="Times New Roman" w:cs="Calibri"/>
          <w:i/>
        </w:rPr>
        <w:t xml:space="preserve">The applicant </w:t>
      </w:r>
      <w:r w:rsidR="00195A5F" w:rsidRPr="007A0A68">
        <w:rPr>
          <w:rFonts w:eastAsia="Times New Roman" w:cs="Calibri"/>
          <w:i/>
        </w:rPr>
        <w:t>expressed</w:t>
      </w:r>
      <w:r w:rsidR="00A145AC" w:rsidRPr="007A0A68">
        <w:rPr>
          <w:rFonts w:eastAsia="Times New Roman" w:cs="Calibri"/>
          <w:i/>
        </w:rPr>
        <w:t xml:space="preserve"> </w:t>
      </w:r>
      <w:r w:rsidR="007A0A68">
        <w:rPr>
          <w:rFonts w:eastAsia="Times New Roman" w:cs="Calibri"/>
          <w:i/>
        </w:rPr>
        <w:t>concern</w:t>
      </w:r>
      <w:r w:rsidRPr="007A0A68">
        <w:rPr>
          <w:rFonts w:eastAsia="Times New Roman" w:cs="Calibri"/>
          <w:i/>
        </w:rPr>
        <w:t xml:space="preserve"> about PASC’s comment that </w:t>
      </w:r>
      <w:r w:rsidR="00A145AC" w:rsidRPr="007A0A68">
        <w:rPr>
          <w:rFonts w:eastAsia="Times New Roman" w:cs="Calibri"/>
          <w:i/>
        </w:rPr>
        <w:t>the proposed algorithm appears</w:t>
      </w:r>
      <w:r w:rsidRPr="007A0A68">
        <w:rPr>
          <w:rFonts w:eastAsia="Times New Roman" w:cs="Calibri"/>
          <w:i/>
        </w:rPr>
        <w:t xml:space="preserve"> to be based on cost, rather than test performance. The </w:t>
      </w:r>
      <w:r w:rsidR="00A145AC" w:rsidRPr="007A0A68">
        <w:rPr>
          <w:rFonts w:eastAsia="Times New Roman" w:cs="Calibri"/>
          <w:i/>
        </w:rPr>
        <w:t>applicant state</w:t>
      </w:r>
      <w:r w:rsidR="00195A5F" w:rsidRPr="007A0A68">
        <w:rPr>
          <w:rFonts w:eastAsia="Times New Roman" w:cs="Calibri"/>
          <w:i/>
        </w:rPr>
        <w:t>d that</w:t>
      </w:r>
      <w:r w:rsidR="00A145AC" w:rsidRPr="007A0A68">
        <w:rPr>
          <w:rFonts w:eastAsia="Times New Roman" w:cs="Calibri"/>
          <w:i/>
        </w:rPr>
        <w:t xml:space="preserve"> its original</w:t>
      </w:r>
      <w:r w:rsidRPr="007A0A68">
        <w:rPr>
          <w:rFonts w:eastAsia="Times New Roman" w:cs="Calibri"/>
          <w:i/>
        </w:rPr>
        <w:t xml:space="preserve"> proposed alg</w:t>
      </w:r>
      <w:r w:rsidR="00A145AC" w:rsidRPr="007A0A68">
        <w:rPr>
          <w:rFonts w:eastAsia="Times New Roman" w:cs="Calibri"/>
          <w:i/>
        </w:rPr>
        <w:t xml:space="preserve">orithm was based on the opinions of </w:t>
      </w:r>
      <w:r w:rsidRPr="007A0A68">
        <w:rPr>
          <w:rFonts w:eastAsia="Times New Roman" w:cs="Calibri"/>
          <w:i/>
        </w:rPr>
        <w:t>Australian clinical expert</w:t>
      </w:r>
      <w:r w:rsidR="00A145AC" w:rsidRPr="007A0A68">
        <w:rPr>
          <w:rFonts w:eastAsia="Times New Roman" w:cs="Calibri"/>
          <w:i/>
        </w:rPr>
        <w:t>s</w:t>
      </w:r>
      <w:r w:rsidRPr="007A0A68">
        <w:rPr>
          <w:rFonts w:eastAsia="Times New Roman" w:cs="Calibri"/>
          <w:i/>
        </w:rPr>
        <w:t xml:space="preserve"> (pathologists and oncologists</w:t>
      </w:r>
      <w:r w:rsidR="00A145AC" w:rsidRPr="007A0A68">
        <w:rPr>
          <w:rFonts w:eastAsia="Times New Roman" w:cs="Calibri"/>
          <w:i/>
        </w:rPr>
        <w:t xml:space="preserve">, from </w:t>
      </w:r>
      <w:r w:rsidRPr="007A0A68">
        <w:rPr>
          <w:rFonts w:eastAsia="Times New Roman" w:cs="Calibri"/>
          <w:i/>
        </w:rPr>
        <w:t>two different advisory boards), and was based on categorisation of tumours (into two groups) using the incidence of NTRK gene fusion, according to international guidelines (ESMO and Penault-Llorca F, et al. 2019).</w:t>
      </w:r>
    </w:p>
    <w:p w14:paraId="2F89A8A8" w14:textId="4E4F53E9" w:rsidR="00C571A9" w:rsidRPr="007A0A68" w:rsidRDefault="00C571A9" w:rsidP="00C571A9">
      <w:pPr>
        <w:spacing w:after="0" w:line="240" w:lineRule="auto"/>
        <w:ind w:left="720"/>
        <w:rPr>
          <w:rFonts w:cs="Calibri"/>
          <w:i/>
        </w:rPr>
      </w:pPr>
      <w:r w:rsidRPr="007A0A68">
        <w:rPr>
          <w:rFonts w:cs="Calibri"/>
          <w:i/>
        </w:rPr>
        <w:br/>
      </w:r>
      <w:r w:rsidR="00A145AC" w:rsidRPr="007A0A68">
        <w:rPr>
          <w:rFonts w:cs="Calibri"/>
          <w:i/>
        </w:rPr>
        <w:t>The applicant state</w:t>
      </w:r>
      <w:r w:rsidR="00195A5F" w:rsidRPr="007A0A68">
        <w:rPr>
          <w:rFonts w:cs="Calibri"/>
          <w:i/>
        </w:rPr>
        <w:t>d that</w:t>
      </w:r>
      <w:r w:rsidR="00A145AC" w:rsidRPr="007A0A68">
        <w:rPr>
          <w:rFonts w:cs="Calibri"/>
          <w:i/>
        </w:rPr>
        <w:t xml:space="preserve"> its</w:t>
      </w:r>
      <w:r w:rsidRPr="007A0A68">
        <w:rPr>
          <w:rFonts w:cs="Calibri"/>
          <w:i/>
        </w:rPr>
        <w:t xml:space="preserve"> original test algorithm (for the different sub-populations) was based on the aetiology of tumours, and availability and performance characteristics of each of the tests, to facilitate an optimal testing strategy. </w:t>
      </w:r>
      <w:r w:rsidRPr="007A0A68">
        <w:rPr>
          <w:rFonts w:cs="Calibri"/>
          <w:i/>
        </w:rPr>
        <w:br/>
      </w:r>
    </w:p>
    <w:p w14:paraId="3633C6DD" w14:textId="190A4D7A" w:rsidR="00C571A9" w:rsidRPr="007A0A68" w:rsidRDefault="00C571A9" w:rsidP="00C571A9">
      <w:pPr>
        <w:pStyle w:val="ListParagraph"/>
        <w:rPr>
          <w:i/>
          <w:iCs/>
        </w:rPr>
      </w:pPr>
      <w:r w:rsidRPr="007A0A68">
        <w:rPr>
          <w:i/>
          <w:iCs/>
        </w:rPr>
        <w:t>The appl</w:t>
      </w:r>
      <w:r w:rsidR="00A145AC" w:rsidRPr="007A0A68">
        <w:rPr>
          <w:i/>
          <w:iCs/>
        </w:rPr>
        <w:t xml:space="preserve">icant </w:t>
      </w:r>
      <w:r w:rsidR="00195A5F" w:rsidRPr="007A0A68">
        <w:rPr>
          <w:i/>
          <w:iCs/>
        </w:rPr>
        <w:t>was</w:t>
      </w:r>
      <w:r w:rsidR="00A145AC" w:rsidRPr="007A0A68">
        <w:rPr>
          <w:i/>
          <w:iCs/>
        </w:rPr>
        <w:t xml:space="preserve"> informed that this </w:t>
      </w:r>
      <w:r w:rsidRPr="007A0A68">
        <w:rPr>
          <w:i/>
          <w:iCs/>
        </w:rPr>
        <w:t xml:space="preserve">first issue </w:t>
      </w:r>
      <w:r w:rsidR="00195A5F" w:rsidRPr="007A0A68">
        <w:rPr>
          <w:i/>
          <w:iCs/>
        </w:rPr>
        <w:t xml:space="preserve">need </w:t>
      </w:r>
      <w:r w:rsidRPr="007A0A68">
        <w:rPr>
          <w:i/>
          <w:iCs/>
        </w:rPr>
        <w:t xml:space="preserve">not hinder progression of the assessment, using the PASC-agreed PICO. </w:t>
      </w:r>
    </w:p>
    <w:p w14:paraId="7B60EC7D" w14:textId="3B4B0D60" w:rsidR="00C571A9" w:rsidRPr="007A0A68" w:rsidRDefault="00A145AC" w:rsidP="00C571A9">
      <w:pPr>
        <w:numPr>
          <w:ilvl w:val="0"/>
          <w:numId w:val="40"/>
        </w:numPr>
        <w:spacing w:after="0" w:line="240" w:lineRule="auto"/>
        <w:rPr>
          <w:rFonts w:eastAsia="Times New Roman" w:cs="Calibri"/>
          <w:i/>
        </w:rPr>
      </w:pPr>
      <w:r w:rsidRPr="007A0A68">
        <w:rPr>
          <w:rFonts w:eastAsia="Times New Roman" w:cs="Calibri"/>
          <w:i/>
        </w:rPr>
        <w:t>The applicant disagreed</w:t>
      </w:r>
      <w:r w:rsidR="00C571A9" w:rsidRPr="007A0A68">
        <w:rPr>
          <w:rFonts w:eastAsia="Times New Roman" w:cs="Calibri"/>
          <w:i/>
        </w:rPr>
        <w:t xml:space="preserve"> with</w:t>
      </w:r>
      <w:r w:rsidRPr="007A0A68">
        <w:rPr>
          <w:rFonts w:eastAsia="Times New Roman" w:cs="Calibri"/>
          <w:i/>
        </w:rPr>
        <w:t xml:space="preserve"> </w:t>
      </w:r>
      <w:r w:rsidR="00C571A9" w:rsidRPr="007A0A68">
        <w:rPr>
          <w:rFonts w:eastAsia="Times New Roman" w:cs="Calibri"/>
          <w:i/>
        </w:rPr>
        <w:t>PASC</w:t>
      </w:r>
      <w:r w:rsidRPr="007A0A68">
        <w:rPr>
          <w:rFonts w:eastAsia="Times New Roman" w:cs="Calibri"/>
          <w:i/>
        </w:rPr>
        <w:t>’s</w:t>
      </w:r>
      <w:r w:rsidR="00C571A9" w:rsidRPr="007A0A68">
        <w:rPr>
          <w:rFonts w:eastAsia="Times New Roman" w:cs="Calibri"/>
          <w:i/>
        </w:rPr>
        <w:t xml:space="preserve"> advice: “including IHC testing for all proposed subpopulations would be beneficial, as it reduces complexity of the algorithm and provides a time-efficient and tissue-efficient technique that may be used for routine screening”. </w:t>
      </w:r>
    </w:p>
    <w:p w14:paraId="505D804E" w14:textId="77777777" w:rsidR="00C571A9" w:rsidRPr="007A0A68" w:rsidRDefault="00C571A9" w:rsidP="00C571A9">
      <w:pPr>
        <w:spacing w:after="0" w:line="240" w:lineRule="auto"/>
        <w:rPr>
          <w:rFonts w:cs="Calibri"/>
          <w:i/>
        </w:rPr>
      </w:pPr>
    </w:p>
    <w:p w14:paraId="65E4EA4B" w14:textId="77777777" w:rsidR="0074700A" w:rsidRDefault="00A145AC" w:rsidP="0074700A">
      <w:pPr>
        <w:spacing w:after="0" w:line="240" w:lineRule="auto"/>
        <w:ind w:left="720"/>
        <w:rPr>
          <w:rFonts w:cs="Calibri"/>
          <w:i/>
        </w:rPr>
      </w:pPr>
      <w:r w:rsidRPr="007A0A68">
        <w:rPr>
          <w:rFonts w:cs="Calibri"/>
          <w:i/>
        </w:rPr>
        <w:lastRenderedPageBreak/>
        <w:t>The applicant stated that, f</w:t>
      </w:r>
      <w:r w:rsidR="00C571A9" w:rsidRPr="007A0A68">
        <w:rPr>
          <w:rFonts w:cs="Calibri"/>
          <w:i/>
        </w:rPr>
        <w:t>or</w:t>
      </w:r>
      <w:r w:rsidR="00D32B12">
        <w:rPr>
          <w:rFonts w:cs="Calibri"/>
          <w:i/>
        </w:rPr>
        <w:t xml:space="preserve"> the</w:t>
      </w:r>
      <w:r w:rsidR="00C571A9" w:rsidRPr="007A0A68">
        <w:rPr>
          <w:rFonts w:cs="Calibri"/>
          <w:i/>
        </w:rPr>
        <w:t xml:space="preserve"> “</w:t>
      </w:r>
      <w:r w:rsidR="00D32B12">
        <w:rPr>
          <w:rFonts w:cs="Calibri"/>
          <w:i/>
        </w:rPr>
        <w:t>a</w:t>
      </w:r>
      <w:r w:rsidR="00C571A9" w:rsidRPr="007A0A68">
        <w:rPr>
          <w:rFonts w:cs="Calibri"/>
          <w:i/>
        </w:rPr>
        <w:t>dult and paediatric population with histologically-defined high frequency NTRK gene fusion tumours”</w:t>
      </w:r>
      <w:r w:rsidR="00D32B12">
        <w:rPr>
          <w:rFonts w:cs="Calibri"/>
          <w:i/>
        </w:rPr>
        <w:t>,</w:t>
      </w:r>
      <w:r w:rsidRPr="007A0A68">
        <w:rPr>
          <w:rFonts w:cs="Calibri"/>
          <w:i/>
        </w:rPr>
        <w:t xml:space="preserve"> </w:t>
      </w:r>
      <w:r w:rsidR="00195A5F" w:rsidRPr="007A0A68">
        <w:rPr>
          <w:rFonts w:cs="Calibri"/>
          <w:i/>
        </w:rPr>
        <w:t xml:space="preserve">it had </w:t>
      </w:r>
      <w:r w:rsidR="00C571A9" w:rsidRPr="007A0A68">
        <w:rPr>
          <w:rFonts w:cs="Calibri"/>
          <w:i/>
        </w:rPr>
        <w:t xml:space="preserve">suggested </w:t>
      </w:r>
      <w:r w:rsidRPr="007A0A68">
        <w:rPr>
          <w:rFonts w:cs="Calibri"/>
          <w:i/>
        </w:rPr>
        <w:t>‘</w:t>
      </w:r>
      <w:r w:rsidR="00C571A9" w:rsidRPr="007A0A68">
        <w:rPr>
          <w:rFonts w:cs="Calibri"/>
          <w:i/>
        </w:rPr>
        <w:t>no prior screening tests</w:t>
      </w:r>
      <w:r w:rsidRPr="007A0A68">
        <w:rPr>
          <w:rFonts w:cs="Calibri"/>
          <w:i/>
        </w:rPr>
        <w:t xml:space="preserve">’ and undergoing </w:t>
      </w:r>
      <w:r w:rsidR="00C571A9" w:rsidRPr="007A0A68">
        <w:rPr>
          <w:rFonts w:cs="Calibri"/>
          <w:i/>
        </w:rPr>
        <w:t>either FISH or NGS to identify the presence of oncogenic NTRK gene fusions.</w:t>
      </w:r>
    </w:p>
    <w:p w14:paraId="2E1004C8" w14:textId="3E15D04D" w:rsidR="0074700A" w:rsidRPr="007A0A68" w:rsidRDefault="0074700A" w:rsidP="0074700A">
      <w:pPr>
        <w:spacing w:after="0" w:line="240" w:lineRule="auto"/>
        <w:ind w:left="720"/>
        <w:rPr>
          <w:rFonts w:cs="Calibri"/>
          <w:i/>
        </w:rPr>
      </w:pPr>
      <w:r w:rsidRPr="007A0A68">
        <w:rPr>
          <w:rFonts w:cs="Calibri"/>
          <w:i/>
        </w:rPr>
        <w:t xml:space="preserve"> </w:t>
      </w:r>
    </w:p>
    <w:p w14:paraId="37943B55" w14:textId="5FF8C492" w:rsidR="00C571A9" w:rsidRPr="007A0A68" w:rsidRDefault="00A145AC" w:rsidP="00C571A9">
      <w:pPr>
        <w:spacing w:after="0" w:line="240" w:lineRule="auto"/>
        <w:ind w:left="720"/>
        <w:rPr>
          <w:rFonts w:cs="Calibri"/>
          <w:i/>
        </w:rPr>
      </w:pPr>
      <w:r w:rsidRPr="007A0A68">
        <w:rPr>
          <w:rFonts w:cs="Calibri"/>
          <w:i/>
        </w:rPr>
        <w:t>The applicant claimed that clinical experts support the original</w:t>
      </w:r>
      <w:r w:rsidR="00C571A9" w:rsidRPr="007A0A68">
        <w:rPr>
          <w:rFonts w:cs="Calibri"/>
          <w:i/>
        </w:rPr>
        <w:t xml:space="preserve"> algorithm strategy for rare cancers with high frequency NTRK gene fusion tumours</w:t>
      </w:r>
      <w:r w:rsidRPr="007A0A68">
        <w:rPr>
          <w:rFonts w:cs="Calibri"/>
          <w:i/>
        </w:rPr>
        <w:t xml:space="preserve">, because of the high likelihood of </w:t>
      </w:r>
      <w:r w:rsidR="00C571A9" w:rsidRPr="007A0A68">
        <w:rPr>
          <w:rFonts w:cs="Calibri"/>
          <w:i/>
        </w:rPr>
        <w:t>NTRK fusion</w:t>
      </w:r>
      <w:r w:rsidRPr="007A0A68">
        <w:rPr>
          <w:rFonts w:cs="Calibri"/>
          <w:i/>
        </w:rPr>
        <w:t>,</w:t>
      </w:r>
      <w:r w:rsidR="00C571A9" w:rsidRPr="007A0A68">
        <w:rPr>
          <w:rFonts w:cs="Calibri"/>
          <w:i/>
        </w:rPr>
        <w:t xml:space="preserve"> </w:t>
      </w:r>
      <w:r w:rsidR="00195A5F" w:rsidRPr="007A0A68">
        <w:rPr>
          <w:rFonts w:cs="Calibri"/>
          <w:i/>
        </w:rPr>
        <w:t xml:space="preserve">the benefit of </w:t>
      </w:r>
      <w:r w:rsidR="00C571A9" w:rsidRPr="007A0A68">
        <w:rPr>
          <w:rFonts w:cs="Calibri"/>
          <w:i/>
        </w:rPr>
        <w:t>avoid</w:t>
      </w:r>
      <w:r w:rsidR="00195A5F" w:rsidRPr="007A0A68">
        <w:rPr>
          <w:rFonts w:cs="Calibri"/>
          <w:i/>
        </w:rPr>
        <w:t>ing</w:t>
      </w:r>
      <w:r w:rsidR="00C571A9" w:rsidRPr="007A0A68">
        <w:rPr>
          <w:rFonts w:cs="Calibri"/>
          <w:i/>
        </w:rPr>
        <w:t xml:space="preserve"> IHC false negative </w:t>
      </w:r>
      <w:r w:rsidR="00195A5F" w:rsidRPr="007A0A68">
        <w:rPr>
          <w:rFonts w:cs="Calibri"/>
          <w:i/>
        </w:rPr>
        <w:t xml:space="preserve">results, </w:t>
      </w:r>
      <w:r w:rsidR="00C571A9" w:rsidRPr="007A0A68">
        <w:rPr>
          <w:rFonts w:cs="Calibri"/>
          <w:i/>
        </w:rPr>
        <w:t xml:space="preserve">and </w:t>
      </w:r>
      <w:r w:rsidR="00195A5F" w:rsidRPr="007A0A68">
        <w:rPr>
          <w:rFonts w:cs="Calibri"/>
          <w:i/>
        </w:rPr>
        <w:t xml:space="preserve">better stewardship of </w:t>
      </w:r>
      <w:r w:rsidR="00C571A9" w:rsidRPr="007A0A68">
        <w:rPr>
          <w:rFonts w:cs="Calibri"/>
          <w:i/>
        </w:rPr>
        <w:t xml:space="preserve">tissue scarcity. </w:t>
      </w:r>
      <w:r w:rsidRPr="007A0A68">
        <w:rPr>
          <w:rFonts w:cs="Calibri"/>
          <w:i/>
        </w:rPr>
        <w:br/>
      </w:r>
      <w:r w:rsidRPr="007A0A68">
        <w:rPr>
          <w:rFonts w:cs="Calibri"/>
          <w:i/>
        </w:rPr>
        <w:br/>
        <w:t xml:space="preserve">The applicant </w:t>
      </w:r>
      <w:r w:rsidR="009953A5" w:rsidRPr="007A0A68">
        <w:rPr>
          <w:rFonts w:cs="Calibri"/>
          <w:i/>
        </w:rPr>
        <w:t xml:space="preserve">provided </w:t>
      </w:r>
      <w:r w:rsidRPr="007A0A68">
        <w:rPr>
          <w:rFonts w:cs="Calibri"/>
          <w:i/>
        </w:rPr>
        <w:t xml:space="preserve">expert clinical </w:t>
      </w:r>
      <w:r w:rsidR="009953A5" w:rsidRPr="007A0A68">
        <w:rPr>
          <w:rFonts w:cs="Calibri"/>
          <w:i/>
        </w:rPr>
        <w:t xml:space="preserve">advice from </w:t>
      </w:r>
      <w:r w:rsidR="00195A5F" w:rsidRPr="007A0A68">
        <w:rPr>
          <w:rFonts w:cs="Calibri"/>
          <w:i/>
        </w:rPr>
        <w:t xml:space="preserve">the </w:t>
      </w:r>
      <w:r w:rsidR="009953A5" w:rsidRPr="007A0A68">
        <w:rPr>
          <w:rFonts w:cs="Calibri"/>
          <w:i/>
        </w:rPr>
        <w:t>Peter Mac</w:t>
      </w:r>
      <w:r w:rsidR="00527CD6" w:rsidRPr="007A0A68">
        <w:rPr>
          <w:rFonts w:cs="Calibri"/>
          <w:i/>
        </w:rPr>
        <w:t>Callum Cancer Centre</w:t>
      </w:r>
      <w:r w:rsidR="009953A5" w:rsidRPr="007A0A68">
        <w:rPr>
          <w:rFonts w:cs="Calibri"/>
          <w:i/>
        </w:rPr>
        <w:t xml:space="preserve"> </w:t>
      </w:r>
      <w:r w:rsidR="00195A5F" w:rsidRPr="007A0A68">
        <w:rPr>
          <w:rFonts w:cs="Calibri"/>
          <w:i/>
        </w:rPr>
        <w:t xml:space="preserve">stating </w:t>
      </w:r>
      <w:r w:rsidR="009953A5" w:rsidRPr="007A0A68">
        <w:rPr>
          <w:rFonts w:cs="Calibri"/>
          <w:i/>
        </w:rPr>
        <w:t xml:space="preserve">that an </w:t>
      </w:r>
      <w:r w:rsidR="00C571A9" w:rsidRPr="007A0A68">
        <w:rPr>
          <w:rFonts w:cs="Calibri"/>
          <w:i/>
        </w:rPr>
        <w:t>IHC test is not appropriate</w:t>
      </w:r>
      <w:r w:rsidR="00195A5F" w:rsidRPr="007A0A68">
        <w:rPr>
          <w:rFonts w:cs="Calibri"/>
          <w:i/>
        </w:rPr>
        <w:t xml:space="preserve"> in this sub-population</w:t>
      </w:r>
      <w:r w:rsidR="009953A5" w:rsidRPr="007A0A68">
        <w:rPr>
          <w:rFonts w:cs="Calibri"/>
          <w:i/>
        </w:rPr>
        <w:t>,</w:t>
      </w:r>
      <w:r w:rsidR="00C571A9" w:rsidRPr="007A0A68">
        <w:rPr>
          <w:rFonts w:cs="Calibri"/>
          <w:i/>
        </w:rPr>
        <w:t xml:space="preserve"> an</w:t>
      </w:r>
      <w:r w:rsidR="009953A5" w:rsidRPr="007A0A68">
        <w:rPr>
          <w:rFonts w:cs="Calibri"/>
          <w:i/>
        </w:rPr>
        <w:t>d there is no clinical utility i</w:t>
      </w:r>
      <w:r w:rsidR="00C571A9" w:rsidRPr="007A0A68">
        <w:rPr>
          <w:rFonts w:cs="Calibri"/>
          <w:i/>
        </w:rPr>
        <w:t xml:space="preserve">n </w:t>
      </w:r>
      <w:r w:rsidR="006B748F" w:rsidRPr="007A0A68">
        <w:rPr>
          <w:rFonts w:cs="Calibri"/>
          <w:i/>
        </w:rPr>
        <w:t xml:space="preserve">conducting the </w:t>
      </w:r>
      <w:r w:rsidR="00C571A9" w:rsidRPr="007A0A68">
        <w:rPr>
          <w:rFonts w:cs="Calibri"/>
          <w:i/>
        </w:rPr>
        <w:t xml:space="preserve">extra test. </w:t>
      </w:r>
    </w:p>
    <w:p w14:paraId="4CB4FB14" w14:textId="77777777" w:rsidR="00C571A9" w:rsidRPr="007A0A68" w:rsidRDefault="00C571A9" w:rsidP="00C571A9">
      <w:pPr>
        <w:spacing w:after="0" w:line="240" w:lineRule="auto"/>
        <w:ind w:left="720"/>
        <w:rPr>
          <w:rFonts w:cs="Calibri"/>
          <w:i/>
        </w:rPr>
      </w:pPr>
    </w:p>
    <w:p w14:paraId="5614EC6F" w14:textId="6BEE88A3" w:rsidR="00C571A9" w:rsidRPr="007A0A68" w:rsidRDefault="006113D5" w:rsidP="00C571A9">
      <w:pPr>
        <w:spacing w:after="0" w:line="240" w:lineRule="auto"/>
        <w:ind w:left="720"/>
        <w:rPr>
          <w:rFonts w:cs="Calibri"/>
          <w:i/>
        </w:rPr>
      </w:pPr>
      <w:r w:rsidRPr="007A0A68">
        <w:rPr>
          <w:rFonts w:cs="Calibri"/>
          <w:i/>
        </w:rPr>
        <w:t xml:space="preserve">The applicant requested retention of its original </w:t>
      </w:r>
      <w:r w:rsidR="00C571A9" w:rsidRPr="007A0A68">
        <w:rPr>
          <w:rFonts w:cs="Calibri"/>
          <w:i/>
        </w:rPr>
        <w:t>diagnostic algorithm</w:t>
      </w:r>
      <w:r w:rsidRPr="007A0A68">
        <w:rPr>
          <w:rFonts w:cs="Calibri"/>
          <w:i/>
        </w:rPr>
        <w:t>,</w:t>
      </w:r>
      <w:r w:rsidR="00C571A9" w:rsidRPr="007A0A68">
        <w:rPr>
          <w:rFonts w:cs="Calibri"/>
          <w:i/>
        </w:rPr>
        <w:t xml:space="preserve"> where: </w:t>
      </w:r>
    </w:p>
    <w:p w14:paraId="7BBF33E4" w14:textId="1ECD140E" w:rsidR="00C571A9" w:rsidRPr="007A0A68" w:rsidRDefault="00C571A9" w:rsidP="00C571A9">
      <w:pPr>
        <w:numPr>
          <w:ilvl w:val="1"/>
          <w:numId w:val="40"/>
        </w:numPr>
        <w:spacing w:after="0" w:line="240" w:lineRule="auto"/>
        <w:rPr>
          <w:rFonts w:eastAsia="Times New Roman" w:cs="Calibri"/>
          <w:i/>
        </w:rPr>
      </w:pPr>
      <w:r w:rsidRPr="007A0A68">
        <w:rPr>
          <w:rFonts w:eastAsia="Times New Roman" w:cs="Calibri"/>
          <w:i/>
        </w:rPr>
        <w:t>tumours with hi</w:t>
      </w:r>
      <w:r w:rsidR="006113D5" w:rsidRPr="007A0A68">
        <w:rPr>
          <w:rFonts w:eastAsia="Times New Roman" w:cs="Calibri"/>
          <w:i/>
        </w:rPr>
        <w:t xml:space="preserve">gh frequency NTRK fusion </w:t>
      </w:r>
      <w:r w:rsidRPr="007A0A68">
        <w:rPr>
          <w:rFonts w:eastAsia="Times New Roman" w:cs="Calibri"/>
          <w:i/>
        </w:rPr>
        <w:t>require no prior tests</w:t>
      </w:r>
      <w:r w:rsidR="006113D5" w:rsidRPr="007A0A68">
        <w:rPr>
          <w:rFonts w:eastAsia="Times New Roman" w:cs="Calibri"/>
          <w:i/>
        </w:rPr>
        <w:t>,</w:t>
      </w:r>
      <w:r w:rsidRPr="007A0A68">
        <w:rPr>
          <w:rFonts w:eastAsia="Times New Roman" w:cs="Calibri"/>
          <w:i/>
        </w:rPr>
        <w:t xml:space="preserve"> and </w:t>
      </w:r>
      <w:r w:rsidR="006113D5" w:rsidRPr="007A0A68">
        <w:rPr>
          <w:rFonts w:eastAsia="Times New Roman" w:cs="Calibri"/>
          <w:i/>
        </w:rPr>
        <w:t xml:space="preserve">immediately undergo </w:t>
      </w:r>
      <w:r w:rsidRPr="007A0A68">
        <w:rPr>
          <w:rFonts w:eastAsia="Times New Roman" w:cs="Calibri"/>
          <w:i/>
        </w:rPr>
        <w:t>the “confirmatory test” (FISH/ NGS);</w:t>
      </w:r>
    </w:p>
    <w:p w14:paraId="71369C4C" w14:textId="47F3A4CF" w:rsidR="00C571A9" w:rsidRPr="007A0A68" w:rsidRDefault="00C571A9" w:rsidP="00C571A9">
      <w:pPr>
        <w:numPr>
          <w:ilvl w:val="1"/>
          <w:numId w:val="40"/>
        </w:numPr>
        <w:spacing w:after="0" w:line="240" w:lineRule="auto"/>
        <w:rPr>
          <w:rFonts w:eastAsia="Times New Roman" w:cs="Calibri"/>
          <w:i/>
        </w:rPr>
      </w:pPr>
      <w:r w:rsidRPr="007A0A68">
        <w:rPr>
          <w:rFonts w:eastAsia="Times New Roman" w:cs="Calibri"/>
          <w:i/>
        </w:rPr>
        <w:t>tumours with l</w:t>
      </w:r>
      <w:r w:rsidR="006113D5" w:rsidRPr="007A0A68">
        <w:rPr>
          <w:rFonts w:eastAsia="Times New Roman" w:cs="Calibri"/>
          <w:i/>
        </w:rPr>
        <w:t xml:space="preserve">ow frequency NTRK fusion </w:t>
      </w:r>
      <w:r w:rsidRPr="007A0A68">
        <w:rPr>
          <w:rFonts w:eastAsia="Times New Roman" w:cs="Calibri"/>
          <w:i/>
        </w:rPr>
        <w:t>undergo IHC analysis</w:t>
      </w:r>
      <w:r w:rsidR="006113D5" w:rsidRPr="007A0A68">
        <w:rPr>
          <w:rFonts w:eastAsia="Times New Roman" w:cs="Calibri"/>
          <w:i/>
        </w:rPr>
        <w:t>,</w:t>
      </w:r>
      <w:r w:rsidRPr="007A0A68">
        <w:rPr>
          <w:rFonts w:eastAsia="Times New Roman" w:cs="Calibri"/>
          <w:i/>
        </w:rPr>
        <w:t xml:space="preserve"> and only those with a positive IHC test </w:t>
      </w:r>
      <w:r w:rsidR="006113D5" w:rsidRPr="007A0A68">
        <w:rPr>
          <w:rFonts w:eastAsia="Times New Roman" w:cs="Calibri"/>
          <w:i/>
        </w:rPr>
        <w:t>are</w:t>
      </w:r>
      <w:r w:rsidRPr="007A0A68">
        <w:rPr>
          <w:rFonts w:eastAsia="Times New Roman" w:cs="Calibri"/>
          <w:i/>
        </w:rPr>
        <w:t xml:space="preserve"> referred for FISH or NGS to confirm the presence of NTRK gene fusions.</w:t>
      </w:r>
    </w:p>
    <w:p w14:paraId="5174A581" w14:textId="77777777" w:rsidR="00C571A9" w:rsidRPr="007A0A68" w:rsidRDefault="00C571A9" w:rsidP="00160402">
      <w:pPr>
        <w:spacing w:after="0"/>
        <w:rPr>
          <w:i/>
          <w:iCs/>
        </w:rPr>
      </w:pPr>
    </w:p>
    <w:p w14:paraId="7B8803A4" w14:textId="188B3B4E" w:rsidR="00265FAF" w:rsidRPr="00160402" w:rsidRDefault="00527CD6" w:rsidP="00160402">
      <w:pPr>
        <w:spacing w:after="0"/>
        <w:rPr>
          <w:i/>
          <w:iCs/>
        </w:rPr>
      </w:pPr>
      <w:r w:rsidRPr="007A0A68">
        <w:rPr>
          <w:i/>
          <w:iCs/>
        </w:rPr>
        <w:t>This</w:t>
      </w:r>
      <w:r w:rsidR="00160402" w:rsidRPr="007A0A68">
        <w:rPr>
          <w:i/>
          <w:iCs/>
        </w:rPr>
        <w:t xml:space="preserve"> second issue, while representing a separation of view</w:t>
      </w:r>
      <w:r w:rsidRPr="007A0A68">
        <w:rPr>
          <w:i/>
          <w:iCs/>
        </w:rPr>
        <w:t>s</w:t>
      </w:r>
      <w:r w:rsidR="00160402" w:rsidRPr="007A0A68">
        <w:rPr>
          <w:i/>
          <w:iCs/>
        </w:rPr>
        <w:t xml:space="preserve"> between the applicant and PASC, </w:t>
      </w:r>
      <w:r w:rsidRPr="007A0A68">
        <w:rPr>
          <w:i/>
          <w:iCs/>
        </w:rPr>
        <w:t>should not delay progression of the application. T</w:t>
      </w:r>
      <w:r w:rsidR="00160402" w:rsidRPr="007A0A68">
        <w:rPr>
          <w:i/>
          <w:iCs/>
        </w:rPr>
        <w:t xml:space="preserve">he post-PASC (updated) PICO </w:t>
      </w:r>
      <w:r w:rsidR="006B748F" w:rsidRPr="007A0A68">
        <w:rPr>
          <w:i/>
          <w:iCs/>
        </w:rPr>
        <w:t>accurately</w:t>
      </w:r>
      <w:r w:rsidR="00160402" w:rsidRPr="007A0A68">
        <w:rPr>
          <w:i/>
          <w:iCs/>
        </w:rPr>
        <w:t xml:space="preserve"> reflects </w:t>
      </w:r>
      <w:r w:rsidR="00754687" w:rsidRPr="007A0A68">
        <w:rPr>
          <w:i/>
          <w:iCs/>
        </w:rPr>
        <w:t xml:space="preserve">PASC’s advice. </w:t>
      </w:r>
      <w:r w:rsidR="006113D5" w:rsidRPr="007A0A68">
        <w:rPr>
          <w:i/>
          <w:iCs/>
        </w:rPr>
        <w:t xml:space="preserve">In order to avoid a </w:t>
      </w:r>
      <w:r w:rsidR="00754687" w:rsidRPr="007A0A68">
        <w:rPr>
          <w:i/>
          <w:iCs/>
        </w:rPr>
        <w:t xml:space="preserve">delay </w:t>
      </w:r>
      <w:r w:rsidR="006113D5" w:rsidRPr="007A0A68">
        <w:rPr>
          <w:i/>
          <w:iCs/>
        </w:rPr>
        <w:t xml:space="preserve">in </w:t>
      </w:r>
      <w:r w:rsidR="00754687" w:rsidRPr="007A0A68">
        <w:rPr>
          <w:i/>
          <w:iCs/>
        </w:rPr>
        <w:t xml:space="preserve">the application’s progression, </w:t>
      </w:r>
      <w:r w:rsidR="006B748F" w:rsidRPr="007A0A68">
        <w:rPr>
          <w:i/>
          <w:iCs/>
        </w:rPr>
        <w:t xml:space="preserve">and noting the applicant (and its clinical experts) still support the original algorithm, </w:t>
      </w:r>
      <w:r w:rsidR="00754687" w:rsidRPr="007A0A68">
        <w:rPr>
          <w:i/>
          <w:iCs/>
        </w:rPr>
        <w:t>the Department advised the applicant to raise and address these issues in its assessment report, thereby submitting them to MSAC for consideration.</w:t>
      </w:r>
      <w:r w:rsidR="00265FAF" w:rsidRPr="00160402">
        <w:rPr>
          <w:i/>
          <w:iCs/>
        </w:rPr>
        <w:t xml:space="preserve"> </w:t>
      </w:r>
    </w:p>
    <w:p w14:paraId="2FE76831" w14:textId="77777777" w:rsidR="003905FD" w:rsidRPr="00056B55" w:rsidRDefault="003905FD" w:rsidP="00F21458">
      <w:pPr>
        <w:spacing w:after="0"/>
        <w:rPr>
          <w:sz w:val="14"/>
          <w:szCs w:val="14"/>
        </w:rPr>
      </w:pPr>
    </w:p>
    <w:p w14:paraId="2861C680" w14:textId="334F3118" w:rsidR="003905FD" w:rsidRPr="007D56AD" w:rsidRDefault="003905FD" w:rsidP="00F21458">
      <w:pPr>
        <w:pStyle w:val="Heading2"/>
        <w:spacing w:before="0" w:line="240" w:lineRule="auto"/>
        <w:jc w:val="both"/>
        <w:rPr>
          <w:color w:val="00B0F0"/>
          <w:sz w:val="28"/>
          <w:szCs w:val="28"/>
        </w:rPr>
      </w:pPr>
      <w:r w:rsidRPr="007D56AD">
        <w:rPr>
          <w:color w:val="00B0F0"/>
          <w:sz w:val="28"/>
          <w:szCs w:val="28"/>
        </w:rPr>
        <w:t>Current clinical management algorithm for identified population</w:t>
      </w:r>
    </w:p>
    <w:p w14:paraId="39C31F84" w14:textId="395A5E42" w:rsidR="003905FD" w:rsidRDefault="003905FD" w:rsidP="006C0FDD">
      <w:pPr>
        <w:sectPr w:rsidR="003905FD" w:rsidSect="00737894">
          <w:footnotePr>
            <w:numRestart w:val="eachPage"/>
          </w:footnotePr>
          <w:endnotePr>
            <w:numFmt w:val="decimal"/>
          </w:endnotePr>
          <w:pgSz w:w="11906" w:h="16838"/>
          <w:pgMar w:top="851" w:right="1440" w:bottom="1440" w:left="851" w:header="708" w:footer="708" w:gutter="0"/>
          <w:cols w:space="708"/>
          <w:docGrid w:linePitch="360"/>
        </w:sectPr>
      </w:pPr>
      <w:bookmarkStart w:id="9" w:name="_Ref22131834"/>
      <w:r>
        <w:t xml:space="preserve">Under the current clinical management pathway, patients diagnosed with metastatic or locally advanced solid tumours are treated with chemotherapy or immunotherapy (with or without radiotherapy) or supportive care. </w:t>
      </w:r>
      <w:r>
        <w:fldChar w:fldCharType="begin"/>
      </w:r>
      <w:r>
        <w:instrText xml:space="preserve"> REF _Ref22132248 \h </w:instrText>
      </w:r>
      <w:r>
        <w:fldChar w:fldCharType="separate"/>
      </w:r>
      <w:r w:rsidR="004A0849" w:rsidRPr="00A11E5E">
        <w:rPr>
          <w:rFonts w:asciiTheme="minorHAnsi" w:hAnsiTheme="minorHAnsi" w:cstheme="minorHAnsi"/>
        </w:rPr>
        <w:t xml:space="preserve">Figure </w:t>
      </w:r>
      <w:r w:rsidR="004A0849">
        <w:rPr>
          <w:rFonts w:asciiTheme="minorHAnsi" w:hAnsiTheme="minorHAnsi" w:cstheme="minorHAnsi"/>
          <w:noProof/>
        </w:rPr>
        <w:t>2</w:t>
      </w:r>
      <w:r>
        <w:fldChar w:fldCharType="end"/>
      </w:r>
      <w:r>
        <w:t xml:space="preserve"> presents the current clinical management algorithm for patients with metastatic or locally advanced solid tumours.</w:t>
      </w:r>
    </w:p>
    <w:p w14:paraId="46AA46FD" w14:textId="3A96AB99" w:rsidR="003905FD" w:rsidRDefault="003905FD" w:rsidP="00284332">
      <w:pPr>
        <w:pStyle w:val="Caption"/>
        <w:spacing w:after="240"/>
        <w:rPr>
          <w:rFonts w:asciiTheme="minorHAnsi" w:hAnsiTheme="minorHAnsi" w:cstheme="minorHAnsi"/>
        </w:rPr>
      </w:pPr>
      <w:bookmarkStart w:id="10" w:name="_Ref22132248"/>
      <w:r w:rsidRPr="00A11E5E">
        <w:rPr>
          <w:rFonts w:asciiTheme="minorHAnsi" w:hAnsiTheme="minorHAnsi" w:cstheme="minorHAnsi"/>
        </w:rPr>
        <w:lastRenderedPageBreak/>
        <w:t xml:space="preserve">Figure </w:t>
      </w:r>
      <w:r w:rsidRPr="00A11E5E">
        <w:rPr>
          <w:rFonts w:asciiTheme="minorHAnsi" w:hAnsiTheme="minorHAnsi" w:cstheme="minorHAnsi"/>
          <w:b w:val="0"/>
        </w:rPr>
        <w:fldChar w:fldCharType="begin"/>
      </w:r>
      <w:r w:rsidRPr="00A11E5E">
        <w:rPr>
          <w:rFonts w:asciiTheme="minorHAnsi" w:hAnsiTheme="minorHAnsi" w:cstheme="minorHAnsi"/>
        </w:rPr>
        <w:instrText xml:space="preserve"> SEQ Figure \* ARABIC </w:instrText>
      </w:r>
      <w:r w:rsidRPr="00A11E5E">
        <w:rPr>
          <w:rFonts w:asciiTheme="minorHAnsi" w:hAnsiTheme="minorHAnsi" w:cstheme="minorHAnsi"/>
          <w:b w:val="0"/>
        </w:rPr>
        <w:fldChar w:fldCharType="separate"/>
      </w:r>
      <w:r w:rsidR="004A0849">
        <w:rPr>
          <w:rFonts w:asciiTheme="minorHAnsi" w:hAnsiTheme="minorHAnsi" w:cstheme="minorHAnsi"/>
          <w:noProof/>
        </w:rPr>
        <w:t>2</w:t>
      </w:r>
      <w:r w:rsidRPr="00A11E5E">
        <w:rPr>
          <w:rFonts w:asciiTheme="minorHAnsi" w:hAnsiTheme="minorHAnsi" w:cstheme="minorHAnsi"/>
          <w:b w:val="0"/>
        </w:rPr>
        <w:fldChar w:fldCharType="end"/>
      </w:r>
      <w:bookmarkEnd w:id="9"/>
      <w:bookmarkEnd w:id="10"/>
      <w:r w:rsidRPr="00A11E5E">
        <w:rPr>
          <w:rFonts w:asciiTheme="minorHAnsi" w:hAnsiTheme="minorHAnsi" w:cstheme="minorHAnsi"/>
        </w:rPr>
        <w:t>: Current clinical management algorithm</w:t>
      </w:r>
    </w:p>
    <w:p w14:paraId="76DC082D" w14:textId="69030568" w:rsidR="003905FD" w:rsidRDefault="003905FD">
      <w:pPr>
        <w:rPr>
          <w:rFonts w:eastAsia="MS Gothic"/>
          <w:b/>
          <w:bCs/>
          <w:i/>
          <w:color w:val="548DD4"/>
          <w:szCs w:val="26"/>
          <w:u w:val="single"/>
        </w:rPr>
      </w:pPr>
      <w:r w:rsidRPr="007D7C30">
        <w:rPr>
          <w:noProof/>
          <w:lang w:eastAsia="en-AU"/>
        </w:rPr>
        <w:drawing>
          <wp:inline distT="0" distB="0" distL="0" distR="0" wp14:anchorId="7E6B4B2F" wp14:editId="233A2860">
            <wp:extent cx="7476190" cy="4200000"/>
            <wp:effectExtent l="0" t="0" r="0" b="0"/>
            <wp:docPr id="3" name="Picture 3" descr="Clinical algorith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76190" cy="4200000"/>
                    </a:xfrm>
                    <a:prstGeom prst="rect">
                      <a:avLst/>
                    </a:prstGeom>
                  </pic:spPr>
                </pic:pic>
              </a:graphicData>
            </a:graphic>
          </wp:inline>
        </w:drawing>
      </w:r>
      <w:r>
        <w:rPr>
          <w:rFonts w:eastAsia="MS Gothic"/>
          <w:b/>
          <w:bCs/>
          <w:i/>
          <w:color w:val="548DD4"/>
          <w:szCs w:val="26"/>
          <w:u w:val="single"/>
        </w:rPr>
        <w:br w:type="page"/>
      </w:r>
    </w:p>
    <w:p w14:paraId="53B446BA" w14:textId="75206553" w:rsidR="003905FD" w:rsidRPr="007D56AD" w:rsidRDefault="003905FD" w:rsidP="001666E3">
      <w:pPr>
        <w:spacing w:after="120"/>
        <w:rPr>
          <w:rFonts w:eastAsia="MS Gothic"/>
          <w:b/>
          <w:bCs/>
          <w:i/>
          <w:color w:val="00B0F0"/>
          <w:sz w:val="28"/>
          <w:szCs w:val="28"/>
          <w:u w:val="single"/>
        </w:rPr>
      </w:pPr>
      <w:r w:rsidRPr="007D56AD">
        <w:rPr>
          <w:rFonts w:eastAsia="MS Gothic"/>
          <w:b/>
          <w:bCs/>
          <w:i/>
          <w:color w:val="00B0F0"/>
          <w:sz w:val="28"/>
          <w:szCs w:val="28"/>
          <w:u w:val="single"/>
        </w:rPr>
        <w:lastRenderedPageBreak/>
        <w:t>Proposed clinical management algorithm for identified population</w:t>
      </w:r>
    </w:p>
    <w:p w14:paraId="7C18B96B" w14:textId="76792D93" w:rsidR="003905FD" w:rsidRDefault="003905FD" w:rsidP="00CC7DC8">
      <w:r>
        <w:fldChar w:fldCharType="begin"/>
      </w:r>
      <w:r>
        <w:instrText xml:space="preserve"> REF _Ref22131837 \h </w:instrText>
      </w:r>
      <w:r>
        <w:fldChar w:fldCharType="separate"/>
      </w:r>
      <w:r w:rsidR="004A0849" w:rsidRPr="00A11E5E">
        <w:rPr>
          <w:rFonts w:asciiTheme="minorHAnsi" w:hAnsiTheme="minorHAnsi" w:cstheme="minorHAnsi"/>
        </w:rPr>
        <w:t xml:space="preserve">Figure </w:t>
      </w:r>
      <w:r w:rsidR="004A0849">
        <w:rPr>
          <w:rFonts w:asciiTheme="minorHAnsi" w:hAnsiTheme="minorHAnsi" w:cstheme="minorHAnsi"/>
          <w:noProof/>
        </w:rPr>
        <w:t>3</w:t>
      </w:r>
      <w:r>
        <w:fldChar w:fldCharType="end"/>
      </w:r>
      <w:r>
        <w:t xml:space="preserve"> presents the proposed clinical management algorithm for FISH or RNA-NGS diagnostic testing of gene fusions in patients with metastatic or locally advanced solid tumours. The main difference between the current and proposed clinical algorithm is that FISH or RNA-NGS analysis is used to detect </w:t>
      </w:r>
      <w:r w:rsidRPr="00130197">
        <w:rPr>
          <w:i/>
        </w:rPr>
        <w:t xml:space="preserve">NTRK </w:t>
      </w:r>
      <w:r>
        <w:t xml:space="preserve">gene fusions in patients with locally advanced or metastatic solid tumours. Although both tests could be done </w:t>
      </w:r>
      <w:r w:rsidR="00130197">
        <w:t xml:space="preserve">sequentially, the applicant </w:t>
      </w:r>
      <w:r>
        <w:t>stated that either RNA-</w:t>
      </w:r>
      <w:r w:rsidR="00130197">
        <w:t xml:space="preserve">NGS or FISH will be performed, </w:t>
      </w:r>
      <w:r>
        <w:t xml:space="preserve">which is reflected in the proposed clinical management algorithm and in the MBS </w:t>
      </w:r>
      <w:r w:rsidR="00130197">
        <w:t xml:space="preserve">item </w:t>
      </w:r>
      <w:r>
        <w:t>descriptors. These tests will assess the patient’s eligi</w:t>
      </w:r>
      <w:r w:rsidR="00130197">
        <w:t>bility for targeted treatment (</w:t>
      </w:r>
      <w:r>
        <w:t xml:space="preserve">TRK inhibitor treatment), which might avoid treatment with untargeted chemotherapy, immunotherapy or supportive care. </w:t>
      </w:r>
    </w:p>
    <w:p w14:paraId="45CCBFC4" w14:textId="2CBEF445" w:rsidR="003905FD" w:rsidRDefault="003905FD" w:rsidP="00284332">
      <w:pPr>
        <w:pStyle w:val="Caption"/>
        <w:spacing w:after="240"/>
        <w:rPr>
          <w:rFonts w:asciiTheme="minorHAnsi" w:hAnsiTheme="minorHAnsi" w:cstheme="minorHAnsi"/>
        </w:rPr>
      </w:pPr>
      <w:bookmarkStart w:id="11" w:name="_Ref22131837"/>
      <w:r w:rsidRPr="00A11E5E">
        <w:rPr>
          <w:rFonts w:asciiTheme="minorHAnsi" w:hAnsiTheme="minorHAnsi" w:cstheme="minorHAnsi"/>
        </w:rPr>
        <w:lastRenderedPageBreak/>
        <w:t xml:space="preserve">Figure </w:t>
      </w:r>
      <w:r w:rsidRPr="00A11E5E">
        <w:rPr>
          <w:rFonts w:asciiTheme="minorHAnsi" w:hAnsiTheme="minorHAnsi" w:cstheme="minorHAnsi"/>
        </w:rPr>
        <w:fldChar w:fldCharType="begin"/>
      </w:r>
      <w:r w:rsidRPr="00A11E5E">
        <w:rPr>
          <w:rFonts w:asciiTheme="minorHAnsi" w:hAnsiTheme="minorHAnsi" w:cstheme="minorHAnsi"/>
        </w:rPr>
        <w:instrText xml:space="preserve"> SEQ Figure \* ARABIC </w:instrText>
      </w:r>
      <w:r w:rsidRPr="00A11E5E">
        <w:rPr>
          <w:rFonts w:asciiTheme="minorHAnsi" w:hAnsiTheme="minorHAnsi" w:cstheme="minorHAnsi"/>
        </w:rPr>
        <w:fldChar w:fldCharType="separate"/>
      </w:r>
      <w:r w:rsidR="004A0849">
        <w:rPr>
          <w:rFonts w:asciiTheme="minorHAnsi" w:hAnsiTheme="minorHAnsi" w:cstheme="minorHAnsi"/>
          <w:noProof/>
        </w:rPr>
        <w:t>3</w:t>
      </w:r>
      <w:r w:rsidRPr="00A11E5E">
        <w:rPr>
          <w:rFonts w:asciiTheme="minorHAnsi" w:hAnsiTheme="minorHAnsi" w:cstheme="minorHAnsi"/>
        </w:rPr>
        <w:fldChar w:fldCharType="end"/>
      </w:r>
      <w:bookmarkEnd w:id="11"/>
      <w:r w:rsidRPr="00A11E5E">
        <w:rPr>
          <w:rFonts w:asciiTheme="minorHAnsi" w:hAnsiTheme="minorHAnsi" w:cstheme="minorHAnsi"/>
        </w:rPr>
        <w:t>: Proposed clinical management algorithm</w:t>
      </w:r>
    </w:p>
    <w:p w14:paraId="1B4375D9" w14:textId="5C00D76B" w:rsidR="003905FD" w:rsidRPr="00713DA7" w:rsidRDefault="003905FD" w:rsidP="00713DA7">
      <w:r w:rsidRPr="00181D48">
        <w:rPr>
          <w:noProof/>
          <w:lang w:eastAsia="en-AU"/>
        </w:rPr>
        <w:drawing>
          <wp:inline distT="0" distB="0" distL="0" distR="0" wp14:anchorId="015D5099" wp14:editId="7E11D4BD">
            <wp:extent cx="8580120" cy="5390515"/>
            <wp:effectExtent l="0" t="0" r="0" b="635"/>
            <wp:docPr id="86" name="Picture 86" descr="Proposed algorithm"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586208" cy="5394340"/>
                    </a:xfrm>
                    <a:prstGeom prst="rect">
                      <a:avLst/>
                    </a:prstGeom>
                  </pic:spPr>
                </pic:pic>
              </a:graphicData>
            </a:graphic>
          </wp:inline>
        </w:drawing>
      </w:r>
    </w:p>
    <w:p w14:paraId="35745C05" w14:textId="38FA18C4" w:rsidR="003905FD" w:rsidRPr="00E03127" w:rsidRDefault="003905FD" w:rsidP="00E94F76"/>
    <w:p w14:paraId="2D1282F7" w14:textId="3EC3D87B" w:rsidR="003905FD" w:rsidRPr="003D3D4E" w:rsidRDefault="003905FD" w:rsidP="008969FB">
      <w:pPr>
        <w:rPr>
          <w:lang w:val="en-GB" w:eastAsia="ja-JP"/>
        </w:rPr>
        <w:sectPr w:rsidR="003905FD" w:rsidRPr="003D3D4E" w:rsidSect="00193D79">
          <w:footnotePr>
            <w:numRestart w:val="eachPage"/>
          </w:footnotePr>
          <w:pgSz w:w="16838" w:h="11906" w:orient="landscape"/>
          <w:pgMar w:top="851" w:right="1440" w:bottom="1440" w:left="1440" w:header="708" w:footer="708" w:gutter="0"/>
          <w:cols w:space="708"/>
          <w:docGrid w:linePitch="360"/>
        </w:sectPr>
      </w:pPr>
    </w:p>
    <w:p w14:paraId="0F826E37" w14:textId="2F6AEDBF" w:rsidR="003905FD" w:rsidRPr="007D56AD" w:rsidRDefault="003905FD" w:rsidP="00B449D4">
      <w:pPr>
        <w:pStyle w:val="Heading2"/>
        <w:spacing w:after="180" w:line="240" w:lineRule="auto"/>
        <w:jc w:val="both"/>
        <w:rPr>
          <w:i w:val="0"/>
          <w:color w:val="00B0F0"/>
          <w:sz w:val="28"/>
          <w:szCs w:val="28"/>
        </w:rPr>
      </w:pPr>
      <w:r w:rsidRPr="007D56AD">
        <w:rPr>
          <w:i w:val="0"/>
          <w:color w:val="00B0F0"/>
          <w:sz w:val="28"/>
          <w:szCs w:val="28"/>
        </w:rPr>
        <w:lastRenderedPageBreak/>
        <w:t>PROPOSED ECONOMIC EVALUATION</w:t>
      </w:r>
    </w:p>
    <w:p w14:paraId="56B37BDE" w14:textId="0E176415" w:rsidR="003905FD" w:rsidRDefault="003905FD" w:rsidP="002D593D">
      <w:pPr>
        <w:rPr>
          <w:i/>
          <w:iCs/>
        </w:rPr>
      </w:pPr>
      <w:r w:rsidRPr="0048690A">
        <w:rPr>
          <w:i/>
          <w:iCs/>
        </w:rPr>
        <w:t>PASC confirmed the economic evaluation should be a cost-effectiveness/cost-utility analysis.</w:t>
      </w:r>
    </w:p>
    <w:p w14:paraId="3507C97D" w14:textId="79A72AED" w:rsidR="003905FD" w:rsidRDefault="003905FD" w:rsidP="008C5C8A">
      <w:r>
        <w:t>The a</w:t>
      </w:r>
      <w:r w:rsidRPr="00E94F76">
        <w:t xml:space="preserve">pplicant’s overall clinical claim is that the proposed co-dependent technologies, namely </w:t>
      </w:r>
      <w:r w:rsidRPr="00130197">
        <w:rPr>
          <w:i/>
        </w:rPr>
        <w:t>NTRK</w:t>
      </w:r>
      <w:r w:rsidRPr="00E94F76">
        <w:t>-fusion testing and larotrectinib</w:t>
      </w:r>
      <w:r w:rsidR="00130197">
        <w:t>,</w:t>
      </w:r>
      <w:r w:rsidRPr="00E94F76">
        <w:t xml:space="preserve"> are superior in terms of comparative effectiveness</w:t>
      </w:r>
      <w:r w:rsidR="006C4A07">
        <w:t xml:space="preserve">, compared with </w:t>
      </w:r>
      <w:r w:rsidRPr="00E94F76">
        <w:t xml:space="preserve">the main comparator, </w:t>
      </w:r>
      <w:r w:rsidR="006C4A07">
        <w:t xml:space="preserve">being </w:t>
      </w:r>
      <w:r w:rsidRPr="00E94F76">
        <w:t xml:space="preserve">no testing with SoC treatment in patients with locally advanced or metastatic </w:t>
      </w:r>
      <w:r w:rsidRPr="00130197">
        <w:rPr>
          <w:i/>
        </w:rPr>
        <w:t>NTRK</w:t>
      </w:r>
      <w:r w:rsidRPr="00E94F76">
        <w:t>-fusion solid tumours. Given the claim of clinical superiority, a cost-effectiveness or cost-utility analysis should be presented</w:t>
      </w:r>
      <w:r w:rsidR="00130197">
        <w:t xml:space="preserve"> in the assessment report</w:t>
      </w:r>
      <w:r w:rsidRPr="00E94F76">
        <w:t>.</w:t>
      </w:r>
    </w:p>
    <w:p w14:paraId="236212DC" w14:textId="4031891F" w:rsidR="003905FD" w:rsidRPr="007D56AD" w:rsidRDefault="003905FD" w:rsidP="00F21458">
      <w:pPr>
        <w:spacing w:after="120"/>
        <w:rPr>
          <w:b/>
          <w:i/>
          <w:color w:val="00B0F0"/>
          <w:sz w:val="24"/>
          <w:szCs w:val="24"/>
        </w:rPr>
      </w:pPr>
      <w:r w:rsidRPr="007D56AD">
        <w:rPr>
          <w:b/>
          <w:i/>
          <w:color w:val="00B0F0"/>
          <w:sz w:val="24"/>
          <w:szCs w:val="24"/>
        </w:rPr>
        <w:t>Proposed economic evaluation for</w:t>
      </w:r>
      <w:r w:rsidR="007B4591" w:rsidRPr="007D56AD">
        <w:rPr>
          <w:b/>
          <w:i/>
          <w:color w:val="00B0F0"/>
          <w:sz w:val="24"/>
          <w:szCs w:val="24"/>
        </w:rPr>
        <w:t xml:space="preserve"> the</w:t>
      </w:r>
      <w:r w:rsidRPr="007D56AD">
        <w:rPr>
          <w:b/>
          <w:i/>
          <w:color w:val="00B0F0"/>
          <w:sz w:val="24"/>
          <w:szCs w:val="24"/>
        </w:rPr>
        <w:t xml:space="preserve"> test</w:t>
      </w:r>
    </w:p>
    <w:p w14:paraId="26C31A21" w14:textId="5D0B756E" w:rsidR="003905FD" w:rsidRDefault="003905FD" w:rsidP="008C5C8A">
      <w:r>
        <w:t xml:space="preserve">The clinical claim is that FISH or RNA-NGS testing for </w:t>
      </w:r>
      <w:r w:rsidRPr="00130197">
        <w:rPr>
          <w:i/>
        </w:rPr>
        <w:t>NTRK</w:t>
      </w:r>
      <w:r w:rsidR="00130197">
        <w:t xml:space="preserve"> gene fusions in solid tumours</w:t>
      </w:r>
      <w:r>
        <w:t xml:space="preserve"> is inferior</w:t>
      </w:r>
      <w:r w:rsidR="00130197">
        <w:t xml:space="preserve"> (</w:t>
      </w:r>
      <w:r>
        <w:t>in terms of safety</w:t>
      </w:r>
      <w:r w:rsidR="00130197">
        <w:t>)</w:t>
      </w:r>
      <w:r>
        <w:t xml:space="preserve"> and superior</w:t>
      </w:r>
      <w:r w:rsidR="00130197">
        <w:t xml:space="preserve"> (</w:t>
      </w:r>
      <w:r>
        <w:t>in terms of clinical effectiveness</w:t>
      </w:r>
      <w:r w:rsidR="00130197">
        <w:t>)</w:t>
      </w:r>
      <w:r>
        <w:t xml:space="preserve">, compared to no </w:t>
      </w:r>
      <w:r w:rsidRPr="00130197">
        <w:rPr>
          <w:i/>
        </w:rPr>
        <w:t>NTRK</w:t>
      </w:r>
      <w:r>
        <w:t xml:space="preserve"> gene fusion testing for the proposed population</w:t>
      </w:r>
      <w:r w:rsidR="00130197">
        <w:t>s</w:t>
      </w:r>
      <w:r>
        <w:t>.</w:t>
      </w:r>
    </w:p>
    <w:p w14:paraId="72D681C0" w14:textId="66B19359" w:rsidR="003905FD" w:rsidRDefault="003905FD" w:rsidP="008C5C8A">
      <w:r>
        <w:t xml:space="preserve">According to the </w:t>
      </w:r>
      <w:r w:rsidRPr="00416ECD">
        <w:rPr>
          <w:i/>
          <w:iCs/>
        </w:rPr>
        <w:t>Technical Guidelines for preparing assessment reports for the Medical Services Advisory Committee: Investigative</w:t>
      </w:r>
      <w:r w:rsidRPr="00416ECD">
        <w:t>, the required economic analysis is therefore a cost‐effectiveness and/or cost-utility analysis.</w:t>
      </w:r>
      <w:r>
        <w:t xml:space="preserve"> </w:t>
      </w:r>
      <w:r w:rsidRPr="00416ECD">
        <w:t>This type of analysis will determine the incremental cost per extra unit of health outcome achieved, expressed in quality-adjusted life years (QALYs)</w:t>
      </w:r>
      <w:r w:rsidR="00130197">
        <w:t>,</w:t>
      </w:r>
      <w:r w:rsidRPr="00416ECD">
        <w:t xml:space="preserve"> because of a </w:t>
      </w:r>
      <w:r>
        <w:t xml:space="preserve">claimed </w:t>
      </w:r>
      <w:r w:rsidRPr="00416ECD">
        <w:t xml:space="preserve">reduction in the number of </w:t>
      </w:r>
      <w:r>
        <w:t>people being treated with untargeted chemotherapy and/or radiotherapy.</w:t>
      </w:r>
    </w:p>
    <w:p w14:paraId="692D5CF5" w14:textId="0A48A339" w:rsidR="003905FD" w:rsidRDefault="003905FD" w:rsidP="008C5C8A">
      <w:r>
        <w:t>For the economic evaluation of FISH and RNA-NGS, QALYs should be calculated for each of the endpoint outcomes. If QALYs cannot be calculated, then the measure of effectiveness can be expressed in</w:t>
      </w:r>
      <w:r w:rsidR="00130197">
        <w:t xml:space="preserve"> life years or other outcomes. </w:t>
      </w:r>
      <w:r w:rsidR="00CF3E8A">
        <w:t xml:space="preserve">PASC considered this application was NOT relevant </w:t>
      </w:r>
      <w:r w:rsidR="00CF3E8A" w:rsidRPr="00CF3E8A">
        <w:t xml:space="preserve">for a </w:t>
      </w:r>
      <w:r w:rsidRPr="00CF3E8A">
        <w:t>clinical utility card (CUC)</w:t>
      </w:r>
      <w:r w:rsidR="00CF3E8A" w:rsidRPr="00CF3E8A">
        <w:t xml:space="preserve"> approach.</w:t>
      </w:r>
    </w:p>
    <w:p w14:paraId="0A773070" w14:textId="43D25F52" w:rsidR="003905FD" w:rsidRDefault="003905FD" w:rsidP="008C5C8A">
      <w:r w:rsidRPr="00CF3E8A">
        <w:rPr>
          <w:b/>
        </w:rPr>
        <w:t>Note:</w:t>
      </w:r>
      <w:r>
        <w:t xml:space="preserve"> It is anticipated that there will be a substantial overall increase in the volume of IHC tests if this application is recommended. </w:t>
      </w:r>
    </w:p>
    <w:p w14:paraId="5E0B63CE" w14:textId="4A5B0EEE" w:rsidR="003905FD" w:rsidRPr="007D56AD" w:rsidRDefault="003905FD" w:rsidP="00F21458">
      <w:pPr>
        <w:spacing w:after="120"/>
        <w:rPr>
          <w:b/>
          <w:i/>
          <w:color w:val="00B0F0"/>
          <w:sz w:val="24"/>
          <w:szCs w:val="24"/>
        </w:rPr>
      </w:pPr>
      <w:r w:rsidRPr="007D56AD">
        <w:rPr>
          <w:b/>
          <w:i/>
          <w:color w:val="00B0F0"/>
          <w:sz w:val="24"/>
          <w:szCs w:val="24"/>
        </w:rPr>
        <w:t xml:space="preserve">Proposed economic evaluation for </w:t>
      </w:r>
      <w:r w:rsidR="007B4591" w:rsidRPr="007D56AD">
        <w:rPr>
          <w:b/>
          <w:i/>
          <w:color w:val="00B0F0"/>
          <w:sz w:val="24"/>
          <w:szCs w:val="24"/>
        </w:rPr>
        <w:t xml:space="preserve">the </w:t>
      </w:r>
      <w:r w:rsidRPr="007D56AD">
        <w:rPr>
          <w:b/>
          <w:i/>
          <w:color w:val="00B0F0"/>
          <w:sz w:val="24"/>
          <w:szCs w:val="24"/>
        </w:rPr>
        <w:t>drug</w:t>
      </w:r>
    </w:p>
    <w:p w14:paraId="495B368F" w14:textId="125B8FB9" w:rsidR="003905FD" w:rsidRDefault="003905FD" w:rsidP="008C5C8A">
      <w:r>
        <w:t xml:space="preserve">The clinical claim is that larotrectinib treatment is superior in terms of safety and clinical effectiveness, compared to SoC for patients with locally advanced or metastatic solid tumours caused by </w:t>
      </w:r>
      <w:r w:rsidRPr="007B4591">
        <w:rPr>
          <w:i/>
        </w:rPr>
        <w:t>NTRK</w:t>
      </w:r>
      <w:r>
        <w:t xml:space="preserve"> gene fusions. </w:t>
      </w:r>
    </w:p>
    <w:p w14:paraId="7D9EB6AD" w14:textId="318934BD" w:rsidR="003905FD" w:rsidRPr="007D56AD" w:rsidRDefault="003905FD" w:rsidP="00752491">
      <w:pPr>
        <w:pStyle w:val="Heading2"/>
        <w:spacing w:line="240" w:lineRule="auto"/>
        <w:jc w:val="both"/>
        <w:rPr>
          <w:i w:val="0"/>
          <w:color w:val="00B0F0"/>
          <w:sz w:val="28"/>
          <w:szCs w:val="28"/>
        </w:rPr>
      </w:pPr>
      <w:r w:rsidRPr="007D56AD">
        <w:rPr>
          <w:i w:val="0"/>
          <w:color w:val="00B0F0"/>
          <w:sz w:val="28"/>
          <w:szCs w:val="28"/>
        </w:rPr>
        <w:t>PROPOSED MBS ITEM DESCRIPTOR/S AND MBS FEES</w:t>
      </w:r>
    </w:p>
    <w:p w14:paraId="70734C6C" w14:textId="77777777" w:rsidR="003905FD" w:rsidRPr="007D56AD" w:rsidRDefault="003905FD" w:rsidP="002D593D">
      <w:pPr>
        <w:spacing w:after="0"/>
        <w:rPr>
          <w:i/>
          <w:iCs/>
          <w:sz w:val="16"/>
          <w:szCs w:val="16"/>
        </w:rPr>
      </w:pPr>
      <w:r w:rsidRPr="0048690A">
        <w:rPr>
          <w:i/>
          <w:iCs/>
        </w:rPr>
        <w:t>PASC noted that, if IHC testing is included for both high-frequency and low-frequency subpopulations, the number of proposed MBS items would be reduced to two (one for FISH [Item AAAA] and one for RNA-NGS [Item CCCC]).</w:t>
      </w:r>
      <w:r w:rsidRPr="0048690A">
        <w:rPr>
          <w:i/>
          <w:iCs/>
        </w:rPr>
        <w:br/>
      </w:r>
    </w:p>
    <w:p w14:paraId="1247CBE4" w14:textId="77777777" w:rsidR="003905FD" w:rsidRPr="007D56AD" w:rsidRDefault="003905FD" w:rsidP="002D593D">
      <w:pPr>
        <w:spacing w:after="0"/>
        <w:rPr>
          <w:i/>
          <w:iCs/>
          <w:sz w:val="16"/>
          <w:szCs w:val="16"/>
        </w:rPr>
      </w:pPr>
      <w:r w:rsidRPr="0048690A">
        <w:rPr>
          <w:i/>
          <w:iCs/>
        </w:rPr>
        <w:t>PASC requested the proposed item descriptors be amended to refer to ‘TRK inhibitors’ as a generic term, rather than larotrectinib. The applicant agreed.</w:t>
      </w:r>
      <w:r w:rsidRPr="0048690A">
        <w:rPr>
          <w:i/>
          <w:iCs/>
        </w:rPr>
        <w:br/>
      </w:r>
    </w:p>
    <w:p w14:paraId="676598A8" w14:textId="77777777" w:rsidR="003905FD" w:rsidRPr="001822E3" w:rsidRDefault="003905FD" w:rsidP="002D593D">
      <w:pPr>
        <w:spacing w:after="0"/>
        <w:rPr>
          <w:i/>
          <w:iCs/>
          <w:sz w:val="16"/>
          <w:szCs w:val="16"/>
        </w:rPr>
      </w:pPr>
      <w:r w:rsidRPr="0048690A">
        <w:rPr>
          <w:i/>
          <w:iCs/>
        </w:rPr>
        <w:t>PASC confirmed the proposed MBS fee for FISH, noting it is consistent with similar MBS items.</w:t>
      </w:r>
      <w:r w:rsidRPr="0048690A">
        <w:rPr>
          <w:i/>
          <w:iCs/>
        </w:rPr>
        <w:br/>
      </w:r>
    </w:p>
    <w:p w14:paraId="3F9E5307" w14:textId="77777777" w:rsidR="003905FD" w:rsidRPr="0048690A" w:rsidRDefault="003905FD" w:rsidP="00713DA7">
      <w:pPr>
        <w:spacing w:after="0"/>
        <w:rPr>
          <w:i/>
          <w:iCs/>
        </w:rPr>
      </w:pPr>
      <w:r w:rsidRPr="0048690A">
        <w:rPr>
          <w:i/>
          <w:iCs/>
        </w:rPr>
        <w:t>PASC noted the applicant’s willingness to provide sufficient evidence to justify a higher MBS fee for RNA-NGS.</w:t>
      </w:r>
    </w:p>
    <w:p w14:paraId="538C7D01" w14:textId="77777777" w:rsidR="003905FD" w:rsidRPr="001822E3" w:rsidRDefault="003905FD" w:rsidP="005265CD">
      <w:pPr>
        <w:spacing w:after="0"/>
        <w:rPr>
          <w:sz w:val="16"/>
          <w:szCs w:val="16"/>
        </w:rPr>
      </w:pPr>
    </w:p>
    <w:p w14:paraId="6D2F0F6D" w14:textId="7EA1F4A0" w:rsidR="003905FD" w:rsidRDefault="003905FD" w:rsidP="001822E3">
      <w:pPr>
        <w:spacing w:after="120"/>
        <w:rPr>
          <w:u w:color="FF0000"/>
        </w:rPr>
      </w:pPr>
      <w:r>
        <w:rPr>
          <w:u w:color="FF0000"/>
        </w:rPr>
        <w:t>Two separate MBS items are proposed, one for each test.</w:t>
      </w:r>
    </w:p>
    <w:p w14:paraId="55AE2433" w14:textId="48C5C619" w:rsidR="003905FD" w:rsidRDefault="003905FD" w:rsidP="00CF3BFD">
      <w:pPr>
        <w:pStyle w:val="ListParagraph"/>
        <w:numPr>
          <w:ilvl w:val="0"/>
          <w:numId w:val="28"/>
        </w:numPr>
        <w:rPr>
          <w:u w:color="FF0000"/>
        </w:rPr>
      </w:pPr>
      <w:r>
        <w:rPr>
          <w:u w:color="FF0000"/>
        </w:rPr>
        <w:lastRenderedPageBreak/>
        <w:t xml:space="preserve">One item is for the </w:t>
      </w:r>
      <w:r w:rsidRPr="00B9459E">
        <w:rPr>
          <w:u w:color="FF0000"/>
        </w:rPr>
        <w:t>FISH</w:t>
      </w:r>
      <w:r>
        <w:rPr>
          <w:u w:color="FF0000"/>
        </w:rPr>
        <w:t xml:space="preserve"> test</w:t>
      </w:r>
      <w:r w:rsidRPr="00B9459E">
        <w:rPr>
          <w:u w:color="FF0000"/>
        </w:rPr>
        <w:t xml:space="preserve"> that includes prior IHC testing requirements</w:t>
      </w:r>
      <w:r>
        <w:rPr>
          <w:u w:color="FF0000"/>
        </w:rPr>
        <w:t xml:space="preserve"> (AAAA)</w:t>
      </w:r>
      <w:r w:rsidRPr="00B9459E">
        <w:rPr>
          <w:u w:color="FF0000"/>
        </w:rPr>
        <w:t xml:space="preserve"> </w:t>
      </w:r>
      <w:r>
        <w:rPr>
          <w:u w:color="FF0000"/>
        </w:rPr>
        <w:t xml:space="preserve">[e.g. </w:t>
      </w:r>
      <w:r w:rsidRPr="00B9459E">
        <w:rPr>
          <w:u w:color="FF0000"/>
        </w:rPr>
        <w:t xml:space="preserve">for people with </w:t>
      </w:r>
      <w:r w:rsidRPr="00284332">
        <w:rPr>
          <w:b/>
          <w:i/>
          <w:u w:color="FF0000"/>
        </w:rPr>
        <w:t>low frequency</w:t>
      </w:r>
      <w:r w:rsidRPr="00B9459E">
        <w:rPr>
          <w:u w:color="FF0000"/>
        </w:rPr>
        <w:t xml:space="preserve"> </w:t>
      </w:r>
      <w:r w:rsidRPr="007B4591">
        <w:rPr>
          <w:i/>
          <w:u w:color="FF0000"/>
        </w:rPr>
        <w:t>NTRK</w:t>
      </w:r>
      <w:r w:rsidRPr="00B9459E">
        <w:rPr>
          <w:u w:color="FF0000"/>
        </w:rPr>
        <w:t xml:space="preserve"> gene fusion solid tumours</w:t>
      </w:r>
      <w:r>
        <w:rPr>
          <w:u w:color="FF0000"/>
        </w:rPr>
        <w:t>]</w:t>
      </w:r>
      <w:r w:rsidRPr="00B9459E">
        <w:rPr>
          <w:u w:color="FF0000"/>
        </w:rPr>
        <w:t xml:space="preserve">. </w:t>
      </w:r>
    </w:p>
    <w:p w14:paraId="4798EA09" w14:textId="7011910D" w:rsidR="003905FD" w:rsidRDefault="003905FD" w:rsidP="00CF3BFD">
      <w:pPr>
        <w:pStyle w:val="ListParagraph"/>
        <w:numPr>
          <w:ilvl w:val="0"/>
          <w:numId w:val="28"/>
        </w:numPr>
        <w:rPr>
          <w:u w:color="FF0000"/>
        </w:rPr>
      </w:pPr>
      <w:r>
        <w:rPr>
          <w:u w:color="FF0000"/>
        </w:rPr>
        <w:t xml:space="preserve">The second item is for the RNA-NGS test </w:t>
      </w:r>
      <w:r w:rsidRPr="00B9459E">
        <w:rPr>
          <w:u w:color="FF0000"/>
        </w:rPr>
        <w:t>that includes prior IHC testing requirements</w:t>
      </w:r>
      <w:r>
        <w:rPr>
          <w:u w:color="FF0000"/>
        </w:rPr>
        <w:t xml:space="preserve"> (CCCC) [e.g.</w:t>
      </w:r>
      <w:r w:rsidRPr="00B9459E">
        <w:rPr>
          <w:u w:color="FF0000"/>
        </w:rPr>
        <w:t xml:space="preserve"> for people with </w:t>
      </w:r>
      <w:r w:rsidRPr="00284332">
        <w:rPr>
          <w:b/>
          <w:i/>
          <w:u w:color="FF0000"/>
        </w:rPr>
        <w:t>low frequency</w:t>
      </w:r>
      <w:r w:rsidRPr="00B9459E">
        <w:rPr>
          <w:u w:color="FF0000"/>
        </w:rPr>
        <w:t xml:space="preserve"> </w:t>
      </w:r>
      <w:r w:rsidRPr="007B4591">
        <w:rPr>
          <w:i/>
          <w:u w:color="FF0000"/>
        </w:rPr>
        <w:t>NTRK</w:t>
      </w:r>
      <w:r w:rsidRPr="00B9459E">
        <w:rPr>
          <w:u w:color="FF0000"/>
        </w:rPr>
        <w:t xml:space="preserve"> gene fusion solid tumours</w:t>
      </w:r>
      <w:r>
        <w:rPr>
          <w:u w:color="FF0000"/>
        </w:rPr>
        <w:t>].</w:t>
      </w:r>
    </w:p>
    <w:p w14:paraId="6E6E5730" w14:textId="4F89308D" w:rsidR="003905FD" w:rsidRDefault="003905FD" w:rsidP="001822E3">
      <w:pPr>
        <w:spacing w:after="120"/>
        <w:rPr>
          <w:u w:color="FF0000"/>
        </w:rPr>
      </w:pPr>
      <w:r>
        <w:rPr>
          <w:u w:color="FF0000"/>
        </w:rPr>
        <w:t xml:space="preserve">The current fee for FISH under </w:t>
      </w:r>
      <w:r w:rsidR="00E4321E">
        <w:rPr>
          <w:u w:color="FF0000"/>
        </w:rPr>
        <w:t>the MBS is $400 (i.e. MBS items</w:t>
      </w:r>
      <w:r>
        <w:rPr>
          <w:u w:color="FF0000"/>
        </w:rPr>
        <w:t xml:space="preserve"> 73341 and 73344).</w:t>
      </w:r>
    </w:p>
    <w:p w14:paraId="22CFC9E2" w14:textId="6CF68566" w:rsidR="003905FD" w:rsidRPr="00717F9E" w:rsidRDefault="003905FD" w:rsidP="00E94F76">
      <w:pPr>
        <w:rPr>
          <w:u w:color="FF0000"/>
        </w:rPr>
      </w:pPr>
      <w:r>
        <w:rPr>
          <w:u w:color="FF0000"/>
        </w:rPr>
        <w:t>The two proposed items are:</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3905FD" w:rsidRPr="00DE3D6C" w14:paraId="4B7433B7" w14:textId="77777777" w:rsidTr="00713DA7">
        <w:trPr>
          <w:cantSplit/>
          <w:tblHeader/>
        </w:trPr>
        <w:tc>
          <w:tcPr>
            <w:tcW w:w="9016" w:type="dxa"/>
          </w:tcPr>
          <w:p w14:paraId="5508BE2A" w14:textId="368EC858" w:rsidR="003905FD" w:rsidRPr="00DE3D6C" w:rsidRDefault="003905FD" w:rsidP="0074700A">
            <w:r>
              <w:t>Item AAAA</w:t>
            </w:r>
            <w:r w:rsidR="0074700A">
              <w:tab/>
            </w:r>
            <w:r w:rsidR="0074700A">
              <w:tab/>
            </w:r>
            <w:r w:rsidR="0074700A">
              <w:tab/>
            </w:r>
            <w:r w:rsidR="0074700A">
              <w:tab/>
            </w:r>
            <w:r w:rsidRPr="00DE3D6C">
              <w:t xml:space="preserve">Category </w:t>
            </w:r>
            <w:r>
              <w:t>6</w:t>
            </w:r>
            <w:r w:rsidRPr="003057B0">
              <w:t xml:space="preserve"> </w:t>
            </w:r>
            <w:r>
              <w:t>(Pathology services) – Group P7 Genetics</w:t>
            </w:r>
          </w:p>
        </w:tc>
      </w:tr>
      <w:tr w:rsidR="003905FD" w:rsidRPr="00895BCC" w14:paraId="39634C8B" w14:textId="77777777" w:rsidTr="00713DA7">
        <w:trPr>
          <w:cantSplit/>
          <w:tblHeader/>
        </w:trPr>
        <w:tc>
          <w:tcPr>
            <w:tcW w:w="9016" w:type="dxa"/>
          </w:tcPr>
          <w:p w14:paraId="43F0C0E2" w14:textId="4AA26F5E" w:rsidR="003905FD" w:rsidRDefault="003905FD" w:rsidP="000F4DA6">
            <w:pPr>
              <w:rPr>
                <w:u w:color="FF0000"/>
              </w:rPr>
            </w:pPr>
            <w:r>
              <w:rPr>
                <w:u w:color="FF0000"/>
              </w:rPr>
              <w:t>Fluorescence in-situ hybridisation (FISH) test of tumour tissue from a patient with a low or high frequency locally advanced or metastatic neurotrophic receptor tyrosine kinase (</w:t>
            </w:r>
            <w:r w:rsidRPr="007B4591">
              <w:rPr>
                <w:i/>
                <w:u w:color="FF0000"/>
              </w:rPr>
              <w:t>NRTK)</w:t>
            </w:r>
            <w:r>
              <w:rPr>
                <w:u w:color="FF0000"/>
              </w:rPr>
              <w:t xml:space="preserve"> fusion cancer, with documented evidence of tropomyosin receptor kinase (TRK) A, TRKB or TRKC immunoreactivity by immunohistochemical (IHC) examination, requested by a specialist or consultant physician to determine if requirements relating to </w:t>
            </w:r>
            <w:r w:rsidRPr="007B4591">
              <w:rPr>
                <w:i/>
                <w:u w:color="FF0000"/>
              </w:rPr>
              <w:t xml:space="preserve">NTRK </w:t>
            </w:r>
            <w:r>
              <w:rPr>
                <w:u w:color="FF0000"/>
              </w:rPr>
              <w:t>fusion for</w:t>
            </w:r>
            <w:r w:rsidR="007B4591">
              <w:rPr>
                <w:u w:color="FF0000"/>
              </w:rPr>
              <w:t xml:space="preserve"> access to </w:t>
            </w:r>
            <w:r>
              <w:rPr>
                <w:u w:color="FF0000"/>
              </w:rPr>
              <w:t>TRK inhibitors under the Pharmaceutical Benefits Scheme (PBS) are fulfilled.</w:t>
            </w:r>
          </w:p>
          <w:p w14:paraId="2FA85644" w14:textId="6802416C" w:rsidR="003905FD" w:rsidRDefault="003905FD" w:rsidP="000F4DA6">
            <w:pPr>
              <w:rPr>
                <w:u w:color="FF0000"/>
              </w:rPr>
            </w:pPr>
          </w:p>
          <w:p w14:paraId="3994BA74" w14:textId="47CCAE1A" w:rsidR="003905FD" w:rsidRPr="00895BCC" w:rsidRDefault="003905FD" w:rsidP="000F4DA6">
            <w:pPr>
              <w:rPr>
                <w:u w:color="FF0000"/>
              </w:rPr>
            </w:pPr>
            <w:r>
              <w:rPr>
                <w:u w:color="FF0000"/>
              </w:rPr>
              <w:t>This item cannot be claimed if MBS item BBBB has been claimed for the same patient.</w:t>
            </w:r>
          </w:p>
          <w:p w14:paraId="062469EF" w14:textId="77777777" w:rsidR="003905FD" w:rsidRPr="00895BCC" w:rsidRDefault="003905FD" w:rsidP="00E364F7">
            <w:pPr>
              <w:rPr>
                <w:u w:val="dotted" w:color="FF0000"/>
              </w:rPr>
            </w:pPr>
          </w:p>
          <w:p w14:paraId="3E00A268" w14:textId="40DFCB51" w:rsidR="003905FD" w:rsidRPr="00895BCC" w:rsidRDefault="003905FD" w:rsidP="00E364F7">
            <w:pPr>
              <w:rPr>
                <w:u w:val="dotted" w:color="FF0000"/>
              </w:rPr>
            </w:pPr>
            <w:r w:rsidRPr="001C189F">
              <w:rPr>
                <w:b/>
                <w:bCs/>
                <w:u w:val="dotted" w:color="FF0000"/>
              </w:rPr>
              <w:t>Fee:</w:t>
            </w:r>
            <w:r w:rsidRPr="00895BCC">
              <w:rPr>
                <w:u w:val="dotted" w:color="FF0000"/>
              </w:rPr>
              <w:t xml:space="preserve">  $</w:t>
            </w:r>
            <w:r>
              <w:rPr>
                <w:u w:val="dotted" w:color="FF0000"/>
              </w:rPr>
              <w:t xml:space="preserve">400   </w:t>
            </w:r>
            <w:r w:rsidRPr="001C189F">
              <w:rPr>
                <w:b/>
                <w:bCs/>
                <w:u w:val="dotted" w:color="FF0000"/>
              </w:rPr>
              <w:t>Benefit:</w:t>
            </w:r>
            <w:r>
              <w:rPr>
                <w:u w:val="dotted" w:color="FF0000"/>
              </w:rPr>
              <w:t xml:space="preserve"> 75% = $300    85% = $340</w:t>
            </w:r>
          </w:p>
        </w:tc>
      </w:tr>
    </w:tbl>
    <w:p w14:paraId="65071CAB" w14:textId="77777777" w:rsidR="00E4321E" w:rsidRDefault="003905FD" w:rsidP="00E4321E">
      <w:pPr>
        <w:spacing w:before="240" w:after="120"/>
      </w:pPr>
      <w:r>
        <w:t xml:space="preserve">No MBS fee (and associated benefit) was included by the applicant for RNA-NGS testing. </w:t>
      </w:r>
    </w:p>
    <w:p w14:paraId="7C5D24B0" w14:textId="77777777" w:rsidR="00E4321E" w:rsidRDefault="003905FD" w:rsidP="00E4321E">
      <w:pPr>
        <w:spacing w:before="120"/>
        <w:rPr>
          <w:rFonts w:cs="Calibri"/>
        </w:rPr>
      </w:pPr>
      <w:r>
        <w:t xml:space="preserve">A costing study of </w:t>
      </w:r>
      <w:r w:rsidRPr="00BC1F3F">
        <w:t>RNA-NGS test</w:t>
      </w:r>
      <w:r w:rsidR="00E4321E">
        <w:t>ing</w:t>
      </w:r>
      <w:r w:rsidRPr="00BC1F3F">
        <w:t xml:space="preserve"> </w:t>
      </w:r>
      <w:r>
        <w:t>was identified in a brief literature search</w:t>
      </w:r>
      <w:r w:rsidR="00E4321E">
        <w:t>,</w:t>
      </w:r>
      <w:r>
        <w:t xml:space="preserve"> which was </w:t>
      </w:r>
      <w:r w:rsidR="00E4321E">
        <w:t xml:space="preserve">a French costing </w:t>
      </w:r>
      <w:r w:rsidRPr="00BC1F3F">
        <w:t>study of NGS testing for cancer diagnosis</w:t>
      </w:r>
      <w:r w:rsidR="00E4321E">
        <w:t>,</w:t>
      </w:r>
      <w:r w:rsidRPr="00BC1F3F">
        <w:t xml:space="preserve"> using targeted gene panels. The mean total cost of NGS </w:t>
      </w:r>
      <w:r>
        <w:t>analysis of</w:t>
      </w:r>
      <w:r w:rsidRPr="00BC1F3F">
        <w:t xml:space="preserve"> somatic cell</w:t>
      </w:r>
      <w:r>
        <w:t>s</w:t>
      </w:r>
      <w:r w:rsidRPr="00BC1F3F">
        <w:t xml:space="preserve"> was estimated to be 607</w:t>
      </w:r>
      <w:r w:rsidRPr="00BC1F3F">
        <w:rPr>
          <w:rFonts w:cs="Calibri"/>
        </w:rPr>
        <w:t>€</w:t>
      </w:r>
      <w:r>
        <w:rPr>
          <w:rFonts w:cs="Calibri"/>
        </w:rPr>
        <w:t xml:space="preserve"> </w:t>
      </w:r>
      <w:r w:rsidRPr="00BC1F3F">
        <w:rPr>
          <w:rFonts w:cs="Calibri"/>
        </w:rPr>
        <w:t>±</w:t>
      </w:r>
      <w:r>
        <w:rPr>
          <w:rFonts w:cs="Calibri"/>
        </w:rPr>
        <w:t xml:space="preserve"> </w:t>
      </w:r>
      <w:r w:rsidRPr="00BC1F3F">
        <w:rPr>
          <w:rFonts w:cs="Calibri"/>
        </w:rPr>
        <w:t>207€</w:t>
      </w:r>
      <w:r>
        <w:rPr>
          <w:rStyle w:val="EndnoteReference"/>
          <w:rFonts w:cs="Calibri"/>
          <w:sz w:val="18"/>
          <w:szCs w:val="18"/>
        </w:rPr>
        <w:endnoteReference w:id="31"/>
      </w:r>
      <w:r w:rsidRPr="00BC1F3F">
        <w:rPr>
          <w:rFonts w:cs="Calibri"/>
        </w:rPr>
        <w:t>.</w:t>
      </w:r>
      <w:r w:rsidR="00CA44C2" w:rsidRPr="00BC1F3F">
        <w:rPr>
          <w:rFonts w:cs="Calibri"/>
        </w:rPr>
        <w:t xml:space="preserve"> </w:t>
      </w:r>
      <w:r w:rsidR="00CA44C2">
        <w:rPr>
          <w:rFonts w:cs="Calibri"/>
        </w:rPr>
        <w:t>The conversion rate us</w:t>
      </w:r>
      <w:r w:rsidR="003B2795">
        <w:rPr>
          <w:rFonts w:cs="Calibri"/>
        </w:rPr>
        <w:t>ed for the MBS item estimate is</w:t>
      </w:r>
      <w:r w:rsidR="00CA44C2">
        <w:rPr>
          <w:rFonts w:cs="Calibri"/>
        </w:rPr>
        <w:t xml:space="preserve"> 1€=$1.614 AUD</w:t>
      </w:r>
      <w:r w:rsidR="004B7E09">
        <w:rPr>
          <w:rFonts w:cs="Calibri"/>
        </w:rPr>
        <w:t xml:space="preserve"> (</w:t>
      </w:r>
      <w:r w:rsidR="00E4321E">
        <w:rPr>
          <w:rFonts w:cs="Calibri"/>
        </w:rPr>
        <w:t>as at 4</w:t>
      </w:r>
      <w:r w:rsidR="004B7E09">
        <w:rPr>
          <w:rFonts w:cs="Calibri"/>
        </w:rPr>
        <w:t xml:space="preserve"> November 2019)</w:t>
      </w:r>
      <w:r w:rsidR="00CA44C2">
        <w:rPr>
          <w:rFonts w:cs="Calibri"/>
        </w:rPr>
        <w:t xml:space="preserve">. </w:t>
      </w:r>
    </w:p>
    <w:p w14:paraId="38AF78D5" w14:textId="5E39C994" w:rsidR="00CA44C2" w:rsidRPr="00284332" w:rsidRDefault="00E4321E" w:rsidP="00E4321E">
      <w:pPr>
        <w:spacing w:before="120"/>
        <w:rPr>
          <w:color w:val="000000" w:themeColor="text1"/>
          <w:u w:val="dotted"/>
        </w:rPr>
      </w:pPr>
      <w:r>
        <w:rPr>
          <w:rFonts w:cs="Calibri"/>
        </w:rPr>
        <w:t xml:space="preserve">This suggests </w:t>
      </w:r>
      <w:r w:rsidR="00CA44C2">
        <w:rPr>
          <w:rFonts w:cs="Calibri"/>
        </w:rPr>
        <w:t>a</w:t>
      </w:r>
      <w:r w:rsidR="00BC034B">
        <w:rPr>
          <w:rFonts w:cs="Calibri"/>
        </w:rPr>
        <w:t>n MBS fee for this item</w:t>
      </w:r>
      <w:r w:rsidR="00CA44C2">
        <w:rPr>
          <w:rFonts w:cs="Calibri"/>
        </w:rPr>
        <w:t xml:space="preserve"> could be $980 </w:t>
      </w:r>
      <w:r w:rsidR="004B7E09">
        <w:rPr>
          <w:rFonts w:cs="Calibri"/>
        </w:rPr>
        <w:t>(100%)</w:t>
      </w:r>
      <w:r>
        <w:rPr>
          <w:rFonts w:cs="Calibri"/>
        </w:rPr>
        <w:t>,</w:t>
      </w:r>
      <w:r w:rsidR="004B7E09">
        <w:rPr>
          <w:rFonts w:cs="Calibri"/>
        </w:rPr>
        <w:t xml:space="preserve"> </w:t>
      </w:r>
      <w:r>
        <w:rPr>
          <w:rFonts w:cs="Calibri"/>
        </w:rPr>
        <w:t xml:space="preserve">with a </w:t>
      </w:r>
      <w:r w:rsidR="00CA44C2">
        <w:rPr>
          <w:rFonts w:cs="Calibri"/>
        </w:rPr>
        <w:t xml:space="preserve">75% </w:t>
      </w:r>
      <w:r>
        <w:rPr>
          <w:rFonts w:cs="Calibri"/>
        </w:rPr>
        <w:t xml:space="preserve">(admitted patient) </w:t>
      </w:r>
      <w:r>
        <w:rPr>
          <w:rFonts w:cs="Calibri"/>
          <w:color w:val="000000" w:themeColor="text1"/>
        </w:rPr>
        <w:t xml:space="preserve">benefit of </w:t>
      </w:r>
      <w:r w:rsidR="00CA44C2" w:rsidRPr="00284332">
        <w:rPr>
          <w:rFonts w:cs="Calibri"/>
          <w:color w:val="000000" w:themeColor="text1"/>
        </w:rPr>
        <w:t>$73</w:t>
      </w:r>
      <w:r>
        <w:rPr>
          <w:rFonts w:cs="Calibri"/>
          <w:color w:val="000000" w:themeColor="text1"/>
        </w:rPr>
        <w:t>5, and an</w:t>
      </w:r>
      <w:r w:rsidRPr="00E4321E">
        <w:rPr>
          <w:rFonts w:cs="Calibri"/>
          <w:color w:val="000000" w:themeColor="text1"/>
        </w:rPr>
        <w:t xml:space="preserve"> 85% (non-admitted patient) benefit of $833</w:t>
      </w:r>
      <w:r>
        <w:rPr>
          <w:rFonts w:cs="Calibri"/>
          <w:color w:val="000000" w:themeColor="text1"/>
        </w:rPr>
        <w:t>. However, this 85% benefit amount would be subject to the</w:t>
      </w:r>
      <w:r w:rsidR="00BC034B">
        <w:rPr>
          <w:rFonts w:cs="Calibri"/>
          <w:color w:val="000000" w:themeColor="text1"/>
        </w:rPr>
        <w:t xml:space="preserve"> MBS</w:t>
      </w:r>
      <w:r>
        <w:rPr>
          <w:rFonts w:cs="Calibri"/>
          <w:color w:val="000000" w:themeColor="text1"/>
        </w:rPr>
        <w:t xml:space="preserve"> Greatest Permissible Gap</w:t>
      </w:r>
      <w:r w:rsidR="00ED5360">
        <w:rPr>
          <w:rFonts w:cs="Calibri"/>
          <w:color w:val="000000" w:themeColor="text1"/>
        </w:rPr>
        <w:t xml:space="preserve"> (GPG)</w:t>
      </w:r>
      <w:r>
        <w:rPr>
          <w:rFonts w:cs="Calibri"/>
          <w:color w:val="000000" w:themeColor="text1"/>
        </w:rPr>
        <w:t xml:space="preserve"> rules</w:t>
      </w:r>
      <w:r w:rsidR="00ED5360">
        <w:rPr>
          <w:rFonts w:cs="Calibri"/>
          <w:color w:val="000000" w:themeColor="text1"/>
        </w:rPr>
        <w:t xml:space="preserve">, because </w:t>
      </w:r>
      <w:r>
        <w:rPr>
          <w:rFonts w:cs="Calibri"/>
          <w:color w:val="000000" w:themeColor="text1"/>
        </w:rPr>
        <w:t xml:space="preserve">the </w:t>
      </w:r>
      <w:r w:rsidR="00ED5360">
        <w:rPr>
          <w:rFonts w:cs="Calibri"/>
          <w:color w:val="000000" w:themeColor="text1"/>
        </w:rPr>
        <w:t xml:space="preserve">suggested </w:t>
      </w:r>
      <w:r>
        <w:rPr>
          <w:rFonts w:cs="Calibri"/>
          <w:color w:val="000000" w:themeColor="text1"/>
        </w:rPr>
        <w:t xml:space="preserve">MBS fee </w:t>
      </w:r>
      <w:r w:rsidR="00ED5360">
        <w:rPr>
          <w:rFonts w:cs="Calibri"/>
          <w:color w:val="000000" w:themeColor="text1"/>
        </w:rPr>
        <w:t>is more than $565. From 1 November 2019, the GPG was</w:t>
      </w:r>
      <w:r w:rsidR="00ED5360" w:rsidRPr="00ED5360">
        <w:rPr>
          <w:rFonts w:cs="Calibri"/>
          <w:color w:val="000000" w:themeColor="text1"/>
        </w:rPr>
        <w:t xml:space="preserve"> set at $84.70,</w:t>
      </w:r>
      <w:r w:rsidR="00ED5360">
        <w:rPr>
          <w:rFonts w:cs="Calibri"/>
          <w:color w:val="000000" w:themeColor="text1"/>
        </w:rPr>
        <w:t xml:space="preserve"> which means any</w:t>
      </w:r>
      <w:r w:rsidR="00ED5360" w:rsidRPr="00ED5360">
        <w:rPr>
          <w:rFonts w:cs="Calibri"/>
          <w:color w:val="000000" w:themeColor="text1"/>
        </w:rPr>
        <w:t xml:space="preserve"> out-of-hospital Medicare service</w:t>
      </w:r>
      <w:r w:rsidR="00ED5360">
        <w:rPr>
          <w:rFonts w:cs="Calibri"/>
          <w:color w:val="000000" w:themeColor="text1"/>
        </w:rPr>
        <w:t xml:space="preserve"> which has</w:t>
      </w:r>
      <w:r w:rsidR="00ED5360" w:rsidRPr="00ED5360">
        <w:rPr>
          <w:rFonts w:cs="Calibri"/>
          <w:color w:val="000000" w:themeColor="text1"/>
        </w:rPr>
        <w:t xml:space="preserve"> an MBS fee of $565.00 or more</w:t>
      </w:r>
      <w:r w:rsidR="00ED5360">
        <w:rPr>
          <w:rFonts w:cs="Calibri"/>
          <w:color w:val="000000" w:themeColor="text1"/>
        </w:rPr>
        <w:t>,</w:t>
      </w:r>
      <w:r w:rsidR="00ED5360" w:rsidRPr="00ED5360">
        <w:rPr>
          <w:rFonts w:cs="Calibri"/>
          <w:color w:val="000000" w:themeColor="text1"/>
        </w:rPr>
        <w:t xml:space="preserve"> attract</w:t>
      </w:r>
      <w:r w:rsidR="00ED5360">
        <w:rPr>
          <w:rFonts w:cs="Calibri"/>
          <w:color w:val="000000" w:themeColor="text1"/>
        </w:rPr>
        <w:t>s</w:t>
      </w:r>
      <w:r w:rsidR="00ED5360" w:rsidRPr="00ED5360">
        <w:rPr>
          <w:rFonts w:cs="Calibri"/>
          <w:color w:val="000000" w:themeColor="text1"/>
        </w:rPr>
        <w:t xml:space="preserve"> a benefit that is greater than 85% of the MBS fee</w:t>
      </w:r>
      <w:r w:rsidR="00ED5360">
        <w:rPr>
          <w:rFonts w:cs="Calibri"/>
          <w:color w:val="000000" w:themeColor="text1"/>
        </w:rPr>
        <w:t xml:space="preserve"> (in the case of the suggested RNA-NGS test, it would be $980 minus $84.70, which equals $895.30)</w:t>
      </w:r>
      <w:r w:rsidR="00ED5360" w:rsidRPr="00ED5360">
        <w:rPr>
          <w:rFonts w:cs="Calibri"/>
          <w:color w:val="000000" w:themeColor="text1"/>
        </w:rPr>
        <w:t>. This will need to be clarified and addressed in the assessment report.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EF1651" w:rsidRPr="00DE3D6C" w14:paraId="5A983511" w14:textId="77777777" w:rsidTr="00411C5E">
        <w:trPr>
          <w:cantSplit/>
          <w:tblHeader/>
        </w:trPr>
        <w:tc>
          <w:tcPr>
            <w:tcW w:w="9242" w:type="dxa"/>
          </w:tcPr>
          <w:p w14:paraId="712604EF" w14:textId="2958E586" w:rsidR="00EF1651" w:rsidRPr="00DE3D6C" w:rsidRDefault="00DE10B1" w:rsidP="00411C5E">
            <w:r>
              <w:t>Item</w:t>
            </w:r>
            <w:r w:rsidR="00EF1651">
              <w:t xml:space="preserve"> </w:t>
            </w:r>
            <w:r w:rsidR="00446FA5">
              <w:t>BBBB</w:t>
            </w:r>
            <w:r w:rsidR="00EF1651">
              <w:t xml:space="preserve">                                                </w:t>
            </w:r>
            <w:r w:rsidR="00EF1651" w:rsidRPr="00DE3D6C">
              <w:t xml:space="preserve">Category </w:t>
            </w:r>
            <w:r w:rsidR="00EF1651">
              <w:t>6</w:t>
            </w:r>
            <w:r w:rsidR="00EF1651" w:rsidRPr="003057B0">
              <w:t xml:space="preserve"> </w:t>
            </w:r>
            <w:r w:rsidR="00EF1651">
              <w:t>(Pathology services) – Group P7 Genetics</w:t>
            </w:r>
          </w:p>
        </w:tc>
      </w:tr>
      <w:tr w:rsidR="00EF1651" w:rsidRPr="00284332" w14:paraId="298FE939" w14:textId="77777777" w:rsidTr="00411C5E">
        <w:trPr>
          <w:cantSplit/>
          <w:tblHeader/>
        </w:trPr>
        <w:tc>
          <w:tcPr>
            <w:tcW w:w="9242" w:type="dxa"/>
          </w:tcPr>
          <w:p w14:paraId="1C38AAEA" w14:textId="00CEDBFE" w:rsidR="00EF1651" w:rsidRDefault="00EF1651" w:rsidP="00411C5E">
            <w:pPr>
              <w:rPr>
                <w:u w:color="FF0000"/>
              </w:rPr>
            </w:pPr>
            <w:r w:rsidRPr="006C5253">
              <w:rPr>
                <w:u w:color="FF0000"/>
              </w:rPr>
              <w:t xml:space="preserve">RNA-based next generation sequencing (RNA-NGS) test of tumour tissue from a patient with </w:t>
            </w:r>
            <w:r w:rsidR="002656C3">
              <w:rPr>
                <w:u w:color="FF0000"/>
              </w:rPr>
              <w:t xml:space="preserve"> a </w:t>
            </w:r>
            <w:r w:rsidR="00174529">
              <w:rPr>
                <w:u w:color="FF0000"/>
              </w:rPr>
              <w:t xml:space="preserve">low </w:t>
            </w:r>
            <w:r w:rsidR="00446FA5">
              <w:rPr>
                <w:u w:color="FF0000"/>
              </w:rPr>
              <w:t xml:space="preserve">or high </w:t>
            </w:r>
            <w:r w:rsidR="00174529">
              <w:rPr>
                <w:u w:color="FF0000"/>
              </w:rPr>
              <w:t xml:space="preserve">frequency </w:t>
            </w:r>
            <w:r w:rsidRPr="006C5253">
              <w:rPr>
                <w:u w:color="FF0000"/>
              </w:rPr>
              <w:t xml:space="preserve">locally advanced or metastatic neurotrophic receptor tyrosine kinase </w:t>
            </w:r>
            <w:r w:rsidRPr="007B4591">
              <w:rPr>
                <w:i/>
                <w:u w:color="FF0000"/>
              </w:rPr>
              <w:t>(NRTK)</w:t>
            </w:r>
            <w:r w:rsidRPr="006C5253">
              <w:rPr>
                <w:u w:color="FF0000"/>
              </w:rPr>
              <w:t xml:space="preserve"> fusion cancer, with documented evidence of tropomyosin receptor kinase (TRK) A, TRKB or TRKC immunoreactivity by immunohistochemical (IHC) examination, requested by a specialist or consultant physician to determine if requirements relating to </w:t>
            </w:r>
            <w:r w:rsidRPr="007B4591">
              <w:rPr>
                <w:i/>
                <w:u w:color="FF0000"/>
              </w:rPr>
              <w:t>NTRK</w:t>
            </w:r>
            <w:r w:rsidRPr="006C5253">
              <w:rPr>
                <w:u w:color="FF0000"/>
              </w:rPr>
              <w:t xml:space="preserve"> fusion for access to </w:t>
            </w:r>
            <w:r w:rsidR="00056CCF">
              <w:rPr>
                <w:u w:color="FF0000"/>
              </w:rPr>
              <w:t>TRK inhibitors</w:t>
            </w:r>
            <w:r w:rsidR="00056CCF" w:rsidRPr="006C5253">
              <w:rPr>
                <w:u w:color="FF0000"/>
              </w:rPr>
              <w:t xml:space="preserve"> </w:t>
            </w:r>
            <w:r w:rsidRPr="006C5253">
              <w:rPr>
                <w:u w:color="FF0000"/>
              </w:rPr>
              <w:t>under the Pharmaceutical Benefits Scheme (PBS) are fulfilled.</w:t>
            </w:r>
          </w:p>
          <w:p w14:paraId="4E22E298" w14:textId="4A082C35" w:rsidR="00850C51" w:rsidRDefault="00850C51" w:rsidP="00411C5E">
            <w:pPr>
              <w:rPr>
                <w:u w:color="FF0000"/>
              </w:rPr>
            </w:pPr>
          </w:p>
          <w:p w14:paraId="699D0929" w14:textId="60F500E4" w:rsidR="00850C51" w:rsidRPr="00895BCC" w:rsidRDefault="00850C51" w:rsidP="00850C51">
            <w:pPr>
              <w:rPr>
                <w:u w:color="FF0000"/>
              </w:rPr>
            </w:pPr>
            <w:r>
              <w:rPr>
                <w:u w:color="FF0000"/>
              </w:rPr>
              <w:t>This item cannot be claimed if MBS item AAAA h</w:t>
            </w:r>
            <w:r w:rsidR="007E1866">
              <w:rPr>
                <w:u w:color="FF0000"/>
              </w:rPr>
              <w:t>as</w:t>
            </w:r>
            <w:r>
              <w:rPr>
                <w:u w:color="FF0000"/>
              </w:rPr>
              <w:t xml:space="preserve"> been claimed for the same patient.</w:t>
            </w:r>
          </w:p>
          <w:p w14:paraId="45018F66" w14:textId="63298543" w:rsidR="00EF1651" w:rsidRPr="002433FD" w:rsidRDefault="00EF1651" w:rsidP="00411C5E">
            <w:pPr>
              <w:rPr>
                <w:u w:val="dotted" w:color="FF0000"/>
              </w:rPr>
            </w:pPr>
          </w:p>
          <w:p w14:paraId="67E72554" w14:textId="55E959B3" w:rsidR="00EF1651" w:rsidRPr="006C5253" w:rsidRDefault="00EF1651" w:rsidP="00411C5E">
            <w:pPr>
              <w:rPr>
                <w:u w:val="dotted" w:color="FF0000"/>
              </w:rPr>
            </w:pPr>
            <w:r w:rsidRPr="00284332">
              <w:rPr>
                <w:b/>
                <w:bCs/>
                <w:u w:val="dotted" w:color="FF0000"/>
              </w:rPr>
              <w:t>Fee:</w:t>
            </w:r>
            <w:r w:rsidRPr="00284332">
              <w:rPr>
                <w:u w:val="dotted" w:color="FF0000"/>
              </w:rPr>
              <w:t xml:space="preserve">  $</w:t>
            </w:r>
            <w:r w:rsidR="00EF34D4" w:rsidRPr="00284332">
              <w:rPr>
                <w:u w:val="dotted" w:color="FF0000"/>
              </w:rPr>
              <w:t>TBA</w:t>
            </w:r>
            <w:r w:rsidR="002A34DA">
              <w:rPr>
                <w:u w:val="dotted" w:color="FF0000"/>
              </w:rPr>
              <w:t xml:space="preserve">     </w:t>
            </w:r>
            <w:r w:rsidR="002A34DA" w:rsidRPr="002A34DA">
              <w:rPr>
                <w:b/>
                <w:u w:val="dotted" w:color="FF0000"/>
              </w:rPr>
              <w:t>Benefit</w:t>
            </w:r>
            <w:r w:rsidRPr="002A34DA">
              <w:rPr>
                <w:b/>
                <w:bCs/>
                <w:u w:val="dotted" w:color="FF0000"/>
              </w:rPr>
              <w:t>:</w:t>
            </w:r>
            <w:r w:rsidRPr="00284332">
              <w:rPr>
                <w:u w:val="dotted" w:color="FF0000"/>
              </w:rPr>
              <w:t xml:space="preserve"> 75% = $</w:t>
            </w:r>
            <w:r w:rsidR="00EF34D4" w:rsidRPr="00284332">
              <w:rPr>
                <w:u w:val="dotted" w:color="FF0000"/>
              </w:rPr>
              <w:t xml:space="preserve"> TBA</w:t>
            </w:r>
            <w:r w:rsidR="00136E3A" w:rsidRPr="00284332">
              <w:rPr>
                <w:u w:val="dotted" w:color="FF0000"/>
              </w:rPr>
              <w:t xml:space="preserve">  </w:t>
            </w:r>
            <w:r w:rsidR="002A34DA">
              <w:rPr>
                <w:u w:val="dotted" w:color="FF0000"/>
              </w:rPr>
              <w:t xml:space="preserve">    </w:t>
            </w:r>
            <w:r w:rsidRPr="00284332">
              <w:rPr>
                <w:u w:val="dotted" w:color="FF0000"/>
              </w:rPr>
              <w:t>85% = $</w:t>
            </w:r>
            <w:r w:rsidR="00EF34D4" w:rsidRPr="00284332">
              <w:rPr>
                <w:u w:val="dotted" w:color="FF0000"/>
              </w:rPr>
              <w:t xml:space="preserve"> TBA</w:t>
            </w:r>
          </w:p>
        </w:tc>
      </w:tr>
    </w:tbl>
    <w:p w14:paraId="779513B2" w14:textId="77777777" w:rsidR="00955ED7" w:rsidRPr="001822E3" w:rsidRDefault="00955ED7" w:rsidP="00196BEE">
      <w:pPr>
        <w:spacing w:after="120"/>
        <w:rPr>
          <w:sz w:val="12"/>
          <w:szCs w:val="12"/>
        </w:rPr>
      </w:pPr>
    </w:p>
    <w:p w14:paraId="324C5E40" w14:textId="77777777" w:rsidR="009F7B60" w:rsidRDefault="009F7B60">
      <w:pPr>
        <w:rPr>
          <w:rFonts w:cs="Calibri"/>
          <w:b/>
          <w:noProof/>
          <w:color w:val="0066FF"/>
          <w:sz w:val="28"/>
          <w:szCs w:val="28"/>
          <w:u w:val="single"/>
          <w:lang w:val="en-US"/>
        </w:rPr>
      </w:pPr>
      <w:bookmarkStart w:id="12" w:name="_Ref24974372"/>
      <w:r>
        <w:rPr>
          <w:rFonts w:cs="Calibri"/>
          <w:b/>
          <w:noProof/>
          <w:color w:val="0066FF"/>
          <w:sz w:val="28"/>
          <w:szCs w:val="28"/>
          <w:u w:val="single"/>
          <w:lang w:val="en-US"/>
        </w:rPr>
        <w:br w:type="page"/>
      </w:r>
    </w:p>
    <w:p w14:paraId="62B4B798" w14:textId="0A532202" w:rsidR="00196BEE" w:rsidRPr="007D56AD" w:rsidRDefault="00196BEE" w:rsidP="007D56AD">
      <w:pPr>
        <w:spacing w:after="120" w:line="240" w:lineRule="auto"/>
        <w:rPr>
          <w:rFonts w:cs="Calibri"/>
          <w:b/>
          <w:noProof/>
          <w:color w:val="00B0F0"/>
          <w:sz w:val="28"/>
          <w:szCs w:val="28"/>
          <w:u w:val="single"/>
          <w:lang w:val="en-US"/>
        </w:rPr>
      </w:pPr>
      <w:r w:rsidRPr="007D56AD">
        <w:rPr>
          <w:rFonts w:cs="Calibri"/>
          <w:b/>
          <w:noProof/>
          <w:color w:val="00B0F0"/>
          <w:sz w:val="28"/>
          <w:szCs w:val="28"/>
          <w:u w:val="single"/>
          <w:lang w:val="en-US"/>
        </w:rPr>
        <w:lastRenderedPageBreak/>
        <w:t>CONSULTATION FEEDBACK</w:t>
      </w:r>
    </w:p>
    <w:p w14:paraId="02B58390" w14:textId="22672B1F" w:rsidR="00502550" w:rsidRPr="00713DA7" w:rsidRDefault="00502550" w:rsidP="00713DA7">
      <w:pPr>
        <w:spacing w:after="0"/>
        <w:rPr>
          <w:b/>
          <w:bCs/>
          <w:i/>
          <w:iCs/>
        </w:rPr>
      </w:pPr>
      <w:r w:rsidRPr="00713DA7">
        <w:rPr>
          <w:i/>
        </w:rPr>
        <w:t xml:space="preserve">PASC </w:t>
      </w:r>
      <w:r w:rsidR="00830F56">
        <w:rPr>
          <w:i/>
        </w:rPr>
        <w:t>noted t</w:t>
      </w:r>
      <w:r w:rsidRPr="00713DA7">
        <w:rPr>
          <w:i/>
        </w:rPr>
        <w:t xml:space="preserve">he letters of strong support </w:t>
      </w:r>
      <w:r w:rsidR="00737894">
        <w:rPr>
          <w:i/>
        </w:rPr>
        <w:t xml:space="preserve">received as part of </w:t>
      </w:r>
      <w:r w:rsidRPr="00713DA7">
        <w:rPr>
          <w:i/>
        </w:rPr>
        <w:t>consultation feedback.</w:t>
      </w:r>
    </w:p>
    <w:p w14:paraId="3C7F8246" w14:textId="77777777" w:rsidR="00502550" w:rsidRPr="00B438C0" w:rsidRDefault="00502550" w:rsidP="00196BEE">
      <w:pPr>
        <w:spacing w:after="0"/>
        <w:rPr>
          <w:sz w:val="18"/>
          <w:szCs w:val="18"/>
        </w:rPr>
      </w:pPr>
    </w:p>
    <w:p w14:paraId="1043F3AB" w14:textId="77777777" w:rsidR="00196BEE" w:rsidRPr="007D56AD" w:rsidRDefault="00196BEE" w:rsidP="00196BEE">
      <w:pPr>
        <w:keepNext/>
        <w:keepLines/>
        <w:spacing w:after="120"/>
        <w:outlineLvl w:val="1"/>
        <w:rPr>
          <w:rFonts w:eastAsia="MS Gothic"/>
          <w:b/>
          <w:bCs/>
          <w:color w:val="00B0F0"/>
          <w:sz w:val="28"/>
          <w:szCs w:val="28"/>
          <w:u w:val="single"/>
        </w:rPr>
      </w:pPr>
      <w:r w:rsidRPr="007D56AD">
        <w:rPr>
          <w:rFonts w:eastAsia="MS Gothic"/>
          <w:b/>
          <w:bCs/>
          <w:color w:val="00B0F0"/>
          <w:sz w:val="28"/>
          <w:szCs w:val="28"/>
          <w:u w:val="single"/>
        </w:rPr>
        <w:t>NEXT STEPS</w:t>
      </w:r>
    </w:p>
    <w:p w14:paraId="0AE8AE4B" w14:textId="259EAB6C" w:rsidR="008C22F7" w:rsidRPr="00B438C0" w:rsidRDefault="00A537D2" w:rsidP="00713DA7">
      <w:pPr>
        <w:spacing w:after="0"/>
        <w:contextualSpacing/>
        <w:rPr>
          <w:i/>
          <w:iCs/>
          <w:sz w:val="16"/>
          <w:szCs w:val="16"/>
        </w:rPr>
      </w:pPr>
      <w:r>
        <w:rPr>
          <w:i/>
          <w:iCs/>
        </w:rPr>
        <w:t xml:space="preserve">Upon ratification of </w:t>
      </w:r>
      <w:r w:rsidR="008C22F7" w:rsidRPr="00713DA7">
        <w:rPr>
          <w:i/>
          <w:iCs/>
        </w:rPr>
        <w:t>PICO 1602</w:t>
      </w:r>
      <w:r>
        <w:rPr>
          <w:i/>
          <w:iCs/>
        </w:rPr>
        <w:t xml:space="preserve">, </w:t>
      </w:r>
      <w:r w:rsidR="008C22F7" w:rsidRPr="00713DA7">
        <w:rPr>
          <w:i/>
          <w:iCs/>
        </w:rPr>
        <w:t>the application can PROCEED to the pre-Evaluation Sub-Committee (ESC) stage.</w:t>
      </w:r>
      <w:r w:rsidR="008C22F7" w:rsidRPr="00713DA7">
        <w:rPr>
          <w:i/>
          <w:iCs/>
        </w:rPr>
        <w:br/>
      </w:r>
    </w:p>
    <w:p w14:paraId="1B732DD8" w14:textId="77777777" w:rsidR="008C22F7" w:rsidRPr="00713DA7" w:rsidRDefault="008C22F7" w:rsidP="00713DA7">
      <w:pPr>
        <w:contextualSpacing/>
        <w:rPr>
          <w:i/>
          <w:iCs/>
        </w:rPr>
      </w:pPr>
      <w:r w:rsidRPr="00713DA7">
        <w:rPr>
          <w:i/>
          <w:iCs/>
        </w:rPr>
        <w:t>The applicant has elected to prepare its own ADAR (applicant-developed assessment report).</w:t>
      </w:r>
    </w:p>
    <w:p w14:paraId="4D408F61" w14:textId="01EB03C7" w:rsidR="006D5D1B" w:rsidRDefault="006D5D1B">
      <w:pPr>
        <w:rPr>
          <w:rFonts w:asciiTheme="majorHAnsi" w:eastAsiaTheme="majorEastAsia" w:hAnsiTheme="majorHAnsi" w:cstheme="majorBidi"/>
          <w:b/>
          <w:bCs/>
          <w:color w:val="365F91" w:themeColor="accent1" w:themeShade="BF"/>
          <w:sz w:val="28"/>
          <w:szCs w:val="28"/>
        </w:rPr>
      </w:pPr>
      <w:r>
        <w:br w:type="page"/>
      </w:r>
    </w:p>
    <w:p w14:paraId="11AA9C73" w14:textId="574E54F6" w:rsidR="003567A2" w:rsidRPr="007B4591" w:rsidRDefault="006732E6" w:rsidP="00E94F76">
      <w:pPr>
        <w:pStyle w:val="Heading1"/>
        <w:rPr>
          <w:color w:val="00B0F0"/>
        </w:rPr>
      </w:pPr>
      <w:r w:rsidRPr="007B4591">
        <w:rPr>
          <w:color w:val="00B0F0"/>
        </w:rPr>
        <w:lastRenderedPageBreak/>
        <w:t>App</w:t>
      </w:r>
      <w:r w:rsidR="003567A2" w:rsidRPr="007B4591">
        <w:rPr>
          <w:color w:val="00B0F0"/>
        </w:rPr>
        <w:t>endix A</w:t>
      </w:r>
      <w:bookmarkEnd w:id="12"/>
    </w:p>
    <w:p w14:paraId="4F5FA2CF" w14:textId="6ABCC9DE" w:rsidR="00F308EB" w:rsidRPr="001F2A5C" w:rsidRDefault="00F308EB" w:rsidP="00196BEE">
      <w:pPr>
        <w:spacing w:after="0"/>
        <w:rPr>
          <w:color w:val="FF0000"/>
          <w:u w:val="dotted"/>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F308EB" w:rsidRPr="00284332" w14:paraId="483B8122" w14:textId="77777777" w:rsidTr="00E03127">
        <w:trPr>
          <w:cantSplit/>
          <w:tblHeader/>
        </w:trPr>
        <w:tc>
          <w:tcPr>
            <w:tcW w:w="9242" w:type="dxa"/>
          </w:tcPr>
          <w:p w14:paraId="22F5BC0A" w14:textId="5F2501E6" w:rsidR="00F308EB" w:rsidRPr="00284332" w:rsidRDefault="00DE10B1" w:rsidP="00F308EB">
            <w:r>
              <w:t>Item</w:t>
            </w:r>
            <w:r w:rsidR="00F308EB" w:rsidRPr="00284332">
              <w:t xml:space="preserve"> </w:t>
            </w:r>
            <w:r w:rsidR="00F308EB">
              <w:t>72846</w:t>
            </w:r>
            <w:r w:rsidR="00F308EB" w:rsidRPr="00284332">
              <w:t xml:space="preserve">                                Category 6 (Pathology services) – Group P</w:t>
            </w:r>
            <w:r w:rsidR="00F308EB">
              <w:t>5</w:t>
            </w:r>
            <w:r w:rsidR="00F308EB" w:rsidRPr="00284332">
              <w:t xml:space="preserve"> </w:t>
            </w:r>
            <w:r w:rsidR="00F308EB">
              <w:t>Tissue Pathology</w:t>
            </w:r>
          </w:p>
        </w:tc>
      </w:tr>
      <w:tr w:rsidR="00F308EB" w:rsidRPr="00895BCC" w14:paraId="1AFECBD5" w14:textId="77777777" w:rsidTr="00E03127">
        <w:trPr>
          <w:cantSplit/>
          <w:tblHeader/>
        </w:trPr>
        <w:tc>
          <w:tcPr>
            <w:tcW w:w="9242" w:type="dxa"/>
          </w:tcPr>
          <w:p w14:paraId="0DC9055A" w14:textId="77777777" w:rsidR="00F308EB" w:rsidRPr="00F308EB" w:rsidRDefault="00F308EB" w:rsidP="00F308EB">
            <w:pPr>
              <w:rPr>
                <w:u w:color="FF0000"/>
              </w:rPr>
            </w:pPr>
            <w:r w:rsidRPr="00F308EB">
              <w:rPr>
                <w:u w:color="FF0000"/>
              </w:rPr>
              <w:t xml:space="preserve">Immunohistochemical examination of biopsy material by immunofluorescence, immunoperoxidase or other labelled antibody techniques with multiple antigenic specificities per specimen - 1 to 3 antibodies except those listed in 72848 </w:t>
            </w:r>
          </w:p>
          <w:p w14:paraId="73DEFA80" w14:textId="77777777" w:rsidR="00F308EB" w:rsidRPr="00F308EB" w:rsidRDefault="00F308EB" w:rsidP="00F308EB">
            <w:pPr>
              <w:rPr>
                <w:u w:color="FF0000"/>
              </w:rPr>
            </w:pPr>
          </w:p>
          <w:p w14:paraId="27C50CA0" w14:textId="4C3CF22A" w:rsidR="00F308EB" w:rsidRPr="00895BCC" w:rsidRDefault="00F308EB" w:rsidP="00F308EB">
            <w:pPr>
              <w:rPr>
                <w:u w:color="FF0000"/>
              </w:rPr>
            </w:pPr>
            <w:r w:rsidRPr="00F308EB">
              <w:rPr>
                <w:u w:color="FF0000"/>
              </w:rPr>
              <w:t>(Item is subject to rule 13)</w:t>
            </w:r>
          </w:p>
          <w:p w14:paraId="4D820F98" w14:textId="77777777" w:rsidR="00F308EB" w:rsidRPr="00284332" w:rsidRDefault="00F308EB" w:rsidP="00E03127">
            <w:pPr>
              <w:rPr>
                <w:u w:color="FF0000"/>
              </w:rPr>
            </w:pPr>
          </w:p>
          <w:p w14:paraId="53EBE00A" w14:textId="3B6F6B27" w:rsidR="00F308EB" w:rsidRPr="00895BCC" w:rsidRDefault="00DD7550" w:rsidP="00E03127">
            <w:pPr>
              <w:rPr>
                <w:u w:val="dotted" w:color="FF0000"/>
              </w:rPr>
            </w:pPr>
            <w:r w:rsidRPr="00E94F76">
              <w:rPr>
                <w:b/>
                <w:bCs/>
                <w:u w:val="dotted" w:color="FF0000"/>
              </w:rPr>
              <w:t>Fee:</w:t>
            </w:r>
            <w:r w:rsidRPr="00DD7550">
              <w:rPr>
                <w:u w:val="dotted" w:color="FF0000"/>
              </w:rPr>
              <w:t xml:space="preserve"> $59.60 </w:t>
            </w:r>
            <w:r w:rsidR="00196BEE">
              <w:rPr>
                <w:u w:val="dotted" w:color="FF0000"/>
              </w:rPr>
              <w:t xml:space="preserve">   </w:t>
            </w:r>
            <w:r w:rsidRPr="00E94F76">
              <w:rPr>
                <w:b/>
                <w:bCs/>
                <w:u w:val="dotted" w:color="FF0000"/>
              </w:rPr>
              <w:t xml:space="preserve">Benefit: </w:t>
            </w:r>
            <w:r w:rsidRPr="00DD7550">
              <w:rPr>
                <w:u w:val="dotted" w:color="FF0000"/>
              </w:rPr>
              <w:t xml:space="preserve">75% = $44.70 </w:t>
            </w:r>
            <w:r w:rsidR="00196BEE">
              <w:rPr>
                <w:u w:val="dotted" w:color="FF0000"/>
              </w:rPr>
              <w:t xml:space="preserve">   </w:t>
            </w:r>
            <w:r w:rsidRPr="00DD7550">
              <w:rPr>
                <w:u w:val="dotted" w:color="FF0000"/>
              </w:rPr>
              <w:t>85% = $50.70</w:t>
            </w:r>
          </w:p>
        </w:tc>
      </w:tr>
    </w:tbl>
    <w:p w14:paraId="2EA4CFB6" w14:textId="162F5C3F" w:rsidR="006732E6" w:rsidRDefault="006732E6" w:rsidP="006732E6">
      <w:pPr>
        <w:rPr>
          <w:color w:val="FF0000"/>
          <w:u w:val="dotted"/>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452936" w:rsidRPr="00284332" w14:paraId="2E32754D" w14:textId="77777777" w:rsidTr="00E03127">
        <w:trPr>
          <w:cantSplit/>
          <w:tblHeader/>
        </w:trPr>
        <w:tc>
          <w:tcPr>
            <w:tcW w:w="9242" w:type="dxa"/>
          </w:tcPr>
          <w:p w14:paraId="4159D44D" w14:textId="215B2CEE" w:rsidR="00452936" w:rsidRPr="00284332" w:rsidRDefault="00DE10B1" w:rsidP="00E03127">
            <w:r>
              <w:t>Item</w:t>
            </w:r>
            <w:r w:rsidR="00452936" w:rsidRPr="00284332">
              <w:t xml:space="preserve"> </w:t>
            </w:r>
            <w:r w:rsidR="00452936">
              <w:t>72847</w:t>
            </w:r>
            <w:r w:rsidR="00452936" w:rsidRPr="00284332">
              <w:t xml:space="preserve">                               </w:t>
            </w:r>
            <w:r w:rsidR="00452936">
              <w:t xml:space="preserve"> </w:t>
            </w:r>
            <w:r w:rsidR="00452936" w:rsidRPr="00284332">
              <w:t>Category 6 (Pathology services) – Group P</w:t>
            </w:r>
            <w:r w:rsidR="00452936">
              <w:t>5</w:t>
            </w:r>
            <w:r w:rsidR="00452936" w:rsidRPr="00284332">
              <w:t xml:space="preserve"> </w:t>
            </w:r>
            <w:r w:rsidR="00452936">
              <w:t>Ti</w:t>
            </w:r>
            <w:r w:rsidR="00452936" w:rsidRPr="00284332">
              <w:t>s</w:t>
            </w:r>
            <w:r w:rsidR="00452936">
              <w:t>sue Pathology</w:t>
            </w:r>
          </w:p>
        </w:tc>
      </w:tr>
      <w:tr w:rsidR="00452936" w:rsidRPr="00895BCC" w14:paraId="312177B4" w14:textId="77777777" w:rsidTr="00E03127">
        <w:trPr>
          <w:cantSplit/>
          <w:tblHeader/>
        </w:trPr>
        <w:tc>
          <w:tcPr>
            <w:tcW w:w="9242" w:type="dxa"/>
          </w:tcPr>
          <w:p w14:paraId="6C63CD64" w14:textId="77777777" w:rsidR="00713684" w:rsidRPr="00713684" w:rsidRDefault="00713684" w:rsidP="00713684">
            <w:pPr>
              <w:rPr>
                <w:u w:val="dotted" w:color="FF0000"/>
              </w:rPr>
            </w:pPr>
            <w:r w:rsidRPr="00713684">
              <w:rPr>
                <w:u w:val="dotted" w:color="FF0000"/>
              </w:rPr>
              <w:t xml:space="preserve">Immunohistochemical examination of biopsy material by immunofluorescence, immunoperoxidase or other labelled antibody techniques with multiple antigenic specificities per specimen - 4-6 antibodies </w:t>
            </w:r>
          </w:p>
          <w:p w14:paraId="4BCB5696" w14:textId="77777777" w:rsidR="00713684" w:rsidRPr="00713684" w:rsidRDefault="00713684" w:rsidP="00713684">
            <w:pPr>
              <w:rPr>
                <w:u w:val="dotted" w:color="FF0000"/>
              </w:rPr>
            </w:pPr>
          </w:p>
          <w:p w14:paraId="7F3E278D" w14:textId="77777777" w:rsidR="00713684" w:rsidRPr="00713684" w:rsidRDefault="00713684" w:rsidP="00713684">
            <w:pPr>
              <w:rPr>
                <w:u w:val="dotted" w:color="FF0000"/>
              </w:rPr>
            </w:pPr>
            <w:r w:rsidRPr="00713684">
              <w:rPr>
                <w:u w:val="dotted" w:color="FF0000"/>
              </w:rPr>
              <w:t xml:space="preserve">(Item is subject to rule 13) </w:t>
            </w:r>
          </w:p>
          <w:p w14:paraId="0E80374C" w14:textId="77777777" w:rsidR="00713684" w:rsidRPr="00713684" w:rsidRDefault="00713684" w:rsidP="00713684">
            <w:pPr>
              <w:rPr>
                <w:u w:val="dotted" w:color="FF0000"/>
              </w:rPr>
            </w:pPr>
          </w:p>
          <w:p w14:paraId="5CBF475C" w14:textId="0E5ACC30" w:rsidR="00452936" w:rsidRPr="00895BCC" w:rsidRDefault="00713684" w:rsidP="00713684">
            <w:pPr>
              <w:rPr>
                <w:u w:val="dotted" w:color="FF0000"/>
              </w:rPr>
            </w:pPr>
            <w:r w:rsidRPr="00E94F76">
              <w:rPr>
                <w:b/>
                <w:bCs/>
                <w:u w:val="dotted" w:color="FF0000"/>
              </w:rPr>
              <w:t>Fee:</w:t>
            </w:r>
            <w:r w:rsidRPr="00713684">
              <w:rPr>
                <w:u w:val="dotted" w:color="FF0000"/>
              </w:rPr>
              <w:t xml:space="preserve"> $89.40 </w:t>
            </w:r>
            <w:r w:rsidR="00196BEE">
              <w:rPr>
                <w:u w:val="dotted" w:color="FF0000"/>
              </w:rPr>
              <w:t xml:space="preserve">   </w:t>
            </w:r>
            <w:r w:rsidRPr="00E94F76">
              <w:rPr>
                <w:b/>
                <w:bCs/>
                <w:u w:val="dotted" w:color="FF0000"/>
              </w:rPr>
              <w:t>Benefit:</w:t>
            </w:r>
            <w:r w:rsidRPr="00713684">
              <w:rPr>
                <w:u w:val="dotted" w:color="FF0000"/>
              </w:rPr>
              <w:t xml:space="preserve"> 75% = $67.05 </w:t>
            </w:r>
            <w:r w:rsidR="00196BEE">
              <w:rPr>
                <w:u w:val="dotted" w:color="FF0000"/>
              </w:rPr>
              <w:t xml:space="preserve">   </w:t>
            </w:r>
            <w:r w:rsidRPr="00713684">
              <w:rPr>
                <w:u w:val="dotted" w:color="FF0000"/>
              </w:rPr>
              <w:t>85% = $76.00</w:t>
            </w:r>
          </w:p>
        </w:tc>
      </w:tr>
    </w:tbl>
    <w:p w14:paraId="31F28EB7" w14:textId="0DEC508B" w:rsidR="00452936" w:rsidRDefault="00452936" w:rsidP="006732E6">
      <w:pPr>
        <w:rPr>
          <w:color w:val="FF0000"/>
          <w:u w:val="dotted"/>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713684" w:rsidRPr="00284332" w14:paraId="6D148CD7" w14:textId="77777777" w:rsidTr="00E03127">
        <w:trPr>
          <w:cantSplit/>
          <w:tblHeader/>
        </w:trPr>
        <w:tc>
          <w:tcPr>
            <w:tcW w:w="9242" w:type="dxa"/>
          </w:tcPr>
          <w:p w14:paraId="04BD4BE0" w14:textId="211F604D" w:rsidR="00713684" w:rsidRPr="00284332" w:rsidRDefault="00DE10B1" w:rsidP="00E03127">
            <w:r>
              <w:t>Item</w:t>
            </w:r>
            <w:r w:rsidR="00713684" w:rsidRPr="00284332">
              <w:t xml:space="preserve"> </w:t>
            </w:r>
            <w:r w:rsidR="00713684">
              <w:t>72849</w:t>
            </w:r>
            <w:r w:rsidR="00713684" w:rsidRPr="00284332">
              <w:t xml:space="preserve">                            </w:t>
            </w:r>
            <w:r w:rsidR="00713684">
              <w:t xml:space="preserve"> </w:t>
            </w:r>
            <w:r w:rsidR="00713684" w:rsidRPr="00284332">
              <w:t>Category 6 (Pathology services) – Group P</w:t>
            </w:r>
            <w:r w:rsidR="00713684">
              <w:t>5</w:t>
            </w:r>
            <w:r w:rsidR="00713684" w:rsidRPr="00284332">
              <w:t xml:space="preserve"> </w:t>
            </w:r>
            <w:r w:rsidR="00713684">
              <w:t>Ti</w:t>
            </w:r>
            <w:r w:rsidR="00713684" w:rsidRPr="00284332">
              <w:t>s</w:t>
            </w:r>
            <w:r w:rsidR="00713684">
              <w:t>sue Pathology</w:t>
            </w:r>
          </w:p>
        </w:tc>
      </w:tr>
      <w:tr w:rsidR="00713684" w:rsidRPr="00895BCC" w14:paraId="51C27D75" w14:textId="77777777" w:rsidTr="00E03127">
        <w:trPr>
          <w:cantSplit/>
          <w:tblHeader/>
        </w:trPr>
        <w:tc>
          <w:tcPr>
            <w:tcW w:w="9242" w:type="dxa"/>
          </w:tcPr>
          <w:p w14:paraId="5BEE240D" w14:textId="77777777" w:rsidR="00713684" w:rsidRPr="00713684" w:rsidRDefault="00713684" w:rsidP="00713684">
            <w:pPr>
              <w:rPr>
                <w:u w:val="dotted" w:color="FF0000"/>
              </w:rPr>
            </w:pPr>
            <w:r w:rsidRPr="00713684">
              <w:rPr>
                <w:u w:val="dotted" w:color="FF0000"/>
              </w:rPr>
              <w:t xml:space="preserve">Immunohistochemical examination of biopsy material by immunofluorescence, immunoperoxidase or other labelled antibody techniques with multiple antigenic specificities per specimen - 7-10 antibodies </w:t>
            </w:r>
          </w:p>
          <w:p w14:paraId="59E9ED99" w14:textId="77777777" w:rsidR="00713684" w:rsidRPr="00713684" w:rsidRDefault="00713684" w:rsidP="00713684">
            <w:pPr>
              <w:rPr>
                <w:u w:val="dotted" w:color="FF0000"/>
              </w:rPr>
            </w:pPr>
          </w:p>
          <w:p w14:paraId="7E4CEF7A" w14:textId="77777777" w:rsidR="00713684" w:rsidRPr="00713684" w:rsidRDefault="00713684" w:rsidP="00713684">
            <w:pPr>
              <w:rPr>
                <w:u w:val="dotted" w:color="FF0000"/>
              </w:rPr>
            </w:pPr>
            <w:r w:rsidRPr="00713684">
              <w:rPr>
                <w:u w:val="dotted" w:color="FF0000"/>
              </w:rPr>
              <w:t xml:space="preserve">(Item is subject to rule 13) </w:t>
            </w:r>
          </w:p>
          <w:p w14:paraId="688C26E9" w14:textId="77777777" w:rsidR="00713684" w:rsidRPr="00713684" w:rsidRDefault="00713684" w:rsidP="00713684">
            <w:pPr>
              <w:rPr>
                <w:u w:val="dotted" w:color="FF0000"/>
              </w:rPr>
            </w:pPr>
          </w:p>
          <w:p w14:paraId="58E7DAD2" w14:textId="12AD69B8" w:rsidR="00316FD6" w:rsidRPr="00895BCC" w:rsidRDefault="00713684" w:rsidP="00713684">
            <w:pPr>
              <w:rPr>
                <w:u w:val="dotted" w:color="FF0000"/>
              </w:rPr>
            </w:pPr>
            <w:r w:rsidRPr="00E94F76">
              <w:rPr>
                <w:b/>
                <w:bCs/>
                <w:u w:val="dotted" w:color="FF0000"/>
              </w:rPr>
              <w:t>Fee:</w:t>
            </w:r>
            <w:r w:rsidRPr="00713684">
              <w:rPr>
                <w:u w:val="dotted" w:color="FF0000"/>
              </w:rPr>
              <w:t xml:space="preserve"> $104.30 </w:t>
            </w:r>
            <w:r w:rsidR="00196BEE">
              <w:rPr>
                <w:u w:val="dotted" w:color="FF0000"/>
              </w:rPr>
              <w:t xml:space="preserve">   </w:t>
            </w:r>
            <w:r w:rsidRPr="00E94F76">
              <w:rPr>
                <w:b/>
                <w:bCs/>
                <w:u w:val="dotted" w:color="FF0000"/>
              </w:rPr>
              <w:t>Benefit:</w:t>
            </w:r>
            <w:r w:rsidRPr="00713684">
              <w:rPr>
                <w:u w:val="dotted" w:color="FF0000"/>
              </w:rPr>
              <w:t xml:space="preserve"> 75% = $78.25 </w:t>
            </w:r>
            <w:r w:rsidR="00196BEE">
              <w:rPr>
                <w:u w:val="dotted" w:color="FF0000"/>
              </w:rPr>
              <w:t xml:space="preserve">   </w:t>
            </w:r>
            <w:r w:rsidRPr="00713684">
              <w:rPr>
                <w:u w:val="dotted" w:color="FF0000"/>
              </w:rPr>
              <w:t>85% = $88.70</w:t>
            </w:r>
          </w:p>
        </w:tc>
      </w:tr>
    </w:tbl>
    <w:p w14:paraId="3DDA8F6E" w14:textId="1C3CD0A3" w:rsidR="00713684" w:rsidRDefault="00713684" w:rsidP="006732E6">
      <w:pPr>
        <w:rPr>
          <w:color w:val="FF0000"/>
          <w:u w:val="dotted"/>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316FD6" w:rsidRPr="00284332" w14:paraId="26CA65B6" w14:textId="77777777" w:rsidTr="00E03127">
        <w:trPr>
          <w:cantSplit/>
          <w:tblHeader/>
        </w:trPr>
        <w:tc>
          <w:tcPr>
            <w:tcW w:w="9242" w:type="dxa"/>
          </w:tcPr>
          <w:p w14:paraId="3C3A61E5" w14:textId="40A1E75C" w:rsidR="00316FD6" w:rsidRPr="00284332" w:rsidRDefault="00DE10B1" w:rsidP="00E03127">
            <w:r>
              <w:t>Item</w:t>
            </w:r>
            <w:r w:rsidR="00316FD6" w:rsidRPr="00284332">
              <w:t xml:space="preserve"> </w:t>
            </w:r>
            <w:r w:rsidR="00316FD6">
              <w:t>72850</w:t>
            </w:r>
            <w:r w:rsidR="00316FD6" w:rsidRPr="00284332">
              <w:t xml:space="preserve">                            </w:t>
            </w:r>
            <w:r w:rsidR="00316FD6">
              <w:t xml:space="preserve"> </w:t>
            </w:r>
            <w:r w:rsidR="00316FD6" w:rsidRPr="00284332">
              <w:t>Category 6 (Pathology services) – Group P</w:t>
            </w:r>
            <w:r w:rsidR="00316FD6">
              <w:t>5</w:t>
            </w:r>
            <w:r w:rsidR="00316FD6" w:rsidRPr="00284332">
              <w:t xml:space="preserve"> </w:t>
            </w:r>
            <w:r w:rsidR="00316FD6">
              <w:t>Ti</w:t>
            </w:r>
            <w:r w:rsidR="00316FD6" w:rsidRPr="00284332">
              <w:t>s</w:t>
            </w:r>
            <w:r w:rsidR="00316FD6">
              <w:t>sue Pathology</w:t>
            </w:r>
          </w:p>
        </w:tc>
      </w:tr>
      <w:tr w:rsidR="00316FD6" w:rsidRPr="00895BCC" w14:paraId="6EC26C3C" w14:textId="77777777" w:rsidTr="00E03127">
        <w:trPr>
          <w:cantSplit/>
          <w:tblHeader/>
        </w:trPr>
        <w:tc>
          <w:tcPr>
            <w:tcW w:w="9242" w:type="dxa"/>
          </w:tcPr>
          <w:p w14:paraId="0BC4CF95" w14:textId="77777777" w:rsidR="00316FD6" w:rsidRPr="00316FD6" w:rsidRDefault="00316FD6" w:rsidP="00316FD6">
            <w:pPr>
              <w:rPr>
                <w:u w:val="dotted" w:color="FF0000"/>
              </w:rPr>
            </w:pPr>
            <w:r w:rsidRPr="00316FD6">
              <w:rPr>
                <w:u w:val="dotted" w:color="FF0000"/>
              </w:rPr>
              <w:t xml:space="preserve">Immunohistochemical examination of biopsy material by immunofluorescence, immunoperoxidase or other labelled antibody techniques with multiple antigenic specificities per specimen - 11 or more antibodies </w:t>
            </w:r>
          </w:p>
          <w:p w14:paraId="185C355D" w14:textId="77777777" w:rsidR="00316FD6" w:rsidRPr="00316FD6" w:rsidRDefault="00316FD6" w:rsidP="00316FD6">
            <w:pPr>
              <w:rPr>
                <w:u w:val="dotted" w:color="FF0000"/>
              </w:rPr>
            </w:pPr>
          </w:p>
          <w:p w14:paraId="2477E709" w14:textId="77777777" w:rsidR="00316FD6" w:rsidRPr="00316FD6" w:rsidRDefault="00316FD6" w:rsidP="00316FD6">
            <w:pPr>
              <w:rPr>
                <w:u w:val="dotted" w:color="FF0000"/>
              </w:rPr>
            </w:pPr>
            <w:r w:rsidRPr="00316FD6">
              <w:rPr>
                <w:u w:val="dotted" w:color="FF0000"/>
              </w:rPr>
              <w:t xml:space="preserve">(Item is subject to rule 13) </w:t>
            </w:r>
          </w:p>
          <w:p w14:paraId="26E70B3A" w14:textId="77777777" w:rsidR="00316FD6" w:rsidRPr="00316FD6" w:rsidRDefault="00316FD6" w:rsidP="00316FD6">
            <w:pPr>
              <w:rPr>
                <w:u w:val="dotted" w:color="FF0000"/>
              </w:rPr>
            </w:pPr>
          </w:p>
          <w:p w14:paraId="64320A4F" w14:textId="631C0B40" w:rsidR="00316FD6" w:rsidRPr="00895BCC" w:rsidRDefault="00316FD6" w:rsidP="00316FD6">
            <w:pPr>
              <w:rPr>
                <w:u w:val="dotted" w:color="FF0000"/>
              </w:rPr>
            </w:pPr>
            <w:r w:rsidRPr="00E94F76">
              <w:rPr>
                <w:b/>
                <w:bCs/>
                <w:u w:val="dotted" w:color="FF0000"/>
              </w:rPr>
              <w:t>Fee:</w:t>
            </w:r>
            <w:r w:rsidRPr="00316FD6">
              <w:rPr>
                <w:u w:val="dotted" w:color="FF0000"/>
              </w:rPr>
              <w:t xml:space="preserve"> $119.20 </w:t>
            </w:r>
            <w:r w:rsidR="00196BEE">
              <w:rPr>
                <w:u w:val="dotted" w:color="FF0000"/>
              </w:rPr>
              <w:t xml:space="preserve">   </w:t>
            </w:r>
            <w:r w:rsidRPr="00E94F76">
              <w:rPr>
                <w:b/>
                <w:bCs/>
                <w:u w:val="dotted" w:color="FF0000"/>
              </w:rPr>
              <w:t>Benefit:</w:t>
            </w:r>
            <w:r w:rsidRPr="00316FD6">
              <w:rPr>
                <w:u w:val="dotted" w:color="FF0000"/>
              </w:rPr>
              <w:t xml:space="preserve"> 75% = $89.40 </w:t>
            </w:r>
            <w:r w:rsidR="00196BEE">
              <w:rPr>
                <w:u w:val="dotted" w:color="FF0000"/>
              </w:rPr>
              <w:t xml:space="preserve">   </w:t>
            </w:r>
            <w:r w:rsidRPr="00316FD6">
              <w:rPr>
                <w:u w:val="dotted" w:color="FF0000"/>
              </w:rPr>
              <w:t>85% = $101.35</w:t>
            </w:r>
          </w:p>
        </w:tc>
      </w:tr>
    </w:tbl>
    <w:p w14:paraId="641CB436" w14:textId="7BEB8155" w:rsidR="00316FD6" w:rsidRDefault="00316FD6" w:rsidP="006732E6">
      <w:pPr>
        <w:rPr>
          <w:color w:val="FF0000"/>
          <w:u w:val="dotted"/>
        </w:rPr>
      </w:pPr>
    </w:p>
    <w:p w14:paraId="14CD907E" w14:textId="2D2CF9EE" w:rsidR="003905FD" w:rsidRDefault="003905FD" w:rsidP="006732E6">
      <w:pPr>
        <w:rPr>
          <w:color w:val="FF0000"/>
          <w:u w:val="dotted"/>
        </w:rPr>
      </w:pPr>
    </w:p>
    <w:p w14:paraId="317CF63B" w14:textId="21FEF5F3" w:rsidR="003905FD" w:rsidRDefault="003905FD" w:rsidP="006732E6">
      <w:pPr>
        <w:rPr>
          <w:color w:val="FF0000"/>
          <w:u w:val="dotted"/>
        </w:rPr>
      </w:pPr>
    </w:p>
    <w:p w14:paraId="4D2E2DD0" w14:textId="7FA069C9" w:rsidR="003905FD" w:rsidRDefault="003905FD" w:rsidP="006732E6">
      <w:pPr>
        <w:rPr>
          <w:color w:val="FF0000"/>
          <w:u w:val="dotted"/>
        </w:rPr>
      </w:pPr>
    </w:p>
    <w:p w14:paraId="4807536F" w14:textId="5C189646" w:rsidR="003905FD" w:rsidRDefault="003905FD" w:rsidP="006732E6">
      <w:pPr>
        <w:rPr>
          <w:color w:val="FF0000"/>
          <w:u w:val="dotted"/>
        </w:rPr>
      </w:pPr>
    </w:p>
    <w:p w14:paraId="3649EA2D" w14:textId="4CA985A8" w:rsidR="003905FD" w:rsidRDefault="003905FD" w:rsidP="006732E6">
      <w:pPr>
        <w:rPr>
          <w:color w:val="FF0000"/>
          <w:u w:val="dotted"/>
        </w:rPr>
      </w:pPr>
    </w:p>
    <w:p w14:paraId="1E79588C" w14:textId="3046B685" w:rsidR="003905FD" w:rsidRDefault="003905FD" w:rsidP="006732E6">
      <w:pPr>
        <w:rPr>
          <w:color w:val="FF0000"/>
          <w:u w:val="dotted"/>
        </w:rPr>
      </w:pPr>
    </w:p>
    <w:p w14:paraId="1E4DB577" w14:textId="35C09AB8" w:rsidR="003905FD" w:rsidRPr="007B4591" w:rsidRDefault="003905FD" w:rsidP="003905FD">
      <w:pPr>
        <w:pStyle w:val="Heading1"/>
        <w:rPr>
          <w:color w:val="00B0F0"/>
        </w:rPr>
      </w:pPr>
      <w:r w:rsidRPr="007B4591">
        <w:rPr>
          <w:color w:val="00B0F0"/>
        </w:rPr>
        <w:lastRenderedPageBreak/>
        <w:t>References</w:t>
      </w:r>
    </w:p>
    <w:sectPr w:rsidR="003905FD" w:rsidRPr="007B4591" w:rsidSect="00F21458">
      <w:headerReference w:type="even" r:id="rId18"/>
      <w:footerReference w:type="default" r:id="rId19"/>
      <w:footnotePr>
        <w:numRestart w:val="eachPage"/>
      </w:footnotePr>
      <w:endnotePr>
        <w:numFmt w:val="decimal"/>
      </w:endnotePr>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3AA7" w14:textId="77777777" w:rsidR="00E40A12" w:rsidRDefault="00E40A12" w:rsidP="003D699E">
      <w:pPr>
        <w:spacing w:after="0" w:line="240" w:lineRule="auto"/>
      </w:pPr>
      <w:r>
        <w:separator/>
      </w:r>
    </w:p>
  </w:endnote>
  <w:endnote w:type="continuationSeparator" w:id="0">
    <w:p w14:paraId="7FC28F02" w14:textId="77777777" w:rsidR="00E40A12" w:rsidRDefault="00E40A12" w:rsidP="003D699E">
      <w:pPr>
        <w:spacing w:after="0" w:line="240" w:lineRule="auto"/>
      </w:pPr>
      <w:r>
        <w:continuationSeparator/>
      </w:r>
    </w:p>
  </w:endnote>
  <w:endnote w:id="1">
    <w:p w14:paraId="6A114444" w14:textId="736BD073" w:rsidR="00E40A12" w:rsidRPr="003905FD" w:rsidRDefault="00E40A12">
      <w:pPr>
        <w:pStyle w:val="EndnoteText"/>
      </w:pPr>
      <w:r w:rsidRPr="003905FD">
        <w:rPr>
          <w:rStyle w:val="EndnoteReference"/>
        </w:rPr>
        <w:endnoteRef/>
      </w:r>
      <w:r w:rsidRPr="003905FD">
        <w:t xml:space="preserve"> Analytical validity: the reproducibility and repeatability of the assay, that is, the ability of the test to measure gene expression accurately and reliably.</w:t>
      </w:r>
    </w:p>
  </w:endnote>
  <w:endnote w:id="2">
    <w:p w14:paraId="239B321E" w14:textId="03C81570" w:rsidR="00E40A12" w:rsidRPr="003905FD" w:rsidRDefault="00E40A12">
      <w:pPr>
        <w:pStyle w:val="EndnoteText"/>
      </w:pPr>
      <w:r w:rsidRPr="003905FD">
        <w:rPr>
          <w:rStyle w:val="EndnoteReference"/>
        </w:rPr>
        <w:endnoteRef/>
      </w:r>
      <w:r w:rsidRPr="003905FD">
        <w:t xml:space="preserve"> Clinical validity: measures the test’s ability to predict the presence or absence of disease, that is, the sensitivity, specificity, and positive and negative predictive values, in this case</w:t>
      </w:r>
    </w:p>
  </w:endnote>
  <w:endnote w:id="3">
    <w:p w14:paraId="42BCCCDE" w14:textId="29C2C8CB" w:rsidR="00E40A12" w:rsidRPr="003905FD" w:rsidRDefault="00E40A12">
      <w:pPr>
        <w:pStyle w:val="EndnoteText"/>
      </w:pPr>
      <w:r w:rsidRPr="003905FD">
        <w:rPr>
          <w:rStyle w:val="EndnoteReference"/>
        </w:rPr>
        <w:endnoteRef/>
      </w:r>
      <w:r w:rsidRPr="003905FD">
        <w:t xml:space="preserve"> Drilon, A., T. W. Laetsch, S. Kummar, S. G. DuBois, U. N. Lassen et al. (2018). "Efficacy of Larotrectinib in TRK Fusion-Positive Cancers in Adults and Children." N Engl J Med 378(8): 731-739.</w:t>
      </w:r>
    </w:p>
  </w:endnote>
  <w:endnote w:id="4">
    <w:p w14:paraId="6837ABA8" w14:textId="77777777" w:rsidR="00E40A12" w:rsidRPr="003905FD" w:rsidRDefault="00E40A12" w:rsidP="00C87485">
      <w:pPr>
        <w:pStyle w:val="EndnoteText"/>
      </w:pPr>
      <w:r w:rsidRPr="003905FD">
        <w:rPr>
          <w:rStyle w:val="EndnoteReference"/>
        </w:rPr>
        <w:endnoteRef/>
      </w:r>
      <w:r w:rsidRPr="003905FD">
        <w:t xml:space="preserve"> Ricciuti, B., C. Genova, L. Crino, M. Libra and G. C. Leonardi (2019). "Antitumor activity of larotrectinib in tumors harboring NTRK gene fusions: a short review on the current evidence." Onco Targets Ther 12: 3171-3179.</w:t>
      </w:r>
    </w:p>
  </w:endnote>
  <w:endnote w:id="5">
    <w:p w14:paraId="3555B768" w14:textId="77777777" w:rsidR="00E40A12" w:rsidRPr="003905FD" w:rsidRDefault="00E40A12" w:rsidP="00DF3E1E">
      <w:pPr>
        <w:pStyle w:val="EndnoteText"/>
      </w:pPr>
      <w:r w:rsidRPr="003905FD">
        <w:rPr>
          <w:rStyle w:val="EndnoteReference"/>
        </w:rPr>
        <w:endnoteRef/>
      </w:r>
      <w:r w:rsidRPr="003905FD">
        <w:t xml:space="preserve"> Amatu, A., A. Sartore-Bianchi and S. Siena (2016). "NTRK gene fusions as novel targets of cancer therapy across multiple tumour types." ESMO Open 1(2): e000023.</w:t>
      </w:r>
    </w:p>
  </w:endnote>
  <w:endnote w:id="6">
    <w:p w14:paraId="4E070104" w14:textId="2F183044" w:rsidR="00E40A12" w:rsidRPr="003905FD" w:rsidRDefault="00E40A12" w:rsidP="0076220C">
      <w:pPr>
        <w:pStyle w:val="EndnoteText"/>
      </w:pPr>
      <w:r w:rsidRPr="003905FD">
        <w:rPr>
          <w:rStyle w:val="EndnoteReference"/>
        </w:rPr>
        <w:endnoteRef/>
      </w:r>
      <w:r w:rsidRPr="003905FD">
        <w:t xml:space="preserve"> Biooncology. "TRK: A Drive of Oncogenesis."   Retrieved 07/10/2019, from https://www.biooncology.com/pathways/cancer-tumor-targets/trk/trk-oncogenesis.html.</w:t>
      </w:r>
    </w:p>
  </w:endnote>
  <w:endnote w:id="7">
    <w:p w14:paraId="1B4D4888" w14:textId="668ECDAD" w:rsidR="00E40A12" w:rsidRPr="003905FD" w:rsidRDefault="00E40A12">
      <w:pPr>
        <w:pStyle w:val="EndnoteText"/>
      </w:pPr>
      <w:r w:rsidRPr="003905FD">
        <w:rPr>
          <w:rStyle w:val="EndnoteReference"/>
        </w:rPr>
        <w:endnoteRef/>
      </w:r>
      <w:r w:rsidRPr="003905FD">
        <w:t xml:space="preserve"> </w:t>
      </w:r>
      <w:r w:rsidRPr="003905FD">
        <w:rPr>
          <w:lang w:val="en-GB" w:eastAsia="ja-JP"/>
        </w:rPr>
        <w:t>ESMO (2019). “Epidemiology of Cancers with NTRK Gene Fusion. Oncology Pro. Retrieved 07/10/2019, from https://oncologypro.esmo.org/Oncology-in-Practice/Anti-Cancer-Agents-and-Biological-Therapy/Targeting-NTRK-Gene-Fusions/Overview-of-Cancers-With-NTRK-Gene-Fusion/NTRK-Gene-Fusions-as-Oncogenic-Drivers/Epidemiology-of-Cancers-With-NTRK-Gene-Fusion.</w:t>
      </w:r>
    </w:p>
  </w:endnote>
  <w:endnote w:id="8">
    <w:p w14:paraId="334AB854" w14:textId="2F1C7FAC" w:rsidR="00E40A12" w:rsidRPr="003905FD" w:rsidRDefault="00E40A12">
      <w:pPr>
        <w:pStyle w:val="EndnoteText"/>
      </w:pPr>
      <w:r w:rsidRPr="003905FD">
        <w:rPr>
          <w:rStyle w:val="EndnoteReference"/>
        </w:rPr>
        <w:endnoteRef/>
      </w:r>
      <w:r w:rsidRPr="003905FD">
        <w:t xml:space="preserve"> </w:t>
      </w:r>
      <w:r w:rsidRPr="003905FD">
        <w:rPr>
          <w:lang w:val="en-GB" w:eastAsia="ja-JP"/>
        </w:rPr>
        <w:t>Penault-Llorca, F., E. R. Rudzinski and A. R. Sepulveda (2019). "Testing algorithm for identification of patients with TRK fusion cancer." J Clin Pathol 72(7): 460-467.</w:t>
      </w:r>
    </w:p>
  </w:endnote>
  <w:endnote w:id="9">
    <w:p w14:paraId="595ACF55" w14:textId="4B726E51" w:rsidR="00E40A12" w:rsidRPr="003905FD" w:rsidRDefault="00E40A12">
      <w:pPr>
        <w:pStyle w:val="EndnoteText"/>
      </w:pPr>
      <w:r w:rsidRPr="003905FD">
        <w:rPr>
          <w:rStyle w:val="EndnoteReference"/>
        </w:rPr>
        <w:endnoteRef/>
      </w:r>
      <w:r w:rsidRPr="003905FD">
        <w:t xml:space="preserve"> Australian Institute of Health and Welfare, </w:t>
      </w:r>
      <w:r w:rsidRPr="003905FD">
        <w:rPr>
          <w:i/>
          <w:iCs/>
        </w:rPr>
        <w:t>Cancer in Australia 2019</w:t>
      </w:r>
      <w:r w:rsidRPr="003905FD">
        <w:t>, A. government, Editor. 2019.</w:t>
      </w:r>
    </w:p>
  </w:endnote>
  <w:endnote w:id="10">
    <w:p w14:paraId="78E6A1B4" w14:textId="77777777" w:rsidR="00E40A12" w:rsidRPr="003905FD" w:rsidRDefault="00E40A12" w:rsidP="00851074">
      <w:pPr>
        <w:pStyle w:val="EndnoteText"/>
      </w:pPr>
      <w:r w:rsidRPr="003905FD">
        <w:rPr>
          <w:rStyle w:val="EndnoteReference"/>
        </w:rPr>
        <w:endnoteRef/>
      </w:r>
      <w:r w:rsidRPr="003905FD">
        <w:t xml:space="preserve"> Australian Institute of Health and Welfare, </w:t>
      </w:r>
      <w:r w:rsidRPr="003905FD">
        <w:rPr>
          <w:i/>
          <w:iCs/>
        </w:rPr>
        <w:t>Cancer in Australia 2019</w:t>
      </w:r>
      <w:r w:rsidRPr="003905FD">
        <w:t>, A. government, Editor. 2019.</w:t>
      </w:r>
    </w:p>
  </w:endnote>
  <w:endnote w:id="11">
    <w:p w14:paraId="1C9D757C" w14:textId="30D4FBAF" w:rsidR="00E40A12" w:rsidRPr="003905FD" w:rsidRDefault="00E40A12">
      <w:pPr>
        <w:pStyle w:val="EndnoteText"/>
      </w:pPr>
      <w:r w:rsidRPr="003905FD">
        <w:rPr>
          <w:rStyle w:val="EndnoteReference"/>
        </w:rPr>
        <w:endnoteRef/>
      </w:r>
      <w:r w:rsidRPr="003905FD">
        <w:t xml:space="preserve"> James P. Solomon and Jaclyn F. Hechtman (2019). "Detection of NTRK Fusions: Merits and Limitations of Current Diagnostic Platforms." American Association for Cancer Research 79(13).</w:t>
      </w:r>
    </w:p>
  </w:endnote>
  <w:endnote w:id="12">
    <w:p w14:paraId="59518599" w14:textId="3897CA5E" w:rsidR="00E40A12" w:rsidRPr="003905FD" w:rsidRDefault="00E40A12">
      <w:pPr>
        <w:pStyle w:val="EndnoteText"/>
      </w:pPr>
      <w:r w:rsidRPr="003905FD">
        <w:rPr>
          <w:rStyle w:val="EndnoteReference"/>
        </w:rPr>
        <w:endnoteRef/>
      </w:r>
      <w:r w:rsidRPr="003905FD">
        <w:t xml:space="preserve"> ESMO Oncology Pro. (2019). "Algorithm for NTRK Gene Fusion Testing."   Retrieved 25/10/2019, from https://oncologypro.esmo.org/Oncology-in-Practice/Anti-Cancer-Agents-and-Biological-Therapy/Targeting-NTRK-Gene-Fusions/Algorithm-for-NTRK-Gene-Fusion-Testing.</w:t>
      </w:r>
    </w:p>
  </w:endnote>
  <w:endnote w:id="13">
    <w:p w14:paraId="63E4E91C" w14:textId="3B770573" w:rsidR="00E40A12" w:rsidRPr="003905FD" w:rsidRDefault="00E40A12">
      <w:pPr>
        <w:pStyle w:val="EndnoteText"/>
      </w:pPr>
      <w:r w:rsidRPr="003905FD">
        <w:rPr>
          <w:rStyle w:val="EndnoteReference"/>
        </w:rPr>
        <w:endnoteRef/>
      </w:r>
      <w:r w:rsidRPr="003905FD">
        <w:t xml:space="preserve"> Hsiao, S. J., A. Zehir, A. N. Sireci and D. L. Aisner (2019). "Detection of Tumor </w:t>
      </w:r>
      <w:r w:rsidRPr="003905FD">
        <w:rPr>
          <w:i/>
          <w:iCs/>
        </w:rPr>
        <w:t>NTRK</w:t>
      </w:r>
      <w:r w:rsidRPr="003905FD">
        <w:t xml:space="preserve"> Gene Fusions to Identify Patients Who May Benefit from Tyrosine Kinase (TRK) Inhibitor Therapy." The Journal of Molecular Diagnostics 21(4): 553-571.</w:t>
      </w:r>
    </w:p>
  </w:endnote>
  <w:endnote w:id="14">
    <w:p w14:paraId="074B444A" w14:textId="77777777" w:rsidR="00E40A12" w:rsidRPr="003905FD" w:rsidRDefault="00E40A12" w:rsidP="004E5A22">
      <w:pPr>
        <w:pStyle w:val="EndnoteText"/>
      </w:pPr>
      <w:r w:rsidRPr="003905FD">
        <w:rPr>
          <w:rStyle w:val="EndnoteReference"/>
        </w:rPr>
        <w:endnoteRef/>
      </w:r>
      <w:r w:rsidRPr="003905FD">
        <w:t xml:space="preserve"> Australian Government Department of Health. "MBS Online: Medicare Benefits Schedule."   Retrieved 15/10/2019, from http://www9.health.gov.au/mbs/search.cfm.</w:t>
      </w:r>
    </w:p>
  </w:endnote>
  <w:endnote w:id="15">
    <w:p w14:paraId="0643CD18" w14:textId="43562E6F" w:rsidR="00E40A12" w:rsidRPr="003905FD" w:rsidRDefault="00E40A12">
      <w:pPr>
        <w:pStyle w:val="EndnoteText"/>
      </w:pPr>
      <w:r w:rsidRPr="003905FD">
        <w:rPr>
          <w:rStyle w:val="EndnoteReference"/>
        </w:rPr>
        <w:endnoteRef/>
      </w:r>
      <w:r w:rsidRPr="003905FD">
        <w:t xml:space="preserve"> </w:t>
      </w:r>
      <w:r w:rsidRPr="003905FD">
        <w:rPr>
          <w:rFonts w:asciiTheme="minorHAnsi" w:eastAsiaTheme="minorHAnsi" w:hAnsiTheme="minorHAnsi" w:cstheme="minorHAnsi"/>
        </w:rPr>
        <w:t xml:space="preserve">Hsiao, S. J., A. Zehir, A. N. Sireci and D. L. Aisner (2019). "Detection of Tumor </w:t>
      </w:r>
      <w:r w:rsidRPr="003905FD">
        <w:rPr>
          <w:rFonts w:asciiTheme="minorHAnsi" w:eastAsiaTheme="minorHAnsi" w:hAnsiTheme="minorHAnsi" w:cstheme="minorHAnsi"/>
          <w:i/>
          <w:iCs/>
        </w:rPr>
        <w:t>NTRK</w:t>
      </w:r>
      <w:r w:rsidRPr="003905FD">
        <w:rPr>
          <w:rFonts w:asciiTheme="minorHAnsi" w:eastAsiaTheme="minorHAnsi" w:hAnsiTheme="minorHAnsi" w:cstheme="minorHAnsi"/>
        </w:rPr>
        <w:t xml:space="preserve"> Gene Fusions to Identify Patients Who May Benefit from Tyrosine Kinase (TRK) Inhibitor Therapy." The Journal of Molecular Diagnostics 21(4): 553-571.</w:t>
      </w:r>
    </w:p>
  </w:endnote>
  <w:endnote w:id="16">
    <w:p w14:paraId="6188910D" w14:textId="3C93ACD8" w:rsidR="00E40A12" w:rsidRPr="003905FD" w:rsidRDefault="00E40A12" w:rsidP="008137EE">
      <w:pPr>
        <w:pStyle w:val="EndnoteText"/>
        <w:rPr>
          <w:rFonts w:asciiTheme="minorHAnsi" w:hAnsiTheme="minorHAnsi" w:cstheme="minorHAnsi"/>
        </w:rPr>
      </w:pPr>
      <w:r w:rsidRPr="003905FD">
        <w:rPr>
          <w:rStyle w:val="EndnoteReference"/>
          <w:rFonts w:asciiTheme="minorHAnsi" w:hAnsiTheme="minorHAnsi" w:cstheme="minorHAnsi"/>
        </w:rPr>
        <w:endnoteRef/>
      </w:r>
      <w:r w:rsidRPr="003905FD">
        <w:rPr>
          <w:rFonts w:asciiTheme="minorHAnsi" w:hAnsiTheme="minorHAnsi" w:cstheme="minorHAnsi"/>
        </w:rPr>
        <w:t xml:space="preserve"> </w:t>
      </w:r>
      <w:r w:rsidRPr="003905FD">
        <w:rPr>
          <w:rFonts w:asciiTheme="minorHAnsi" w:eastAsiaTheme="minorHAnsi" w:hAnsiTheme="minorHAnsi" w:cstheme="minorHAnsi"/>
        </w:rPr>
        <w:t xml:space="preserve">Hsiao, S. J., (2019). </w:t>
      </w:r>
      <w:r w:rsidRPr="003905FD">
        <w:rPr>
          <w:rFonts w:asciiTheme="minorHAnsi" w:eastAsiaTheme="minorHAnsi" w:hAnsiTheme="minorHAnsi" w:cstheme="minorHAnsi"/>
          <w:i/>
          <w:iCs/>
        </w:rPr>
        <w:t xml:space="preserve">Ibid. </w:t>
      </w:r>
    </w:p>
  </w:endnote>
  <w:endnote w:id="17">
    <w:p w14:paraId="4F317883" w14:textId="77777777" w:rsidR="00E40A12" w:rsidRPr="003905FD" w:rsidRDefault="00E40A12" w:rsidP="008137EE">
      <w:pPr>
        <w:pStyle w:val="EndnoteText"/>
      </w:pPr>
      <w:r w:rsidRPr="003905FD">
        <w:rPr>
          <w:rStyle w:val="EndnoteReference"/>
        </w:rPr>
        <w:endnoteRef/>
      </w:r>
      <w:r w:rsidRPr="003905FD">
        <w:t xml:space="preserve"> James P. Solomon and Jaclyn F. Hechtman (2019). "Detection of NTRK Fusions: Merits and Limitations of Current Diagnostic Platforms." American Association for Cancer Research 79(13).</w:t>
      </w:r>
    </w:p>
  </w:endnote>
  <w:endnote w:id="18">
    <w:p w14:paraId="37E91CCC" w14:textId="77777777" w:rsidR="00E40A12" w:rsidRPr="003905FD" w:rsidRDefault="00E40A12" w:rsidP="008137EE">
      <w:pPr>
        <w:pStyle w:val="EndnoteText"/>
        <w:rPr>
          <w:i/>
          <w:iCs/>
        </w:rPr>
      </w:pPr>
      <w:r w:rsidRPr="003905FD">
        <w:rPr>
          <w:rStyle w:val="EndnoteReference"/>
        </w:rPr>
        <w:endnoteRef/>
      </w:r>
      <w:r w:rsidRPr="003905FD">
        <w:t xml:space="preserve"> Hsiao, et al. (2019). </w:t>
      </w:r>
      <w:r w:rsidRPr="003905FD">
        <w:rPr>
          <w:i/>
          <w:iCs/>
        </w:rPr>
        <w:t>op. cit.</w:t>
      </w:r>
    </w:p>
  </w:endnote>
  <w:endnote w:id="19">
    <w:p w14:paraId="05028479" w14:textId="77777777" w:rsidR="00E40A12" w:rsidRPr="003905FD" w:rsidRDefault="00E40A12" w:rsidP="008137EE">
      <w:pPr>
        <w:pStyle w:val="EndnoteText"/>
        <w:rPr>
          <w:i/>
          <w:iCs/>
        </w:rPr>
      </w:pPr>
      <w:r w:rsidRPr="003905FD">
        <w:rPr>
          <w:rStyle w:val="EndnoteReference"/>
        </w:rPr>
        <w:endnoteRef/>
      </w:r>
      <w:r w:rsidRPr="003905FD">
        <w:t xml:space="preserve"> Solomon and Hechtman (2019).  </w:t>
      </w:r>
      <w:r w:rsidRPr="003905FD">
        <w:rPr>
          <w:i/>
          <w:iCs/>
        </w:rPr>
        <w:t>op. cit.</w:t>
      </w:r>
    </w:p>
  </w:endnote>
  <w:endnote w:id="20">
    <w:p w14:paraId="005D6ED7" w14:textId="462AC382" w:rsidR="00E40A12" w:rsidRPr="003905FD" w:rsidRDefault="00E40A12">
      <w:pPr>
        <w:pStyle w:val="EndnoteText"/>
      </w:pPr>
      <w:r w:rsidRPr="003905FD">
        <w:rPr>
          <w:rStyle w:val="EndnoteReference"/>
        </w:rPr>
        <w:endnoteRef/>
      </w:r>
      <w:r w:rsidRPr="003905FD">
        <w:t xml:space="preserve"> </w:t>
      </w:r>
      <w:r w:rsidRPr="003905FD">
        <w:rPr>
          <w:lang w:val="en-GB" w:eastAsia="ja-JP"/>
        </w:rPr>
        <w:t>Penault-Llorca, F., E. R. Rudzinski and A. R. Sepulveda (2019). "Testing algorithm for identification of patients with TRK fusion cancer." J Clin Pathol 72(7): 460-467.</w:t>
      </w:r>
    </w:p>
  </w:endnote>
  <w:endnote w:id="21">
    <w:p w14:paraId="57DEAA8F" w14:textId="77777777" w:rsidR="00E40A12" w:rsidRPr="003905FD" w:rsidRDefault="00E40A12" w:rsidP="00B62F1B">
      <w:pPr>
        <w:pStyle w:val="EndnoteText"/>
      </w:pPr>
      <w:r w:rsidRPr="003905FD">
        <w:rPr>
          <w:rStyle w:val="EndnoteReference"/>
        </w:rPr>
        <w:endnoteRef/>
      </w:r>
      <w:r w:rsidRPr="003905FD">
        <w:t xml:space="preserve"> Valerio, L., L. Pieruzzi, C. Giani, L. Agate, V. Bottici, L. Lorusso, V. Cappagli, L. Puleo, A. Matrone, D. Viola, C. Romei, R. Ciampi, E. Molinaro and R. Elisei (2017). "Targeted Therapy in Thyroid Cancer: State of the Art." Clin Oncol (R Coll Radiol) 29(5): 316-324</w:t>
      </w:r>
    </w:p>
  </w:endnote>
  <w:endnote w:id="22">
    <w:p w14:paraId="14420CA3" w14:textId="77777777" w:rsidR="00E40A12" w:rsidRPr="003905FD" w:rsidRDefault="00E40A12" w:rsidP="00B62F1B">
      <w:pPr>
        <w:pStyle w:val="EndnoteText"/>
      </w:pPr>
      <w:r w:rsidRPr="003905FD">
        <w:rPr>
          <w:rStyle w:val="EndnoteReference"/>
        </w:rPr>
        <w:endnoteRef/>
      </w:r>
      <w:r w:rsidRPr="003905FD">
        <w:t xml:space="preserve"> Valerio, L., et al. (2017). </w:t>
      </w:r>
      <w:r w:rsidRPr="003905FD">
        <w:rPr>
          <w:i/>
          <w:iCs/>
        </w:rPr>
        <w:t>Ibid.</w:t>
      </w:r>
    </w:p>
  </w:endnote>
  <w:endnote w:id="23">
    <w:p w14:paraId="44EB9724" w14:textId="77777777" w:rsidR="00E40A12" w:rsidRPr="003905FD" w:rsidRDefault="00E40A12" w:rsidP="00B62F1B">
      <w:pPr>
        <w:pStyle w:val="EndnoteText"/>
      </w:pPr>
      <w:r w:rsidRPr="003905FD">
        <w:rPr>
          <w:rStyle w:val="EndnoteReference"/>
        </w:rPr>
        <w:endnoteRef/>
      </w:r>
      <w:r w:rsidRPr="003905FD">
        <w:t xml:space="preserve"> Drilon, A. et al. (2018). </w:t>
      </w:r>
      <w:r w:rsidRPr="003905FD">
        <w:rPr>
          <w:i/>
          <w:iCs/>
        </w:rPr>
        <w:t>op. cit.</w:t>
      </w:r>
    </w:p>
  </w:endnote>
  <w:endnote w:id="24">
    <w:p w14:paraId="7212937C" w14:textId="77777777" w:rsidR="00E40A12" w:rsidRPr="003905FD" w:rsidRDefault="00E40A12" w:rsidP="003C7B0A">
      <w:pPr>
        <w:pStyle w:val="EndnoteText"/>
      </w:pPr>
      <w:r w:rsidRPr="003905FD">
        <w:rPr>
          <w:rStyle w:val="EndnoteReference"/>
        </w:rPr>
        <w:endnoteRef/>
      </w:r>
      <w:r w:rsidRPr="003905FD">
        <w:t xml:space="preserve"> Amatu, A., A. Sartore-Bianchi and S. Siena (2016). "NTRK gene fusions as novel targets of cancer therapy across multiple tumour types." ESMO Open 1(2): e000023.</w:t>
      </w:r>
    </w:p>
  </w:endnote>
  <w:endnote w:id="25">
    <w:p w14:paraId="4DB0F1E9" w14:textId="77777777" w:rsidR="00E40A12" w:rsidRPr="003905FD" w:rsidRDefault="00E40A12" w:rsidP="003C7B0A">
      <w:pPr>
        <w:pStyle w:val="EndnoteText"/>
      </w:pPr>
      <w:r w:rsidRPr="003905FD">
        <w:rPr>
          <w:rStyle w:val="EndnoteReference"/>
        </w:rPr>
        <w:endnoteRef/>
      </w:r>
      <w:r w:rsidRPr="003905FD">
        <w:t xml:space="preserve"> U.S Food and Drug Administration. (2018). "Vitrakvi Product Information." From https://www.accessdata.fda.gov/drugsatfda_docs/label/2018/211710s000lbl.pdf.</w:t>
      </w:r>
    </w:p>
  </w:endnote>
  <w:endnote w:id="26">
    <w:p w14:paraId="183D46D9" w14:textId="77777777" w:rsidR="00E40A12" w:rsidRPr="003905FD" w:rsidRDefault="00E40A12" w:rsidP="003C7B0A">
      <w:pPr>
        <w:pStyle w:val="EndnoteText"/>
        <w:rPr>
          <w:i/>
          <w:iCs/>
        </w:rPr>
      </w:pPr>
      <w:r w:rsidRPr="003905FD">
        <w:rPr>
          <w:rStyle w:val="EndnoteReference"/>
        </w:rPr>
        <w:endnoteRef/>
      </w:r>
      <w:r w:rsidRPr="003905FD">
        <w:t xml:space="preserve"> Drilon, A. et al. (2018). </w:t>
      </w:r>
      <w:r w:rsidRPr="003905FD">
        <w:rPr>
          <w:i/>
          <w:iCs/>
        </w:rPr>
        <w:t>Op. cit.</w:t>
      </w:r>
    </w:p>
  </w:endnote>
  <w:endnote w:id="27">
    <w:p w14:paraId="01D3A616" w14:textId="77777777" w:rsidR="00E40A12" w:rsidRPr="003905FD" w:rsidRDefault="00E40A12" w:rsidP="003C7B0A">
      <w:pPr>
        <w:pStyle w:val="EndnoteText"/>
      </w:pPr>
      <w:r w:rsidRPr="003905FD">
        <w:rPr>
          <w:rStyle w:val="EndnoteReference"/>
        </w:rPr>
        <w:endnoteRef/>
      </w:r>
      <w:r w:rsidRPr="003905FD">
        <w:t xml:space="preserve"> Okamura, R., A. Boichard, S. Kato, J. K. Sicklick, L. Bazhenova and R. Kurzrock (2018). "Analysis of NTRK Alterations in Pan-Cancer Adult and Pediatric Malignancies: Implications for NTRK-Targeted Therapeutics." JCO Precis Oncol 2018.</w:t>
      </w:r>
    </w:p>
  </w:endnote>
  <w:endnote w:id="28">
    <w:p w14:paraId="4E7B0FAA" w14:textId="7E4ABE3B" w:rsidR="00E40A12" w:rsidRPr="003905FD" w:rsidRDefault="00E40A12">
      <w:pPr>
        <w:pStyle w:val="EndnoteText"/>
      </w:pPr>
      <w:r w:rsidRPr="003905FD">
        <w:rPr>
          <w:rStyle w:val="EndnoteReference"/>
        </w:rPr>
        <w:endnoteRef/>
      </w:r>
      <w:r w:rsidRPr="003905FD">
        <w:t xml:space="preserve"> Hsiao, S. J., A. Zehir, A. N. Sireci and D. L. Aisner (2019). "Detection of Tumor NTRK Gene Fusions to Identify Patients Who May Benefit from Tyrosine Kinase (TRK) Inhibitor Therapy." The Journal of Molecular Diagnostics 21(4): 553-571.</w:t>
      </w:r>
    </w:p>
  </w:endnote>
  <w:endnote w:id="29">
    <w:p w14:paraId="29D2C2D2" w14:textId="77777777" w:rsidR="00E40A12" w:rsidRPr="003905FD" w:rsidRDefault="00E40A12" w:rsidP="003351E7">
      <w:pPr>
        <w:pStyle w:val="EndnoteText"/>
      </w:pPr>
      <w:r w:rsidRPr="003905FD">
        <w:rPr>
          <w:rStyle w:val="EndnoteReference"/>
        </w:rPr>
        <w:endnoteRef/>
      </w:r>
      <w:r w:rsidRPr="003905FD">
        <w:t xml:space="preserve"> Analytical validity: the reproducibility and repeatability of the assay, that is, the ability of the test to measure gene expression accurately and reliably.</w:t>
      </w:r>
    </w:p>
  </w:endnote>
  <w:endnote w:id="30">
    <w:p w14:paraId="2FD65E9F" w14:textId="77777777" w:rsidR="00E40A12" w:rsidRPr="003905FD" w:rsidRDefault="00E40A12" w:rsidP="00D420DB">
      <w:pPr>
        <w:pStyle w:val="EndnoteText"/>
      </w:pPr>
      <w:r w:rsidRPr="003905FD">
        <w:rPr>
          <w:rStyle w:val="EndnoteReference"/>
        </w:rPr>
        <w:endnoteRef/>
      </w:r>
      <w:r w:rsidRPr="003905FD">
        <w:t xml:space="preserve"> Clinical validity: measures the test’s ability to predict the presence or absence of disease, that is, the sensitivity, specificity, and positive and negative predictive values, in this case.</w:t>
      </w:r>
    </w:p>
  </w:endnote>
  <w:endnote w:id="31">
    <w:p w14:paraId="3EBB5CB2" w14:textId="77777777" w:rsidR="00E40A12" w:rsidRPr="003905FD" w:rsidRDefault="00E40A12" w:rsidP="00CA44C2">
      <w:pPr>
        <w:pStyle w:val="EndnoteText"/>
        <w:rPr>
          <w:rFonts w:asciiTheme="minorHAnsi" w:hAnsiTheme="minorHAnsi" w:cstheme="minorHAnsi"/>
        </w:rPr>
      </w:pPr>
      <w:r w:rsidRPr="003905FD">
        <w:rPr>
          <w:rStyle w:val="EndnoteReference"/>
          <w:rFonts w:asciiTheme="minorHAnsi" w:hAnsiTheme="minorHAnsi" w:cstheme="minorHAnsi"/>
        </w:rPr>
        <w:endnoteRef/>
      </w:r>
      <w:r w:rsidRPr="003905FD">
        <w:rPr>
          <w:rFonts w:asciiTheme="minorHAnsi" w:hAnsiTheme="minorHAnsi" w:cstheme="minorHAnsi"/>
        </w:rPr>
        <w:t xml:space="preserve"> </w:t>
      </w:r>
      <w:r w:rsidRPr="003905FD">
        <w:rPr>
          <w:rFonts w:asciiTheme="minorHAnsi" w:eastAsiaTheme="minorHAnsi" w:hAnsiTheme="minorHAnsi" w:cstheme="minorHAnsi"/>
        </w:rPr>
        <w:t xml:space="preserve">Marino, P., R. Touzani, L. Perrier, E. Rouleau, D. S. Kossi, Z. Zhaomin, et al. (2018).  "Cost of cancer diagnosis using next-generation sequencing targeted gene panels in routine practice: a nationwide French study." </w:t>
      </w:r>
      <w:r w:rsidRPr="003905FD">
        <w:rPr>
          <w:rFonts w:asciiTheme="minorHAnsi" w:eastAsiaTheme="minorHAnsi" w:hAnsiTheme="minorHAnsi" w:cstheme="minorHAnsi"/>
          <w:u w:val="single"/>
        </w:rPr>
        <w:t>European Journal of Human Genetics</w:t>
      </w:r>
      <w:r w:rsidRPr="003905FD">
        <w:rPr>
          <w:rFonts w:asciiTheme="minorHAnsi" w:eastAsiaTheme="minorHAnsi" w:hAnsiTheme="minorHAnsi" w:cstheme="minorHAnsi"/>
        </w:rPr>
        <w:t xml:space="preserve"> </w:t>
      </w:r>
      <w:r w:rsidRPr="003905FD">
        <w:rPr>
          <w:rFonts w:asciiTheme="minorHAnsi" w:eastAsiaTheme="minorHAnsi" w:hAnsiTheme="minorHAnsi" w:cstheme="minorHAnsi"/>
          <w:b/>
          <w:bCs/>
        </w:rPr>
        <w:t>26</w:t>
      </w:r>
      <w:r w:rsidRPr="003905FD">
        <w:rPr>
          <w:rFonts w:asciiTheme="minorHAnsi" w:eastAsiaTheme="minorHAnsi" w:hAnsiTheme="minorHAnsi" w:cstheme="minorHAnsi"/>
        </w:rPr>
        <w:t>(3): 314-323.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63906797"/>
      <w:docPartObj>
        <w:docPartGallery w:val="Page Numbers (Bottom of Page)"/>
        <w:docPartUnique/>
      </w:docPartObj>
    </w:sdtPr>
    <w:sdtEndPr>
      <w:rPr>
        <w:color w:val="808080" w:themeColor="background1" w:themeShade="80"/>
        <w:spacing w:val="60"/>
        <w:sz w:val="16"/>
        <w:szCs w:val="16"/>
      </w:rPr>
    </w:sdtEndPr>
    <w:sdtContent>
      <w:p w14:paraId="5E707FC2" w14:textId="77777777" w:rsidR="004A0849" w:rsidRDefault="004A0849" w:rsidP="003D699E">
        <w:pPr>
          <w:pStyle w:val="Footer"/>
          <w:pBdr>
            <w:top w:val="single" w:sz="4" w:space="1" w:color="D9D9D9" w:themeColor="background1" w:themeShade="D9"/>
          </w:pBdr>
          <w:rPr>
            <w:color w:val="808080" w:themeColor="background1" w:themeShade="80"/>
            <w:spacing w:val="60"/>
            <w:sz w:val="18"/>
            <w:szCs w:val="18"/>
          </w:rPr>
        </w:pPr>
        <w:r w:rsidRPr="004A0849">
          <w:rPr>
            <w:b/>
            <w:bCs/>
            <w:noProof/>
            <w:sz w:val="18"/>
            <w:szCs w:val="18"/>
          </w:rPr>
          <w:t>22</w:t>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w:t>
        </w:r>
        <w:r w:rsidRPr="005D1AA4">
          <w:rPr>
            <w:color w:val="808080" w:themeColor="background1" w:themeShade="80"/>
            <w:spacing w:val="60"/>
            <w:sz w:val="18"/>
            <w:szCs w:val="18"/>
          </w:rPr>
          <w:t xml:space="preserve"> – </w:t>
        </w:r>
        <w:r>
          <w:rPr>
            <w:color w:val="808080" w:themeColor="background1" w:themeShade="80"/>
            <w:spacing w:val="60"/>
            <w:sz w:val="18"/>
            <w:szCs w:val="18"/>
          </w:rPr>
          <w:t xml:space="preserve">APRIL </w:t>
        </w:r>
        <w:r w:rsidRPr="005D1AA4">
          <w:rPr>
            <w:color w:val="808080" w:themeColor="background1" w:themeShade="80"/>
            <w:spacing w:val="60"/>
            <w:sz w:val="18"/>
            <w:szCs w:val="18"/>
          </w:rPr>
          <w:t>2020</w:t>
        </w:r>
        <w:r>
          <w:rPr>
            <w:color w:val="808080" w:themeColor="background1" w:themeShade="80"/>
            <w:spacing w:val="60"/>
            <w:sz w:val="18"/>
            <w:szCs w:val="18"/>
          </w:rPr>
          <w:tab/>
        </w:r>
      </w:p>
      <w:p w14:paraId="1CE22532" w14:textId="77777777" w:rsidR="004A0849" w:rsidRPr="00E94F76" w:rsidRDefault="004A0849" w:rsidP="0074700A">
        <w:pPr>
          <w:pStyle w:val="Footer"/>
          <w:pBdr>
            <w:top w:val="single" w:sz="4" w:space="1" w:color="D9D9D9" w:themeColor="background1" w:themeShade="D9"/>
          </w:pBdr>
          <w:rPr>
            <w:sz w:val="16"/>
            <w:szCs w:val="16"/>
          </w:rPr>
        </w:pPr>
        <w:r w:rsidRPr="00E94F76">
          <w:rPr>
            <w:color w:val="808080" w:themeColor="background1" w:themeShade="80"/>
            <w:spacing w:val="60"/>
            <w:sz w:val="16"/>
            <w:szCs w:val="16"/>
          </w:rPr>
          <w:t xml:space="preserve">Application 1602: Testing for neurotrophic </w:t>
        </w:r>
        <w:r>
          <w:rPr>
            <w:color w:val="808080" w:themeColor="background1" w:themeShade="80"/>
            <w:spacing w:val="60"/>
            <w:sz w:val="16"/>
            <w:szCs w:val="16"/>
          </w:rPr>
          <w:t xml:space="preserve">tyrosine receptor kinase </w:t>
        </w:r>
        <w:r w:rsidRPr="00E94F76">
          <w:rPr>
            <w:color w:val="808080" w:themeColor="background1" w:themeShade="80"/>
            <w:spacing w:val="60"/>
            <w:sz w:val="16"/>
            <w:szCs w:val="16"/>
          </w:rPr>
          <w:t>gene fusion status in patients with locally advanced or metastatic solid tumours</w:t>
        </w:r>
        <w:r>
          <w:rPr>
            <w:color w:val="808080" w:themeColor="background1" w:themeShade="80"/>
            <w:spacing w:val="60"/>
            <w:sz w:val="16"/>
            <w:szCs w:val="16"/>
          </w:rPr>
          <w:t>,</w:t>
        </w:r>
        <w:r w:rsidRPr="00E94F76">
          <w:rPr>
            <w:color w:val="808080" w:themeColor="background1" w:themeShade="80"/>
            <w:spacing w:val="60"/>
            <w:sz w:val="16"/>
            <w:szCs w:val="16"/>
          </w:rPr>
          <w:t xml:space="preserve"> to determi</w:t>
        </w:r>
        <w:r>
          <w:rPr>
            <w:color w:val="808080" w:themeColor="background1" w:themeShade="80"/>
            <w:spacing w:val="60"/>
            <w:sz w:val="16"/>
            <w:szCs w:val="16"/>
          </w:rPr>
          <w:t>ne eligibility for</w:t>
        </w:r>
        <w:r>
          <w:t xml:space="preserve"> </w:t>
        </w:r>
        <w:r w:rsidRPr="00594CDF">
          <w:rPr>
            <w:color w:val="808080" w:themeColor="background1" w:themeShade="80"/>
            <w:spacing w:val="60"/>
            <w:sz w:val="16"/>
            <w:szCs w:val="16"/>
          </w:rPr>
          <w:t>tropomyosin receptor kinase (TRK) inhibitors</w:t>
        </w:r>
        <w:r>
          <w:rPr>
            <w:color w:val="808080" w:themeColor="background1" w:themeShade="80"/>
            <w:spacing w:val="60"/>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22559219"/>
      <w:docPartObj>
        <w:docPartGallery w:val="Page Numbers (Bottom of Page)"/>
        <w:docPartUnique/>
      </w:docPartObj>
    </w:sdtPr>
    <w:sdtEndPr>
      <w:rPr>
        <w:color w:val="808080" w:themeColor="background1" w:themeShade="80"/>
        <w:spacing w:val="60"/>
        <w:sz w:val="16"/>
        <w:szCs w:val="16"/>
      </w:rPr>
    </w:sdtEndPr>
    <w:sdtContent>
      <w:p w14:paraId="63076F80" w14:textId="2E6831DF" w:rsidR="00E40A12" w:rsidRDefault="00E40A12"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A0849" w:rsidRPr="004A0849">
          <w:rPr>
            <w:b/>
            <w:bCs/>
            <w:noProof/>
            <w:sz w:val="18"/>
            <w:szCs w:val="18"/>
          </w:rPr>
          <w:t>22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w:t>
        </w:r>
        <w:r w:rsidRPr="005D1AA4">
          <w:rPr>
            <w:color w:val="808080" w:themeColor="background1" w:themeShade="80"/>
            <w:spacing w:val="60"/>
            <w:sz w:val="18"/>
            <w:szCs w:val="18"/>
          </w:rPr>
          <w:t xml:space="preserve"> – </w:t>
        </w:r>
        <w:r>
          <w:rPr>
            <w:color w:val="808080" w:themeColor="background1" w:themeShade="80"/>
            <w:spacing w:val="60"/>
            <w:sz w:val="18"/>
            <w:szCs w:val="18"/>
          </w:rPr>
          <w:t xml:space="preserve">APRIL </w:t>
        </w:r>
        <w:r w:rsidRPr="005D1AA4">
          <w:rPr>
            <w:color w:val="808080" w:themeColor="background1" w:themeShade="80"/>
            <w:spacing w:val="60"/>
            <w:sz w:val="18"/>
            <w:szCs w:val="18"/>
          </w:rPr>
          <w:t>2020</w:t>
        </w:r>
        <w:r>
          <w:rPr>
            <w:color w:val="808080" w:themeColor="background1" w:themeShade="80"/>
            <w:spacing w:val="60"/>
            <w:sz w:val="18"/>
            <w:szCs w:val="18"/>
          </w:rPr>
          <w:tab/>
        </w:r>
      </w:p>
      <w:p w14:paraId="2F4D7C9C" w14:textId="79760183" w:rsidR="00E40A12" w:rsidRPr="00E94F76" w:rsidRDefault="00E40A12" w:rsidP="0074700A">
        <w:pPr>
          <w:pStyle w:val="Footer"/>
          <w:pBdr>
            <w:top w:val="single" w:sz="4" w:space="1" w:color="D9D9D9" w:themeColor="background1" w:themeShade="D9"/>
          </w:pBdr>
          <w:rPr>
            <w:sz w:val="16"/>
            <w:szCs w:val="16"/>
          </w:rPr>
        </w:pPr>
        <w:r w:rsidRPr="00E94F76">
          <w:rPr>
            <w:color w:val="808080" w:themeColor="background1" w:themeShade="80"/>
            <w:spacing w:val="60"/>
            <w:sz w:val="16"/>
            <w:szCs w:val="16"/>
          </w:rPr>
          <w:t xml:space="preserve">Application 1602: Testing for neurotrophic </w:t>
        </w:r>
        <w:r>
          <w:rPr>
            <w:color w:val="808080" w:themeColor="background1" w:themeShade="80"/>
            <w:spacing w:val="60"/>
            <w:sz w:val="16"/>
            <w:szCs w:val="16"/>
          </w:rPr>
          <w:t xml:space="preserve">tyrosine receptor kinase </w:t>
        </w:r>
        <w:r w:rsidRPr="00E94F76">
          <w:rPr>
            <w:color w:val="808080" w:themeColor="background1" w:themeShade="80"/>
            <w:spacing w:val="60"/>
            <w:sz w:val="16"/>
            <w:szCs w:val="16"/>
          </w:rPr>
          <w:t>gene fusion status in patients with locally advanced or metastatic solid tumours</w:t>
        </w:r>
        <w:r>
          <w:rPr>
            <w:color w:val="808080" w:themeColor="background1" w:themeShade="80"/>
            <w:spacing w:val="60"/>
            <w:sz w:val="16"/>
            <w:szCs w:val="16"/>
          </w:rPr>
          <w:t>,</w:t>
        </w:r>
        <w:r w:rsidRPr="00E94F76">
          <w:rPr>
            <w:color w:val="808080" w:themeColor="background1" w:themeShade="80"/>
            <w:spacing w:val="60"/>
            <w:sz w:val="16"/>
            <w:szCs w:val="16"/>
          </w:rPr>
          <w:t xml:space="preserve"> to determi</w:t>
        </w:r>
        <w:r>
          <w:rPr>
            <w:color w:val="808080" w:themeColor="background1" w:themeShade="80"/>
            <w:spacing w:val="60"/>
            <w:sz w:val="16"/>
            <w:szCs w:val="16"/>
          </w:rPr>
          <w:t>ne eligibility for</w:t>
        </w:r>
        <w:r>
          <w:t xml:space="preserve"> </w:t>
        </w:r>
        <w:r w:rsidRPr="00594CDF">
          <w:rPr>
            <w:color w:val="808080" w:themeColor="background1" w:themeShade="80"/>
            <w:spacing w:val="60"/>
            <w:sz w:val="16"/>
            <w:szCs w:val="16"/>
          </w:rPr>
          <w:t>tropomyosin receptor kinase (TRK) inhibitors</w:t>
        </w:r>
        <w:r>
          <w:rPr>
            <w:color w:val="808080" w:themeColor="background1" w:themeShade="80"/>
            <w:spacing w:val="60"/>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02219153"/>
      <w:docPartObj>
        <w:docPartGallery w:val="Page Numbers (Bottom of Page)"/>
        <w:docPartUnique/>
      </w:docPartObj>
    </w:sdtPr>
    <w:sdtEndPr>
      <w:rPr>
        <w:color w:val="808080" w:themeColor="background1" w:themeShade="80"/>
        <w:spacing w:val="60"/>
        <w:sz w:val="16"/>
        <w:szCs w:val="16"/>
      </w:rPr>
    </w:sdtEndPr>
    <w:sdtContent>
      <w:p w14:paraId="6C987A1D" w14:textId="58543E45" w:rsidR="00E40A12" w:rsidRDefault="00E40A12"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A0849" w:rsidRPr="004A0849">
          <w:rPr>
            <w:b/>
            <w:bCs/>
            <w:noProof/>
            <w:sz w:val="18"/>
            <w:szCs w:val="18"/>
          </w:rPr>
          <w:t>28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w:t>
        </w:r>
        <w:r w:rsidRPr="005D1AA4">
          <w:rPr>
            <w:color w:val="808080" w:themeColor="background1" w:themeShade="80"/>
            <w:spacing w:val="60"/>
            <w:sz w:val="18"/>
            <w:szCs w:val="18"/>
          </w:rPr>
          <w:t xml:space="preserve"> – </w:t>
        </w:r>
        <w:r>
          <w:rPr>
            <w:color w:val="808080" w:themeColor="background1" w:themeShade="80"/>
            <w:spacing w:val="60"/>
            <w:sz w:val="18"/>
            <w:szCs w:val="18"/>
          </w:rPr>
          <w:t>MARCH</w:t>
        </w:r>
        <w:r w:rsidRPr="005D1AA4">
          <w:rPr>
            <w:color w:val="808080" w:themeColor="background1" w:themeShade="80"/>
            <w:spacing w:val="60"/>
            <w:sz w:val="18"/>
            <w:szCs w:val="18"/>
          </w:rPr>
          <w:t xml:space="preserve"> 2020</w:t>
        </w:r>
        <w:r>
          <w:rPr>
            <w:color w:val="808080" w:themeColor="background1" w:themeShade="80"/>
            <w:spacing w:val="60"/>
            <w:sz w:val="18"/>
            <w:szCs w:val="18"/>
          </w:rPr>
          <w:tab/>
        </w:r>
      </w:p>
      <w:p w14:paraId="59A37A6E" w14:textId="7B4954FD" w:rsidR="00E40A12" w:rsidRPr="00E94F76" w:rsidRDefault="00E40A12" w:rsidP="00E94F76">
        <w:pPr>
          <w:pStyle w:val="Footer"/>
          <w:pBdr>
            <w:top w:val="single" w:sz="4" w:space="1" w:color="D9D9D9" w:themeColor="background1" w:themeShade="D9"/>
          </w:pBdr>
          <w:rPr>
            <w:sz w:val="16"/>
            <w:szCs w:val="16"/>
          </w:rPr>
        </w:pPr>
        <w:r w:rsidRPr="00E94F76">
          <w:rPr>
            <w:color w:val="808080" w:themeColor="background1" w:themeShade="80"/>
            <w:spacing w:val="60"/>
            <w:sz w:val="16"/>
            <w:szCs w:val="16"/>
          </w:rPr>
          <w:t>Application 1602: Testing for neurotrophic tyrosine receptor kinase (NTRK) gene fusion status in patients with locally advanced or metastatic solid tumours to determi</w:t>
        </w:r>
        <w:r>
          <w:rPr>
            <w:color w:val="808080" w:themeColor="background1" w:themeShade="80"/>
            <w:spacing w:val="60"/>
            <w:sz w:val="16"/>
            <w:szCs w:val="16"/>
          </w:rPr>
          <w:t>ne eligibility for larotrectinib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1F5B7" w14:textId="77777777" w:rsidR="00E40A12" w:rsidRDefault="00E40A12" w:rsidP="003D699E">
      <w:pPr>
        <w:spacing w:after="0" w:line="240" w:lineRule="auto"/>
      </w:pPr>
      <w:r>
        <w:separator/>
      </w:r>
    </w:p>
  </w:footnote>
  <w:footnote w:type="continuationSeparator" w:id="0">
    <w:p w14:paraId="232EF2D2" w14:textId="77777777" w:rsidR="00E40A12" w:rsidRDefault="00E40A12" w:rsidP="003D699E">
      <w:pPr>
        <w:spacing w:after="0" w:line="240" w:lineRule="auto"/>
      </w:pPr>
      <w:r>
        <w:continuationSeparator/>
      </w:r>
    </w:p>
  </w:footnote>
  <w:footnote w:id="1">
    <w:p w14:paraId="21AC6CC1" w14:textId="78B3AD9C" w:rsidR="00E40A12" w:rsidRDefault="00E40A12">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2645" w14:textId="77777777" w:rsidR="004A0849" w:rsidRDefault="004A0849">
    <w:pPr>
      <w:pStyle w:val="Header"/>
    </w:pPr>
    <w:r>
      <w:rPr>
        <w:noProof/>
        <w:lang w:eastAsia="en-AU"/>
      </w:rPr>
      <mc:AlternateContent>
        <mc:Choice Requires="wps">
          <w:drawing>
            <wp:anchor distT="0" distB="0" distL="114300" distR="114300" simplePos="0" relativeHeight="251682816" behindDoc="1" locked="0" layoutInCell="0" allowOverlap="1" wp14:anchorId="3361288C" wp14:editId="315D4B64">
              <wp:simplePos x="0" y="0"/>
              <wp:positionH relativeFrom="margin">
                <wp:align>center</wp:align>
              </wp:positionH>
              <wp:positionV relativeFrom="margin">
                <wp:align>center</wp:align>
              </wp:positionV>
              <wp:extent cx="7458710" cy="621030"/>
              <wp:effectExtent l="0" t="2486025" r="0" b="242697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B1DC87" w14:textId="77777777" w:rsidR="004A0849" w:rsidRDefault="004A0849" w:rsidP="00855FBE">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61288C"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6ahgIAAPs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C1D+&#10;mo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6AB1DC87" w14:textId="77777777" w:rsidR="004A0849" w:rsidRDefault="004A0849" w:rsidP="00855FBE">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9D48" w14:textId="77777777" w:rsidR="00E40A12" w:rsidRDefault="00E40A12">
    <w:pPr>
      <w:pStyle w:val="Header"/>
    </w:pPr>
    <w:r>
      <w:rPr>
        <w:noProof/>
        <w:lang w:eastAsia="en-AU"/>
      </w:rPr>
      <mc:AlternateContent>
        <mc:Choice Requires="wps">
          <w:drawing>
            <wp:anchor distT="0" distB="0" distL="114300" distR="114300" simplePos="0" relativeHeight="251670528" behindDoc="1" locked="0" layoutInCell="0" allowOverlap="1" wp14:anchorId="79CB7D24" wp14:editId="3287E09B">
              <wp:simplePos x="0" y="0"/>
              <wp:positionH relativeFrom="margin">
                <wp:align>center</wp:align>
              </wp:positionH>
              <wp:positionV relativeFrom="margin">
                <wp:align>center</wp:align>
              </wp:positionV>
              <wp:extent cx="7458710" cy="621030"/>
              <wp:effectExtent l="0" t="2486025" r="0" b="24269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423915" w14:textId="77777777" w:rsidR="00E40A12" w:rsidRDefault="00E40A12" w:rsidP="00855FBE">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CB7D24" id="_x0000_t202" coordsize="21600,21600" o:spt="202" path="m,l,21600r21600,l21600,xe">
              <v:stroke joinstyle="miter"/>
              <v:path gradientshapeok="t" o:connecttype="rect"/>
            </v:shapetype>
            <v:shape id="_x0000_s1027" type="#_x0000_t202" style="position:absolute;margin-left:0;margin-top:0;width:587.3pt;height:48.9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2ohgIAAPs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7fWt&#10;qI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7D423915" w14:textId="77777777" w:rsidR="00E40A12" w:rsidRDefault="00E40A12" w:rsidP="00855FBE">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25C3" w14:textId="21C07859" w:rsidR="00E40A12" w:rsidRDefault="00E40A12">
    <w:pPr>
      <w:pStyle w:val="Header"/>
    </w:pPr>
    <w:r>
      <w:rPr>
        <w:noProof/>
        <w:lang w:eastAsia="en-AU"/>
      </w:rPr>
      <mc:AlternateContent>
        <mc:Choice Requires="wps">
          <w:drawing>
            <wp:anchor distT="0" distB="0" distL="114300" distR="114300" simplePos="0" relativeHeight="251668480" behindDoc="1" locked="0" layoutInCell="0" allowOverlap="1" wp14:anchorId="79CB7D24" wp14:editId="3287E09B">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BB6520" w14:textId="77777777" w:rsidR="00E40A12" w:rsidRDefault="00E40A12" w:rsidP="00855FBE">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CB7D24" id="_x0000_t202" coordsize="21600,21600" o:spt="202" path="m,l,21600r21600,l21600,xe">
              <v:stroke joinstyle="miter"/>
              <v:path gradientshapeok="t" o:connecttype="rect"/>
            </v:shapetype>
            <v:shape id="_x0000_s1028" type="#_x0000_t202" style="position:absolute;margin-left:0;margin-top:0;width:587.3pt;height:48.9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2diAIAAAIF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" o:allowincell="f" filled="f" stroked="f">
              <v:stroke joinstyle="round"/>
              <o:lock v:ext="edit" shapetype="t"/>
              <v:textbox style="mso-fit-shape-to-text:t">
                <w:txbxContent>
                  <w:p w14:paraId="0FBB6520" w14:textId="77777777" w:rsidR="00E40A12" w:rsidRDefault="00E40A12" w:rsidP="00855FBE">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4FE"/>
    <w:multiLevelType w:val="hybridMultilevel"/>
    <w:tmpl w:val="FB8E39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32503"/>
    <w:multiLevelType w:val="hybridMultilevel"/>
    <w:tmpl w:val="26E6D05C"/>
    <w:lvl w:ilvl="0" w:tplc="E5D4AD00">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D56C0"/>
    <w:multiLevelType w:val="hybridMultilevel"/>
    <w:tmpl w:val="10562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2C429B8"/>
    <w:multiLevelType w:val="hybridMultilevel"/>
    <w:tmpl w:val="5B0C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E489C"/>
    <w:multiLevelType w:val="hybridMultilevel"/>
    <w:tmpl w:val="978A0646"/>
    <w:lvl w:ilvl="0" w:tplc="0C090001">
      <w:start w:val="1"/>
      <w:numFmt w:val="bullet"/>
      <w:lvlText w:val=""/>
      <w:lvlJc w:val="left"/>
      <w:pPr>
        <w:ind w:left="720" w:hanging="360"/>
      </w:pPr>
      <w:rPr>
        <w:rFonts w:ascii="Symbol" w:hAnsi="Symbol" w:hint="default"/>
      </w:rPr>
    </w:lvl>
    <w:lvl w:ilvl="1" w:tplc="0D2EDFB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04D56"/>
    <w:multiLevelType w:val="hybridMultilevel"/>
    <w:tmpl w:val="4D8E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4085F"/>
    <w:multiLevelType w:val="hybridMultilevel"/>
    <w:tmpl w:val="B4B64348"/>
    <w:lvl w:ilvl="0" w:tplc="1CF08AD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724DA"/>
    <w:multiLevelType w:val="hybridMultilevel"/>
    <w:tmpl w:val="8642F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17A60"/>
    <w:multiLevelType w:val="hybridMultilevel"/>
    <w:tmpl w:val="28D03B84"/>
    <w:lvl w:ilvl="0" w:tplc="0C090001">
      <w:start w:val="1"/>
      <w:numFmt w:val="bullet"/>
      <w:lvlText w:val=""/>
      <w:lvlJc w:val="left"/>
      <w:pPr>
        <w:ind w:left="696" w:hanging="360"/>
      </w:pPr>
      <w:rPr>
        <w:rFonts w:ascii="Symbol" w:hAnsi="Symbol"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2136" w:hanging="360"/>
      </w:pPr>
      <w:rPr>
        <w:rFonts w:ascii="Wingdings" w:hAnsi="Wingdings" w:hint="default"/>
      </w:rPr>
    </w:lvl>
    <w:lvl w:ilvl="3" w:tplc="0C090001" w:tentative="1">
      <w:start w:val="1"/>
      <w:numFmt w:val="bullet"/>
      <w:lvlText w:val=""/>
      <w:lvlJc w:val="left"/>
      <w:pPr>
        <w:ind w:left="2856" w:hanging="360"/>
      </w:pPr>
      <w:rPr>
        <w:rFonts w:ascii="Symbol" w:hAnsi="Symbol" w:hint="default"/>
      </w:rPr>
    </w:lvl>
    <w:lvl w:ilvl="4" w:tplc="0C090003" w:tentative="1">
      <w:start w:val="1"/>
      <w:numFmt w:val="bullet"/>
      <w:lvlText w:val="o"/>
      <w:lvlJc w:val="left"/>
      <w:pPr>
        <w:ind w:left="3576" w:hanging="360"/>
      </w:pPr>
      <w:rPr>
        <w:rFonts w:ascii="Courier New" w:hAnsi="Courier New" w:cs="Courier New" w:hint="default"/>
      </w:rPr>
    </w:lvl>
    <w:lvl w:ilvl="5" w:tplc="0C090005" w:tentative="1">
      <w:start w:val="1"/>
      <w:numFmt w:val="bullet"/>
      <w:lvlText w:val=""/>
      <w:lvlJc w:val="left"/>
      <w:pPr>
        <w:ind w:left="4296" w:hanging="360"/>
      </w:pPr>
      <w:rPr>
        <w:rFonts w:ascii="Wingdings" w:hAnsi="Wingdings" w:hint="default"/>
      </w:rPr>
    </w:lvl>
    <w:lvl w:ilvl="6" w:tplc="0C090001" w:tentative="1">
      <w:start w:val="1"/>
      <w:numFmt w:val="bullet"/>
      <w:lvlText w:val=""/>
      <w:lvlJc w:val="left"/>
      <w:pPr>
        <w:ind w:left="5016" w:hanging="360"/>
      </w:pPr>
      <w:rPr>
        <w:rFonts w:ascii="Symbol" w:hAnsi="Symbol" w:hint="default"/>
      </w:rPr>
    </w:lvl>
    <w:lvl w:ilvl="7" w:tplc="0C090003" w:tentative="1">
      <w:start w:val="1"/>
      <w:numFmt w:val="bullet"/>
      <w:lvlText w:val="o"/>
      <w:lvlJc w:val="left"/>
      <w:pPr>
        <w:ind w:left="5736" w:hanging="360"/>
      </w:pPr>
      <w:rPr>
        <w:rFonts w:ascii="Courier New" w:hAnsi="Courier New" w:cs="Courier New" w:hint="default"/>
      </w:rPr>
    </w:lvl>
    <w:lvl w:ilvl="8" w:tplc="0C090005" w:tentative="1">
      <w:start w:val="1"/>
      <w:numFmt w:val="bullet"/>
      <w:lvlText w:val=""/>
      <w:lvlJc w:val="left"/>
      <w:pPr>
        <w:ind w:left="6456" w:hanging="360"/>
      </w:pPr>
      <w:rPr>
        <w:rFonts w:ascii="Wingdings" w:hAnsi="Wingdings" w:hint="default"/>
      </w:rPr>
    </w:lvl>
  </w:abstractNum>
  <w:abstractNum w:abstractNumId="13" w15:restartNumberingAfterBreak="0">
    <w:nsid w:val="36687720"/>
    <w:multiLevelType w:val="hybridMultilevel"/>
    <w:tmpl w:val="BBA0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F16A2C"/>
    <w:multiLevelType w:val="hybridMultilevel"/>
    <w:tmpl w:val="B34AC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D74D1E"/>
    <w:multiLevelType w:val="hybridMultilevel"/>
    <w:tmpl w:val="D4CE5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90209"/>
    <w:multiLevelType w:val="hybridMultilevel"/>
    <w:tmpl w:val="33FCA70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7" w15:restartNumberingAfterBreak="0">
    <w:nsid w:val="400F3961"/>
    <w:multiLevelType w:val="hybridMultilevel"/>
    <w:tmpl w:val="887EF570"/>
    <w:lvl w:ilvl="0" w:tplc="EB9ECE1C">
      <w:start w:val="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6F75C1"/>
    <w:multiLevelType w:val="hybridMultilevel"/>
    <w:tmpl w:val="7F0E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862DC"/>
    <w:multiLevelType w:val="hybridMultilevel"/>
    <w:tmpl w:val="C3181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F7774B"/>
    <w:multiLevelType w:val="hybridMultilevel"/>
    <w:tmpl w:val="1A5216F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895456"/>
    <w:multiLevelType w:val="hybridMultilevel"/>
    <w:tmpl w:val="D0AE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628A8"/>
    <w:multiLevelType w:val="hybridMultilevel"/>
    <w:tmpl w:val="D046A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F61FF"/>
    <w:multiLevelType w:val="hybridMultilevel"/>
    <w:tmpl w:val="0158CEB2"/>
    <w:lvl w:ilvl="0" w:tplc="96B2A1F0">
      <w:start w:val="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D20BB9"/>
    <w:multiLevelType w:val="hybridMultilevel"/>
    <w:tmpl w:val="BA22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0AE6E00"/>
    <w:multiLevelType w:val="hybridMultilevel"/>
    <w:tmpl w:val="85D8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83013"/>
    <w:multiLevelType w:val="hybridMultilevel"/>
    <w:tmpl w:val="A0D22944"/>
    <w:lvl w:ilvl="0" w:tplc="0C090001">
      <w:start w:val="1"/>
      <w:numFmt w:val="bullet"/>
      <w:lvlText w:val=""/>
      <w:lvlJc w:val="left"/>
      <w:pPr>
        <w:ind w:left="720" w:hanging="360"/>
      </w:pPr>
      <w:rPr>
        <w:rFonts w:ascii="Symbol" w:hAnsi="Symbol" w:hint="default"/>
      </w:rPr>
    </w:lvl>
    <w:lvl w:ilvl="1" w:tplc="888E1CD2">
      <w:start w:val="1"/>
      <w:numFmt w:val="bullet"/>
      <w:lvlText w:val="o"/>
      <w:lvlJc w:val="left"/>
      <w:pPr>
        <w:ind w:left="1440" w:hanging="360"/>
      </w:pPr>
      <w:rPr>
        <w:rFonts w:ascii="Courier New" w:hAnsi="Courier New" w:cs="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73C78"/>
    <w:multiLevelType w:val="hybridMultilevel"/>
    <w:tmpl w:val="49CEB9C2"/>
    <w:lvl w:ilvl="0" w:tplc="542EF0D8">
      <w:start w:val="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63489C"/>
    <w:multiLevelType w:val="hybridMultilevel"/>
    <w:tmpl w:val="AE06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4F03FD"/>
    <w:multiLevelType w:val="hybridMultilevel"/>
    <w:tmpl w:val="309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350FCC"/>
    <w:multiLevelType w:val="hybridMultilevel"/>
    <w:tmpl w:val="BDB0AFF4"/>
    <w:lvl w:ilvl="0" w:tplc="C5248CF4">
      <w:start w:val="1"/>
      <w:numFmt w:val="bullet"/>
      <w:lvlText w:val=""/>
      <w:lvlJc w:val="left"/>
      <w:pPr>
        <w:ind w:left="785"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72359ED"/>
    <w:multiLevelType w:val="hybridMultilevel"/>
    <w:tmpl w:val="5D82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126601"/>
    <w:multiLevelType w:val="hybridMultilevel"/>
    <w:tmpl w:val="20DE4C5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8" w15:restartNumberingAfterBreak="0">
    <w:nsid w:val="7A7076BE"/>
    <w:multiLevelType w:val="hybridMultilevel"/>
    <w:tmpl w:val="0450C8F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F732408"/>
    <w:multiLevelType w:val="hybridMultilevel"/>
    <w:tmpl w:val="1D7A4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3"/>
  </w:num>
  <w:num w:numId="3">
    <w:abstractNumId w:val="8"/>
  </w:num>
  <w:num w:numId="4">
    <w:abstractNumId w:val="33"/>
  </w:num>
  <w:num w:numId="5">
    <w:abstractNumId w:val="35"/>
  </w:num>
  <w:num w:numId="6">
    <w:abstractNumId w:val="25"/>
  </w:num>
  <w:num w:numId="7">
    <w:abstractNumId w:val="5"/>
  </w:num>
  <w:num w:numId="8">
    <w:abstractNumId w:val="4"/>
  </w:num>
  <w:num w:numId="9">
    <w:abstractNumId w:val="27"/>
  </w:num>
  <w:num w:numId="10">
    <w:abstractNumId w:val="20"/>
  </w:num>
  <w:num w:numId="11">
    <w:abstractNumId w:val="24"/>
  </w:num>
  <w:num w:numId="12">
    <w:abstractNumId w:val="9"/>
  </w:num>
  <w:num w:numId="13">
    <w:abstractNumId w:val="26"/>
  </w:num>
  <w:num w:numId="14">
    <w:abstractNumId w:val="7"/>
  </w:num>
  <w:num w:numId="15">
    <w:abstractNumId w:val="34"/>
  </w:num>
  <w:num w:numId="16">
    <w:abstractNumId w:val="11"/>
  </w:num>
  <w:num w:numId="17">
    <w:abstractNumId w:val="36"/>
  </w:num>
  <w:num w:numId="18">
    <w:abstractNumId w:val="15"/>
  </w:num>
  <w:num w:numId="19">
    <w:abstractNumId w:val="22"/>
  </w:num>
  <w:num w:numId="20">
    <w:abstractNumId w:val="10"/>
  </w:num>
  <w:num w:numId="21">
    <w:abstractNumId w:val="23"/>
  </w:num>
  <w:num w:numId="22">
    <w:abstractNumId w:val="30"/>
  </w:num>
  <w:num w:numId="23">
    <w:abstractNumId w:val="17"/>
  </w:num>
  <w:num w:numId="24">
    <w:abstractNumId w:val="14"/>
  </w:num>
  <w:num w:numId="25">
    <w:abstractNumId w:val="29"/>
  </w:num>
  <w:num w:numId="26">
    <w:abstractNumId w:val="37"/>
  </w:num>
  <w:num w:numId="27">
    <w:abstractNumId w:val="16"/>
  </w:num>
  <w:num w:numId="28">
    <w:abstractNumId w:val="18"/>
  </w:num>
  <w:num w:numId="29">
    <w:abstractNumId w:val="2"/>
  </w:num>
  <w:num w:numId="30">
    <w:abstractNumId w:val="13"/>
  </w:num>
  <w:num w:numId="31">
    <w:abstractNumId w:val="12"/>
  </w:num>
  <w:num w:numId="32">
    <w:abstractNumId w:val="1"/>
  </w:num>
  <w:num w:numId="33">
    <w:abstractNumId w:val="39"/>
  </w:num>
  <w:num w:numId="34">
    <w:abstractNumId w:val="31"/>
  </w:num>
  <w:num w:numId="35">
    <w:abstractNumId w:val="6"/>
  </w:num>
  <w:num w:numId="36">
    <w:abstractNumId w:val="21"/>
  </w:num>
  <w:num w:numId="37">
    <w:abstractNumId w:val="32"/>
  </w:num>
  <w:num w:numId="38">
    <w:abstractNumId w:val="0"/>
  </w:num>
  <w:num w:numId="39">
    <w:abstractNumId w:val="1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20"/>
  <w:characterSpacingControl w:val="doNotCompress"/>
  <w:hdrShapeDefaults>
    <o:shapedefaults v:ext="edit" spidmax="1228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14C5"/>
    <w:rsid w:val="00002118"/>
    <w:rsid w:val="00004548"/>
    <w:rsid w:val="00004DD2"/>
    <w:rsid w:val="00006687"/>
    <w:rsid w:val="00006774"/>
    <w:rsid w:val="00010B0E"/>
    <w:rsid w:val="00014375"/>
    <w:rsid w:val="00016398"/>
    <w:rsid w:val="000217EE"/>
    <w:rsid w:val="00021AEF"/>
    <w:rsid w:val="00024817"/>
    <w:rsid w:val="00026BB4"/>
    <w:rsid w:val="000278BC"/>
    <w:rsid w:val="0003068E"/>
    <w:rsid w:val="000306EB"/>
    <w:rsid w:val="00030F61"/>
    <w:rsid w:val="000313F4"/>
    <w:rsid w:val="00031AC0"/>
    <w:rsid w:val="00031FFA"/>
    <w:rsid w:val="00032398"/>
    <w:rsid w:val="00032F32"/>
    <w:rsid w:val="000370A2"/>
    <w:rsid w:val="00037E41"/>
    <w:rsid w:val="000403AF"/>
    <w:rsid w:val="000418EF"/>
    <w:rsid w:val="00042202"/>
    <w:rsid w:val="00046B1A"/>
    <w:rsid w:val="000479F2"/>
    <w:rsid w:val="00047DDE"/>
    <w:rsid w:val="000505C7"/>
    <w:rsid w:val="000510E9"/>
    <w:rsid w:val="0005188E"/>
    <w:rsid w:val="00056ACD"/>
    <w:rsid w:val="00056B55"/>
    <w:rsid w:val="00056CCF"/>
    <w:rsid w:val="00057693"/>
    <w:rsid w:val="000618F6"/>
    <w:rsid w:val="000625AA"/>
    <w:rsid w:val="00062F98"/>
    <w:rsid w:val="00063AC8"/>
    <w:rsid w:val="00064304"/>
    <w:rsid w:val="000645AF"/>
    <w:rsid w:val="00064723"/>
    <w:rsid w:val="000659F9"/>
    <w:rsid w:val="00066361"/>
    <w:rsid w:val="00066BE9"/>
    <w:rsid w:val="00070424"/>
    <w:rsid w:val="00070465"/>
    <w:rsid w:val="000709DB"/>
    <w:rsid w:val="00073893"/>
    <w:rsid w:val="00073B3B"/>
    <w:rsid w:val="000760A5"/>
    <w:rsid w:val="00081716"/>
    <w:rsid w:val="000827D1"/>
    <w:rsid w:val="00087A8E"/>
    <w:rsid w:val="00087BC5"/>
    <w:rsid w:val="000917D4"/>
    <w:rsid w:val="00092E03"/>
    <w:rsid w:val="00093FB7"/>
    <w:rsid w:val="00094CB2"/>
    <w:rsid w:val="00095C47"/>
    <w:rsid w:val="000A0622"/>
    <w:rsid w:val="000A0FBA"/>
    <w:rsid w:val="000A19D4"/>
    <w:rsid w:val="000A34C8"/>
    <w:rsid w:val="000A4E44"/>
    <w:rsid w:val="000A63E3"/>
    <w:rsid w:val="000A6DDD"/>
    <w:rsid w:val="000A71B3"/>
    <w:rsid w:val="000B0AD2"/>
    <w:rsid w:val="000B0AD8"/>
    <w:rsid w:val="000B1968"/>
    <w:rsid w:val="000B4213"/>
    <w:rsid w:val="000B4A57"/>
    <w:rsid w:val="000B4CFB"/>
    <w:rsid w:val="000B519A"/>
    <w:rsid w:val="000B523F"/>
    <w:rsid w:val="000B74C7"/>
    <w:rsid w:val="000C1AF2"/>
    <w:rsid w:val="000C3743"/>
    <w:rsid w:val="000C3CEA"/>
    <w:rsid w:val="000C4279"/>
    <w:rsid w:val="000C4EFB"/>
    <w:rsid w:val="000C52D9"/>
    <w:rsid w:val="000C5346"/>
    <w:rsid w:val="000C554B"/>
    <w:rsid w:val="000C6E1A"/>
    <w:rsid w:val="000C79C5"/>
    <w:rsid w:val="000D0E4C"/>
    <w:rsid w:val="000D470F"/>
    <w:rsid w:val="000D6610"/>
    <w:rsid w:val="000E3711"/>
    <w:rsid w:val="000E7E5C"/>
    <w:rsid w:val="000F154D"/>
    <w:rsid w:val="000F20D6"/>
    <w:rsid w:val="000F41AD"/>
    <w:rsid w:val="000F4DA6"/>
    <w:rsid w:val="000F6E4C"/>
    <w:rsid w:val="00102A7E"/>
    <w:rsid w:val="001041A8"/>
    <w:rsid w:val="00106F88"/>
    <w:rsid w:val="001136A7"/>
    <w:rsid w:val="00113BD2"/>
    <w:rsid w:val="0012442F"/>
    <w:rsid w:val="0012449A"/>
    <w:rsid w:val="00124AC3"/>
    <w:rsid w:val="001260BD"/>
    <w:rsid w:val="0012661D"/>
    <w:rsid w:val="0012691B"/>
    <w:rsid w:val="001275D6"/>
    <w:rsid w:val="00130197"/>
    <w:rsid w:val="0013109E"/>
    <w:rsid w:val="00134FEC"/>
    <w:rsid w:val="001364CC"/>
    <w:rsid w:val="00136E3A"/>
    <w:rsid w:val="00140666"/>
    <w:rsid w:val="00145087"/>
    <w:rsid w:val="001455EC"/>
    <w:rsid w:val="00146E8D"/>
    <w:rsid w:val="00147102"/>
    <w:rsid w:val="00147DAD"/>
    <w:rsid w:val="00150C69"/>
    <w:rsid w:val="00151F03"/>
    <w:rsid w:val="001546E4"/>
    <w:rsid w:val="00154AD5"/>
    <w:rsid w:val="0015601C"/>
    <w:rsid w:val="00156A69"/>
    <w:rsid w:val="00160402"/>
    <w:rsid w:val="001617F2"/>
    <w:rsid w:val="0016191F"/>
    <w:rsid w:val="0016193B"/>
    <w:rsid w:val="001621DB"/>
    <w:rsid w:val="001625F4"/>
    <w:rsid w:val="0016360B"/>
    <w:rsid w:val="00164509"/>
    <w:rsid w:val="00164F00"/>
    <w:rsid w:val="001657FD"/>
    <w:rsid w:val="00165B3B"/>
    <w:rsid w:val="001666E3"/>
    <w:rsid w:val="00166EDC"/>
    <w:rsid w:val="00167DCB"/>
    <w:rsid w:val="001704AA"/>
    <w:rsid w:val="001704B7"/>
    <w:rsid w:val="00171672"/>
    <w:rsid w:val="0017447A"/>
    <w:rsid w:val="00174529"/>
    <w:rsid w:val="00174BA2"/>
    <w:rsid w:val="00175FA5"/>
    <w:rsid w:val="00181D48"/>
    <w:rsid w:val="00181F72"/>
    <w:rsid w:val="001822E3"/>
    <w:rsid w:val="00183B81"/>
    <w:rsid w:val="00185A78"/>
    <w:rsid w:val="00185CAD"/>
    <w:rsid w:val="0018650C"/>
    <w:rsid w:val="00187A32"/>
    <w:rsid w:val="00191E53"/>
    <w:rsid w:val="00192966"/>
    <w:rsid w:val="00193D79"/>
    <w:rsid w:val="0019584C"/>
    <w:rsid w:val="00195A5F"/>
    <w:rsid w:val="00196BEE"/>
    <w:rsid w:val="00197879"/>
    <w:rsid w:val="001A1EB8"/>
    <w:rsid w:val="001A6480"/>
    <w:rsid w:val="001A6CA1"/>
    <w:rsid w:val="001C01FA"/>
    <w:rsid w:val="001C189F"/>
    <w:rsid w:val="001C5C2E"/>
    <w:rsid w:val="001C6221"/>
    <w:rsid w:val="001C6F2F"/>
    <w:rsid w:val="001C78C0"/>
    <w:rsid w:val="001D0169"/>
    <w:rsid w:val="001D5349"/>
    <w:rsid w:val="001D5CEF"/>
    <w:rsid w:val="001D5DB9"/>
    <w:rsid w:val="001E10E7"/>
    <w:rsid w:val="001E1344"/>
    <w:rsid w:val="001E197D"/>
    <w:rsid w:val="001E310B"/>
    <w:rsid w:val="001F06C8"/>
    <w:rsid w:val="001F1217"/>
    <w:rsid w:val="001F17C2"/>
    <w:rsid w:val="001F182A"/>
    <w:rsid w:val="001F2A5C"/>
    <w:rsid w:val="001F3854"/>
    <w:rsid w:val="001F4459"/>
    <w:rsid w:val="001F5CB0"/>
    <w:rsid w:val="001F5F2F"/>
    <w:rsid w:val="001F6692"/>
    <w:rsid w:val="002015DB"/>
    <w:rsid w:val="00202137"/>
    <w:rsid w:val="00202BE5"/>
    <w:rsid w:val="00204C83"/>
    <w:rsid w:val="00210215"/>
    <w:rsid w:val="00212FBF"/>
    <w:rsid w:val="0021432C"/>
    <w:rsid w:val="00215B46"/>
    <w:rsid w:val="00215FDC"/>
    <w:rsid w:val="00217902"/>
    <w:rsid w:val="002247BD"/>
    <w:rsid w:val="00225247"/>
    <w:rsid w:val="002255C5"/>
    <w:rsid w:val="002279E7"/>
    <w:rsid w:val="002305FA"/>
    <w:rsid w:val="002354A7"/>
    <w:rsid w:val="0023594E"/>
    <w:rsid w:val="002400C8"/>
    <w:rsid w:val="00241CFA"/>
    <w:rsid w:val="002433FD"/>
    <w:rsid w:val="00245C1F"/>
    <w:rsid w:val="00246091"/>
    <w:rsid w:val="00250DC4"/>
    <w:rsid w:val="00251BFC"/>
    <w:rsid w:val="00253B6A"/>
    <w:rsid w:val="00253F4E"/>
    <w:rsid w:val="00254874"/>
    <w:rsid w:val="0025567B"/>
    <w:rsid w:val="0025664F"/>
    <w:rsid w:val="002606E0"/>
    <w:rsid w:val="00261716"/>
    <w:rsid w:val="00261F5C"/>
    <w:rsid w:val="00264DE4"/>
    <w:rsid w:val="002651C4"/>
    <w:rsid w:val="002656C3"/>
    <w:rsid w:val="00265FAF"/>
    <w:rsid w:val="002714C0"/>
    <w:rsid w:val="002717B6"/>
    <w:rsid w:val="00272297"/>
    <w:rsid w:val="0027482B"/>
    <w:rsid w:val="00275825"/>
    <w:rsid w:val="00275D0E"/>
    <w:rsid w:val="0027609B"/>
    <w:rsid w:val="00276CAC"/>
    <w:rsid w:val="002777DE"/>
    <w:rsid w:val="00280B66"/>
    <w:rsid w:val="0028265D"/>
    <w:rsid w:val="00282B7B"/>
    <w:rsid w:val="00283758"/>
    <w:rsid w:val="00284332"/>
    <w:rsid w:val="00286AF4"/>
    <w:rsid w:val="00292C0E"/>
    <w:rsid w:val="00292DE9"/>
    <w:rsid w:val="00292E84"/>
    <w:rsid w:val="002954D9"/>
    <w:rsid w:val="002A03CE"/>
    <w:rsid w:val="002A1F85"/>
    <w:rsid w:val="002A2389"/>
    <w:rsid w:val="002A34DA"/>
    <w:rsid w:val="002A38D3"/>
    <w:rsid w:val="002A4909"/>
    <w:rsid w:val="002A66BD"/>
    <w:rsid w:val="002A711A"/>
    <w:rsid w:val="002B11BB"/>
    <w:rsid w:val="002B226C"/>
    <w:rsid w:val="002B3338"/>
    <w:rsid w:val="002B4163"/>
    <w:rsid w:val="002C040A"/>
    <w:rsid w:val="002C0C49"/>
    <w:rsid w:val="002C158E"/>
    <w:rsid w:val="002C2432"/>
    <w:rsid w:val="002C4A3C"/>
    <w:rsid w:val="002C55C4"/>
    <w:rsid w:val="002C55D8"/>
    <w:rsid w:val="002C7CFA"/>
    <w:rsid w:val="002D1238"/>
    <w:rsid w:val="002D4D58"/>
    <w:rsid w:val="002D58F5"/>
    <w:rsid w:val="002D593D"/>
    <w:rsid w:val="002E63C9"/>
    <w:rsid w:val="002E69B5"/>
    <w:rsid w:val="002F2466"/>
    <w:rsid w:val="002F7786"/>
    <w:rsid w:val="00302514"/>
    <w:rsid w:val="00303C94"/>
    <w:rsid w:val="003057B0"/>
    <w:rsid w:val="00306EE0"/>
    <w:rsid w:val="003077E6"/>
    <w:rsid w:val="00311141"/>
    <w:rsid w:val="00316FD6"/>
    <w:rsid w:val="0031722B"/>
    <w:rsid w:val="00317819"/>
    <w:rsid w:val="00317F5F"/>
    <w:rsid w:val="003212DA"/>
    <w:rsid w:val="00322546"/>
    <w:rsid w:val="00322881"/>
    <w:rsid w:val="0032370C"/>
    <w:rsid w:val="00325A02"/>
    <w:rsid w:val="00326544"/>
    <w:rsid w:val="0033037F"/>
    <w:rsid w:val="00331101"/>
    <w:rsid w:val="003318D2"/>
    <w:rsid w:val="0033451F"/>
    <w:rsid w:val="00334660"/>
    <w:rsid w:val="003351E7"/>
    <w:rsid w:val="00341B5E"/>
    <w:rsid w:val="00342451"/>
    <w:rsid w:val="0034307D"/>
    <w:rsid w:val="0034364A"/>
    <w:rsid w:val="00343749"/>
    <w:rsid w:val="003454A9"/>
    <w:rsid w:val="003506DA"/>
    <w:rsid w:val="00351321"/>
    <w:rsid w:val="0035318C"/>
    <w:rsid w:val="003544F6"/>
    <w:rsid w:val="003567A2"/>
    <w:rsid w:val="00356927"/>
    <w:rsid w:val="00362289"/>
    <w:rsid w:val="00362776"/>
    <w:rsid w:val="00362916"/>
    <w:rsid w:val="0036313F"/>
    <w:rsid w:val="00366A21"/>
    <w:rsid w:val="0037099F"/>
    <w:rsid w:val="00374253"/>
    <w:rsid w:val="003770DA"/>
    <w:rsid w:val="00381A96"/>
    <w:rsid w:val="00382875"/>
    <w:rsid w:val="00383CAE"/>
    <w:rsid w:val="00384C48"/>
    <w:rsid w:val="003905FD"/>
    <w:rsid w:val="00390B45"/>
    <w:rsid w:val="003913B0"/>
    <w:rsid w:val="003922E7"/>
    <w:rsid w:val="003942D3"/>
    <w:rsid w:val="003A0728"/>
    <w:rsid w:val="003A0EDC"/>
    <w:rsid w:val="003A21FE"/>
    <w:rsid w:val="003A3432"/>
    <w:rsid w:val="003A3536"/>
    <w:rsid w:val="003A366A"/>
    <w:rsid w:val="003B2403"/>
    <w:rsid w:val="003B2795"/>
    <w:rsid w:val="003B348A"/>
    <w:rsid w:val="003B3578"/>
    <w:rsid w:val="003B3AAF"/>
    <w:rsid w:val="003B4AFB"/>
    <w:rsid w:val="003C0834"/>
    <w:rsid w:val="003C2CB9"/>
    <w:rsid w:val="003C2D98"/>
    <w:rsid w:val="003C3823"/>
    <w:rsid w:val="003C61F4"/>
    <w:rsid w:val="003C7B0A"/>
    <w:rsid w:val="003C7C12"/>
    <w:rsid w:val="003D0726"/>
    <w:rsid w:val="003D3094"/>
    <w:rsid w:val="003D3D4E"/>
    <w:rsid w:val="003D49FC"/>
    <w:rsid w:val="003D699E"/>
    <w:rsid w:val="003E0382"/>
    <w:rsid w:val="003E1A5A"/>
    <w:rsid w:val="003E21FC"/>
    <w:rsid w:val="003E39DA"/>
    <w:rsid w:val="003E7C21"/>
    <w:rsid w:val="003F1548"/>
    <w:rsid w:val="003F1708"/>
    <w:rsid w:val="003F232D"/>
    <w:rsid w:val="003F493C"/>
    <w:rsid w:val="003F58C5"/>
    <w:rsid w:val="003F7390"/>
    <w:rsid w:val="003F7800"/>
    <w:rsid w:val="0040668C"/>
    <w:rsid w:val="004103A9"/>
    <w:rsid w:val="00411511"/>
    <w:rsid w:val="00411C5E"/>
    <w:rsid w:val="00414F7E"/>
    <w:rsid w:val="0041549C"/>
    <w:rsid w:val="004169BA"/>
    <w:rsid w:val="00417EA1"/>
    <w:rsid w:val="00420B5A"/>
    <w:rsid w:val="00421334"/>
    <w:rsid w:val="00421783"/>
    <w:rsid w:val="00421CE3"/>
    <w:rsid w:val="00423AEC"/>
    <w:rsid w:val="0042483F"/>
    <w:rsid w:val="004249FA"/>
    <w:rsid w:val="00425C2A"/>
    <w:rsid w:val="00426312"/>
    <w:rsid w:val="00434602"/>
    <w:rsid w:val="00434D83"/>
    <w:rsid w:val="00435140"/>
    <w:rsid w:val="00436EA7"/>
    <w:rsid w:val="004370C3"/>
    <w:rsid w:val="0043729B"/>
    <w:rsid w:val="00437757"/>
    <w:rsid w:val="00440228"/>
    <w:rsid w:val="004406A9"/>
    <w:rsid w:val="0044317E"/>
    <w:rsid w:val="00443FE7"/>
    <w:rsid w:val="00446FA5"/>
    <w:rsid w:val="0044715D"/>
    <w:rsid w:val="00447713"/>
    <w:rsid w:val="00450705"/>
    <w:rsid w:val="00452936"/>
    <w:rsid w:val="004546B5"/>
    <w:rsid w:val="004554DA"/>
    <w:rsid w:val="004571AD"/>
    <w:rsid w:val="00457C65"/>
    <w:rsid w:val="0046039C"/>
    <w:rsid w:val="004610DC"/>
    <w:rsid w:val="0046263F"/>
    <w:rsid w:val="00464B42"/>
    <w:rsid w:val="00465881"/>
    <w:rsid w:val="00465A69"/>
    <w:rsid w:val="00471887"/>
    <w:rsid w:val="00472A29"/>
    <w:rsid w:val="00473FEC"/>
    <w:rsid w:val="00476D54"/>
    <w:rsid w:val="004778C8"/>
    <w:rsid w:val="00480657"/>
    <w:rsid w:val="004816EB"/>
    <w:rsid w:val="0048360F"/>
    <w:rsid w:val="00483BAE"/>
    <w:rsid w:val="004848BA"/>
    <w:rsid w:val="0048526A"/>
    <w:rsid w:val="0049200F"/>
    <w:rsid w:val="004933E9"/>
    <w:rsid w:val="004963B0"/>
    <w:rsid w:val="00497052"/>
    <w:rsid w:val="004A0849"/>
    <w:rsid w:val="004A1787"/>
    <w:rsid w:val="004A187C"/>
    <w:rsid w:val="004A2FA0"/>
    <w:rsid w:val="004A3302"/>
    <w:rsid w:val="004A3A32"/>
    <w:rsid w:val="004A4AFC"/>
    <w:rsid w:val="004A5B60"/>
    <w:rsid w:val="004B0CC9"/>
    <w:rsid w:val="004B1D05"/>
    <w:rsid w:val="004B2DD3"/>
    <w:rsid w:val="004B3AF5"/>
    <w:rsid w:val="004B3C01"/>
    <w:rsid w:val="004B5698"/>
    <w:rsid w:val="004B5B5C"/>
    <w:rsid w:val="004B663C"/>
    <w:rsid w:val="004B7E09"/>
    <w:rsid w:val="004C1FA9"/>
    <w:rsid w:val="004C2B4C"/>
    <w:rsid w:val="004C6C8D"/>
    <w:rsid w:val="004C756A"/>
    <w:rsid w:val="004C7590"/>
    <w:rsid w:val="004C79E6"/>
    <w:rsid w:val="004D1591"/>
    <w:rsid w:val="004D19E3"/>
    <w:rsid w:val="004D1ABB"/>
    <w:rsid w:val="004D1D41"/>
    <w:rsid w:val="004D29E3"/>
    <w:rsid w:val="004D4C31"/>
    <w:rsid w:val="004D6B11"/>
    <w:rsid w:val="004E0A0A"/>
    <w:rsid w:val="004E0CFA"/>
    <w:rsid w:val="004E11F6"/>
    <w:rsid w:val="004E2463"/>
    <w:rsid w:val="004E4BAA"/>
    <w:rsid w:val="004E5A22"/>
    <w:rsid w:val="004E6569"/>
    <w:rsid w:val="004E718C"/>
    <w:rsid w:val="004F2289"/>
    <w:rsid w:val="004F5A82"/>
    <w:rsid w:val="004F65DE"/>
    <w:rsid w:val="005011C3"/>
    <w:rsid w:val="00502196"/>
    <w:rsid w:val="00502550"/>
    <w:rsid w:val="005029C4"/>
    <w:rsid w:val="00502EBD"/>
    <w:rsid w:val="0050579B"/>
    <w:rsid w:val="00505938"/>
    <w:rsid w:val="00505E50"/>
    <w:rsid w:val="00506864"/>
    <w:rsid w:val="005069B0"/>
    <w:rsid w:val="00507767"/>
    <w:rsid w:val="005103AE"/>
    <w:rsid w:val="00511640"/>
    <w:rsid w:val="0051292A"/>
    <w:rsid w:val="00516CA4"/>
    <w:rsid w:val="0051764F"/>
    <w:rsid w:val="00521968"/>
    <w:rsid w:val="005241F2"/>
    <w:rsid w:val="0052603B"/>
    <w:rsid w:val="00526370"/>
    <w:rsid w:val="005265CD"/>
    <w:rsid w:val="00527CD6"/>
    <w:rsid w:val="0053129B"/>
    <w:rsid w:val="00531353"/>
    <w:rsid w:val="00532AC5"/>
    <w:rsid w:val="00532C5B"/>
    <w:rsid w:val="00534261"/>
    <w:rsid w:val="0053479F"/>
    <w:rsid w:val="005357F0"/>
    <w:rsid w:val="0053647A"/>
    <w:rsid w:val="005367B4"/>
    <w:rsid w:val="00543A25"/>
    <w:rsid w:val="005455E7"/>
    <w:rsid w:val="00545A40"/>
    <w:rsid w:val="00546549"/>
    <w:rsid w:val="00551947"/>
    <w:rsid w:val="005524E7"/>
    <w:rsid w:val="005573D5"/>
    <w:rsid w:val="00560438"/>
    <w:rsid w:val="00563ABB"/>
    <w:rsid w:val="005640CC"/>
    <w:rsid w:val="00564AAD"/>
    <w:rsid w:val="0056573E"/>
    <w:rsid w:val="0056592A"/>
    <w:rsid w:val="00565CA6"/>
    <w:rsid w:val="00566BB7"/>
    <w:rsid w:val="00566F0B"/>
    <w:rsid w:val="005728F9"/>
    <w:rsid w:val="0057414A"/>
    <w:rsid w:val="00575398"/>
    <w:rsid w:val="00582348"/>
    <w:rsid w:val="00585637"/>
    <w:rsid w:val="00585DF0"/>
    <w:rsid w:val="00586287"/>
    <w:rsid w:val="00590562"/>
    <w:rsid w:val="00590A6C"/>
    <w:rsid w:val="0059286F"/>
    <w:rsid w:val="00592A71"/>
    <w:rsid w:val="005946BF"/>
    <w:rsid w:val="00594CDF"/>
    <w:rsid w:val="005A205C"/>
    <w:rsid w:val="005A2F78"/>
    <w:rsid w:val="005A4892"/>
    <w:rsid w:val="005B179B"/>
    <w:rsid w:val="005B6114"/>
    <w:rsid w:val="005B6887"/>
    <w:rsid w:val="005C7571"/>
    <w:rsid w:val="005C7B58"/>
    <w:rsid w:val="005D033B"/>
    <w:rsid w:val="005D0C69"/>
    <w:rsid w:val="005D1AA4"/>
    <w:rsid w:val="005D2108"/>
    <w:rsid w:val="005D4B3E"/>
    <w:rsid w:val="005D5857"/>
    <w:rsid w:val="005D5987"/>
    <w:rsid w:val="005D6F5A"/>
    <w:rsid w:val="005D74A7"/>
    <w:rsid w:val="005E1925"/>
    <w:rsid w:val="005E1A86"/>
    <w:rsid w:val="005E4D7C"/>
    <w:rsid w:val="005E4EE9"/>
    <w:rsid w:val="005E5088"/>
    <w:rsid w:val="005E5FFE"/>
    <w:rsid w:val="005E63C5"/>
    <w:rsid w:val="005E7672"/>
    <w:rsid w:val="005E78E9"/>
    <w:rsid w:val="005F06DF"/>
    <w:rsid w:val="005F2316"/>
    <w:rsid w:val="005F3B56"/>
    <w:rsid w:val="005F4D2F"/>
    <w:rsid w:val="005F6A8B"/>
    <w:rsid w:val="00601220"/>
    <w:rsid w:val="00601EA4"/>
    <w:rsid w:val="00602459"/>
    <w:rsid w:val="00606EAC"/>
    <w:rsid w:val="00607884"/>
    <w:rsid w:val="00610E99"/>
    <w:rsid w:val="006113D5"/>
    <w:rsid w:val="006120BE"/>
    <w:rsid w:val="00613113"/>
    <w:rsid w:val="00615A15"/>
    <w:rsid w:val="00616452"/>
    <w:rsid w:val="00617C48"/>
    <w:rsid w:val="00617E43"/>
    <w:rsid w:val="00620212"/>
    <w:rsid w:val="0062172F"/>
    <w:rsid w:val="00621C3C"/>
    <w:rsid w:val="00622DB9"/>
    <w:rsid w:val="006234B3"/>
    <w:rsid w:val="006238C5"/>
    <w:rsid w:val="00623E20"/>
    <w:rsid w:val="006244BD"/>
    <w:rsid w:val="00626782"/>
    <w:rsid w:val="00627B5C"/>
    <w:rsid w:val="00627EB8"/>
    <w:rsid w:val="00631F61"/>
    <w:rsid w:val="006323A7"/>
    <w:rsid w:val="00634C11"/>
    <w:rsid w:val="00635278"/>
    <w:rsid w:val="00635FFE"/>
    <w:rsid w:val="00637553"/>
    <w:rsid w:val="006414C5"/>
    <w:rsid w:val="00641FC8"/>
    <w:rsid w:val="0064446F"/>
    <w:rsid w:val="00644920"/>
    <w:rsid w:val="00644C1E"/>
    <w:rsid w:val="00645FB8"/>
    <w:rsid w:val="00647F14"/>
    <w:rsid w:val="0065137A"/>
    <w:rsid w:val="00652EDF"/>
    <w:rsid w:val="00653BC0"/>
    <w:rsid w:val="00654122"/>
    <w:rsid w:val="00654550"/>
    <w:rsid w:val="00655327"/>
    <w:rsid w:val="00661386"/>
    <w:rsid w:val="00662D00"/>
    <w:rsid w:val="00663CBA"/>
    <w:rsid w:val="0066599A"/>
    <w:rsid w:val="0066702E"/>
    <w:rsid w:val="00672F36"/>
    <w:rsid w:val="0067328A"/>
    <w:rsid w:val="006732E6"/>
    <w:rsid w:val="00673824"/>
    <w:rsid w:val="00673F80"/>
    <w:rsid w:val="00674AB0"/>
    <w:rsid w:val="00676212"/>
    <w:rsid w:val="00676CF8"/>
    <w:rsid w:val="00680343"/>
    <w:rsid w:val="0068158C"/>
    <w:rsid w:val="00681BF4"/>
    <w:rsid w:val="00682EBB"/>
    <w:rsid w:val="00683758"/>
    <w:rsid w:val="00683836"/>
    <w:rsid w:val="006839A3"/>
    <w:rsid w:val="006866E6"/>
    <w:rsid w:val="00692386"/>
    <w:rsid w:val="006940D4"/>
    <w:rsid w:val="00695143"/>
    <w:rsid w:val="00695C69"/>
    <w:rsid w:val="00695CB2"/>
    <w:rsid w:val="006A0D05"/>
    <w:rsid w:val="006A7F1D"/>
    <w:rsid w:val="006B0297"/>
    <w:rsid w:val="006B0DEE"/>
    <w:rsid w:val="006B1DE0"/>
    <w:rsid w:val="006B43B2"/>
    <w:rsid w:val="006B4731"/>
    <w:rsid w:val="006B6204"/>
    <w:rsid w:val="006B6AB9"/>
    <w:rsid w:val="006B6F64"/>
    <w:rsid w:val="006B73B0"/>
    <w:rsid w:val="006B748F"/>
    <w:rsid w:val="006C06B6"/>
    <w:rsid w:val="006C0FDD"/>
    <w:rsid w:val="006C31F7"/>
    <w:rsid w:val="006C3CC9"/>
    <w:rsid w:val="006C4565"/>
    <w:rsid w:val="006C4828"/>
    <w:rsid w:val="006C4A07"/>
    <w:rsid w:val="006C5253"/>
    <w:rsid w:val="006C6153"/>
    <w:rsid w:val="006C71D2"/>
    <w:rsid w:val="006D0E00"/>
    <w:rsid w:val="006D11AC"/>
    <w:rsid w:val="006D1643"/>
    <w:rsid w:val="006D2371"/>
    <w:rsid w:val="006D23F7"/>
    <w:rsid w:val="006D5D1B"/>
    <w:rsid w:val="006D65D3"/>
    <w:rsid w:val="006D73A6"/>
    <w:rsid w:val="006E22C4"/>
    <w:rsid w:val="006E363B"/>
    <w:rsid w:val="006F0F64"/>
    <w:rsid w:val="006F1B49"/>
    <w:rsid w:val="006F1D1A"/>
    <w:rsid w:val="006F1DF9"/>
    <w:rsid w:val="006F351C"/>
    <w:rsid w:val="006F4EDE"/>
    <w:rsid w:val="006F5840"/>
    <w:rsid w:val="006F6088"/>
    <w:rsid w:val="006F6276"/>
    <w:rsid w:val="006F7CF2"/>
    <w:rsid w:val="00700463"/>
    <w:rsid w:val="00701542"/>
    <w:rsid w:val="00701B16"/>
    <w:rsid w:val="007022A7"/>
    <w:rsid w:val="00703429"/>
    <w:rsid w:val="00703608"/>
    <w:rsid w:val="007036AE"/>
    <w:rsid w:val="00703CD8"/>
    <w:rsid w:val="00703E8C"/>
    <w:rsid w:val="00704288"/>
    <w:rsid w:val="0070432A"/>
    <w:rsid w:val="00704CD9"/>
    <w:rsid w:val="00707043"/>
    <w:rsid w:val="00713162"/>
    <w:rsid w:val="00713684"/>
    <w:rsid w:val="00713DA7"/>
    <w:rsid w:val="0071467E"/>
    <w:rsid w:val="00717F9E"/>
    <w:rsid w:val="00722464"/>
    <w:rsid w:val="00723320"/>
    <w:rsid w:val="00723468"/>
    <w:rsid w:val="007234E6"/>
    <w:rsid w:val="00724A79"/>
    <w:rsid w:val="00724BA7"/>
    <w:rsid w:val="0072641A"/>
    <w:rsid w:val="00727F01"/>
    <w:rsid w:val="0073073B"/>
    <w:rsid w:val="00731E6A"/>
    <w:rsid w:val="007346D2"/>
    <w:rsid w:val="00734F81"/>
    <w:rsid w:val="00735CBC"/>
    <w:rsid w:val="00737081"/>
    <w:rsid w:val="0073757B"/>
    <w:rsid w:val="00737894"/>
    <w:rsid w:val="00740960"/>
    <w:rsid w:val="0074162F"/>
    <w:rsid w:val="007440C1"/>
    <w:rsid w:val="00744A33"/>
    <w:rsid w:val="007460E4"/>
    <w:rsid w:val="007463C0"/>
    <w:rsid w:val="0074700A"/>
    <w:rsid w:val="00747702"/>
    <w:rsid w:val="0075012F"/>
    <w:rsid w:val="00750FB3"/>
    <w:rsid w:val="00751006"/>
    <w:rsid w:val="00752491"/>
    <w:rsid w:val="00753B2A"/>
    <w:rsid w:val="00754687"/>
    <w:rsid w:val="00754E99"/>
    <w:rsid w:val="00757C1C"/>
    <w:rsid w:val="0076220C"/>
    <w:rsid w:val="0076226F"/>
    <w:rsid w:val="00765F87"/>
    <w:rsid w:val="007716C8"/>
    <w:rsid w:val="00777A45"/>
    <w:rsid w:val="007807A5"/>
    <w:rsid w:val="007809DB"/>
    <w:rsid w:val="0078145C"/>
    <w:rsid w:val="00781717"/>
    <w:rsid w:val="00795C3C"/>
    <w:rsid w:val="0079625A"/>
    <w:rsid w:val="00796387"/>
    <w:rsid w:val="007965EE"/>
    <w:rsid w:val="00797332"/>
    <w:rsid w:val="00797FE6"/>
    <w:rsid w:val="007A0A68"/>
    <w:rsid w:val="007A1725"/>
    <w:rsid w:val="007A326D"/>
    <w:rsid w:val="007A4DD0"/>
    <w:rsid w:val="007A71F4"/>
    <w:rsid w:val="007A77E8"/>
    <w:rsid w:val="007B1952"/>
    <w:rsid w:val="007B28E6"/>
    <w:rsid w:val="007B4591"/>
    <w:rsid w:val="007B5509"/>
    <w:rsid w:val="007B629D"/>
    <w:rsid w:val="007B6A52"/>
    <w:rsid w:val="007B741C"/>
    <w:rsid w:val="007C0BE1"/>
    <w:rsid w:val="007D0FD9"/>
    <w:rsid w:val="007D1FFA"/>
    <w:rsid w:val="007D2C9F"/>
    <w:rsid w:val="007D359C"/>
    <w:rsid w:val="007D53DE"/>
    <w:rsid w:val="007D56AD"/>
    <w:rsid w:val="007D6DE2"/>
    <w:rsid w:val="007D7C30"/>
    <w:rsid w:val="007E0FAC"/>
    <w:rsid w:val="007E1181"/>
    <w:rsid w:val="007E1866"/>
    <w:rsid w:val="007E3A89"/>
    <w:rsid w:val="007E607A"/>
    <w:rsid w:val="007E7E23"/>
    <w:rsid w:val="007F0172"/>
    <w:rsid w:val="007F4E20"/>
    <w:rsid w:val="007F6609"/>
    <w:rsid w:val="008008DA"/>
    <w:rsid w:val="008012F8"/>
    <w:rsid w:val="00801CB0"/>
    <w:rsid w:val="00802889"/>
    <w:rsid w:val="00802AC0"/>
    <w:rsid w:val="0080587F"/>
    <w:rsid w:val="008073A0"/>
    <w:rsid w:val="00810D49"/>
    <w:rsid w:val="00811418"/>
    <w:rsid w:val="0081239D"/>
    <w:rsid w:val="008137EE"/>
    <w:rsid w:val="00813D64"/>
    <w:rsid w:val="008157AE"/>
    <w:rsid w:val="00822E7C"/>
    <w:rsid w:val="008236AB"/>
    <w:rsid w:val="00824243"/>
    <w:rsid w:val="008252FF"/>
    <w:rsid w:val="00826BB5"/>
    <w:rsid w:val="008272FA"/>
    <w:rsid w:val="00830F56"/>
    <w:rsid w:val="00831CA9"/>
    <w:rsid w:val="00832CA6"/>
    <w:rsid w:val="00834C18"/>
    <w:rsid w:val="00836578"/>
    <w:rsid w:val="00836816"/>
    <w:rsid w:val="008423AD"/>
    <w:rsid w:val="008425D2"/>
    <w:rsid w:val="008437BA"/>
    <w:rsid w:val="00843DEC"/>
    <w:rsid w:val="0084437F"/>
    <w:rsid w:val="0084515F"/>
    <w:rsid w:val="00846389"/>
    <w:rsid w:val="00850C51"/>
    <w:rsid w:val="00851074"/>
    <w:rsid w:val="008511F3"/>
    <w:rsid w:val="00854D9A"/>
    <w:rsid w:val="00855C26"/>
    <w:rsid w:val="00855FBE"/>
    <w:rsid w:val="00856F52"/>
    <w:rsid w:val="008623AD"/>
    <w:rsid w:val="00862CBB"/>
    <w:rsid w:val="0086781A"/>
    <w:rsid w:val="00870120"/>
    <w:rsid w:val="00870245"/>
    <w:rsid w:val="008706D6"/>
    <w:rsid w:val="00870936"/>
    <w:rsid w:val="008715E8"/>
    <w:rsid w:val="00872122"/>
    <w:rsid w:val="00873AB5"/>
    <w:rsid w:val="00874BA7"/>
    <w:rsid w:val="00874C45"/>
    <w:rsid w:val="008757BF"/>
    <w:rsid w:val="0087699D"/>
    <w:rsid w:val="008774BB"/>
    <w:rsid w:val="00877FE7"/>
    <w:rsid w:val="008825ED"/>
    <w:rsid w:val="00885008"/>
    <w:rsid w:val="00887BC6"/>
    <w:rsid w:val="00892A8C"/>
    <w:rsid w:val="00892F1B"/>
    <w:rsid w:val="00893F7D"/>
    <w:rsid w:val="00895BCC"/>
    <w:rsid w:val="00896845"/>
    <w:rsid w:val="008969FB"/>
    <w:rsid w:val="00897DB2"/>
    <w:rsid w:val="008A1F99"/>
    <w:rsid w:val="008A435C"/>
    <w:rsid w:val="008A4D34"/>
    <w:rsid w:val="008B230D"/>
    <w:rsid w:val="008B61C6"/>
    <w:rsid w:val="008B6871"/>
    <w:rsid w:val="008C05C0"/>
    <w:rsid w:val="008C22F7"/>
    <w:rsid w:val="008C30F0"/>
    <w:rsid w:val="008C3E5E"/>
    <w:rsid w:val="008C5C8A"/>
    <w:rsid w:val="008C7915"/>
    <w:rsid w:val="008D4890"/>
    <w:rsid w:val="008D787D"/>
    <w:rsid w:val="008E3FCA"/>
    <w:rsid w:val="008E4CAD"/>
    <w:rsid w:val="008E50D2"/>
    <w:rsid w:val="008E7C6B"/>
    <w:rsid w:val="008F22FA"/>
    <w:rsid w:val="008F2FC1"/>
    <w:rsid w:val="008F467A"/>
    <w:rsid w:val="008F622F"/>
    <w:rsid w:val="00900938"/>
    <w:rsid w:val="009026D6"/>
    <w:rsid w:val="00905224"/>
    <w:rsid w:val="009069D9"/>
    <w:rsid w:val="009111E3"/>
    <w:rsid w:val="0091217C"/>
    <w:rsid w:val="0091584C"/>
    <w:rsid w:val="00915AAE"/>
    <w:rsid w:val="00917E06"/>
    <w:rsid w:val="00921451"/>
    <w:rsid w:val="009304A0"/>
    <w:rsid w:val="009308EC"/>
    <w:rsid w:val="00931A03"/>
    <w:rsid w:val="009351F6"/>
    <w:rsid w:val="009376E6"/>
    <w:rsid w:val="00937788"/>
    <w:rsid w:val="009420AE"/>
    <w:rsid w:val="009436CC"/>
    <w:rsid w:val="009478F9"/>
    <w:rsid w:val="0095106F"/>
    <w:rsid w:val="00951450"/>
    <w:rsid w:val="009517D0"/>
    <w:rsid w:val="00951A57"/>
    <w:rsid w:val="00953ED7"/>
    <w:rsid w:val="00955ED7"/>
    <w:rsid w:val="00957152"/>
    <w:rsid w:val="009579A2"/>
    <w:rsid w:val="00960087"/>
    <w:rsid w:val="00961F1E"/>
    <w:rsid w:val="00962C5B"/>
    <w:rsid w:val="00964688"/>
    <w:rsid w:val="00964F08"/>
    <w:rsid w:val="009652B3"/>
    <w:rsid w:val="009729D2"/>
    <w:rsid w:val="0097324F"/>
    <w:rsid w:val="00973BF1"/>
    <w:rsid w:val="00973ED0"/>
    <w:rsid w:val="00974505"/>
    <w:rsid w:val="00975379"/>
    <w:rsid w:val="0097578A"/>
    <w:rsid w:val="009769AB"/>
    <w:rsid w:val="009805A2"/>
    <w:rsid w:val="00980F69"/>
    <w:rsid w:val="009816FB"/>
    <w:rsid w:val="00981EFE"/>
    <w:rsid w:val="00983CDA"/>
    <w:rsid w:val="00986B20"/>
    <w:rsid w:val="009871C3"/>
    <w:rsid w:val="00990E69"/>
    <w:rsid w:val="0099284E"/>
    <w:rsid w:val="00992F9C"/>
    <w:rsid w:val="00994130"/>
    <w:rsid w:val="009953A5"/>
    <w:rsid w:val="00996EF4"/>
    <w:rsid w:val="00997940"/>
    <w:rsid w:val="009A0B68"/>
    <w:rsid w:val="009A19D9"/>
    <w:rsid w:val="009A33CE"/>
    <w:rsid w:val="009A4E0E"/>
    <w:rsid w:val="009A50EF"/>
    <w:rsid w:val="009A513F"/>
    <w:rsid w:val="009A6486"/>
    <w:rsid w:val="009A6DCA"/>
    <w:rsid w:val="009B23FF"/>
    <w:rsid w:val="009B3065"/>
    <w:rsid w:val="009B378B"/>
    <w:rsid w:val="009B53E2"/>
    <w:rsid w:val="009B5914"/>
    <w:rsid w:val="009C0826"/>
    <w:rsid w:val="009C12E8"/>
    <w:rsid w:val="009C445C"/>
    <w:rsid w:val="009C4EC2"/>
    <w:rsid w:val="009C53A5"/>
    <w:rsid w:val="009C72C9"/>
    <w:rsid w:val="009C7743"/>
    <w:rsid w:val="009D0C93"/>
    <w:rsid w:val="009D0CB9"/>
    <w:rsid w:val="009D0D7F"/>
    <w:rsid w:val="009D0EA5"/>
    <w:rsid w:val="009D1EC5"/>
    <w:rsid w:val="009D2D2A"/>
    <w:rsid w:val="009D3A55"/>
    <w:rsid w:val="009D43F1"/>
    <w:rsid w:val="009D4FBE"/>
    <w:rsid w:val="009D6757"/>
    <w:rsid w:val="009E0B1A"/>
    <w:rsid w:val="009E1CE0"/>
    <w:rsid w:val="009E4BE4"/>
    <w:rsid w:val="009E5295"/>
    <w:rsid w:val="009E6470"/>
    <w:rsid w:val="009E7C01"/>
    <w:rsid w:val="009F05A2"/>
    <w:rsid w:val="009F0BEF"/>
    <w:rsid w:val="009F49E0"/>
    <w:rsid w:val="009F5172"/>
    <w:rsid w:val="009F5849"/>
    <w:rsid w:val="009F604D"/>
    <w:rsid w:val="009F7B60"/>
    <w:rsid w:val="00A006C5"/>
    <w:rsid w:val="00A00BCE"/>
    <w:rsid w:val="00A00DA4"/>
    <w:rsid w:val="00A02570"/>
    <w:rsid w:val="00A0339D"/>
    <w:rsid w:val="00A0711B"/>
    <w:rsid w:val="00A0796B"/>
    <w:rsid w:val="00A10A21"/>
    <w:rsid w:val="00A11E5E"/>
    <w:rsid w:val="00A130C5"/>
    <w:rsid w:val="00A137C8"/>
    <w:rsid w:val="00A145AC"/>
    <w:rsid w:val="00A15F75"/>
    <w:rsid w:val="00A163DF"/>
    <w:rsid w:val="00A170F4"/>
    <w:rsid w:val="00A2447D"/>
    <w:rsid w:val="00A254C3"/>
    <w:rsid w:val="00A27270"/>
    <w:rsid w:val="00A311BA"/>
    <w:rsid w:val="00A31AC9"/>
    <w:rsid w:val="00A328C9"/>
    <w:rsid w:val="00A3572F"/>
    <w:rsid w:val="00A4044D"/>
    <w:rsid w:val="00A42401"/>
    <w:rsid w:val="00A43F96"/>
    <w:rsid w:val="00A46422"/>
    <w:rsid w:val="00A533FB"/>
    <w:rsid w:val="00A537D2"/>
    <w:rsid w:val="00A5404F"/>
    <w:rsid w:val="00A54C93"/>
    <w:rsid w:val="00A57E2C"/>
    <w:rsid w:val="00A601AC"/>
    <w:rsid w:val="00A615A9"/>
    <w:rsid w:val="00A61B20"/>
    <w:rsid w:val="00A62C68"/>
    <w:rsid w:val="00A62C70"/>
    <w:rsid w:val="00A75D0C"/>
    <w:rsid w:val="00A76911"/>
    <w:rsid w:val="00A77325"/>
    <w:rsid w:val="00A77B35"/>
    <w:rsid w:val="00A82BCB"/>
    <w:rsid w:val="00A84A56"/>
    <w:rsid w:val="00A85BE6"/>
    <w:rsid w:val="00A86592"/>
    <w:rsid w:val="00A9039A"/>
    <w:rsid w:val="00A935B6"/>
    <w:rsid w:val="00A941D2"/>
    <w:rsid w:val="00A95146"/>
    <w:rsid w:val="00A97A5A"/>
    <w:rsid w:val="00AA1A3F"/>
    <w:rsid w:val="00AA2F58"/>
    <w:rsid w:val="00AA483A"/>
    <w:rsid w:val="00AA536F"/>
    <w:rsid w:val="00AA679F"/>
    <w:rsid w:val="00AA7EEE"/>
    <w:rsid w:val="00AB15D1"/>
    <w:rsid w:val="00AB1F47"/>
    <w:rsid w:val="00AB31A8"/>
    <w:rsid w:val="00AB4228"/>
    <w:rsid w:val="00AB56BB"/>
    <w:rsid w:val="00AC06EC"/>
    <w:rsid w:val="00AC2A99"/>
    <w:rsid w:val="00AC304F"/>
    <w:rsid w:val="00AC3B96"/>
    <w:rsid w:val="00AC3F51"/>
    <w:rsid w:val="00AC3FE1"/>
    <w:rsid w:val="00AC5C91"/>
    <w:rsid w:val="00AD2055"/>
    <w:rsid w:val="00AD5AAF"/>
    <w:rsid w:val="00AD7119"/>
    <w:rsid w:val="00AE2B8B"/>
    <w:rsid w:val="00AE67DB"/>
    <w:rsid w:val="00AE78A3"/>
    <w:rsid w:val="00AF13C8"/>
    <w:rsid w:val="00AF1777"/>
    <w:rsid w:val="00AF392F"/>
    <w:rsid w:val="00AF4125"/>
    <w:rsid w:val="00AF49DD"/>
    <w:rsid w:val="00AF4A87"/>
    <w:rsid w:val="00AF4D83"/>
    <w:rsid w:val="00B002E8"/>
    <w:rsid w:val="00B07318"/>
    <w:rsid w:val="00B0767C"/>
    <w:rsid w:val="00B07878"/>
    <w:rsid w:val="00B13768"/>
    <w:rsid w:val="00B13BEA"/>
    <w:rsid w:val="00B14A6D"/>
    <w:rsid w:val="00B14C77"/>
    <w:rsid w:val="00B14F19"/>
    <w:rsid w:val="00B152B1"/>
    <w:rsid w:val="00B152B9"/>
    <w:rsid w:val="00B21B9D"/>
    <w:rsid w:val="00B21C3F"/>
    <w:rsid w:val="00B222DE"/>
    <w:rsid w:val="00B22900"/>
    <w:rsid w:val="00B241B4"/>
    <w:rsid w:val="00B2425E"/>
    <w:rsid w:val="00B24C05"/>
    <w:rsid w:val="00B2685C"/>
    <w:rsid w:val="00B275F1"/>
    <w:rsid w:val="00B33103"/>
    <w:rsid w:val="00B405ED"/>
    <w:rsid w:val="00B42B2B"/>
    <w:rsid w:val="00B438C0"/>
    <w:rsid w:val="00B449D4"/>
    <w:rsid w:val="00B44BB1"/>
    <w:rsid w:val="00B45767"/>
    <w:rsid w:val="00B45971"/>
    <w:rsid w:val="00B46A0A"/>
    <w:rsid w:val="00B46E50"/>
    <w:rsid w:val="00B47A42"/>
    <w:rsid w:val="00B50BDB"/>
    <w:rsid w:val="00B51AC3"/>
    <w:rsid w:val="00B538B7"/>
    <w:rsid w:val="00B57E7E"/>
    <w:rsid w:val="00B62F1B"/>
    <w:rsid w:val="00B65480"/>
    <w:rsid w:val="00B717CE"/>
    <w:rsid w:val="00B72A15"/>
    <w:rsid w:val="00B72C64"/>
    <w:rsid w:val="00B74B4D"/>
    <w:rsid w:val="00B76099"/>
    <w:rsid w:val="00B81380"/>
    <w:rsid w:val="00B81492"/>
    <w:rsid w:val="00B81527"/>
    <w:rsid w:val="00B823EC"/>
    <w:rsid w:val="00B83C0D"/>
    <w:rsid w:val="00B8426A"/>
    <w:rsid w:val="00B85D39"/>
    <w:rsid w:val="00B876D0"/>
    <w:rsid w:val="00B87FFB"/>
    <w:rsid w:val="00B90961"/>
    <w:rsid w:val="00B9459E"/>
    <w:rsid w:val="00B94FD1"/>
    <w:rsid w:val="00B9755F"/>
    <w:rsid w:val="00BA0E6D"/>
    <w:rsid w:val="00BA1121"/>
    <w:rsid w:val="00BA13AC"/>
    <w:rsid w:val="00BA1D99"/>
    <w:rsid w:val="00BA5087"/>
    <w:rsid w:val="00BA63AA"/>
    <w:rsid w:val="00BA63CF"/>
    <w:rsid w:val="00BA654E"/>
    <w:rsid w:val="00BA7E10"/>
    <w:rsid w:val="00BB0A84"/>
    <w:rsid w:val="00BB128B"/>
    <w:rsid w:val="00BB3077"/>
    <w:rsid w:val="00BB66CB"/>
    <w:rsid w:val="00BC034B"/>
    <w:rsid w:val="00BC1283"/>
    <w:rsid w:val="00BC19F7"/>
    <w:rsid w:val="00BC1F3F"/>
    <w:rsid w:val="00BC2663"/>
    <w:rsid w:val="00BC2772"/>
    <w:rsid w:val="00BC593D"/>
    <w:rsid w:val="00BC6407"/>
    <w:rsid w:val="00BD3004"/>
    <w:rsid w:val="00BE2BE0"/>
    <w:rsid w:val="00BE31EB"/>
    <w:rsid w:val="00BE588B"/>
    <w:rsid w:val="00BE6A52"/>
    <w:rsid w:val="00BF0910"/>
    <w:rsid w:val="00BF1A76"/>
    <w:rsid w:val="00BF2CFC"/>
    <w:rsid w:val="00BF2D94"/>
    <w:rsid w:val="00BF2F48"/>
    <w:rsid w:val="00BF3EE6"/>
    <w:rsid w:val="00BF402B"/>
    <w:rsid w:val="00BF4F5E"/>
    <w:rsid w:val="00BF53B4"/>
    <w:rsid w:val="00BF54E0"/>
    <w:rsid w:val="00C00F4A"/>
    <w:rsid w:val="00C0242A"/>
    <w:rsid w:val="00C0246E"/>
    <w:rsid w:val="00C03C56"/>
    <w:rsid w:val="00C05378"/>
    <w:rsid w:val="00C064A8"/>
    <w:rsid w:val="00C06ED1"/>
    <w:rsid w:val="00C1202B"/>
    <w:rsid w:val="00C1330B"/>
    <w:rsid w:val="00C13D3F"/>
    <w:rsid w:val="00C13EE0"/>
    <w:rsid w:val="00C23C48"/>
    <w:rsid w:val="00C269EC"/>
    <w:rsid w:val="00C3183F"/>
    <w:rsid w:val="00C329E8"/>
    <w:rsid w:val="00C33205"/>
    <w:rsid w:val="00C36A56"/>
    <w:rsid w:val="00C4001C"/>
    <w:rsid w:val="00C4353A"/>
    <w:rsid w:val="00C436AE"/>
    <w:rsid w:val="00C43DA9"/>
    <w:rsid w:val="00C504CD"/>
    <w:rsid w:val="00C50C58"/>
    <w:rsid w:val="00C55B95"/>
    <w:rsid w:val="00C571A9"/>
    <w:rsid w:val="00C573B8"/>
    <w:rsid w:val="00C61965"/>
    <w:rsid w:val="00C62728"/>
    <w:rsid w:val="00C6383E"/>
    <w:rsid w:val="00C639A3"/>
    <w:rsid w:val="00C63A94"/>
    <w:rsid w:val="00C64FEF"/>
    <w:rsid w:val="00C663EC"/>
    <w:rsid w:val="00C669DB"/>
    <w:rsid w:val="00C67523"/>
    <w:rsid w:val="00C67873"/>
    <w:rsid w:val="00C72143"/>
    <w:rsid w:val="00C74965"/>
    <w:rsid w:val="00C80AB0"/>
    <w:rsid w:val="00C80F61"/>
    <w:rsid w:val="00C835B0"/>
    <w:rsid w:val="00C83B5D"/>
    <w:rsid w:val="00C841FF"/>
    <w:rsid w:val="00C852E8"/>
    <w:rsid w:val="00C87485"/>
    <w:rsid w:val="00C91121"/>
    <w:rsid w:val="00C9235B"/>
    <w:rsid w:val="00C93422"/>
    <w:rsid w:val="00C939FD"/>
    <w:rsid w:val="00C9443D"/>
    <w:rsid w:val="00C9630A"/>
    <w:rsid w:val="00C971CC"/>
    <w:rsid w:val="00C97BE6"/>
    <w:rsid w:val="00CA1E9D"/>
    <w:rsid w:val="00CA1FD8"/>
    <w:rsid w:val="00CA24E1"/>
    <w:rsid w:val="00CA290B"/>
    <w:rsid w:val="00CA347E"/>
    <w:rsid w:val="00CA3A6E"/>
    <w:rsid w:val="00CA3C88"/>
    <w:rsid w:val="00CA44C2"/>
    <w:rsid w:val="00CA63B8"/>
    <w:rsid w:val="00CA6A6A"/>
    <w:rsid w:val="00CA7A48"/>
    <w:rsid w:val="00CA7BEC"/>
    <w:rsid w:val="00CB3DB9"/>
    <w:rsid w:val="00CB48BD"/>
    <w:rsid w:val="00CB4B27"/>
    <w:rsid w:val="00CB4C54"/>
    <w:rsid w:val="00CC0150"/>
    <w:rsid w:val="00CC1149"/>
    <w:rsid w:val="00CC2F96"/>
    <w:rsid w:val="00CC60B0"/>
    <w:rsid w:val="00CC6346"/>
    <w:rsid w:val="00CC6DBC"/>
    <w:rsid w:val="00CC7DC8"/>
    <w:rsid w:val="00CD1E87"/>
    <w:rsid w:val="00CD2190"/>
    <w:rsid w:val="00CD2D49"/>
    <w:rsid w:val="00CD40B1"/>
    <w:rsid w:val="00CD62B6"/>
    <w:rsid w:val="00CD6701"/>
    <w:rsid w:val="00CD7B4D"/>
    <w:rsid w:val="00CE0927"/>
    <w:rsid w:val="00CE0AFC"/>
    <w:rsid w:val="00CE21EB"/>
    <w:rsid w:val="00CE2A0B"/>
    <w:rsid w:val="00CE49D0"/>
    <w:rsid w:val="00CE5A43"/>
    <w:rsid w:val="00CF0DD2"/>
    <w:rsid w:val="00CF3BFD"/>
    <w:rsid w:val="00CF3E8A"/>
    <w:rsid w:val="00CF5FCC"/>
    <w:rsid w:val="00D012D3"/>
    <w:rsid w:val="00D061D2"/>
    <w:rsid w:val="00D10027"/>
    <w:rsid w:val="00D10FCD"/>
    <w:rsid w:val="00D14F9B"/>
    <w:rsid w:val="00D15FE0"/>
    <w:rsid w:val="00D21AAA"/>
    <w:rsid w:val="00D220CC"/>
    <w:rsid w:val="00D220DA"/>
    <w:rsid w:val="00D2347A"/>
    <w:rsid w:val="00D26848"/>
    <w:rsid w:val="00D30E95"/>
    <w:rsid w:val="00D31A7E"/>
    <w:rsid w:val="00D3245F"/>
    <w:rsid w:val="00D32B12"/>
    <w:rsid w:val="00D34394"/>
    <w:rsid w:val="00D34C68"/>
    <w:rsid w:val="00D37339"/>
    <w:rsid w:val="00D37CA7"/>
    <w:rsid w:val="00D4057C"/>
    <w:rsid w:val="00D40DE0"/>
    <w:rsid w:val="00D41EB0"/>
    <w:rsid w:val="00D420DB"/>
    <w:rsid w:val="00D42A06"/>
    <w:rsid w:val="00D46C89"/>
    <w:rsid w:val="00D50448"/>
    <w:rsid w:val="00D507C0"/>
    <w:rsid w:val="00D54D19"/>
    <w:rsid w:val="00D600E1"/>
    <w:rsid w:val="00D60435"/>
    <w:rsid w:val="00D60EEC"/>
    <w:rsid w:val="00D61EAE"/>
    <w:rsid w:val="00D622CD"/>
    <w:rsid w:val="00D6260D"/>
    <w:rsid w:val="00D62F63"/>
    <w:rsid w:val="00D62F9F"/>
    <w:rsid w:val="00D64A29"/>
    <w:rsid w:val="00D65DDF"/>
    <w:rsid w:val="00D760CB"/>
    <w:rsid w:val="00D76214"/>
    <w:rsid w:val="00D778A1"/>
    <w:rsid w:val="00D77B55"/>
    <w:rsid w:val="00D80FFB"/>
    <w:rsid w:val="00D83E68"/>
    <w:rsid w:val="00D852F5"/>
    <w:rsid w:val="00D8610B"/>
    <w:rsid w:val="00D86488"/>
    <w:rsid w:val="00D909B9"/>
    <w:rsid w:val="00D91D52"/>
    <w:rsid w:val="00D97DDB"/>
    <w:rsid w:val="00DA3088"/>
    <w:rsid w:val="00DA47F2"/>
    <w:rsid w:val="00DA4C8F"/>
    <w:rsid w:val="00DB3137"/>
    <w:rsid w:val="00DB3CD9"/>
    <w:rsid w:val="00DB4AB4"/>
    <w:rsid w:val="00DB7B9F"/>
    <w:rsid w:val="00DC380E"/>
    <w:rsid w:val="00DC598E"/>
    <w:rsid w:val="00DC59CD"/>
    <w:rsid w:val="00DC67D5"/>
    <w:rsid w:val="00DD348C"/>
    <w:rsid w:val="00DD3E52"/>
    <w:rsid w:val="00DD456A"/>
    <w:rsid w:val="00DD5119"/>
    <w:rsid w:val="00DD595E"/>
    <w:rsid w:val="00DD7550"/>
    <w:rsid w:val="00DE0B61"/>
    <w:rsid w:val="00DE10B1"/>
    <w:rsid w:val="00DE3D6C"/>
    <w:rsid w:val="00DE5E4B"/>
    <w:rsid w:val="00DE72D8"/>
    <w:rsid w:val="00DE7839"/>
    <w:rsid w:val="00DF009E"/>
    <w:rsid w:val="00DF3E1E"/>
    <w:rsid w:val="00DF605D"/>
    <w:rsid w:val="00DF6945"/>
    <w:rsid w:val="00DF6EC2"/>
    <w:rsid w:val="00DF7750"/>
    <w:rsid w:val="00E03127"/>
    <w:rsid w:val="00E05021"/>
    <w:rsid w:val="00E0762B"/>
    <w:rsid w:val="00E13C0E"/>
    <w:rsid w:val="00E15732"/>
    <w:rsid w:val="00E16ABC"/>
    <w:rsid w:val="00E175FF"/>
    <w:rsid w:val="00E22E50"/>
    <w:rsid w:val="00E23859"/>
    <w:rsid w:val="00E260F3"/>
    <w:rsid w:val="00E32076"/>
    <w:rsid w:val="00E32421"/>
    <w:rsid w:val="00E325F3"/>
    <w:rsid w:val="00E35378"/>
    <w:rsid w:val="00E364F7"/>
    <w:rsid w:val="00E36AB9"/>
    <w:rsid w:val="00E37C81"/>
    <w:rsid w:val="00E40A12"/>
    <w:rsid w:val="00E4321E"/>
    <w:rsid w:val="00E43885"/>
    <w:rsid w:val="00E460D7"/>
    <w:rsid w:val="00E46B27"/>
    <w:rsid w:val="00E46C0B"/>
    <w:rsid w:val="00E50D80"/>
    <w:rsid w:val="00E5432D"/>
    <w:rsid w:val="00E54BA8"/>
    <w:rsid w:val="00E57FAB"/>
    <w:rsid w:val="00E60387"/>
    <w:rsid w:val="00E6156C"/>
    <w:rsid w:val="00E625C0"/>
    <w:rsid w:val="00E660A8"/>
    <w:rsid w:val="00E66615"/>
    <w:rsid w:val="00E669D8"/>
    <w:rsid w:val="00E709CA"/>
    <w:rsid w:val="00E70FE0"/>
    <w:rsid w:val="00E76DE7"/>
    <w:rsid w:val="00E77411"/>
    <w:rsid w:val="00E77F5A"/>
    <w:rsid w:val="00E803D0"/>
    <w:rsid w:val="00E81BC6"/>
    <w:rsid w:val="00E83EA4"/>
    <w:rsid w:val="00E84A4A"/>
    <w:rsid w:val="00E85015"/>
    <w:rsid w:val="00E85693"/>
    <w:rsid w:val="00E86297"/>
    <w:rsid w:val="00E86795"/>
    <w:rsid w:val="00E877EF"/>
    <w:rsid w:val="00E90F40"/>
    <w:rsid w:val="00E9115B"/>
    <w:rsid w:val="00E91368"/>
    <w:rsid w:val="00E920CE"/>
    <w:rsid w:val="00E94AA6"/>
    <w:rsid w:val="00E94EFE"/>
    <w:rsid w:val="00E94F76"/>
    <w:rsid w:val="00E95901"/>
    <w:rsid w:val="00E960A8"/>
    <w:rsid w:val="00E968F6"/>
    <w:rsid w:val="00E97449"/>
    <w:rsid w:val="00EA15AB"/>
    <w:rsid w:val="00EA1753"/>
    <w:rsid w:val="00EA3B8C"/>
    <w:rsid w:val="00EA62B3"/>
    <w:rsid w:val="00EA6F2B"/>
    <w:rsid w:val="00EA7751"/>
    <w:rsid w:val="00EB0079"/>
    <w:rsid w:val="00EB0D50"/>
    <w:rsid w:val="00EB24B8"/>
    <w:rsid w:val="00EB4789"/>
    <w:rsid w:val="00EB4B44"/>
    <w:rsid w:val="00EB61F5"/>
    <w:rsid w:val="00EB6525"/>
    <w:rsid w:val="00EC086D"/>
    <w:rsid w:val="00EC22AB"/>
    <w:rsid w:val="00EC4236"/>
    <w:rsid w:val="00EC5E9E"/>
    <w:rsid w:val="00EC74AA"/>
    <w:rsid w:val="00ED1B45"/>
    <w:rsid w:val="00ED282B"/>
    <w:rsid w:val="00ED3801"/>
    <w:rsid w:val="00ED5360"/>
    <w:rsid w:val="00ED62E5"/>
    <w:rsid w:val="00EE079A"/>
    <w:rsid w:val="00EE2385"/>
    <w:rsid w:val="00EE3C1A"/>
    <w:rsid w:val="00EE59CA"/>
    <w:rsid w:val="00EE7742"/>
    <w:rsid w:val="00EE784C"/>
    <w:rsid w:val="00EE7A1F"/>
    <w:rsid w:val="00EF1651"/>
    <w:rsid w:val="00EF34D4"/>
    <w:rsid w:val="00EF426C"/>
    <w:rsid w:val="00EF43D7"/>
    <w:rsid w:val="00EF45FC"/>
    <w:rsid w:val="00EF5838"/>
    <w:rsid w:val="00EF6479"/>
    <w:rsid w:val="00EF674A"/>
    <w:rsid w:val="00EF798B"/>
    <w:rsid w:val="00EF7E07"/>
    <w:rsid w:val="00F00229"/>
    <w:rsid w:val="00F016B1"/>
    <w:rsid w:val="00F0186F"/>
    <w:rsid w:val="00F04EF3"/>
    <w:rsid w:val="00F063E6"/>
    <w:rsid w:val="00F10339"/>
    <w:rsid w:val="00F128F3"/>
    <w:rsid w:val="00F12E59"/>
    <w:rsid w:val="00F1333F"/>
    <w:rsid w:val="00F1396F"/>
    <w:rsid w:val="00F13ED3"/>
    <w:rsid w:val="00F1538F"/>
    <w:rsid w:val="00F21458"/>
    <w:rsid w:val="00F2155E"/>
    <w:rsid w:val="00F233BD"/>
    <w:rsid w:val="00F23C86"/>
    <w:rsid w:val="00F27BB4"/>
    <w:rsid w:val="00F308EB"/>
    <w:rsid w:val="00F31151"/>
    <w:rsid w:val="00F314E3"/>
    <w:rsid w:val="00F32FA8"/>
    <w:rsid w:val="00F351FB"/>
    <w:rsid w:val="00F368C2"/>
    <w:rsid w:val="00F37703"/>
    <w:rsid w:val="00F43000"/>
    <w:rsid w:val="00F43639"/>
    <w:rsid w:val="00F4622B"/>
    <w:rsid w:val="00F4624E"/>
    <w:rsid w:val="00F51530"/>
    <w:rsid w:val="00F53044"/>
    <w:rsid w:val="00F54813"/>
    <w:rsid w:val="00F54DEB"/>
    <w:rsid w:val="00F560EF"/>
    <w:rsid w:val="00F57729"/>
    <w:rsid w:val="00F57D8C"/>
    <w:rsid w:val="00F6241A"/>
    <w:rsid w:val="00F64E40"/>
    <w:rsid w:val="00F6505B"/>
    <w:rsid w:val="00F655F4"/>
    <w:rsid w:val="00F66807"/>
    <w:rsid w:val="00F66C65"/>
    <w:rsid w:val="00F6786E"/>
    <w:rsid w:val="00F7063B"/>
    <w:rsid w:val="00F71210"/>
    <w:rsid w:val="00F73D9C"/>
    <w:rsid w:val="00F76B38"/>
    <w:rsid w:val="00F77A66"/>
    <w:rsid w:val="00F815CD"/>
    <w:rsid w:val="00F83BCE"/>
    <w:rsid w:val="00F84AE1"/>
    <w:rsid w:val="00F86923"/>
    <w:rsid w:val="00F9289A"/>
    <w:rsid w:val="00F95178"/>
    <w:rsid w:val="00F96912"/>
    <w:rsid w:val="00F96CEB"/>
    <w:rsid w:val="00F977F2"/>
    <w:rsid w:val="00FA2FE3"/>
    <w:rsid w:val="00FA4F88"/>
    <w:rsid w:val="00FA522E"/>
    <w:rsid w:val="00FB1D0B"/>
    <w:rsid w:val="00FB2447"/>
    <w:rsid w:val="00FB57CA"/>
    <w:rsid w:val="00FB657E"/>
    <w:rsid w:val="00FB6665"/>
    <w:rsid w:val="00FB6DD8"/>
    <w:rsid w:val="00FB7C1F"/>
    <w:rsid w:val="00FC2F22"/>
    <w:rsid w:val="00FC3F20"/>
    <w:rsid w:val="00FC5A99"/>
    <w:rsid w:val="00FC5C66"/>
    <w:rsid w:val="00FC752E"/>
    <w:rsid w:val="00FD0EB9"/>
    <w:rsid w:val="00FD32EF"/>
    <w:rsid w:val="00FD3407"/>
    <w:rsid w:val="00FD42A0"/>
    <w:rsid w:val="00FD7B53"/>
    <w:rsid w:val="00FE09AF"/>
    <w:rsid w:val="00FE0CD9"/>
    <w:rsid w:val="00FE17E5"/>
    <w:rsid w:val="00FE3137"/>
    <w:rsid w:val="00FF0218"/>
    <w:rsid w:val="00FF0FCF"/>
    <w:rsid w:val="00FF1B41"/>
    <w:rsid w:val="00FF3914"/>
    <w:rsid w:val="00FF5347"/>
    <w:rsid w:val="00FF6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4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253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F4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53F4E"/>
    <w:rPr>
      <w:vertAlign w:val="superscript"/>
    </w:rPr>
  </w:style>
  <w:style w:type="paragraph" w:styleId="Revision">
    <w:name w:val="Revision"/>
    <w:hidden/>
    <w:uiPriority w:val="99"/>
    <w:semiHidden/>
    <w:rsid w:val="00331101"/>
    <w:pPr>
      <w:spacing w:after="0" w:line="240" w:lineRule="auto"/>
    </w:pPr>
    <w:rPr>
      <w:rFonts w:ascii="Calibri" w:eastAsia="Calibri" w:hAnsi="Calibri" w:cs="Times New Roman"/>
      <w:sz w:val="22"/>
    </w:rPr>
  </w:style>
  <w:style w:type="table" w:customStyle="1" w:styleId="TableGrid2">
    <w:name w:val="Table Grid2"/>
    <w:basedOn w:val="TableNormal"/>
    <w:next w:val="TableGrid"/>
    <w:uiPriority w:val="59"/>
    <w:rsid w:val="008B6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905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5F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90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550">
      <w:bodyDiv w:val="1"/>
      <w:marLeft w:val="0"/>
      <w:marRight w:val="0"/>
      <w:marTop w:val="0"/>
      <w:marBottom w:val="0"/>
      <w:divBdr>
        <w:top w:val="none" w:sz="0" w:space="0" w:color="auto"/>
        <w:left w:val="none" w:sz="0" w:space="0" w:color="auto"/>
        <w:bottom w:val="none" w:sz="0" w:space="0" w:color="auto"/>
        <w:right w:val="none" w:sz="0" w:space="0" w:color="auto"/>
      </w:divBdr>
      <w:divsChild>
        <w:div w:id="1051660172">
          <w:marLeft w:val="0"/>
          <w:marRight w:val="0"/>
          <w:marTop w:val="240"/>
          <w:marBottom w:val="480"/>
          <w:divBdr>
            <w:top w:val="none" w:sz="0" w:space="0" w:color="auto"/>
            <w:left w:val="none" w:sz="0" w:space="0" w:color="auto"/>
            <w:bottom w:val="none" w:sz="0" w:space="0" w:color="auto"/>
            <w:right w:val="none" w:sz="0" w:space="0" w:color="auto"/>
          </w:divBdr>
          <w:divsChild>
            <w:div w:id="1293245681">
              <w:marLeft w:val="0"/>
              <w:marRight w:val="0"/>
              <w:marTop w:val="0"/>
              <w:marBottom w:val="0"/>
              <w:divBdr>
                <w:top w:val="none" w:sz="0" w:space="0" w:color="auto"/>
                <w:left w:val="none" w:sz="0" w:space="0" w:color="auto"/>
                <w:bottom w:val="none" w:sz="0" w:space="0" w:color="auto"/>
                <w:right w:val="none" w:sz="0" w:space="0" w:color="auto"/>
              </w:divBdr>
              <w:divsChild>
                <w:div w:id="2107995543">
                  <w:marLeft w:val="0"/>
                  <w:marRight w:val="0"/>
                  <w:marTop w:val="0"/>
                  <w:marBottom w:val="0"/>
                  <w:divBdr>
                    <w:top w:val="none" w:sz="0" w:space="0" w:color="auto"/>
                    <w:left w:val="none" w:sz="0" w:space="0" w:color="auto"/>
                    <w:bottom w:val="none" w:sz="0" w:space="0" w:color="auto"/>
                    <w:right w:val="none" w:sz="0" w:space="0" w:color="auto"/>
                  </w:divBdr>
                  <w:divsChild>
                    <w:div w:id="2029402179">
                      <w:marLeft w:val="0"/>
                      <w:marRight w:val="0"/>
                      <w:marTop w:val="0"/>
                      <w:marBottom w:val="0"/>
                      <w:divBdr>
                        <w:top w:val="none" w:sz="0" w:space="0" w:color="auto"/>
                        <w:left w:val="none" w:sz="0" w:space="0" w:color="auto"/>
                        <w:bottom w:val="none" w:sz="0" w:space="0" w:color="auto"/>
                        <w:right w:val="none" w:sz="0" w:space="0" w:color="auto"/>
                      </w:divBdr>
                      <w:divsChild>
                        <w:div w:id="65542813">
                          <w:marLeft w:val="0"/>
                          <w:marRight w:val="0"/>
                          <w:marTop w:val="0"/>
                          <w:marBottom w:val="0"/>
                          <w:divBdr>
                            <w:top w:val="none" w:sz="0" w:space="0" w:color="auto"/>
                            <w:left w:val="none" w:sz="0" w:space="0" w:color="auto"/>
                            <w:bottom w:val="none" w:sz="0" w:space="0" w:color="auto"/>
                            <w:right w:val="none" w:sz="0" w:space="0" w:color="auto"/>
                          </w:divBdr>
                          <w:divsChild>
                            <w:div w:id="1166438671">
                              <w:marLeft w:val="0"/>
                              <w:marRight w:val="0"/>
                              <w:marTop w:val="0"/>
                              <w:marBottom w:val="0"/>
                              <w:divBdr>
                                <w:top w:val="none" w:sz="0" w:space="0" w:color="auto"/>
                                <w:left w:val="none" w:sz="0" w:space="0" w:color="auto"/>
                                <w:bottom w:val="none" w:sz="0" w:space="0" w:color="auto"/>
                                <w:right w:val="none" w:sz="0" w:space="0" w:color="auto"/>
                              </w:divBdr>
                              <w:divsChild>
                                <w:div w:id="893081167">
                                  <w:marLeft w:val="0"/>
                                  <w:marRight w:val="0"/>
                                  <w:marTop w:val="150"/>
                                  <w:marBottom w:val="150"/>
                                  <w:divBdr>
                                    <w:top w:val="none" w:sz="0" w:space="0" w:color="auto"/>
                                    <w:left w:val="none" w:sz="0" w:space="0" w:color="auto"/>
                                    <w:bottom w:val="none" w:sz="0" w:space="0" w:color="auto"/>
                                    <w:right w:val="none" w:sz="0" w:space="0" w:color="auto"/>
                                  </w:divBdr>
                                  <w:divsChild>
                                    <w:div w:id="398603676">
                                      <w:marLeft w:val="0"/>
                                      <w:marRight w:val="0"/>
                                      <w:marTop w:val="0"/>
                                      <w:marBottom w:val="0"/>
                                      <w:divBdr>
                                        <w:top w:val="none" w:sz="0" w:space="0" w:color="auto"/>
                                        <w:left w:val="none" w:sz="0" w:space="0" w:color="auto"/>
                                        <w:bottom w:val="none" w:sz="0" w:space="0" w:color="auto"/>
                                        <w:right w:val="none" w:sz="0" w:space="0" w:color="auto"/>
                                      </w:divBdr>
                                      <w:divsChild>
                                        <w:div w:id="17095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39641184">
      <w:bodyDiv w:val="1"/>
      <w:marLeft w:val="0"/>
      <w:marRight w:val="0"/>
      <w:marTop w:val="0"/>
      <w:marBottom w:val="0"/>
      <w:divBdr>
        <w:top w:val="none" w:sz="0" w:space="0" w:color="auto"/>
        <w:left w:val="none" w:sz="0" w:space="0" w:color="auto"/>
        <w:bottom w:val="none" w:sz="0" w:space="0" w:color="auto"/>
        <w:right w:val="none" w:sz="0" w:space="0" w:color="auto"/>
      </w:divBdr>
      <w:divsChild>
        <w:div w:id="1365639300">
          <w:marLeft w:val="0"/>
          <w:marRight w:val="0"/>
          <w:marTop w:val="240"/>
          <w:marBottom w:val="480"/>
          <w:divBdr>
            <w:top w:val="none" w:sz="0" w:space="0" w:color="auto"/>
            <w:left w:val="none" w:sz="0" w:space="0" w:color="auto"/>
            <w:bottom w:val="none" w:sz="0" w:space="0" w:color="auto"/>
            <w:right w:val="none" w:sz="0" w:space="0" w:color="auto"/>
          </w:divBdr>
          <w:divsChild>
            <w:div w:id="995767635">
              <w:marLeft w:val="0"/>
              <w:marRight w:val="0"/>
              <w:marTop w:val="0"/>
              <w:marBottom w:val="0"/>
              <w:divBdr>
                <w:top w:val="none" w:sz="0" w:space="0" w:color="auto"/>
                <w:left w:val="none" w:sz="0" w:space="0" w:color="auto"/>
                <w:bottom w:val="none" w:sz="0" w:space="0" w:color="auto"/>
                <w:right w:val="none" w:sz="0" w:space="0" w:color="auto"/>
              </w:divBdr>
              <w:divsChild>
                <w:div w:id="1904171856">
                  <w:marLeft w:val="0"/>
                  <w:marRight w:val="0"/>
                  <w:marTop w:val="0"/>
                  <w:marBottom w:val="0"/>
                  <w:divBdr>
                    <w:top w:val="none" w:sz="0" w:space="0" w:color="auto"/>
                    <w:left w:val="none" w:sz="0" w:space="0" w:color="auto"/>
                    <w:bottom w:val="none" w:sz="0" w:space="0" w:color="auto"/>
                    <w:right w:val="none" w:sz="0" w:space="0" w:color="auto"/>
                  </w:divBdr>
                  <w:divsChild>
                    <w:div w:id="887492799">
                      <w:marLeft w:val="0"/>
                      <w:marRight w:val="0"/>
                      <w:marTop w:val="0"/>
                      <w:marBottom w:val="0"/>
                      <w:divBdr>
                        <w:top w:val="none" w:sz="0" w:space="0" w:color="auto"/>
                        <w:left w:val="none" w:sz="0" w:space="0" w:color="auto"/>
                        <w:bottom w:val="none" w:sz="0" w:space="0" w:color="auto"/>
                        <w:right w:val="none" w:sz="0" w:space="0" w:color="auto"/>
                      </w:divBdr>
                      <w:divsChild>
                        <w:div w:id="1621493965">
                          <w:marLeft w:val="0"/>
                          <w:marRight w:val="0"/>
                          <w:marTop w:val="0"/>
                          <w:marBottom w:val="0"/>
                          <w:divBdr>
                            <w:top w:val="none" w:sz="0" w:space="0" w:color="auto"/>
                            <w:left w:val="none" w:sz="0" w:space="0" w:color="auto"/>
                            <w:bottom w:val="none" w:sz="0" w:space="0" w:color="auto"/>
                            <w:right w:val="none" w:sz="0" w:space="0" w:color="auto"/>
                          </w:divBdr>
                          <w:divsChild>
                            <w:div w:id="1923444923">
                              <w:marLeft w:val="0"/>
                              <w:marRight w:val="0"/>
                              <w:marTop w:val="0"/>
                              <w:marBottom w:val="0"/>
                              <w:divBdr>
                                <w:top w:val="none" w:sz="0" w:space="0" w:color="auto"/>
                                <w:left w:val="none" w:sz="0" w:space="0" w:color="auto"/>
                                <w:bottom w:val="none" w:sz="0" w:space="0" w:color="auto"/>
                                <w:right w:val="none" w:sz="0" w:space="0" w:color="auto"/>
                              </w:divBdr>
                              <w:divsChild>
                                <w:div w:id="705178116">
                                  <w:marLeft w:val="0"/>
                                  <w:marRight w:val="0"/>
                                  <w:marTop w:val="150"/>
                                  <w:marBottom w:val="150"/>
                                  <w:divBdr>
                                    <w:top w:val="none" w:sz="0" w:space="0" w:color="auto"/>
                                    <w:left w:val="none" w:sz="0" w:space="0" w:color="auto"/>
                                    <w:bottom w:val="none" w:sz="0" w:space="0" w:color="auto"/>
                                    <w:right w:val="none" w:sz="0" w:space="0" w:color="auto"/>
                                  </w:divBdr>
                                  <w:divsChild>
                                    <w:div w:id="175773745">
                                      <w:marLeft w:val="0"/>
                                      <w:marRight w:val="0"/>
                                      <w:marTop w:val="0"/>
                                      <w:marBottom w:val="0"/>
                                      <w:divBdr>
                                        <w:top w:val="none" w:sz="0" w:space="0" w:color="auto"/>
                                        <w:left w:val="none" w:sz="0" w:space="0" w:color="auto"/>
                                        <w:bottom w:val="none" w:sz="0" w:space="0" w:color="auto"/>
                                        <w:right w:val="none" w:sz="0" w:space="0" w:color="auto"/>
                                      </w:divBdr>
                                      <w:divsChild>
                                        <w:div w:id="16576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50409">
      <w:bodyDiv w:val="1"/>
      <w:marLeft w:val="0"/>
      <w:marRight w:val="0"/>
      <w:marTop w:val="0"/>
      <w:marBottom w:val="0"/>
      <w:divBdr>
        <w:top w:val="none" w:sz="0" w:space="0" w:color="auto"/>
        <w:left w:val="none" w:sz="0" w:space="0" w:color="auto"/>
        <w:bottom w:val="none" w:sz="0" w:space="0" w:color="auto"/>
        <w:right w:val="none" w:sz="0" w:space="0" w:color="auto"/>
      </w:divBdr>
    </w:div>
    <w:div w:id="1525752383">
      <w:bodyDiv w:val="1"/>
      <w:marLeft w:val="0"/>
      <w:marRight w:val="0"/>
      <w:marTop w:val="0"/>
      <w:marBottom w:val="0"/>
      <w:divBdr>
        <w:top w:val="none" w:sz="0" w:space="0" w:color="auto"/>
        <w:left w:val="none" w:sz="0" w:space="0" w:color="auto"/>
        <w:bottom w:val="none" w:sz="0" w:space="0" w:color="auto"/>
        <w:right w:val="none" w:sz="0" w:space="0" w:color="auto"/>
      </w:divBdr>
      <w:divsChild>
        <w:div w:id="522786086">
          <w:marLeft w:val="0"/>
          <w:marRight w:val="0"/>
          <w:marTop w:val="240"/>
          <w:marBottom w:val="480"/>
          <w:divBdr>
            <w:top w:val="none" w:sz="0" w:space="0" w:color="auto"/>
            <w:left w:val="none" w:sz="0" w:space="0" w:color="auto"/>
            <w:bottom w:val="none" w:sz="0" w:space="0" w:color="auto"/>
            <w:right w:val="none" w:sz="0" w:space="0" w:color="auto"/>
          </w:divBdr>
          <w:divsChild>
            <w:div w:id="371393487">
              <w:marLeft w:val="0"/>
              <w:marRight w:val="0"/>
              <w:marTop w:val="0"/>
              <w:marBottom w:val="0"/>
              <w:divBdr>
                <w:top w:val="none" w:sz="0" w:space="0" w:color="auto"/>
                <w:left w:val="none" w:sz="0" w:space="0" w:color="auto"/>
                <w:bottom w:val="none" w:sz="0" w:space="0" w:color="auto"/>
                <w:right w:val="none" w:sz="0" w:space="0" w:color="auto"/>
              </w:divBdr>
              <w:divsChild>
                <w:div w:id="890724159">
                  <w:marLeft w:val="0"/>
                  <w:marRight w:val="0"/>
                  <w:marTop w:val="0"/>
                  <w:marBottom w:val="0"/>
                  <w:divBdr>
                    <w:top w:val="none" w:sz="0" w:space="0" w:color="auto"/>
                    <w:left w:val="none" w:sz="0" w:space="0" w:color="auto"/>
                    <w:bottom w:val="none" w:sz="0" w:space="0" w:color="auto"/>
                    <w:right w:val="none" w:sz="0" w:space="0" w:color="auto"/>
                  </w:divBdr>
                  <w:divsChild>
                    <w:div w:id="1860386468">
                      <w:marLeft w:val="0"/>
                      <w:marRight w:val="0"/>
                      <w:marTop w:val="0"/>
                      <w:marBottom w:val="0"/>
                      <w:divBdr>
                        <w:top w:val="none" w:sz="0" w:space="0" w:color="auto"/>
                        <w:left w:val="none" w:sz="0" w:space="0" w:color="auto"/>
                        <w:bottom w:val="none" w:sz="0" w:space="0" w:color="auto"/>
                        <w:right w:val="none" w:sz="0" w:space="0" w:color="auto"/>
                      </w:divBdr>
                      <w:divsChild>
                        <w:div w:id="1028679056">
                          <w:marLeft w:val="0"/>
                          <w:marRight w:val="0"/>
                          <w:marTop w:val="0"/>
                          <w:marBottom w:val="0"/>
                          <w:divBdr>
                            <w:top w:val="none" w:sz="0" w:space="0" w:color="auto"/>
                            <w:left w:val="none" w:sz="0" w:space="0" w:color="auto"/>
                            <w:bottom w:val="none" w:sz="0" w:space="0" w:color="auto"/>
                            <w:right w:val="none" w:sz="0" w:space="0" w:color="auto"/>
                          </w:divBdr>
                          <w:divsChild>
                            <w:div w:id="367996599">
                              <w:marLeft w:val="0"/>
                              <w:marRight w:val="0"/>
                              <w:marTop w:val="0"/>
                              <w:marBottom w:val="0"/>
                              <w:divBdr>
                                <w:top w:val="none" w:sz="0" w:space="0" w:color="auto"/>
                                <w:left w:val="none" w:sz="0" w:space="0" w:color="auto"/>
                                <w:bottom w:val="none" w:sz="0" w:space="0" w:color="auto"/>
                                <w:right w:val="none" w:sz="0" w:space="0" w:color="auto"/>
                              </w:divBdr>
                              <w:divsChild>
                                <w:div w:id="1948392300">
                                  <w:marLeft w:val="0"/>
                                  <w:marRight w:val="0"/>
                                  <w:marTop w:val="150"/>
                                  <w:marBottom w:val="150"/>
                                  <w:divBdr>
                                    <w:top w:val="none" w:sz="0" w:space="0" w:color="auto"/>
                                    <w:left w:val="none" w:sz="0" w:space="0" w:color="auto"/>
                                    <w:bottom w:val="none" w:sz="0" w:space="0" w:color="auto"/>
                                    <w:right w:val="none" w:sz="0" w:space="0" w:color="auto"/>
                                  </w:divBdr>
                                  <w:divsChild>
                                    <w:div w:id="1386098344">
                                      <w:marLeft w:val="0"/>
                                      <w:marRight w:val="0"/>
                                      <w:marTop w:val="0"/>
                                      <w:marBottom w:val="0"/>
                                      <w:divBdr>
                                        <w:top w:val="none" w:sz="0" w:space="0" w:color="auto"/>
                                        <w:left w:val="none" w:sz="0" w:space="0" w:color="auto"/>
                                        <w:bottom w:val="none" w:sz="0" w:space="0" w:color="auto"/>
                                        <w:right w:val="none" w:sz="0" w:space="0" w:color="auto"/>
                                      </w:divBdr>
                                      <w:divsChild>
                                        <w:div w:id="1301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500463">
      <w:bodyDiv w:val="1"/>
      <w:marLeft w:val="0"/>
      <w:marRight w:val="0"/>
      <w:marTop w:val="0"/>
      <w:marBottom w:val="0"/>
      <w:divBdr>
        <w:top w:val="none" w:sz="0" w:space="0" w:color="auto"/>
        <w:left w:val="none" w:sz="0" w:space="0" w:color="auto"/>
        <w:bottom w:val="none" w:sz="0" w:space="0" w:color="auto"/>
        <w:right w:val="none" w:sz="0" w:space="0" w:color="auto"/>
      </w:divBdr>
    </w:div>
    <w:div w:id="2058234853">
      <w:bodyDiv w:val="1"/>
      <w:marLeft w:val="0"/>
      <w:marRight w:val="0"/>
      <w:marTop w:val="0"/>
      <w:marBottom w:val="0"/>
      <w:divBdr>
        <w:top w:val="none" w:sz="0" w:space="0" w:color="auto"/>
        <w:left w:val="none" w:sz="0" w:space="0" w:color="auto"/>
        <w:bottom w:val="none" w:sz="0" w:space="0" w:color="auto"/>
        <w:right w:val="none" w:sz="0" w:space="0" w:color="auto"/>
      </w:divBdr>
      <w:divsChild>
        <w:div w:id="911237647">
          <w:marLeft w:val="0"/>
          <w:marRight w:val="0"/>
          <w:marTop w:val="240"/>
          <w:marBottom w:val="480"/>
          <w:divBdr>
            <w:top w:val="none" w:sz="0" w:space="0" w:color="auto"/>
            <w:left w:val="none" w:sz="0" w:space="0" w:color="auto"/>
            <w:bottom w:val="none" w:sz="0" w:space="0" w:color="auto"/>
            <w:right w:val="none" w:sz="0" w:space="0" w:color="auto"/>
          </w:divBdr>
          <w:divsChild>
            <w:div w:id="1456559678">
              <w:marLeft w:val="0"/>
              <w:marRight w:val="0"/>
              <w:marTop w:val="0"/>
              <w:marBottom w:val="0"/>
              <w:divBdr>
                <w:top w:val="none" w:sz="0" w:space="0" w:color="auto"/>
                <w:left w:val="none" w:sz="0" w:space="0" w:color="auto"/>
                <w:bottom w:val="none" w:sz="0" w:space="0" w:color="auto"/>
                <w:right w:val="none" w:sz="0" w:space="0" w:color="auto"/>
              </w:divBdr>
              <w:divsChild>
                <w:div w:id="1403798361">
                  <w:marLeft w:val="0"/>
                  <w:marRight w:val="0"/>
                  <w:marTop w:val="0"/>
                  <w:marBottom w:val="0"/>
                  <w:divBdr>
                    <w:top w:val="none" w:sz="0" w:space="0" w:color="auto"/>
                    <w:left w:val="none" w:sz="0" w:space="0" w:color="auto"/>
                    <w:bottom w:val="none" w:sz="0" w:space="0" w:color="auto"/>
                    <w:right w:val="none" w:sz="0" w:space="0" w:color="auto"/>
                  </w:divBdr>
                  <w:divsChild>
                    <w:div w:id="1651249726">
                      <w:marLeft w:val="0"/>
                      <w:marRight w:val="0"/>
                      <w:marTop w:val="0"/>
                      <w:marBottom w:val="0"/>
                      <w:divBdr>
                        <w:top w:val="none" w:sz="0" w:space="0" w:color="auto"/>
                        <w:left w:val="none" w:sz="0" w:space="0" w:color="auto"/>
                        <w:bottom w:val="none" w:sz="0" w:space="0" w:color="auto"/>
                        <w:right w:val="none" w:sz="0" w:space="0" w:color="auto"/>
                      </w:divBdr>
                      <w:divsChild>
                        <w:div w:id="1093090638">
                          <w:marLeft w:val="0"/>
                          <w:marRight w:val="0"/>
                          <w:marTop w:val="0"/>
                          <w:marBottom w:val="0"/>
                          <w:divBdr>
                            <w:top w:val="none" w:sz="0" w:space="0" w:color="auto"/>
                            <w:left w:val="none" w:sz="0" w:space="0" w:color="auto"/>
                            <w:bottom w:val="none" w:sz="0" w:space="0" w:color="auto"/>
                            <w:right w:val="none" w:sz="0" w:space="0" w:color="auto"/>
                          </w:divBdr>
                          <w:divsChild>
                            <w:div w:id="1917321952">
                              <w:marLeft w:val="0"/>
                              <w:marRight w:val="0"/>
                              <w:marTop w:val="0"/>
                              <w:marBottom w:val="0"/>
                              <w:divBdr>
                                <w:top w:val="none" w:sz="0" w:space="0" w:color="auto"/>
                                <w:left w:val="none" w:sz="0" w:space="0" w:color="auto"/>
                                <w:bottom w:val="none" w:sz="0" w:space="0" w:color="auto"/>
                                <w:right w:val="none" w:sz="0" w:space="0" w:color="auto"/>
                              </w:divBdr>
                              <w:divsChild>
                                <w:div w:id="2108232288">
                                  <w:marLeft w:val="0"/>
                                  <w:marRight w:val="0"/>
                                  <w:marTop w:val="150"/>
                                  <w:marBottom w:val="150"/>
                                  <w:divBdr>
                                    <w:top w:val="none" w:sz="0" w:space="0" w:color="auto"/>
                                    <w:left w:val="none" w:sz="0" w:space="0" w:color="auto"/>
                                    <w:bottom w:val="none" w:sz="0" w:space="0" w:color="auto"/>
                                    <w:right w:val="none" w:sz="0" w:space="0" w:color="auto"/>
                                  </w:divBdr>
                                  <w:divsChild>
                                    <w:div w:id="1085297533">
                                      <w:marLeft w:val="0"/>
                                      <w:marRight w:val="0"/>
                                      <w:marTop w:val="0"/>
                                      <w:marBottom w:val="0"/>
                                      <w:divBdr>
                                        <w:top w:val="none" w:sz="0" w:space="0" w:color="auto"/>
                                        <w:left w:val="none" w:sz="0" w:space="0" w:color="auto"/>
                                        <w:bottom w:val="none" w:sz="0" w:space="0" w:color="auto"/>
                                        <w:right w:val="none" w:sz="0" w:space="0" w:color="auto"/>
                                      </w:divBdr>
                                      <w:divsChild>
                                        <w:div w:id="2316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FEA4E6D2E014ABBE7239254D653B0" ma:contentTypeVersion="13" ma:contentTypeDescription="Create a new document." ma:contentTypeScope="" ma:versionID="acbd36a41636053e72ad4bbcd20fbbfe">
  <xsd:schema xmlns:xsd="http://www.w3.org/2001/XMLSchema" xmlns:xs="http://www.w3.org/2001/XMLSchema" xmlns:p="http://schemas.microsoft.com/office/2006/metadata/properties" xmlns:ns3="f2590ff3-2c1e-4178-b040-75bc17cbb55b" xmlns:ns4="dfa0a1a2-499a-4263-bdb4-1a2ecd3745de" targetNamespace="http://schemas.microsoft.com/office/2006/metadata/properties" ma:root="true" ma:fieldsID="35cc61e1121c04a9097c98e3b90fef4f" ns3:_="" ns4:_="">
    <xsd:import namespace="f2590ff3-2c1e-4178-b040-75bc17cbb55b"/>
    <xsd:import namespace="dfa0a1a2-499a-4263-bdb4-1a2ecd3745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90ff3-2c1e-4178-b040-75bc17cbb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0a1a2-499a-4263-bdb4-1a2ecd374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657E-6D74-4F6C-8D94-98D537F2884C}">
  <ds:schemaRefs>
    <ds:schemaRef ds:uri="http://schemas.microsoft.com/sharepoint/v3/contenttype/forms"/>
  </ds:schemaRefs>
</ds:datastoreItem>
</file>

<file path=customXml/itemProps2.xml><?xml version="1.0" encoding="utf-8"?>
<ds:datastoreItem xmlns:ds="http://schemas.openxmlformats.org/officeDocument/2006/customXml" ds:itemID="{4D537F26-F495-47F0-9CAB-86236A069A3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2590ff3-2c1e-4178-b040-75bc17cbb55b"/>
    <ds:schemaRef ds:uri="dfa0a1a2-499a-4263-bdb4-1a2ecd3745de"/>
    <ds:schemaRef ds:uri="http://www.w3.org/XML/1998/namespace"/>
    <ds:schemaRef ds:uri="http://purl.org/dc/dcmitype/"/>
  </ds:schemaRefs>
</ds:datastoreItem>
</file>

<file path=customXml/itemProps3.xml><?xml version="1.0" encoding="utf-8"?>
<ds:datastoreItem xmlns:ds="http://schemas.openxmlformats.org/officeDocument/2006/customXml" ds:itemID="{351A8D15-E938-43B0-AF3B-35A034DF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90ff3-2c1e-4178-b040-75bc17cbb55b"/>
    <ds:schemaRef ds:uri="dfa0a1a2-499a-4263-bdb4-1a2ecd374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296E6-2F5F-4538-A84A-EAF5F466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7607</Words>
  <Characters>43362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2020-06-04T04:01:00Z</dcterms:created>
  <dcterms:modified xsi:type="dcterms:W3CDTF">2020-06-04T04:01:00Z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0x010100F80FEA4E6D2E014ABBE7239254D653B0</vt:lpwstr>
  </property>
</Properties>
</file>