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447EA" w14:textId="77777777" w:rsidR="00F23AA4" w:rsidRPr="00707064" w:rsidRDefault="00F23AA4" w:rsidP="00F23AA4">
      <w:pPr>
        <w:spacing w:after="240"/>
        <w:jc w:val="center"/>
        <w:rPr>
          <w:b/>
          <w:i/>
          <w:szCs w:val="24"/>
          <w:highlight w:val="yellow"/>
        </w:rPr>
      </w:pPr>
      <w:r>
        <w:rPr>
          <w:rFonts w:ascii="Arial" w:hAnsi="Arial" w:cs="Arial"/>
          <w:b/>
          <w:noProof/>
          <w:color w:val="000080"/>
          <w:sz w:val="28"/>
          <w:szCs w:val="28"/>
        </w:rPr>
        <w:drawing>
          <wp:inline distT="0" distB="0" distL="0" distR="0" wp14:anchorId="413019C5" wp14:editId="6D5981A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D27AECE" w14:textId="77777777" w:rsidR="00F23AA4" w:rsidRPr="00F715D1" w:rsidRDefault="00F23AA4" w:rsidP="00F23AA4">
      <w:pPr>
        <w:pStyle w:val="Title"/>
        <w:tabs>
          <w:tab w:val="left" w:pos="1926"/>
          <w:tab w:val="center" w:pos="4513"/>
        </w:tabs>
        <w:jc w:val="left"/>
      </w:pPr>
      <w:r>
        <w:tab/>
      </w:r>
      <w:r>
        <w:tab/>
      </w:r>
      <w:r w:rsidRPr="00F715D1">
        <w:t>Publi</w:t>
      </w:r>
      <w:bookmarkStart w:id="0" w:name="_GoBack"/>
      <w:bookmarkEnd w:id="0"/>
      <w:r w:rsidRPr="00F715D1">
        <w:t>c Summary Document</w:t>
      </w:r>
    </w:p>
    <w:p w14:paraId="3669E3A9" w14:textId="77777777" w:rsidR="00F23AA4" w:rsidRPr="00F715D1" w:rsidRDefault="00F23AA4" w:rsidP="00F23AA4">
      <w:pPr>
        <w:pStyle w:val="Subtitle"/>
      </w:pPr>
      <w:r w:rsidRPr="00F715D1">
        <w:t xml:space="preserve">Application No. </w:t>
      </w:r>
      <w:r w:rsidR="00552AA3">
        <w:t>1606</w:t>
      </w:r>
      <w:r w:rsidRPr="00F715D1">
        <w:t xml:space="preserve"> – </w:t>
      </w:r>
      <w:r w:rsidR="00552AA3" w:rsidRPr="00552AA3">
        <w:t xml:space="preserve">Request to amend existing MBS </w:t>
      </w:r>
      <w:r w:rsidR="00310AC6" w:rsidRPr="00552AA3">
        <w:t>i</w:t>
      </w:r>
      <w:r w:rsidR="00552AA3" w:rsidRPr="00552AA3">
        <w:t>tem 73341 (</w:t>
      </w:r>
      <w:r w:rsidR="00310AC6" w:rsidRPr="00552AA3">
        <w:t>f</w:t>
      </w:r>
      <w:r w:rsidR="00552AA3" w:rsidRPr="00552AA3">
        <w:t>luorescence in situ hybridisation (FISH) test of tumour tissue from a patient with locally advanced or metastatic non-small cell lung cancer) to add brigat</w:t>
      </w:r>
      <w:r w:rsidR="00310AC6">
        <w:t>i</w:t>
      </w:r>
      <w:r w:rsidR="00552AA3" w:rsidRPr="00552AA3">
        <w:t>nib</w:t>
      </w:r>
    </w:p>
    <w:p w14:paraId="174FA789" w14:textId="77777777" w:rsidR="00F23AA4" w:rsidRPr="00F715D1" w:rsidRDefault="00F23AA4" w:rsidP="00F23AA4">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496043">
        <w:rPr>
          <w:rFonts w:ascii="Arial" w:hAnsi="Arial" w:cs="Arial"/>
          <w:b/>
          <w:szCs w:val="24"/>
        </w:rPr>
        <w:tab/>
      </w:r>
      <w:r w:rsidR="00552AA3">
        <w:rPr>
          <w:rFonts w:ascii="Arial" w:hAnsi="Arial" w:cs="Arial"/>
          <w:b/>
          <w:szCs w:val="24"/>
        </w:rPr>
        <w:t>Takeda Pharmaceuticals Australia Pty Ltd</w:t>
      </w:r>
    </w:p>
    <w:p w14:paraId="65DADDC7" w14:textId="77777777" w:rsidR="00F23AA4" w:rsidRPr="00F715D1" w:rsidRDefault="00F23AA4" w:rsidP="00F23AA4">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187AFF2D" w14:textId="77777777" w:rsidR="00F23AA4" w:rsidRPr="00B03EAB" w:rsidRDefault="00F23AA4" w:rsidP="00F23AA4">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419C19B2" w14:textId="77777777" w:rsidR="00F23AA4" w:rsidRPr="00F715D1" w:rsidRDefault="00F23AA4" w:rsidP="00F23AA4">
      <w:pPr>
        <w:pStyle w:val="Heading1"/>
      </w:pPr>
      <w:r w:rsidRPr="00F715D1">
        <w:t xml:space="preserve">Purpose of application </w:t>
      </w:r>
    </w:p>
    <w:p w14:paraId="1C928BEC" w14:textId="65AE297F" w:rsidR="00F23AA4" w:rsidRPr="00971A58" w:rsidRDefault="00971A58" w:rsidP="00971A58">
      <w:r>
        <w:t xml:space="preserve">An application </w:t>
      </w:r>
      <w:r w:rsidR="007C0DEB">
        <w:t xml:space="preserve">to include brigatinib as one of the listed medicines for the existing Medicare Benefits Schedule (MBS) item </w:t>
      </w:r>
      <w:r w:rsidR="00310AC6">
        <w:t xml:space="preserve">73341 </w:t>
      </w:r>
      <w:r w:rsidR="007C0DEB">
        <w:t xml:space="preserve">for patients with anaplastic lymphoma kinase (ALK) rearranged </w:t>
      </w:r>
      <w:r w:rsidR="007C0DEB" w:rsidRPr="001313D7">
        <w:t>locally advanced or metastatic non-small cell lung cancer</w:t>
      </w:r>
      <w:r w:rsidR="007C0DEB">
        <w:t xml:space="preserve"> (NSCLC)</w:t>
      </w:r>
      <w:r w:rsidR="009B7319">
        <w:t xml:space="preserve"> </w:t>
      </w:r>
      <w:r w:rsidR="006935B6">
        <w:t xml:space="preserve">was received from </w:t>
      </w:r>
      <w:r w:rsidR="006935B6" w:rsidRPr="006935B6">
        <w:t>Takeda Pharmaceuticals Australia Pty Ltd</w:t>
      </w:r>
      <w:r w:rsidR="006935B6">
        <w:t xml:space="preserve"> by the Department of Health.</w:t>
      </w:r>
    </w:p>
    <w:p w14:paraId="3D0E906F" w14:textId="77777777" w:rsidR="00F23AA4" w:rsidRPr="00F715D1" w:rsidRDefault="00F23AA4" w:rsidP="00F23AA4">
      <w:pPr>
        <w:pStyle w:val="Heading1"/>
      </w:pPr>
      <w:r w:rsidRPr="00F715D1">
        <w:t>MSAC’s advice to the Minister</w:t>
      </w:r>
    </w:p>
    <w:p w14:paraId="77D8E2F1" w14:textId="08A9B26D" w:rsidR="00310AC6" w:rsidRPr="005D33FD" w:rsidRDefault="002B26F9" w:rsidP="005D33FD">
      <w:pPr>
        <w:spacing w:after="240"/>
      </w:pPr>
      <w:r w:rsidRPr="001342D1">
        <w:t>After considering the s</w:t>
      </w:r>
      <w:bookmarkStart w:id="1" w:name="Editing"/>
      <w:bookmarkEnd w:id="1"/>
      <w:r w:rsidRPr="001342D1">
        <w:t xml:space="preserve">trength of the available evidence in relation to comparative safety, </w:t>
      </w:r>
      <w:r>
        <w:t>clinical effectiveness and cost-</w:t>
      </w:r>
      <w:r w:rsidRPr="001342D1">
        <w:t>effectiveness, MSAC supported</w:t>
      </w:r>
      <w:r>
        <w:t xml:space="preserve"> amending MBS item 73341</w:t>
      </w:r>
      <w:r w:rsidRPr="007677AB">
        <w:t xml:space="preserve"> </w:t>
      </w:r>
      <w:r>
        <w:t>(f</w:t>
      </w:r>
      <w:r w:rsidRPr="007677AB">
        <w:t xml:space="preserve">luorescence </w:t>
      </w:r>
      <w:r w:rsidRPr="00310AC6">
        <w:rPr>
          <w:i/>
        </w:rPr>
        <w:t>in situ</w:t>
      </w:r>
      <w:r w:rsidRPr="007677AB">
        <w:t xml:space="preserve"> hybridisation </w:t>
      </w:r>
      <w:r>
        <w:t>[</w:t>
      </w:r>
      <w:r w:rsidRPr="007677AB">
        <w:t>FISH</w:t>
      </w:r>
      <w:r>
        <w:t>]</w:t>
      </w:r>
      <w:r w:rsidRPr="007677AB">
        <w:t xml:space="preserve"> test of tumour tissue from a patient with locally advanced or metast</w:t>
      </w:r>
      <w:r>
        <w:t>atic non-small cell lung cancer</w:t>
      </w:r>
      <w:r w:rsidRPr="007677AB">
        <w:t xml:space="preserve"> </w:t>
      </w:r>
      <w:r>
        <w:t>[</w:t>
      </w:r>
      <w:r w:rsidRPr="00D84AFC">
        <w:t>NSCLC</w:t>
      </w:r>
      <w:r>
        <w:t xml:space="preserve">] </w:t>
      </w:r>
      <w:r w:rsidRPr="007677AB">
        <w:t xml:space="preserve">to </w:t>
      </w:r>
      <w:r w:rsidRPr="00D84AFC">
        <w:t>determine</w:t>
      </w:r>
      <w:r>
        <w:rPr>
          <w:lang w:val="en-US"/>
        </w:rPr>
        <w:t xml:space="preserve"> access to </w:t>
      </w:r>
      <w:r w:rsidRPr="007677AB">
        <w:t xml:space="preserve">PBS-listed </w:t>
      </w:r>
      <w:r w:rsidRPr="00A84C69">
        <w:t xml:space="preserve">anaplastic lymphoma kinase </w:t>
      </w:r>
      <w:r>
        <w:t>[</w:t>
      </w:r>
      <w:r w:rsidRPr="007677AB">
        <w:t>ALK</w:t>
      </w:r>
      <w:r>
        <w:t>]</w:t>
      </w:r>
      <w:r w:rsidRPr="007677AB">
        <w:t xml:space="preserve"> inhibitors</w:t>
      </w:r>
      <w:r>
        <w:t>) to</w:t>
      </w:r>
      <w:r w:rsidRPr="007677AB">
        <w:t xml:space="preserve"> </w:t>
      </w:r>
      <w:r>
        <w:t>include</w:t>
      </w:r>
      <w:r w:rsidRPr="007677AB">
        <w:t xml:space="preserve"> brigatinib</w:t>
      </w:r>
      <w:r>
        <w:t>.</w:t>
      </w:r>
    </w:p>
    <w:p w14:paraId="7178FE39" w14:textId="2565FF25" w:rsidR="005D33FD" w:rsidRDefault="002B26F9" w:rsidP="005D33FD">
      <w:pPr>
        <w:spacing w:after="240"/>
      </w:pPr>
      <w:r w:rsidRPr="00E77E77">
        <w:t>MSAC supported the modific</w:t>
      </w:r>
      <w:r>
        <w:t>ation of existing MBS item 73341</w:t>
      </w:r>
      <w:r w:rsidRPr="00E77E77">
        <w:t xml:space="preserve"> to refer to P</w:t>
      </w:r>
      <w:r w:rsidR="0045281D">
        <w:t xml:space="preserve">harmaceutical </w:t>
      </w:r>
      <w:r w:rsidRPr="00E77E77">
        <w:t>B</w:t>
      </w:r>
      <w:r w:rsidR="0045281D">
        <w:t xml:space="preserve">enefits </w:t>
      </w:r>
      <w:r w:rsidRPr="00E77E77">
        <w:t>S</w:t>
      </w:r>
      <w:r w:rsidR="0045281D">
        <w:t>cheme (PBS)</w:t>
      </w:r>
      <w:r w:rsidRPr="00E77E77">
        <w:t>-subsidised ALK inhibitors as a therapeutic class rather than to list the individual PBS-subsidised medicines</w:t>
      </w:r>
      <w:r w:rsidR="005D33FD">
        <w:t>.</w:t>
      </w:r>
    </w:p>
    <w:p w14:paraId="1AE04AF8" w14:textId="77777777" w:rsidR="002B26F9" w:rsidRPr="00496043" w:rsidRDefault="002B26F9" w:rsidP="00496043">
      <w:pPr>
        <w:pStyle w:val="BoxHeading"/>
        <w:spacing w:before="120" w:after="120"/>
        <w:rPr>
          <w:rFonts w:ascii="Times New Roman" w:hAnsi="Times New Roman" w:cs="Times New Roman"/>
        </w:rPr>
      </w:pPr>
      <w:r w:rsidRPr="00496043">
        <w:rPr>
          <w:rFonts w:ascii="Times New Roman" w:hAnsi="Times New Roman" w:cs="Times New Roman"/>
        </w:rPr>
        <w:t>Consumer summary</w:t>
      </w:r>
    </w:p>
    <w:p w14:paraId="29A8C797" w14:textId="645B37A4" w:rsidR="002B26F9" w:rsidRDefault="002B26F9" w:rsidP="002B26F9">
      <w:pPr>
        <w:pStyle w:val="BoxText"/>
      </w:pPr>
      <w:r>
        <w:t xml:space="preserve">Takeda </w:t>
      </w:r>
      <w:r w:rsidR="00DE1D90">
        <w:t xml:space="preserve">Pharmaceuticals </w:t>
      </w:r>
      <w:r>
        <w:t xml:space="preserve">Australia </w:t>
      </w:r>
      <w:r w:rsidR="00DE1D90">
        <w:t xml:space="preserve">Pty Ltd </w:t>
      </w:r>
      <w:r>
        <w:t xml:space="preserve">applied to the Medical Services Advisory Committee (MSAC) to change the description of Medicare Benefits Scheme (MBS) item 73341. This item is for </w:t>
      </w:r>
      <w:r w:rsidR="008A6AA2">
        <w:t xml:space="preserve">the </w:t>
      </w:r>
      <w:r>
        <w:t xml:space="preserve">testing </w:t>
      </w:r>
      <w:r w:rsidR="008A6AA2">
        <w:t xml:space="preserve">of </w:t>
      </w:r>
      <w:r>
        <w:t>tumour tissue from people with a certain type of lung cancer (</w:t>
      </w:r>
      <w:r w:rsidRPr="00A40FAE">
        <w:t>non-small cell lung cancer</w:t>
      </w:r>
      <w:r>
        <w:t>, or</w:t>
      </w:r>
      <w:r w:rsidRPr="00A40FAE">
        <w:t xml:space="preserve"> NSCLC)</w:t>
      </w:r>
      <w:r w:rsidR="00DE1D90">
        <w:t xml:space="preserve"> which has spread to </w:t>
      </w:r>
      <w:r w:rsidR="00DE1D90" w:rsidRPr="00FA2727">
        <w:t>the lymph nodes in the middle of the chest</w:t>
      </w:r>
      <w:r w:rsidR="00DE1D90" w:rsidRPr="00D84AFC">
        <w:t xml:space="preserve"> </w:t>
      </w:r>
      <w:r w:rsidR="00DE1D90">
        <w:t xml:space="preserve">(called </w:t>
      </w:r>
      <w:r w:rsidR="00DE1D90" w:rsidRPr="00D84AFC">
        <w:t xml:space="preserve">locally advanced) or </w:t>
      </w:r>
      <w:r w:rsidR="00DE1D90">
        <w:t>has spread elsewhere in the body (called metastatic)</w:t>
      </w:r>
      <w:r>
        <w:t xml:space="preserve">. A test called fluorescence </w:t>
      </w:r>
      <w:r w:rsidRPr="00310AC6">
        <w:rPr>
          <w:i/>
        </w:rPr>
        <w:t>in situ</w:t>
      </w:r>
      <w:r>
        <w:t xml:space="preserve"> h</w:t>
      </w:r>
      <w:r w:rsidRPr="00266F2D">
        <w:t>ybridisation (FISH)</w:t>
      </w:r>
      <w:r>
        <w:t xml:space="preserve"> is done to see whether that person can use certain medicines that are listed on the Pharmaceutical Benefits Scheme</w:t>
      </w:r>
      <w:r w:rsidRPr="00164E8A">
        <w:t xml:space="preserve"> </w:t>
      </w:r>
      <w:r w:rsidR="00310AC6">
        <w:t>(PBS).</w:t>
      </w:r>
    </w:p>
    <w:p w14:paraId="4AFDA7DF" w14:textId="76481FC0" w:rsidR="002B26F9" w:rsidRDefault="002B26F9" w:rsidP="005D33FD">
      <w:pPr>
        <w:pStyle w:val="BoxText"/>
        <w:pBdr>
          <w:bottom w:val="single" w:sz="4" w:space="10" w:color="auto"/>
        </w:pBdr>
      </w:pPr>
      <w:r>
        <w:lastRenderedPageBreak/>
        <w:t xml:space="preserve">MBS item 73341 already </w:t>
      </w:r>
      <w:r w:rsidR="008A6AA2">
        <w:t>lists</w:t>
      </w:r>
      <w:r>
        <w:t xml:space="preserve"> three medicines</w:t>
      </w:r>
      <w:r w:rsidR="00DE1D90">
        <w:t xml:space="preserve"> which all come from a group of medicines called ‘ALK (</w:t>
      </w:r>
      <w:r w:rsidR="00DE1D90" w:rsidRPr="00A84C69">
        <w:t>anaplastic lymphoma kinase</w:t>
      </w:r>
      <w:r w:rsidR="00DE1D90">
        <w:t>) inhibitors’</w:t>
      </w:r>
      <w:r>
        <w:t xml:space="preserve">. This application was to add another medicine called </w:t>
      </w:r>
      <w:r w:rsidRPr="00F6029A">
        <w:t>brigatinib</w:t>
      </w:r>
      <w:r w:rsidR="00DE1D90">
        <w:t xml:space="preserve"> to this list</w:t>
      </w:r>
      <w:r>
        <w:t>.</w:t>
      </w:r>
      <w:r w:rsidRPr="001237F5">
        <w:t xml:space="preserve"> </w:t>
      </w:r>
      <w:r>
        <w:t xml:space="preserve">The Pharmaceutical Benefits Advisory Committee (PBAC) </w:t>
      </w:r>
      <w:r w:rsidR="00310AC6">
        <w:t xml:space="preserve">recommended listing </w:t>
      </w:r>
      <w:r>
        <w:t xml:space="preserve">brigatinib </w:t>
      </w:r>
      <w:r w:rsidR="00310AC6">
        <w:t>on</w:t>
      </w:r>
      <w:r>
        <w:t xml:space="preserve"> the PBS in November 2019.</w:t>
      </w:r>
    </w:p>
    <w:p w14:paraId="1A5E8F26" w14:textId="56C715C0" w:rsidR="002B26F9" w:rsidRDefault="002B26F9" w:rsidP="005D33FD">
      <w:pPr>
        <w:pStyle w:val="BoxText"/>
        <w:pBdr>
          <w:bottom w:val="single" w:sz="4" w:space="10" w:color="auto"/>
        </w:pBdr>
      </w:pPr>
      <w:r>
        <w:t>MSAC decided that the words ‘ALK</w:t>
      </w:r>
      <w:r w:rsidR="003A6F65">
        <w:t xml:space="preserve"> (</w:t>
      </w:r>
      <w:r w:rsidR="003A6F65" w:rsidRPr="00A84C69">
        <w:t>anaplastic lymphoma kinase</w:t>
      </w:r>
      <w:r w:rsidR="003A6F65">
        <w:t>)</w:t>
      </w:r>
      <w:r>
        <w:t xml:space="preserve"> inhibitors’ could be used in MBS item 73341 instead of listing </w:t>
      </w:r>
      <w:r w:rsidR="00DE1D90">
        <w:t xml:space="preserve">each of </w:t>
      </w:r>
      <w:r>
        <w:t>the medicines separately.</w:t>
      </w:r>
    </w:p>
    <w:p w14:paraId="38A67761" w14:textId="77777777" w:rsidR="002B26F9" w:rsidRDefault="002B26F9" w:rsidP="005D33FD">
      <w:pPr>
        <w:pStyle w:val="BoxText"/>
        <w:pBdr>
          <w:bottom w:val="single" w:sz="4" w:space="10" w:color="auto"/>
        </w:pBdr>
      </w:pPr>
      <w:r>
        <w:t xml:space="preserve">Changing this item will not </w:t>
      </w:r>
      <w:r w:rsidRPr="004D2822">
        <w:t xml:space="preserve">change the number of </w:t>
      </w:r>
      <w:r>
        <w:t>people</w:t>
      </w:r>
      <w:r w:rsidRPr="004D2822">
        <w:t xml:space="preserve"> </w:t>
      </w:r>
      <w:r>
        <w:t>who have this test or the cost to the MBS.</w:t>
      </w:r>
    </w:p>
    <w:p w14:paraId="653E8C86" w14:textId="111EE1A2" w:rsidR="002B26F9" w:rsidRPr="0073767F" w:rsidRDefault="002B26F9" w:rsidP="005D33FD">
      <w:pPr>
        <w:pStyle w:val="BoxText"/>
        <w:pBdr>
          <w:bottom w:val="single" w:sz="4" w:space="10" w:color="auto"/>
        </w:pBdr>
        <w:spacing w:after="120"/>
        <w:rPr>
          <w:b/>
        </w:rPr>
      </w:pPr>
      <w:r w:rsidRPr="0073767F">
        <w:rPr>
          <w:b/>
        </w:rPr>
        <w:t xml:space="preserve">MSAC’s </w:t>
      </w:r>
      <w:r w:rsidR="00310AC6">
        <w:rPr>
          <w:b/>
        </w:rPr>
        <w:t xml:space="preserve">advice </w:t>
      </w:r>
      <w:r w:rsidRPr="0073767F">
        <w:rPr>
          <w:b/>
        </w:rPr>
        <w:t>to the Commonwealth Minister</w:t>
      </w:r>
      <w:r w:rsidR="00310AC6">
        <w:rPr>
          <w:b/>
        </w:rPr>
        <w:t xml:space="preserve"> for Health</w:t>
      </w:r>
    </w:p>
    <w:p w14:paraId="2BA1DD41" w14:textId="10450B99" w:rsidR="002B26F9" w:rsidRPr="0048077C" w:rsidRDefault="002B26F9" w:rsidP="005D33FD">
      <w:pPr>
        <w:pBdr>
          <w:top w:val="single" w:sz="4" w:space="1" w:color="auto"/>
          <w:left w:val="single" w:sz="4" w:space="4" w:color="auto"/>
          <w:bottom w:val="single" w:sz="4" w:space="10" w:color="auto"/>
          <w:right w:val="single" w:sz="4" w:space="4" w:color="auto"/>
        </w:pBdr>
        <w:spacing w:after="120"/>
      </w:pPr>
      <w:r>
        <w:t xml:space="preserve">MSAC supported changing MBS item 73341 to refer to ‘ALK inhibitors’ rather than list each medicine separately. This is because ALK inhibitors all </w:t>
      </w:r>
      <w:r w:rsidR="00310AC6">
        <w:t>achieve their effect in</w:t>
      </w:r>
      <w:r w:rsidR="0060725C">
        <w:t xml:space="preserve"> a</w:t>
      </w:r>
      <w:r w:rsidR="00310AC6">
        <w:t xml:space="preserve"> </w:t>
      </w:r>
      <w:r>
        <w:t xml:space="preserve">similar </w:t>
      </w:r>
      <w:r w:rsidR="00310AC6">
        <w:t>way</w:t>
      </w:r>
      <w:r>
        <w:t>.</w:t>
      </w:r>
    </w:p>
    <w:p w14:paraId="7BB1C1A7" w14:textId="77777777" w:rsidR="00F23AA4" w:rsidRPr="00F715D1" w:rsidRDefault="00F23AA4" w:rsidP="00F23AA4">
      <w:pPr>
        <w:pStyle w:val="Heading1"/>
      </w:pPr>
      <w:r w:rsidRPr="00F715D1">
        <w:t xml:space="preserve">Summary of consideration </w:t>
      </w:r>
      <w:r w:rsidR="00310AC6">
        <w:t>and rationale for MSAC’s advice</w:t>
      </w:r>
    </w:p>
    <w:p w14:paraId="76B36AF6" w14:textId="03C9F85A" w:rsidR="00310AC6" w:rsidRDefault="002B26F9" w:rsidP="005D33FD">
      <w:pPr>
        <w:spacing w:after="240"/>
      </w:pPr>
      <w:r>
        <w:t xml:space="preserve">MSAC noted that this application is a minor submission requesting </w:t>
      </w:r>
      <w:r w:rsidRPr="00B30BD9">
        <w:t xml:space="preserve">amendment of MBS item 73341 to include brigatinib as one of the </w:t>
      </w:r>
      <w:r>
        <w:t xml:space="preserve">listed medicines for which FISH </w:t>
      </w:r>
      <w:r w:rsidRPr="00B30BD9">
        <w:t>test</w:t>
      </w:r>
      <w:r>
        <w:t>ing</w:t>
      </w:r>
      <w:r w:rsidRPr="00B30BD9">
        <w:t xml:space="preserve"> of tumour tissue </w:t>
      </w:r>
      <w:r>
        <w:t xml:space="preserve">is used to </w:t>
      </w:r>
      <w:r w:rsidR="00310AC6">
        <w:t xml:space="preserve">detect </w:t>
      </w:r>
      <w:r w:rsidR="00310AC6" w:rsidRPr="00310AC6">
        <w:t>anaplastic lymphoma kinase (</w:t>
      </w:r>
      <w:r w:rsidR="00310AC6" w:rsidRPr="00310AC6">
        <w:rPr>
          <w:i/>
        </w:rPr>
        <w:t>ALK</w:t>
      </w:r>
      <w:r w:rsidR="00310AC6" w:rsidRPr="00310AC6">
        <w:t>) gene rearrangement</w:t>
      </w:r>
      <w:r w:rsidR="00310AC6">
        <w:t>s and thus help</w:t>
      </w:r>
      <w:r w:rsidR="00310AC6" w:rsidRPr="00310AC6">
        <w:t xml:space="preserve"> </w:t>
      </w:r>
      <w:r>
        <w:t>determine access</w:t>
      </w:r>
      <w:r w:rsidRPr="00122E9A">
        <w:t xml:space="preserve"> </w:t>
      </w:r>
      <w:r>
        <w:t>for</w:t>
      </w:r>
      <w:r w:rsidRPr="00B30BD9">
        <w:t xml:space="preserve"> patient</w:t>
      </w:r>
      <w:r>
        <w:t>s</w:t>
      </w:r>
      <w:r w:rsidRPr="00B30BD9">
        <w:t xml:space="preserve"> with locally advanced or metastatic </w:t>
      </w:r>
      <w:r>
        <w:t>NSCLC.</w:t>
      </w:r>
    </w:p>
    <w:p w14:paraId="206ABE95" w14:textId="619424B3" w:rsidR="00310AC6" w:rsidRDefault="002B26F9" w:rsidP="005D33FD">
      <w:pPr>
        <w:spacing w:after="240"/>
      </w:pPr>
      <w:r>
        <w:t>MSAC noted the PBAC’s positive recommendation in November 2019 to list b</w:t>
      </w:r>
      <w:r w:rsidRPr="0005135C">
        <w:t xml:space="preserve">rigatinib for use as monotherapy in the treatment of </w:t>
      </w:r>
      <w:r w:rsidRPr="00D84AFC">
        <w:t xml:space="preserve">patients with locally advanced (Stage IIIB) or metastatic (Stage IV) ALK-positive </w:t>
      </w:r>
      <w:r w:rsidRPr="0005135C">
        <w:t>NSCLC.</w:t>
      </w:r>
      <w:r>
        <w:t xml:space="preserve"> FISH is a companion diagnostic test.</w:t>
      </w:r>
    </w:p>
    <w:p w14:paraId="30B7458E" w14:textId="138D13A9" w:rsidR="002B26F9" w:rsidRDefault="002B26F9" w:rsidP="005D33FD">
      <w:pPr>
        <w:spacing w:after="240"/>
      </w:pPr>
      <w:r>
        <w:t xml:space="preserve">MSAC </w:t>
      </w:r>
      <w:r w:rsidR="004221E0">
        <w:t xml:space="preserve">advised </w:t>
      </w:r>
      <w:r>
        <w:t xml:space="preserve">that, rather than adding brigatinib to the list of medicines already in the </w:t>
      </w:r>
      <w:r w:rsidR="004221E0">
        <w:t xml:space="preserve">MBS item </w:t>
      </w:r>
      <w:r>
        <w:t>descriptor (</w:t>
      </w:r>
      <w:r w:rsidRPr="00F6029A">
        <w:t xml:space="preserve">crizotinib, ceritinib </w:t>
      </w:r>
      <w:r>
        <w:t>and</w:t>
      </w:r>
      <w:r w:rsidRPr="00F6029A">
        <w:t xml:space="preserve"> alectinib)</w:t>
      </w:r>
      <w:r>
        <w:t xml:space="preserve">, it would be appropriate to modify the descriptor to remove the </w:t>
      </w:r>
      <w:r w:rsidR="002F3DEA">
        <w:t>individually-</w:t>
      </w:r>
      <w:r>
        <w:t>listed medicines and refer to ‘ALK inhibitors’ as a therapeutic class.</w:t>
      </w:r>
    </w:p>
    <w:p w14:paraId="01F42E02" w14:textId="17813B4C" w:rsidR="002B26F9" w:rsidRDefault="008A6AA2" w:rsidP="002B26F9">
      <w:r>
        <w:t xml:space="preserve">MSAC advised </w:t>
      </w:r>
      <w:r w:rsidR="002B26F9">
        <w:t>amend</w:t>
      </w:r>
      <w:r>
        <w:t>ing</w:t>
      </w:r>
      <w:r w:rsidR="002B26F9">
        <w:t xml:space="preserve"> the descriptor</w:t>
      </w:r>
      <w:r w:rsidR="002B26F9" w:rsidRPr="00B10E06">
        <w:t xml:space="preserve"> </w:t>
      </w:r>
      <w:r w:rsidR="002B26F9">
        <w:t>for MBS</w:t>
      </w:r>
      <w:r w:rsidR="002B26F9" w:rsidRPr="00B10E06">
        <w:t xml:space="preserve"> item </w:t>
      </w:r>
      <w:r w:rsidR="002B26F9">
        <w:t xml:space="preserve">73341 </w:t>
      </w:r>
      <w:r w:rsidR="002B26F9" w:rsidRPr="00B10E06">
        <w:t>as follows:</w:t>
      </w:r>
    </w:p>
    <w:p w14:paraId="7DE335E8" w14:textId="71375352" w:rsidR="002B26F9" w:rsidRDefault="002B26F9" w:rsidP="005D33FD">
      <w:pPr>
        <w:ind w:left="851" w:right="851"/>
      </w:pPr>
      <w:r w:rsidRPr="002350F2">
        <w:t xml:space="preserve">Fluorescence in situ hybridisation (FISH) test of tumour tissue from a patient with locally advanced or metastatic non-small cell lung cancer, which is of non-squamous histology or histology not otherwise specified, with documented evidence of anaplastic lymphoma kinase (ALK) immunoreactivity by immunohistochemical (IHC) examination giving a staining intensity score &gt;0, and with documented absence of activating mutations of the epidermal growth factor receptor (EGFR) gene, requested by a specialist or consultant physician to determine if requirements relating to ALK gene rearrangement status for access to </w:t>
      </w:r>
      <w:r w:rsidRPr="00C70297">
        <w:rPr>
          <w:strike/>
        </w:rPr>
        <w:t>crizotinib, ceritinib, or alectinib</w:t>
      </w:r>
      <w:r w:rsidRPr="00C70297">
        <w:t xml:space="preserve"> </w:t>
      </w:r>
      <w:r w:rsidR="004221E0" w:rsidRPr="004221E0">
        <w:rPr>
          <w:u w:val="single"/>
        </w:rPr>
        <w:t xml:space="preserve">an </w:t>
      </w:r>
      <w:r w:rsidRPr="00C70297">
        <w:rPr>
          <w:u w:val="single"/>
        </w:rPr>
        <w:t>ALK inhibitor</w:t>
      </w:r>
      <w:r w:rsidRPr="00C70297">
        <w:t xml:space="preserve"> </w:t>
      </w:r>
      <w:r w:rsidRPr="002350F2">
        <w:t>under the Pharmaceutical Benefits Scheme (PBS) are fulfilled.</w:t>
      </w:r>
    </w:p>
    <w:p w14:paraId="317C2A37" w14:textId="787FAE28" w:rsidR="004221E0" w:rsidRDefault="002B26F9" w:rsidP="005D33FD">
      <w:pPr>
        <w:spacing w:before="240" w:after="240"/>
      </w:pPr>
      <w:r>
        <w:t xml:space="preserve">MSAC noted that there </w:t>
      </w:r>
      <w:r w:rsidR="004221E0">
        <w:t>wa</w:t>
      </w:r>
      <w:r>
        <w:t>s n</w:t>
      </w:r>
      <w:r w:rsidRPr="00B10E06">
        <w:t xml:space="preserve">o </w:t>
      </w:r>
      <w:r w:rsidR="004221E0">
        <w:t xml:space="preserve">request to </w:t>
      </w:r>
      <w:r w:rsidRPr="00B10E06">
        <w:t>change the testing methodology or the MBS fee.</w:t>
      </w:r>
    </w:p>
    <w:p w14:paraId="036C40DF" w14:textId="77777777" w:rsidR="004221E0" w:rsidRDefault="004221E0" w:rsidP="004221E0">
      <w:r>
        <w:t xml:space="preserve">MSAC noted that this application had bypassed its Evaluation </w:t>
      </w:r>
      <w:r w:rsidR="008A6AA2">
        <w:t>S</w:t>
      </w:r>
      <w:r>
        <w:t xml:space="preserve">ub-Committee (ESC). This is because MSAC has already accepted the </w:t>
      </w:r>
      <w:r w:rsidRPr="001342D1">
        <w:t xml:space="preserve">comparative safety, </w:t>
      </w:r>
      <w:r>
        <w:t>clinical effectiveness and cost-</w:t>
      </w:r>
      <w:r w:rsidRPr="001342D1">
        <w:t>effectiveness</w:t>
      </w:r>
      <w:r>
        <w:t xml:space="preserve"> for this type of genetic testing for other medicines of the same therapeutic class. MSAC confirmed that FISH testing was the “evidentiary standard” for this application (that is, the test methodology used to detect </w:t>
      </w:r>
      <w:r w:rsidRPr="00310AC6">
        <w:rPr>
          <w:i/>
        </w:rPr>
        <w:t>ALK</w:t>
      </w:r>
      <w:r w:rsidRPr="00310AC6">
        <w:t xml:space="preserve"> gene rearrangement</w:t>
      </w:r>
      <w:r>
        <w:t>s as part of the eligibility criteria into the clinical stud</w:t>
      </w:r>
      <w:r w:rsidR="00677C8F">
        <w:t>ies</w:t>
      </w:r>
      <w:r>
        <w:t xml:space="preserve"> supporting the clinical effectiveness of brigatinib in NSCLC).</w:t>
      </w:r>
    </w:p>
    <w:p w14:paraId="304D5F2B" w14:textId="21BBD937" w:rsidR="002B26F9" w:rsidRDefault="002B26F9" w:rsidP="002B26F9">
      <w:r>
        <w:lastRenderedPageBreak/>
        <w:t>MSAC considered that because t</w:t>
      </w:r>
      <w:r w:rsidRPr="004D2822">
        <w:t>esting for ALK rearrangement in patients with locally advanced or metastatic NSCLC for access to PBS-listed ALK inhibitors is established clinical practice in Australia</w:t>
      </w:r>
      <w:r>
        <w:t>, t</w:t>
      </w:r>
      <w:r w:rsidRPr="004D2822">
        <w:t>he addition of brigatinib to MBS item 73341 is unlikely to change the number of patients accessing this item.</w:t>
      </w:r>
      <w:r>
        <w:t xml:space="preserve"> </w:t>
      </w:r>
      <w:r w:rsidRPr="004D2822">
        <w:t xml:space="preserve">On this basis, </w:t>
      </w:r>
      <w:r w:rsidR="008A6AA2">
        <w:t xml:space="preserve">MSAC advised that </w:t>
      </w:r>
      <w:r w:rsidRPr="004D2822">
        <w:t xml:space="preserve">there will be no net financial impact to the MBS from the </w:t>
      </w:r>
      <w:r w:rsidR="004221E0">
        <w:t>supported amendment.</w:t>
      </w:r>
    </w:p>
    <w:p w14:paraId="2348B92F" w14:textId="77777777" w:rsidR="00F23AA4" w:rsidRPr="00F715D1" w:rsidRDefault="00F23AA4" w:rsidP="00F23AA4">
      <w:pPr>
        <w:pStyle w:val="Heading1"/>
      </w:pPr>
      <w:r w:rsidRPr="00F715D1">
        <w:t>Background</w:t>
      </w:r>
    </w:p>
    <w:p w14:paraId="4C584C93" w14:textId="0789BD0B" w:rsidR="009B7319" w:rsidRDefault="009B7319" w:rsidP="005D33FD">
      <w:pPr>
        <w:spacing w:after="240"/>
      </w:pPr>
      <w:r>
        <w:t xml:space="preserve">MBS item 73341 is for </w:t>
      </w:r>
      <w:r w:rsidR="004221E0">
        <w:t xml:space="preserve">fluorescence </w:t>
      </w:r>
      <w:r w:rsidR="004221E0" w:rsidRPr="00310AC6">
        <w:rPr>
          <w:i/>
        </w:rPr>
        <w:t>in situ</w:t>
      </w:r>
      <w:r w:rsidR="004221E0">
        <w:t xml:space="preserve"> h</w:t>
      </w:r>
      <w:r>
        <w:t xml:space="preserve">ybridisation (FISH) testing of tumour tissue in patients with NSCLC to </w:t>
      </w:r>
      <w:r w:rsidR="004221E0">
        <w:t xml:space="preserve">help </w:t>
      </w:r>
      <w:r>
        <w:t>determine access to crizotinib, ceritinib, or alectinib.</w:t>
      </w:r>
    </w:p>
    <w:p w14:paraId="727E7A51" w14:textId="7B035033" w:rsidR="009B7319" w:rsidRPr="002F118C" w:rsidRDefault="009B7319" w:rsidP="009B7319">
      <w:r>
        <w:t xml:space="preserve">Brigatinib was </w:t>
      </w:r>
      <w:r w:rsidR="004221E0">
        <w:t xml:space="preserve">recommended </w:t>
      </w:r>
      <w:r w:rsidR="00CC5C76">
        <w:t>at</w:t>
      </w:r>
      <w:r w:rsidR="004221E0">
        <w:t xml:space="preserve"> </w:t>
      </w:r>
      <w:r>
        <w:t>the 6-8 November 2019 PBAC meeting for use as monotherapy in the treatment of NSCLC.</w:t>
      </w:r>
    </w:p>
    <w:p w14:paraId="79276A3C" w14:textId="77777777" w:rsidR="00F23AA4" w:rsidRPr="00F715D1" w:rsidRDefault="00F23AA4" w:rsidP="00F23AA4">
      <w:pPr>
        <w:pStyle w:val="Heading1"/>
      </w:pPr>
      <w:r w:rsidRPr="00F715D1">
        <w:t>Prerequisites to implementation of any funding advice</w:t>
      </w:r>
    </w:p>
    <w:p w14:paraId="782386E4" w14:textId="233D0073" w:rsidR="00F23AA4" w:rsidRPr="0041184F" w:rsidRDefault="009B7319" w:rsidP="009B7319">
      <w:r>
        <w:t xml:space="preserve">The National Pathology Accreditation Advisory Council (NPAAC) advised that the testing methodology is mature </w:t>
      </w:r>
      <w:r w:rsidR="00D1433A">
        <w:t xml:space="preserve">and </w:t>
      </w:r>
      <w:r w:rsidR="002F3DEA">
        <w:t xml:space="preserve">that </w:t>
      </w:r>
      <w:r>
        <w:t>there is an external quality ass</w:t>
      </w:r>
      <w:r w:rsidR="00D1433A">
        <w:t>urance program (EQA) available.</w:t>
      </w:r>
    </w:p>
    <w:p w14:paraId="05FAC5DA" w14:textId="77777777" w:rsidR="00F23AA4" w:rsidRPr="00F715D1" w:rsidRDefault="00F23AA4" w:rsidP="00F23AA4">
      <w:pPr>
        <w:pStyle w:val="Heading1"/>
      </w:pPr>
      <w:r w:rsidRPr="00F715D1">
        <w:t>Proposal for public funding</w:t>
      </w:r>
    </w:p>
    <w:p w14:paraId="0894D805" w14:textId="7019BE7A" w:rsidR="006935B6" w:rsidRDefault="006935B6" w:rsidP="005D33FD">
      <w:pPr>
        <w:spacing w:after="240"/>
      </w:pPr>
      <w:r w:rsidRPr="001B40E7">
        <w:t xml:space="preserve">The requested amendment to MBS item 73341 is provided in </w:t>
      </w:r>
      <w:r>
        <w:t>Table 1</w:t>
      </w:r>
      <w:r w:rsidR="0083425E">
        <w:t>.</w:t>
      </w:r>
      <w:r w:rsidRPr="001B40E7">
        <w:t xml:space="preserve"> Proposed additions are </w:t>
      </w:r>
      <w:r w:rsidRPr="001B40E7">
        <w:rPr>
          <w:i/>
        </w:rPr>
        <w:t>italicised</w:t>
      </w:r>
      <w:r w:rsidRPr="001B40E7">
        <w:t xml:space="preserve">, and deletions are </w:t>
      </w:r>
      <w:r>
        <w:t>marked with strikethrough</w:t>
      </w:r>
      <w:r w:rsidR="004221E0">
        <w:t>.</w:t>
      </w:r>
    </w:p>
    <w:p w14:paraId="512FEEBD" w14:textId="77777777" w:rsidR="006935B6" w:rsidRDefault="006935B6" w:rsidP="006935B6">
      <w:r>
        <w:t xml:space="preserve">The MBS item is amended to include ‘brigatinib’ as one of the listed medicines which require </w:t>
      </w:r>
      <w:r w:rsidRPr="00D75B32">
        <w:rPr>
          <w:i/>
        </w:rPr>
        <w:t>ALK</w:t>
      </w:r>
      <w:r>
        <w:t xml:space="preserve"> gene rearrangement as a condition of access under the PBS. This will not result in a change to testing methodology, the patient population who access testing through the MBS, or to the MBS fee.</w:t>
      </w:r>
    </w:p>
    <w:p w14:paraId="4B7FECD7" w14:textId="77777777" w:rsidR="006935B6" w:rsidRPr="0083425E" w:rsidRDefault="006935B6" w:rsidP="00CC5C76">
      <w:pPr>
        <w:pStyle w:val="Caption"/>
        <w:spacing w:before="240"/>
        <w:rPr>
          <w:rFonts w:ascii="Arial Narrow" w:hAnsi="Arial Narrow"/>
          <w:sz w:val="20"/>
        </w:rPr>
      </w:pPr>
      <w:bookmarkStart w:id="2" w:name="_Ref19626496"/>
      <w:r w:rsidRPr="0083425E">
        <w:rPr>
          <w:rFonts w:ascii="Arial Narrow" w:hAnsi="Arial Narrow"/>
          <w:sz w:val="20"/>
        </w:rPr>
        <w:t>Table</w:t>
      </w:r>
      <w:bookmarkEnd w:id="2"/>
      <w:r w:rsidR="007C0DEB">
        <w:rPr>
          <w:rFonts w:ascii="Arial Narrow" w:hAnsi="Arial Narrow"/>
          <w:sz w:val="20"/>
        </w:rPr>
        <w:t xml:space="preserve"> 1</w:t>
      </w:r>
      <w:r w:rsidRPr="0083425E">
        <w:rPr>
          <w:rFonts w:ascii="Arial Narrow" w:hAnsi="Arial Narrow"/>
          <w:sz w:val="20"/>
        </w:rPr>
        <w:tab/>
        <w:t>Proposed amendments to MBS item 73341</w:t>
      </w:r>
    </w:p>
    <w:tbl>
      <w:tblPr>
        <w:tblStyle w:val="TableGrid"/>
        <w:tblW w:w="0" w:type="auto"/>
        <w:tblLook w:val="04A0" w:firstRow="1" w:lastRow="0" w:firstColumn="1" w:lastColumn="0" w:noHBand="0" w:noVBand="1"/>
        <w:tblCaption w:val="Table 1 Proposed amendments to MBS item 73341"/>
        <w:tblDescription w:val="MBS item descriptor"/>
      </w:tblPr>
      <w:tblGrid>
        <w:gridCol w:w="9016"/>
      </w:tblGrid>
      <w:tr w:rsidR="006935B6" w:rsidRPr="006935B6" w14:paraId="7B042914" w14:textId="77777777" w:rsidTr="007C0DEB">
        <w:trPr>
          <w:tblHeader/>
        </w:trPr>
        <w:tc>
          <w:tcPr>
            <w:tcW w:w="9350" w:type="dxa"/>
            <w:tcBorders>
              <w:bottom w:val="single" w:sz="4" w:space="0" w:color="auto"/>
            </w:tcBorders>
          </w:tcPr>
          <w:p w14:paraId="05ADE3AD" w14:textId="77777777" w:rsidR="006935B6" w:rsidRPr="006935B6" w:rsidRDefault="006935B6" w:rsidP="002F3DEA">
            <w:pPr>
              <w:pStyle w:val="Tabletext"/>
              <w:jc w:val="right"/>
              <w:rPr>
                <w:rFonts w:ascii="Arial Narrow" w:hAnsi="Arial Narrow"/>
                <w:b/>
                <w:sz w:val="20"/>
              </w:rPr>
            </w:pPr>
            <w:r w:rsidRPr="006935B6">
              <w:rPr>
                <w:rFonts w:ascii="Arial Narrow" w:hAnsi="Arial Narrow"/>
                <w:b/>
                <w:sz w:val="20"/>
              </w:rPr>
              <w:t>Category 6 – PATHOLOGY SERVICES</w:t>
            </w:r>
          </w:p>
        </w:tc>
      </w:tr>
      <w:tr w:rsidR="006935B6" w:rsidRPr="006935B6" w14:paraId="0E602C35" w14:textId="77777777" w:rsidTr="002F3DEA">
        <w:tc>
          <w:tcPr>
            <w:tcW w:w="9350" w:type="dxa"/>
            <w:tcBorders>
              <w:bottom w:val="nil"/>
            </w:tcBorders>
          </w:tcPr>
          <w:p w14:paraId="69A8DE2C" w14:textId="77777777" w:rsidR="006935B6" w:rsidRPr="006935B6" w:rsidRDefault="006935B6" w:rsidP="002F3DEA">
            <w:pPr>
              <w:pStyle w:val="Tabletext"/>
              <w:spacing w:after="120"/>
              <w:rPr>
                <w:rFonts w:ascii="Arial Narrow" w:hAnsi="Arial Narrow"/>
                <w:sz w:val="20"/>
                <w:u w:val="single"/>
              </w:rPr>
            </w:pPr>
            <w:r w:rsidRPr="006935B6">
              <w:rPr>
                <w:rFonts w:ascii="Arial Narrow" w:hAnsi="Arial Narrow"/>
                <w:sz w:val="20"/>
                <w:u w:val="single"/>
              </w:rPr>
              <w:t>73341</w:t>
            </w:r>
            <w:r w:rsidRPr="006935B6">
              <w:rPr>
                <w:rFonts w:ascii="Arial Narrow" w:hAnsi="Arial Narrow"/>
                <w:sz w:val="20"/>
              </w:rPr>
              <w:ptab w:relativeTo="margin" w:alignment="right" w:leader="none"/>
            </w:r>
            <w:r w:rsidRPr="006935B6">
              <w:rPr>
                <w:rFonts w:ascii="Arial Narrow" w:hAnsi="Arial Narrow"/>
                <w:b/>
                <w:sz w:val="20"/>
              </w:rPr>
              <w:t>Group</w:t>
            </w:r>
            <w:r w:rsidRPr="006935B6">
              <w:rPr>
                <w:rFonts w:ascii="Arial Narrow" w:hAnsi="Arial Narrow"/>
                <w:sz w:val="20"/>
              </w:rPr>
              <w:t xml:space="preserve"> P7 - Genetics</w:t>
            </w:r>
          </w:p>
        </w:tc>
      </w:tr>
      <w:tr w:rsidR="006935B6" w:rsidRPr="006935B6" w14:paraId="211B8ACE" w14:textId="77777777" w:rsidTr="002F3DEA">
        <w:tc>
          <w:tcPr>
            <w:tcW w:w="9350" w:type="dxa"/>
            <w:tcBorders>
              <w:top w:val="nil"/>
              <w:bottom w:val="nil"/>
            </w:tcBorders>
          </w:tcPr>
          <w:p w14:paraId="1A8CA826" w14:textId="77777777" w:rsidR="006935B6" w:rsidRPr="006935B6" w:rsidRDefault="006935B6" w:rsidP="002F3DEA">
            <w:pPr>
              <w:pStyle w:val="Tabletext"/>
              <w:spacing w:after="120"/>
              <w:rPr>
                <w:rFonts w:ascii="Arial Narrow" w:hAnsi="Arial Narrow"/>
                <w:sz w:val="20"/>
              </w:rPr>
            </w:pPr>
            <w:r w:rsidRPr="006935B6">
              <w:rPr>
                <w:rFonts w:ascii="Arial Narrow" w:hAnsi="Arial Narrow"/>
                <w:sz w:val="20"/>
              </w:rPr>
              <w:t xml:space="preserve">Fluorescence in situ </w:t>
            </w:r>
            <w:r w:rsidRPr="002F3DEA">
              <w:rPr>
                <w:rFonts w:ascii="Arial Narrow" w:hAnsi="Arial Narrow"/>
                <w:sz w:val="20"/>
                <w:szCs w:val="20"/>
              </w:rPr>
              <w:t>hybridisation</w:t>
            </w:r>
            <w:r w:rsidRPr="006935B6">
              <w:rPr>
                <w:rFonts w:ascii="Arial Narrow" w:hAnsi="Arial Narrow"/>
                <w:sz w:val="20"/>
              </w:rPr>
              <w:t xml:space="preserve"> (FISH) test of tumour tissue from a patient with locally advanced or metastatic non-small cell lung cancer, which is of non-squamous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to determine if requirements relating to ALK gene rearrangement status for access to </w:t>
            </w:r>
            <w:r w:rsidRPr="0006197D">
              <w:rPr>
                <w:rFonts w:ascii="Arial Narrow" w:hAnsi="Arial Narrow"/>
                <w:sz w:val="20"/>
                <w:szCs w:val="20"/>
              </w:rPr>
              <w:t xml:space="preserve">crizotinib, ceritinib, </w:t>
            </w:r>
            <w:r w:rsidRPr="002F3DEA">
              <w:rPr>
                <w:rFonts w:ascii="Arial Narrow" w:hAnsi="Arial Narrow"/>
                <w:strike/>
                <w:sz w:val="20"/>
                <w:szCs w:val="20"/>
              </w:rPr>
              <w:t>or</w:t>
            </w:r>
            <w:r w:rsidRPr="002F3DEA">
              <w:rPr>
                <w:rFonts w:ascii="Arial Narrow" w:hAnsi="Arial Narrow"/>
                <w:sz w:val="20"/>
                <w:szCs w:val="20"/>
              </w:rPr>
              <w:t xml:space="preserve"> alectinib </w:t>
            </w:r>
            <w:r w:rsidRPr="006935B6">
              <w:rPr>
                <w:rFonts w:ascii="Arial Narrow" w:hAnsi="Arial Narrow"/>
                <w:i/>
                <w:sz w:val="20"/>
              </w:rPr>
              <w:t>or brigatinib</w:t>
            </w:r>
            <w:r w:rsidRPr="006935B6">
              <w:rPr>
                <w:rFonts w:ascii="Arial Narrow" w:hAnsi="Arial Narrow"/>
                <w:sz w:val="20"/>
              </w:rPr>
              <w:t xml:space="preserve"> under the Pharmaceutical Benefits Scheme (PBS) are fulfilled.</w:t>
            </w:r>
          </w:p>
        </w:tc>
      </w:tr>
      <w:tr w:rsidR="006935B6" w:rsidRPr="006935B6" w14:paraId="3D227B54" w14:textId="77777777" w:rsidTr="002F3DEA">
        <w:tc>
          <w:tcPr>
            <w:tcW w:w="9350" w:type="dxa"/>
            <w:tcBorders>
              <w:top w:val="nil"/>
            </w:tcBorders>
          </w:tcPr>
          <w:p w14:paraId="38A8C1E0" w14:textId="77777777" w:rsidR="006935B6" w:rsidRPr="006935B6" w:rsidRDefault="006935B6" w:rsidP="002F3DEA">
            <w:pPr>
              <w:pStyle w:val="Tabletext"/>
              <w:rPr>
                <w:rFonts w:ascii="Arial Narrow" w:hAnsi="Arial Narrow"/>
                <w:sz w:val="20"/>
              </w:rPr>
            </w:pPr>
            <w:r w:rsidRPr="006935B6">
              <w:rPr>
                <w:rFonts w:ascii="Arial Narrow" w:hAnsi="Arial Narrow"/>
                <w:b/>
                <w:sz w:val="20"/>
              </w:rPr>
              <w:t>Fee</w:t>
            </w:r>
            <w:r w:rsidRPr="006935B6">
              <w:rPr>
                <w:rFonts w:ascii="Arial Narrow" w:hAnsi="Arial Narrow"/>
                <w:sz w:val="20"/>
              </w:rPr>
              <w:t>: $400.00</w:t>
            </w:r>
            <w:r w:rsidRPr="006935B6">
              <w:rPr>
                <w:rFonts w:ascii="Arial Narrow" w:hAnsi="Arial Narrow"/>
                <w:sz w:val="20"/>
              </w:rPr>
              <w:tab/>
            </w:r>
            <w:r w:rsidRPr="006935B6">
              <w:rPr>
                <w:rFonts w:ascii="Arial Narrow" w:hAnsi="Arial Narrow"/>
                <w:b/>
                <w:sz w:val="20"/>
              </w:rPr>
              <w:t xml:space="preserve">Benefit: </w:t>
            </w:r>
            <w:r w:rsidRPr="006935B6">
              <w:rPr>
                <w:rFonts w:ascii="Arial Narrow" w:hAnsi="Arial Narrow"/>
                <w:sz w:val="20"/>
              </w:rPr>
              <w:t>75% = $300.00  85% = $340.00</w:t>
            </w:r>
          </w:p>
        </w:tc>
      </w:tr>
    </w:tbl>
    <w:p w14:paraId="6EE20DE5" w14:textId="77777777" w:rsidR="006935B6" w:rsidRPr="006935B6" w:rsidRDefault="006935B6" w:rsidP="006935B6">
      <w:pPr>
        <w:rPr>
          <w:rFonts w:ascii="Arial Narrow" w:hAnsi="Arial Narrow"/>
          <w:sz w:val="18"/>
        </w:rPr>
      </w:pPr>
      <w:r w:rsidRPr="006935B6">
        <w:rPr>
          <w:rFonts w:ascii="Arial Narrow" w:hAnsi="Arial Narrow"/>
          <w:sz w:val="18"/>
        </w:rPr>
        <w:t xml:space="preserve">Source: Table 1, p1 </w:t>
      </w:r>
      <w:r w:rsidR="007C0DEB">
        <w:rPr>
          <w:rFonts w:ascii="Arial Narrow" w:hAnsi="Arial Narrow"/>
          <w:sz w:val="18"/>
        </w:rPr>
        <w:t>of the Minor Submission</w:t>
      </w:r>
    </w:p>
    <w:p w14:paraId="713BF5DC" w14:textId="77777777" w:rsidR="00F23AA4" w:rsidRPr="00F715D1" w:rsidRDefault="00F23AA4" w:rsidP="00F23AA4">
      <w:pPr>
        <w:pStyle w:val="Heading1"/>
      </w:pPr>
      <w:r w:rsidRPr="00F715D1">
        <w:t>Proposed intervention’s place in clinical management</w:t>
      </w:r>
    </w:p>
    <w:p w14:paraId="2453F9E0" w14:textId="7CDC3CB7" w:rsidR="00F23AA4" w:rsidRPr="00F72715" w:rsidRDefault="00CC5C76" w:rsidP="009B7319">
      <w:r>
        <w:t>The a</w:t>
      </w:r>
      <w:r w:rsidR="009B7319">
        <w:t>pplicant’s proposed amendment w</w:t>
      </w:r>
      <w:r w:rsidR="004221E0">
        <w:t>ould</w:t>
      </w:r>
      <w:r w:rsidR="009B7319">
        <w:t xml:space="preserve"> add brigatinib as an additional treatment option for patients with </w:t>
      </w:r>
      <w:r w:rsidR="009B7319" w:rsidRPr="001313D7">
        <w:t xml:space="preserve">locally advanced or metastatic </w:t>
      </w:r>
      <w:r w:rsidR="009B7319">
        <w:t>NSCLC</w:t>
      </w:r>
      <w:r w:rsidR="00D44624">
        <w:t xml:space="preserve"> and </w:t>
      </w:r>
      <w:r w:rsidR="00D44624" w:rsidRPr="00D44624">
        <w:rPr>
          <w:i/>
        </w:rPr>
        <w:t>ALK</w:t>
      </w:r>
      <w:r w:rsidR="00D44624">
        <w:t xml:space="preserve"> gene rearrangements</w:t>
      </w:r>
      <w:r w:rsidR="009B7319">
        <w:t xml:space="preserve">. </w:t>
      </w:r>
      <w:r w:rsidR="009B7319" w:rsidRPr="009B7319">
        <w:t xml:space="preserve">MBS item 73341 describes the testing of tumour tissue by FISH to determine if PBS requirements relating to </w:t>
      </w:r>
      <w:r w:rsidR="009B7319" w:rsidRPr="00D44624">
        <w:rPr>
          <w:i/>
        </w:rPr>
        <w:t>ALK</w:t>
      </w:r>
      <w:r w:rsidR="009B7319" w:rsidRPr="009B7319">
        <w:t xml:space="preserve"> gene rearrangement status are fulfilled.</w:t>
      </w:r>
    </w:p>
    <w:p w14:paraId="44A5D114" w14:textId="77777777" w:rsidR="00F23AA4" w:rsidRPr="00F715D1" w:rsidRDefault="00F23AA4" w:rsidP="00F23AA4">
      <w:pPr>
        <w:pStyle w:val="Heading1"/>
      </w:pPr>
      <w:r w:rsidRPr="00F715D1">
        <w:lastRenderedPageBreak/>
        <w:t>Comparative effectiveness</w:t>
      </w:r>
    </w:p>
    <w:p w14:paraId="2852C9C7" w14:textId="77777777" w:rsidR="006935B6" w:rsidRDefault="006935B6" w:rsidP="006935B6">
      <w:pPr>
        <w:pStyle w:val="Heading2"/>
      </w:pPr>
      <w:r w:rsidRPr="006935B6">
        <w:t>Evidentiary standard</w:t>
      </w:r>
    </w:p>
    <w:p w14:paraId="0BB34BB8" w14:textId="11C169B8" w:rsidR="006935B6" w:rsidRDefault="006935B6" w:rsidP="005D33FD">
      <w:pPr>
        <w:spacing w:after="240"/>
      </w:pPr>
      <w:r>
        <w:t xml:space="preserve">The application stated </w:t>
      </w:r>
      <w:r w:rsidR="0060725C">
        <w:t xml:space="preserve">that </w:t>
      </w:r>
      <w:r>
        <w:t xml:space="preserve">patients enrolled in the two pivotal trials of brigatinib (Study AP26113-13-201 [201-ALTA], and Study AP26113-13-301 [ALTA-1L]) must have documented </w:t>
      </w:r>
      <w:r w:rsidRPr="0060725C">
        <w:rPr>
          <w:i/>
        </w:rPr>
        <w:t>ALK</w:t>
      </w:r>
      <w:r>
        <w:t xml:space="preserve"> positivity by Vysis ALK Break-Apart FISH Probe Kit (Abbott Molecular Inc). ALTA-1L also accepted </w:t>
      </w:r>
      <w:r w:rsidRPr="00C15341">
        <w:rPr>
          <w:i/>
        </w:rPr>
        <w:t>ALK</w:t>
      </w:r>
      <w:r>
        <w:t xml:space="preserve"> rearrangement demonstrated by Ventana ALK (D5F3) CDx immunohistochemistry (IHC) Assay (Ventana Medical Systems, Inc.). Subjects with documented </w:t>
      </w:r>
      <w:r w:rsidRPr="0060725C">
        <w:rPr>
          <w:i/>
        </w:rPr>
        <w:t>ALK</w:t>
      </w:r>
      <w:r>
        <w:t xml:space="preserve"> positivity by Ventana IHC assay, or other laboratory-developed test (LDT) must have sufficient tissue available for central laboratory testing with the Vysis ALK Break-Apart FISH Probe Kit. Thus, all patients enrolled in the brigatinib clinical trial program had confirmed </w:t>
      </w:r>
      <w:r w:rsidRPr="0060725C">
        <w:rPr>
          <w:i/>
        </w:rPr>
        <w:t>ALK</w:t>
      </w:r>
      <w:r>
        <w:t xml:space="preserve"> rearrangement status by FISH testing. Central testing was performed according to manufacturer’s instructions. </w:t>
      </w:r>
      <w:r w:rsidR="0060725C">
        <w:t>Consistent with the threshold in the PBS restrictions for the existing ALK inhibitors, a</w:t>
      </w:r>
      <w:r>
        <w:t xml:space="preserve">n abnormal signal pattern in </w:t>
      </w:r>
      <w:r>
        <w:rPr>
          <w:rFonts w:cstheme="minorHAnsi"/>
        </w:rPr>
        <w:t>≥</w:t>
      </w:r>
      <w:r>
        <w:t xml:space="preserve"> 15% of cells assessed was classified as a ‘positive’ result (see </w:t>
      </w:r>
      <w:r>
        <w:fldChar w:fldCharType="begin"/>
      </w:r>
      <w:r>
        <w:instrText xml:space="preserve"> REF _Ref20909831 \h </w:instrText>
      </w:r>
      <w:r>
        <w:fldChar w:fldCharType="separate"/>
      </w:r>
      <w:r>
        <w:t xml:space="preserve">Table </w:t>
      </w:r>
      <w:r>
        <w:rPr>
          <w:noProof/>
        </w:rPr>
        <w:t>2</w:t>
      </w:r>
      <w:r>
        <w:fldChar w:fldCharType="end"/>
      </w:r>
      <w:r>
        <w:t>).</w:t>
      </w:r>
    </w:p>
    <w:p w14:paraId="786C8C0F" w14:textId="77777777" w:rsidR="006935B6" w:rsidRDefault="006935B6" w:rsidP="006935B6">
      <w:pPr>
        <w:pStyle w:val="Heading2"/>
      </w:pPr>
      <w:r>
        <w:t xml:space="preserve">Comparison </w:t>
      </w:r>
      <w:r w:rsidR="0060725C">
        <w:t>with other PBS-listed medicines</w:t>
      </w:r>
    </w:p>
    <w:p w14:paraId="774620D2" w14:textId="3D4F6C10" w:rsidR="006935B6" w:rsidRPr="006935B6" w:rsidRDefault="006935B6" w:rsidP="006935B6">
      <w:r>
        <w:t xml:space="preserve">A comparison of </w:t>
      </w:r>
      <w:r w:rsidRPr="00C15341">
        <w:rPr>
          <w:i/>
        </w:rPr>
        <w:t>ALK</w:t>
      </w:r>
      <w:r>
        <w:t xml:space="preserve"> testing methods used in the clinical trials of brigatinib and other PBS-listed comparator treatments is presented in Table 2.</w:t>
      </w:r>
    </w:p>
    <w:p w14:paraId="5865FE6A" w14:textId="28F2F3CC" w:rsidR="006935B6" w:rsidRPr="0083425E" w:rsidRDefault="006935B6" w:rsidP="005D33FD">
      <w:pPr>
        <w:pStyle w:val="Caption"/>
        <w:keepNext/>
        <w:keepLines/>
        <w:spacing w:before="240"/>
        <w:rPr>
          <w:rFonts w:ascii="Arial Narrow" w:hAnsi="Arial Narrow"/>
          <w:sz w:val="20"/>
        </w:rPr>
      </w:pPr>
      <w:bookmarkStart w:id="3" w:name="_Ref20909831"/>
      <w:r w:rsidRPr="0083425E">
        <w:rPr>
          <w:rFonts w:ascii="Arial Narrow" w:hAnsi="Arial Narrow"/>
          <w:sz w:val="20"/>
        </w:rPr>
        <w:t xml:space="preserve">Table </w:t>
      </w:r>
      <w:r w:rsidRPr="0083425E">
        <w:rPr>
          <w:rFonts w:ascii="Arial Narrow" w:hAnsi="Arial Narrow"/>
          <w:sz w:val="20"/>
        </w:rPr>
        <w:fldChar w:fldCharType="begin"/>
      </w:r>
      <w:r w:rsidRPr="0083425E">
        <w:rPr>
          <w:rFonts w:ascii="Arial Narrow" w:hAnsi="Arial Narrow"/>
          <w:sz w:val="20"/>
        </w:rPr>
        <w:instrText xml:space="preserve"> SEQ Table \* ARABIC </w:instrText>
      </w:r>
      <w:r w:rsidRPr="0083425E">
        <w:rPr>
          <w:rFonts w:ascii="Arial Narrow" w:hAnsi="Arial Narrow"/>
          <w:sz w:val="20"/>
        </w:rPr>
        <w:fldChar w:fldCharType="separate"/>
      </w:r>
      <w:r w:rsidRPr="0083425E">
        <w:rPr>
          <w:rFonts w:ascii="Arial Narrow" w:hAnsi="Arial Narrow"/>
          <w:noProof/>
          <w:sz w:val="20"/>
        </w:rPr>
        <w:t>2</w:t>
      </w:r>
      <w:r w:rsidRPr="0083425E">
        <w:rPr>
          <w:rFonts w:ascii="Arial Narrow" w:hAnsi="Arial Narrow"/>
          <w:noProof/>
          <w:sz w:val="20"/>
        </w:rPr>
        <w:fldChar w:fldCharType="end"/>
      </w:r>
      <w:bookmarkEnd w:id="3"/>
      <w:r w:rsidRPr="0083425E">
        <w:rPr>
          <w:rFonts w:ascii="Arial Narrow" w:hAnsi="Arial Narrow"/>
          <w:sz w:val="20"/>
        </w:rPr>
        <w:tab/>
        <w:t xml:space="preserve">Comparison of </w:t>
      </w:r>
      <w:r w:rsidRPr="0083425E">
        <w:rPr>
          <w:rFonts w:ascii="Arial Narrow" w:hAnsi="Arial Narrow"/>
          <w:i/>
          <w:sz w:val="20"/>
        </w:rPr>
        <w:t>ALK</w:t>
      </w:r>
      <w:r w:rsidRPr="0083425E">
        <w:rPr>
          <w:rFonts w:ascii="Arial Narrow" w:hAnsi="Arial Narrow"/>
          <w:sz w:val="20"/>
        </w:rPr>
        <w:t xml:space="preserve"> rearrangement testing protocols for brigatinib, and other PBS-listed medicines</w:t>
      </w:r>
    </w:p>
    <w:tbl>
      <w:tblPr>
        <w:tblStyle w:val="TableGrid"/>
        <w:tblW w:w="0" w:type="auto"/>
        <w:tblLook w:val="04A0" w:firstRow="1" w:lastRow="0" w:firstColumn="1" w:lastColumn="0" w:noHBand="0" w:noVBand="1"/>
        <w:tblCaption w:val="Table 2 Comparison of ALK rearrangement testing protocols for brigatinib, and other PBS-listed medicines"/>
        <w:tblDescription w:val="Applicant's summary of evidence"/>
      </w:tblPr>
      <w:tblGrid>
        <w:gridCol w:w="1526"/>
        <w:gridCol w:w="2049"/>
        <w:gridCol w:w="1892"/>
        <w:gridCol w:w="1774"/>
        <w:gridCol w:w="1775"/>
      </w:tblGrid>
      <w:tr w:rsidR="006935B6" w:rsidRPr="006935B6" w14:paraId="499F4399" w14:textId="77777777" w:rsidTr="007C0DEB">
        <w:trPr>
          <w:tblHeader/>
        </w:trPr>
        <w:tc>
          <w:tcPr>
            <w:tcW w:w="1555" w:type="dxa"/>
          </w:tcPr>
          <w:p w14:paraId="5BDE1886" w14:textId="77777777" w:rsidR="006935B6" w:rsidRPr="006935B6" w:rsidRDefault="006935B6" w:rsidP="00496043">
            <w:pPr>
              <w:pStyle w:val="BodyText"/>
              <w:keepNext/>
              <w:keepLines/>
              <w:spacing w:before="40" w:after="40" w:line="240" w:lineRule="auto"/>
              <w:rPr>
                <w:rFonts w:ascii="Arial Narrow" w:hAnsi="Arial Narrow"/>
                <w:b/>
                <w:szCs w:val="18"/>
              </w:rPr>
            </w:pPr>
            <w:r w:rsidRPr="006935B6">
              <w:rPr>
                <w:rFonts w:ascii="Arial Narrow" w:hAnsi="Arial Narrow"/>
                <w:b/>
                <w:szCs w:val="18"/>
              </w:rPr>
              <w:t>Measure</w:t>
            </w:r>
          </w:p>
        </w:tc>
        <w:tc>
          <w:tcPr>
            <w:tcW w:w="2126" w:type="dxa"/>
          </w:tcPr>
          <w:p w14:paraId="725FBBB8" w14:textId="77777777" w:rsidR="006935B6" w:rsidRPr="006935B6" w:rsidRDefault="006935B6" w:rsidP="00496043">
            <w:pPr>
              <w:pStyle w:val="BodyText"/>
              <w:keepNext/>
              <w:keepLines/>
              <w:spacing w:before="40" w:after="40" w:line="240" w:lineRule="auto"/>
              <w:rPr>
                <w:rFonts w:ascii="Arial Narrow" w:hAnsi="Arial Narrow"/>
                <w:b/>
                <w:szCs w:val="18"/>
                <w:vertAlign w:val="superscript"/>
              </w:rPr>
            </w:pPr>
            <w:r w:rsidRPr="006935B6">
              <w:rPr>
                <w:rFonts w:ascii="Arial Narrow" w:hAnsi="Arial Narrow"/>
                <w:b/>
                <w:szCs w:val="18"/>
              </w:rPr>
              <w:t xml:space="preserve">Brigatinib </w:t>
            </w:r>
            <w:r w:rsidRPr="006935B6">
              <w:rPr>
                <w:rFonts w:ascii="Arial Narrow" w:hAnsi="Arial Narrow"/>
                <w:b/>
                <w:szCs w:val="18"/>
                <w:vertAlign w:val="superscript"/>
              </w:rPr>
              <w:t>1,2</w:t>
            </w:r>
          </w:p>
        </w:tc>
        <w:tc>
          <w:tcPr>
            <w:tcW w:w="1984" w:type="dxa"/>
          </w:tcPr>
          <w:p w14:paraId="5DB18963" w14:textId="77777777" w:rsidR="006935B6" w:rsidRPr="006935B6" w:rsidRDefault="006935B6" w:rsidP="00496043">
            <w:pPr>
              <w:pStyle w:val="BodyText"/>
              <w:keepNext/>
              <w:keepLines/>
              <w:spacing w:before="40" w:after="40" w:line="240" w:lineRule="auto"/>
              <w:rPr>
                <w:rFonts w:ascii="Arial Narrow" w:hAnsi="Arial Narrow"/>
                <w:b/>
                <w:szCs w:val="18"/>
                <w:vertAlign w:val="superscript"/>
              </w:rPr>
            </w:pPr>
            <w:r w:rsidRPr="006935B6">
              <w:rPr>
                <w:rFonts w:ascii="Arial Narrow" w:hAnsi="Arial Narrow"/>
                <w:b/>
                <w:szCs w:val="18"/>
              </w:rPr>
              <w:t xml:space="preserve">Alectinib </w:t>
            </w:r>
            <w:r w:rsidRPr="006935B6">
              <w:rPr>
                <w:rFonts w:ascii="Arial Narrow" w:hAnsi="Arial Narrow"/>
                <w:b/>
                <w:szCs w:val="18"/>
                <w:vertAlign w:val="superscript"/>
              </w:rPr>
              <w:t>3</w:t>
            </w:r>
          </w:p>
        </w:tc>
        <w:tc>
          <w:tcPr>
            <w:tcW w:w="1843" w:type="dxa"/>
          </w:tcPr>
          <w:p w14:paraId="7EF08B6E" w14:textId="77777777" w:rsidR="006935B6" w:rsidRPr="006935B6" w:rsidRDefault="006935B6" w:rsidP="00496043">
            <w:pPr>
              <w:pStyle w:val="TableHeader"/>
              <w:keepNext/>
              <w:keepLines/>
              <w:rPr>
                <w:rFonts w:ascii="Arial Narrow" w:hAnsi="Arial Narrow"/>
                <w:sz w:val="20"/>
                <w:vertAlign w:val="superscript"/>
              </w:rPr>
            </w:pPr>
            <w:r w:rsidRPr="006935B6">
              <w:rPr>
                <w:rFonts w:ascii="Arial Narrow" w:hAnsi="Arial Narrow"/>
                <w:sz w:val="20"/>
              </w:rPr>
              <w:t xml:space="preserve">Crizotinib </w:t>
            </w:r>
            <w:r w:rsidRPr="006935B6">
              <w:rPr>
                <w:rFonts w:ascii="Arial Narrow" w:hAnsi="Arial Narrow"/>
                <w:sz w:val="20"/>
                <w:vertAlign w:val="superscript"/>
              </w:rPr>
              <w:t>4</w:t>
            </w:r>
          </w:p>
        </w:tc>
        <w:tc>
          <w:tcPr>
            <w:tcW w:w="1842" w:type="dxa"/>
          </w:tcPr>
          <w:p w14:paraId="6D21ED73" w14:textId="77777777" w:rsidR="006935B6" w:rsidRPr="006935B6" w:rsidRDefault="006935B6" w:rsidP="00496043">
            <w:pPr>
              <w:pStyle w:val="BodyText"/>
              <w:keepNext/>
              <w:keepLines/>
              <w:spacing w:before="40" w:after="40" w:line="240" w:lineRule="auto"/>
              <w:rPr>
                <w:rFonts w:ascii="Arial Narrow" w:hAnsi="Arial Narrow"/>
                <w:b/>
                <w:szCs w:val="18"/>
                <w:vertAlign w:val="superscript"/>
              </w:rPr>
            </w:pPr>
            <w:r w:rsidRPr="006935B6">
              <w:rPr>
                <w:rFonts w:ascii="Arial Narrow" w:hAnsi="Arial Narrow"/>
                <w:b/>
                <w:szCs w:val="18"/>
              </w:rPr>
              <w:t>Ceritinib</w:t>
            </w:r>
            <w:r w:rsidR="0060725C">
              <w:rPr>
                <w:rFonts w:ascii="Arial Narrow" w:hAnsi="Arial Narrow"/>
                <w:b/>
                <w:szCs w:val="18"/>
              </w:rPr>
              <w:t xml:space="preserve"> </w:t>
            </w:r>
            <w:r w:rsidRPr="006935B6">
              <w:rPr>
                <w:rFonts w:ascii="Arial Narrow" w:hAnsi="Arial Narrow"/>
                <w:b/>
                <w:szCs w:val="18"/>
                <w:vertAlign w:val="superscript"/>
              </w:rPr>
              <w:t>5</w:t>
            </w:r>
          </w:p>
        </w:tc>
      </w:tr>
      <w:tr w:rsidR="006935B6" w:rsidRPr="006935B6" w14:paraId="439ADFAF" w14:textId="77777777" w:rsidTr="002F3DEA">
        <w:tc>
          <w:tcPr>
            <w:tcW w:w="1555" w:type="dxa"/>
          </w:tcPr>
          <w:p w14:paraId="7DF110EE"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Protocol-specified test for trial inclusion</w:t>
            </w:r>
          </w:p>
        </w:tc>
        <w:tc>
          <w:tcPr>
            <w:tcW w:w="2126" w:type="dxa"/>
          </w:tcPr>
          <w:p w14:paraId="24237E30"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 xml:space="preserve">Vysis ALK Break-Apart FISH Probe Kit </w:t>
            </w:r>
          </w:p>
          <w:p w14:paraId="00ACB781"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 xml:space="preserve">Ventana ALK (D5F3) CDx IHC Assay </w:t>
            </w:r>
            <w:r w:rsidRPr="006935B6">
              <w:rPr>
                <w:rFonts w:ascii="Arial Narrow" w:hAnsi="Arial Narrow"/>
                <w:sz w:val="20"/>
                <w:vertAlign w:val="superscript"/>
              </w:rPr>
              <w:t>6</w:t>
            </w:r>
          </w:p>
        </w:tc>
        <w:tc>
          <w:tcPr>
            <w:tcW w:w="1984" w:type="dxa"/>
          </w:tcPr>
          <w:p w14:paraId="7D088EF3"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Ventana ALK (D5F3) IHC test</w:t>
            </w:r>
          </w:p>
        </w:tc>
        <w:tc>
          <w:tcPr>
            <w:tcW w:w="1843" w:type="dxa"/>
          </w:tcPr>
          <w:p w14:paraId="4C60FE3C"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ALK Break-Apart FISH assay</w:t>
            </w:r>
          </w:p>
        </w:tc>
        <w:tc>
          <w:tcPr>
            <w:tcW w:w="1842" w:type="dxa"/>
          </w:tcPr>
          <w:p w14:paraId="40060FD9"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Vysis</w:t>
            </w:r>
            <w:r w:rsidR="0060725C">
              <w:rPr>
                <w:rFonts w:ascii="Arial Narrow" w:hAnsi="Arial Narrow"/>
                <w:sz w:val="20"/>
              </w:rPr>
              <w:t xml:space="preserve"> ALK Break-Apart FISH Probe Kit</w:t>
            </w:r>
          </w:p>
        </w:tc>
      </w:tr>
      <w:tr w:rsidR="006935B6" w:rsidRPr="006935B6" w14:paraId="76D19EEC" w14:textId="77777777" w:rsidTr="002F3DEA">
        <w:tc>
          <w:tcPr>
            <w:tcW w:w="1555" w:type="dxa"/>
          </w:tcPr>
          <w:p w14:paraId="27840CF9"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Confirmation by central laboratory</w:t>
            </w:r>
          </w:p>
        </w:tc>
        <w:tc>
          <w:tcPr>
            <w:tcW w:w="2126" w:type="dxa"/>
          </w:tcPr>
          <w:p w14:paraId="0FF2827A"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Yes – by Vysis FISH test for patients with no prior result or a positive result by other testing method (i.e. LDT, Ventana IHC)</w:t>
            </w:r>
          </w:p>
        </w:tc>
        <w:tc>
          <w:tcPr>
            <w:tcW w:w="1984" w:type="dxa"/>
          </w:tcPr>
          <w:p w14:paraId="658449E0"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Yes – all samples sent to central laboratory for analysis by Vysis FISH probe kit and Ventana IHC assay</w:t>
            </w:r>
          </w:p>
        </w:tc>
        <w:tc>
          <w:tcPr>
            <w:tcW w:w="1843" w:type="dxa"/>
          </w:tcPr>
          <w:p w14:paraId="1F130220"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 xml:space="preserve">Yes – all positive samples sent to central laboratory for analysis by FISH </w:t>
            </w:r>
          </w:p>
        </w:tc>
        <w:tc>
          <w:tcPr>
            <w:tcW w:w="1842" w:type="dxa"/>
          </w:tcPr>
          <w:p w14:paraId="374540BF"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 xml:space="preserve">Only in patients without documented </w:t>
            </w:r>
            <w:r w:rsidRPr="006935B6">
              <w:rPr>
                <w:rFonts w:ascii="Arial Narrow" w:hAnsi="Arial Narrow"/>
                <w:i/>
                <w:sz w:val="20"/>
              </w:rPr>
              <w:t>ALK</w:t>
            </w:r>
            <w:r w:rsidRPr="006935B6">
              <w:rPr>
                <w:rFonts w:ascii="Arial Narrow" w:hAnsi="Arial Narrow"/>
                <w:sz w:val="20"/>
              </w:rPr>
              <w:t xml:space="preserve"> positivity - by Vysis FISH test</w:t>
            </w:r>
          </w:p>
        </w:tc>
      </w:tr>
      <w:tr w:rsidR="006935B6" w:rsidRPr="006935B6" w14:paraId="651CA010" w14:textId="77777777" w:rsidTr="002F3DEA">
        <w:tc>
          <w:tcPr>
            <w:tcW w:w="1555" w:type="dxa"/>
          </w:tcPr>
          <w:p w14:paraId="62CAC522"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Tumour sample for testing</w:t>
            </w:r>
          </w:p>
        </w:tc>
        <w:tc>
          <w:tcPr>
            <w:tcW w:w="2126" w:type="dxa"/>
          </w:tcPr>
          <w:p w14:paraId="17F99DDE"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FF PE tissue acquired prior to randomisation, from primary tumour or biopsied metastasis</w:t>
            </w:r>
          </w:p>
        </w:tc>
        <w:tc>
          <w:tcPr>
            <w:tcW w:w="1984" w:type="dxa"/>
          </w:tcPr>
          <w:p w14:paraId="5E2A126E"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Mandatory pre-treatment tumour samples used to centrally examine ALK status by IHC and FISH. FF tumour blocks were the preferred source, but unstained slides were also accepted</w:t>
            </w:r>
          </w:p>
        </w:tc>
        <w:tc>
          <w:tcPr>
            <w:tcW w:w="1843" w:type="dxa"/>
          </w:tcPr>
          <w:p w14:paraId="0F11FC6D"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Archived or fresh tumour sample. Paraffin block(s) of adequate size to allow assessment of ALK gene fusion by FISH at a central laboratory (min 10 slides)</w:t>
            </w:r>
          </w:p>
        </w:tc>
        <w:tc>
          <w:tcPr>
            <w:tcW w:w="1842" w:type="dxa"/>
          </w:tcPr>
          <w:p w14:paraId="400D9BBE"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New tumour biopsy collected prior to enrolment and prior to first dose of study treatment</w:t>
            </w:r>
          </w:p>
        </w:tc>
      </w:tr>
      <w:tr w:rsidR="006935B6" w:rsidRPr="006935B6" w14:paraId="79016344" w14:textId="77777777" w:rsidTr="002F3DEA">
        <w:tc>
          <w:tcPr>
            <w:tcW w:w="1555" w:type="dxa"/>
          </w:tcPr>
          <w:p w14:paraId="16357010"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 xml:space="preserve">Determination of </w:t>
            </w:r>
            <w:r w:rsidRPr="0060725C">
              <w:rPr>
                <w:rFonts w:ascii="Arial Narrow" w:hAnsi="Arial Narrow"/>
                <w:i/>
                <w:sz w:val="20"/>
              </w:rPr>
              <w:t>ALK</w:t>
            </w:r>
            <w:r w:rsidRPr="006935B6">
              <w:rPr>
                <w:rFonts w:ascii="Arial Narrow" w:hAnsi="Arial Narrow"/>
                <w:sz w:val="20"/>
              </w:rPr>
              <w:t xml:space="preserve"> positivity by FISH test</w:t>
            </w:r>
          </w:p>
        </w:tc>
        <w:tc>
          <w:tcPr>
            <w:tcW w:w="2126" w:type="dxa"/>
          </w:tcPr>
          <w:p w14:paraId="1B18DF05"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 xml:space="preserve">Split signal or single red signal (3’ </w:t>
            </w:r>
            <w:r w:rsidRPr="0060725C">
              <w:rPr>
                <w:rFonts w:ascii="Arial Narrow" w:hAnsi="Arial Narrow"/>
                <w:i/>
                <w:sz w:val="20"/>
              </w:rPr>
              <w:t>ALK</w:t>
            </w:r>
            <w:r w:rsidRPr="006935B6">
              <w:rPr>
                <w:rFonts w:ascii="Arial Narrow" w:hAnsi="Arial Narrow"/>
                <w:sz w:val="20"/>
              </w:rPr>
              <w:t>), occurring in no less than 15% of 50-100 nuclei assessed</w:t>
            </w:r>
          </w:p>
        </w:tc>
        <w:tc>
          <w:tcPr>
            <w:tcW w:w="1984" w:type="dxa"/>
          </w:tcPr>
          <w:p w14:paraId="2430880D"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NR</w:t>
            </w:r>
          </w:p>
        </w:tc>
        <w:tc>
          <w:tcPr>
            <w:tcW w:w="1843" w:type="dxa"/>
          </w:tcPr>
          <w:p w14:paraId="74E02E44"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cstheme="minorHAnsi"/>
                <w:sz w:val="20"/>
              </w:rPr>
              <w:t>≥</w:t>
            </w:r>
            <w:r w:rsidRPr="006935B6">
              <w:rPr>
                <w:rFonts w:ascii="Arial Narrow" w:hAnsi="Arial Narrow"/>
                <w:sz w:val="20"/>
              </w:rPr>
              <w:t xml:space="preserve"> 15% of tumour cells with split </w:t>
            </w:r>
            <w:r w:rsidRPr="006935B6">
              <w:rPr>
                <w:rFonts w:ascii="Arial Narrow" w:hAnsi="Arial Narrow"/>
                <w:i/>
                <w:sz w:val="20"/>
              </w:rPr>
              <w:t xml:space="preserve">ALK 5’ and 3’ </w:t>
            </w:r>
            <w:r w:rsidRPr="006935B6">
              <w:rPr>
                <w:rFonts w:ascii="Arial Narrow" w:hAnsi="Arial Narrow"/>
                <w:sz w:val="20"/>
              </w:rPr>
              <w:t>probe signals, or isolated 3’ signal</w:t>
            </w:r>
          </w:p>
        </w:tc>
        <w:tc>
          <w:tcPr>
            <w:tcW w:w="1842" w:type="dxa"/>
          </w:tcPr>
          <w:p w14:paraId="575BD4D9" w14:textId="77777777" w:rsidR="006935B6" w:rsidRPr="006935B6" w:rsidRDefault="006935B6" w:rsidP="00496043">
            <w:pPr>
              <w:pStyle w:val="TableText0"/>
              <w:keepNext/>
              <w:keepLines/>
              <w:rPr>
                <w:rFonts w:ascii="Arial Narrow" w:hAnsi="Arial Narrow"/>
                <w:sz w:val="20"/>
              </w:rPr>
            </w:pPr>
            <w:r w:rsidRPr="006935B6">
              <w:rPr>
                <w:rFonts w:ascii="Arial Narrow" w:hAnsi="Arial Narrow"/>
                <w:sz w:val="20"/>
              </w:rPr>
              <w:t>NR</w:t>
            </w:r>
          </w:p>
        </w:tc>
      </w:tr>
    </w:tbl>
    <w:p w14:paraId="454A311F" w14:textId="77777777" w:rsidR="007C0DEB" w:rsidRDefault="007C0DEB" w:rsidP="00496043">
      <w:pPr>
        <w:pStyle w:val="Footer"/>
        <w:keepNext/>
        <w:keepLines/>
        <w:rPr>
          <w:rFonts w:ascii="Arial Narrow" w:hAnsi="Arial Narrow"/>
          <w:sz w:val="18"/>
        </w:rPr>
      </w:pPr>
      <w:r>
        <w:rPr>
          <w:rFonts w:ascii="Arial Narrow" w:hAnsi="Arial Narrow"/>
          <w:sz w:val="18"/>
        </w:rPr>
        <w:t>Source: Table 2, p2 of the Minor Submission</w:t>
      </w:r>
    </w:p>
    <w:p w14:paraId="4A4B5132" w14:textId="77777777" w:rsidR="006935B6" w:rsidRPr="007C0DEB" w:rsidRDefault="006935B6" w:rsidP="00496043">
      <w:pPr>
        <w:pStyle w:val="Footer"/>
        <w:keepNext/>
        <w:keepLines/>
        <w:rPr>
          <w:rFonts w:ascii="Arial Narrow" w:hAnsi="Arial Narrow"/>
          <w:sz w:val="18"/>
        </w:rPr>
      </w:pPr>
      <w:r w:rsidRPr="007C0DEB">
        <w:rPr>
          <w:rFonts w:ascii="Arial Narrow" w:hAnsi="Arial Narrow"/>
          <w:sz w:val="18"/>
        </w:rPr>
        <w:t xml:space="preserve">Abbreviations: FF, formalin-fixed FISH, fluorescent </w:t>
      </w:r>
      <w:r w:rsidRPr="00310AC6">
        <w:rPr>
          <w:rFonts w:ascii="Arial Narrow" w:hAnsi="Arial Narrow"/>
          <w:i/>
          <w:sz w:val="18"/>
        </w:rPr>
        <w:t>in situ</w:t>
      </w:r>
      <w:r w:rsidRPr="007C0DEB">
        <w:rPr>
          <w:rFonts w:ascii="Arial Narrow" w:hAnsi="Arial Narrow"/>
          <w:sz w:val="18"/>
        </w:rPr>
        <w:t xml:space="preserve"> hybridisation; IHC, immunohistochemistry; LDT, laboratory developed test; NR, not reported; PE, paraffin-embedded</w:t>
      </w:r>
    </w:p>
    <w:p w14:paraId="4676CA53" w14:textId="4DAB30A7" w:rsidR="006935B6" w:rsidRPr="007C0DEB" w:rsidRDefault="006935B6" w:rsidP="00496043">
      <w:pPr>
        <w:pStyle w:val="Footer"/>
        <w:keepNext/>
        <w:keepLines/>
        <w:rPr>
          <w:rFonts w:ascii="Arial Narrow" w:hAnsi="Arial Narrow"/>
          <w:sz w:val="18"/>
        </w:rPr>
      </w:pPr>
      <w:r w:rsidRPr="007C0DEB">
        <w:rPr>
          <w:rFonts w:ascii="Arial Narrow" w:hAnsi="Arial Narrow"/>
          <w:sz w:val="18"/>
        </w:rPr>
        <w:t>1. Study AP26113-13-201 Central Vysis FISH test report</w:t>
      </w:r>
    </w:p>
    <w:p w14:paraId="563C9FDA" w14:textId="3B765407" w:rsidR="006935B6" w:rsidRPr="007C0DEB" w:rsidRDefault="006935B6" w:rsidP="00496043">
      <w:pPr>
        <w:pStyle w:val="Footer"/>
        <w:keepNext/>
        <w:keepLines/>
        <w:rPr>
          <w:rFonts w:ascii="Arial Narrow" w:hAnsi="Arial Narrow"/>
          <w:sz w:val="18"/>
        </w:rPr>
      </w:pPr>
      <w:r w:rsidRPr="007C0DEB">
        <w:rPr>
          <w:rFonts w:ascii="Arial Narrow" w:hAnsi="Arial Narrow"/>
          <w:sz w:val="18"/>
        </w:rPr>
        <w:t>2. Study AP26113-13-301 Clinical Study Report, section 9.5.1.1.3 pg, 52</w:t>
      </w:r>
    </w:p>
    <w:p w14:paraId="6ECD55E5" w14:textId="77777777" w:rsidR="006935B6" w:rsidRPr="007C0DEB" w:rsidRDefault="006935B6" w:rsidP="00496043">
      <w:pPr>
        <w:pStyle w:val="Footer"/>
        <w:keepNext/>
        <w:keepLines/>
        <w:rPr>
          <w:rFonts w:ascii="Arial Narrow" w:hAnsi="Arial Narrow"/>
          <w:sz w:val="18"/>
        </w:rPr>
      </w:pPr>
      <w:r w:rsidRPr="007C0DEB">
        <w:rPr>
          <w:rFonts w:ascii="Arial Narrow" w:hAnsi="Arial Narrow"/>
          <w:sz w:val="18"/>
        </w:rPr>
        <w:t>3. Protocol for: Peters 2017</w:t>
      </w:r>
    </w:p>
    <w:p w14:paraId="56651B04" w14:textId="77777777" w:rsidR="006935B6" w:rsidRPr="007C0DEB" w:rsidRDefault="006935B6" w:rsidP="00496043">
      <w:pPr>
        <w:pStyle w:val="Footer"/>
        <w:keepNext/>
        <w:keepLines/>
        <w:rPr>
          <w:rFonts w:ascii="Arial Narrow" w:hAnsi="Arial Narrow"/>
          <w:sz w:val="18"/>
        </w:rPr>
      </w:pPr>
      <w:r w:rsidRPr="007C0DEB">
        <w:rPr>
          <w:rFonts w:ascii="Arial Narrow" w:hAnsi="Arial Narrow"/>
          <w:sz w:val="18"/>
        </w:rPr>
        <w:t>4. Protocol for: Shaw 2013</w:t>
      </w:r>
    </w:p>
    <w:p w14:paraId="7FCA46C9" w14:textId="77777777" w:rsidR="006935B6" w:rsidRPr="007C0DEB" w:rsidRDefault="006935B6" w:rsidP="00496043">
      <w:pPr>
        <w:pStyle w:val="Footer"/>
        <w:keepNext/>
        <w:keepLines/>
        <w:rPr>
          <w:rFonts w:ascii="Arial Narrow" w:hAnsi="Arial Narrow"/>
          <w:sz w:val="18"/>
        </w:rPr>
      </w:pPr>
      <w:r w:rsidRPr="007C0DEB">
        <w:rPr>
          <w:rFonts w:ascii="Arial Narrow" w:hAnsi="Arial Narrow"/>
          <w:sz w:val="18"/>
        </w:rPr>
        <w:t>5. Shaw 2017</w:t>
      </w:r>
    </w:p>
    <w:p w14:paraId="0E0A8129" w14:textId="77777777" w:rsidR="006935B6" w:rsidRPr="005D33FD" w:rsidRDefault="006935B6" w:rsidP="005D33FD">
      <w:pPr>
        <w:rPr>
          <w:rFonts w:ascii="Arial Narrow" w:hAnsi="Arial Narrow"/>
          <w:sz w:val="18"/>
          <w:szCs w:val="18"/>
        </w:rPr>
      </w:pPr>
      <w:r w:rsidRPr="005D33FD">
        <w:rPr>
          <w:rFonts w:ascii="Arial Narrow" w:hAnsi="Arial Narrow"/>
          <w:sz w:val="18"/>
          <w:szCs w:val="18"/>
        </w:rPr>
        <w:t>6. ALK rearrangement by Ventana (D5F3) IHC assay permitted in ALTA-1L with central lab confirmation by Vysis ALK FISH test</w:t>
      </w:r>
    </w:p>
    <w:p w14:paraId="4409CA5A" w14:textId="77777777" w:rsidR="00F23AA4" w:rsidRPr="00F715D1" w:rsidRDefault="00F23AA4" w:rsidP="00F23AA4">
      <w:pPr>
        <w:pStyle w:val="Heading1"/>
      </w:pPr>
      <w:r w:rsidRPr="00F715D1">
        <w:lastRenderedPageBreak/>
        <w:t>Financial/budgetary impacts</w:t>
      </w:r>
    </w:p>
    <w:p w14:paraId="46A4AAF9" w14:textId="77777777" w:rsidR="0083425E" w:rsidRDefault="006935B6" w:rsidP="006935B6">
      <w:r>
        <w:t>The</w:t>
      </w:r>
      <w:r w:rsidR="0083425E">
        <w:t xml:space="preserve"> application stated the</w:t>
      </w:r>
      <w:r>
        <w:t xml:space="preserve"> inclusion of brigatinib within the wording of MBS item 73341 will not alt</w:t>
      </w:r>
      <w:r w:rsidR="007C0DEB">
        <w:t>er utilisation of this service.</w:t>
      </w:r>
    </w:p>
    <w:p w14:paraId="363FE8DA" w14:textId="41635C8B" w:rsidR="00F23AA4" w:rsidRDefault="00F23AA4" w:rsidP="00F23AA4">
      <w:pPr>
        <w:pStyle w:val="Heading1"/>
      </w:pPr>
      <w:r w:rsidRPr="00F715D1">
        <w:t>Applicant’s comments on MSAC’s Public Summary Document</w:t>
      </w:r>
    </w:p>
    <w:p w14:paraId="1BE210BF" w14:textId="67A169CD" w:rsidR="005D33FD" w:rsidRPr="005D33FD" w:rsidRDefault="005D33FD" w:rsidP="005D33FD">
      <w:r w:rsidRPr="005D33FD">
        <w:t>The applicant has no further comments</w:t>
      </w:r>
      <w:r>
        <w:t>.</w:t>
      </w:r>
    </w:p>
    <w:p w14:paraId="17862994" w14:textId="77777777" w:rsidR="00F23AA4" w:rsidRPr="00F715D1" w:rsidRDefault="00F23AA4" w:rsidP="00F23AA4">
      <w:pPr>
        <w:pStyle w:val="Heading1"/>
      </w:pPr>
      <w:r w:rsidRPr="00F715D1">
        <w:t>Further information on MSAC</w:t>
      </w:r>
    </w:p>
    <w:p w14:paraId="10F5CFC3" w14:textId="77777777" w:rsidR="00280050" w:rsidRPr="007C0DEB" w:rsidRDefault="00F23AA4" w:rsidP="007C0DEB">
      <w:pPr>
        <w:spacing w:after="240"/>
        <w:rPr>
          <w:szCs w:val="24"/>
        </w:rPr>
      </w:pPr>
      <w:r w:rsidRPr="00F715D1">
        <w:rPr>
          <w:szCs w:val="24"/>
        </w:rPr>
        <w:t xml:space="preserve">MSAC Terms of Reference and other information are available on the MSAC Website: </w:t>
      </w:r>
      <w:r>
        <w:rPr>
          <w:szCs w:val="24"/>
        </w:rPr>
        <w:br/>
      </w:r>
      <w:hyperlink r:id="rId9" w:tooltip="Link to Medical Services Advisory Committee website" w:history="1">
        <w:r w:rsidRPr="00F715D1">
          <w:rPr>
            <w:rStyle w:val="Hyperlink"/>
            <w:szCs w:val="24"/>
          </w:rPr>
          <w:t>visit the MSAC website</w:t>
        </w:r>
      </w:hyperlink>
    </w:p>
    <w:sectPr w:rsidR="00280050" w:rsidRPr="007C0DEB" w:rsidSect="002F3DEA">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AE6E6" w14:textId="77777777" w:rsidR="002F3DEA" w:rsidRDefault="002F3DEA">
      <w:r>
        <w:separator/>
      </w:r>
    </w:p>
  </w:endnote>
  <w:endnote w:type="continuationSeparator" w:id="0">
    <w:p w14:paraId="4CA8E09A" w14:textId="77777777" w:rsidR="002F3DEA" w:rsidRDefault="002F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1656" w14:textId="77777777" w:rsidR="003A419A" w:rsidRDefault="003A4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AD6A442" w14:textId="3AAD2BCB" w:rsidR="002F3DEA" w:rsidRDefault="002F3DEA">
        <w:pPr>
          <w:pStyle w:val="Footer"/>
          <w:jc w:val="right"/>
        </w:pPr>
        <w:r>
          <w:fldChar w:fldCharType="begin"/>
        </w:r>
        <w:r>
          <w:instrText xml:space="preserve"> PAGE   \* MERGEFORMAT </w:instrText>
        </w:r>
        <w:r>
          <w:fldChar w:fldCharType="separate"/>
        </w:r>
        <w:r w:rsidR="003A419A">
          <w:rPr>
            <w:noProof/>
          </w:rPr>
          <w:t>1</w:t>
        </w:r>
        <w:r>
          <w:rPr>
            <w:noProof/>
          </w:rPr>
          <w:fldChar w:fldCharType="end"/>
        </w:r>
      </w:p>
    </w:sdtContent>
  </w:sdt>
  <w:p w14:paraId="2768641A" w14:textId="77777777" w:rsidR="002F3DEA" w:rsidRDefault="002F3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496E" w14:textId="77777777" w:rsidR="003A419A" w:rsidRDefault="003A4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AC00" w14:textId="77777777" w:rsidR="002F3DEA" w:rsidRDefault="002F3DEA">
      <w:r>
        <w:separator/>
      </w:r>
    </w:p>
  </w:footnote>
  <w:footnote w:type="continuationSeparator" w:id="0">
    <w:p w14:paraId="65B60E1F" w14:textId="77777777" w:rsidR="002F3DEA" w:rsidRDefault="002F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74D3" w14:textId="77777777" w:rsidR="003A419A" w:rsidRDefault="003A4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4AA4" w14:textId="77777777" w:rsidR="003A419A" w:rsidRDefault="003A4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E12E7" w14:textId="77777777" w:rsidR="003A419A" w:rsidRDefault="003A4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A4"/>
    <w:rsid w:val="0006197D"/>
    <w:rsid w:val="00280050"/>
    <w:rsid w:val="002B26F9"/>
    <w:rsid w:val="002C3862"/>
    <w:rsid w:val="002F3DEA"/>
    <w:rsid w:val="003108EE"/>
    <w:rsid w:val="00310AC6"/>
    <w:rsid w:val="0032003D"/>
    <w:rsid w:val="00394E66"/>
    <w:rsid w:val="003A419A"/>
    <w:rsid w:val="003A6F65"/>
    <w:rsid w:val="004221E0"/>
    <w:rsid w:val="00430166"/>
    <w:rsid w:val="0045281D"/>
    <w:rsid w:val="00480F53"/>
    <w:rsid w:val="00492CDB"/>
    <w:rsid w:val="00496043"/>
    <w:rsid w:val="00552AA3"/>
    <w:rsid w:val="005D33FD"/>
    <w:rsid w:val="0060725C"/>
    <w:rsid w:val="00632B6E"/>
    <w:rsid w:val="00677C8F"/>
    <w:rsid w:val="006935B6"/>
    <w:rsid w:val="007150AB"/>
    <w:rsid w:val="00732A99"/>
    <w:rsid w:val="007C0DEB"/>
    <w:rsid w:val="0082745B"/>
    <w:rsid w:val="0083425E"/>
    <w:rsid w:val="008574B3"/>
    <w:rsid w:val="008A6AA2"/>
    <w:rsid w:val="00971A58"/>
    <w:rsid w:val="009B7319"/>
    <w:rsid w:val="00AF3467"/>
    <w:rsid w:val="00CC5C76"/>
    <w:rsid w:val="00D1433A"/>
    <w:rsid w:val="00D44624"/>
    <w:rsid w:val="00DE1D90"/>
    <w:rsid w:val="00F14D6C"/>
    <w:rsid w:val="00F23A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825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A4"/>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F23AA4"/>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6935B6"/>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3AA4"/>
    <w:rPr>
      <w:rFonts w:ascii="Arial" w:eastAsia="Times New Roman" w:hAnsi="Arial"/>
      <w:b/>
      <w:bCs/>
      <w:szCs w:val="28"/>
      <w:lang w:eastAsia="en-AU"/>
    </w:rPr>
  </w:style>
  <w:style w:type="character" w:styleId="Hyperlink">
    <w:name w:val="Hyperlink"/>
    <w:basedOn w:val="DefaultParagraphFont"/>
    <w:uiPriority w:val="99"/>
    <w:rsid w:val="00F23AA4"/>
    <w:rPr>
      <w:rFonts w:cs="Times New Roman"/>
      <w:color w:val="0000FF"/>
      <w:u w:val="single"/>
    </w:rPr>
  </w:style>
  <w:style w:type="paragraph" w:styleId="ListParagraph">
    <w:name w:val="List Paragraph"/>
    <w:basedOn w:val="Normal"/>
    <w:uiPriority w:val="99"/>
    <w:qFormat/>
    <w:rsid w:val="00F23AA4"/>
    <w:pPr>
      <w:ind w:left="720"/>
      <w:contextualSpacing/>
    </w:pPr>
  </w:style>
  <w:style w:type="paragraph" w:styleId="Footer">
    <w:name w:val="footer"/>
    <w:basedOn w:val="Normal"/>
    <w:link w:val="FooterChar"/>
    <w:uiPriority w:val="99"/>
    <w:rsid w:val="00F23AA4"/>
    <w:pPr>
      <w:tabs>
        <w:tab w:val="center" w:pos="4513"/>
        <w:tab w:val="right" w:pos="9026"/>
      </w:tabs>
    </w:pPr>
  </w:style>
  <w:style w:type="character" w:customStyle="1" w:styleId="FooterChar">
    <w:name w:val="Footer Char"/>
    <w:basedOn w:val="DefaultParagraphFont"/>
    <w:link w:val="Footer"/>
    <w:uiPriority w:val="99"/>
    <w:rsid w:val="00F23AA4"/>
    <w:rPr>
      <w:rFonts w:eastAsia="Times New Roman"/>
      <w:szCs w:val="20"/>
      <w:lang w:eastAsia="en-AU"/>
    </w:rPr>
  </w:style>
  <w:style w:type="paragraph" w:customStyle="1" w:styleId="Default">
    <w:name w:val="Default"/>
    <w:rsid w:val="00F23AA4"/>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F23AA4"/>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23AA4"/>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F23AA4"/>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23AA4"/>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6935B6"/>
    <w:rPr>
      <w:rFonts w:eastAsiaTheme="majorEastAsia" w:cstheme="majorBidi"/>
      <w:i/>
      <w:szCs w:val="26"/>
      <w:lang w:eastAsia="en-AU"/>
    </w:rPr>
  </w:style>
  <w:style w:type="table" w:styleId="TableGrid">
    <w:name w:val="Table Grid"/>
    <w:aliases w:val="Summary box,Table Gridbeth,RTI AMCP Table,new style,ASD Table"/>
    <w:basedOn w:val="TableNormal"/>
    <w:uiPriority w:val="39"/>
    <w:rsid w:val="0032003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6935B6"/>
    <w:pPr>
      <w:spacing w:before="120" w:after="120" w:line="276" w:lineRule="auto"/>
      <w:jc w:val="both"/>
    </w:pPr>
    <w:rPr>
      <w:rFonts w:asciiTheme="minorHAnsi" w:eastAsiaTheme="minorHAnsi" w:hAnsiTheme="minorHAnsi" w:cstheme="minorBidi"/>
      <w:sz w:val="20"/>
      <w:szCs w:val="22"/>
      <w:lang w:eastAsia="en-US"/>
    </w:rPr>
  </w:style>
  <w:style w:type="paragraph" w:customStyle="1" w:styleId="Tabletext">
    <w:name w:val="Table text"/>
    <w:basedOn w:val="BodyText"/>
    <w:qFormat/>
    <w:rsid w:val="006935B6"/>
    <w:pPr>
      <w:spacing w:before="40" w:after="40" w:line="240" w:lineRule="auto"/>
    </w:pPr>
    <w:rPr>
      <w:sz w:val="18"/>
    </w:rPr>
  </w:style>
  <w:style w:type="paragraph" w:styleId="Caption">
    <w:name w:val="caption"/>
    <w:basedOn w:val="Normal"/>
    <w:next w:val="Normal"/>
    <w:uiPriority w:val="35"/>
    <w:unhideWhenUsed/>
    <w:qFormat/>
    <w:rsid w:val="006935B6"/>
    <w:pPr>
      <w:spacing w:before="120" w:after="120"/>
    </w:pPr>
    <w:rPr>
      <w:rFonts w:asciiTheme="minorHAnsi" w:eastAsiaTheme="minorHAnsi" w:hAnsiTheme="minorHAnsi" w:cstheme="minorBidi"/>
      <w:b/>
      <w:iCs/>
      <w:color w:val="000000" w:themeColor="text1"/>
      <w:sz w:val="18"/>
      <w:szCs w:val="18"/>
      <w:lang w:eastAsia="en-US"/>
    </w:rPr>
  </w:style>
  <w:style w:type="paragraph" w:customStyle="1" w:styleId="TableHeader">
    <w:name w:val="TableHeader"/>
    <w:basedOn w:val="BodyText"/>
    <w:qFormat/>
    <w:rsid w:val="006935B6"/>
    <w:pPr>
      <w:spacing w:before="40" w:after="40" w:line="240" w:lineRule="auto"/>
    </w:pPr>
    <w:rPr>
      <w:b/>
      <w:sz w:val="18"/>
      <w:szCs w:val="18"/>
    </w:rPr>
  </w:style>
  <w:style w:type="paragraph" w:customStyle="1" w:styleId="TableText0">
    <w:name w:val="TableText"/>
    <w:basedOn w:val="BodyText"/>
    <w:qFormat/>
    <w:rsid w:val="006935B6"/>
    <w:pPr>
      <w:spacing w:before="40" w:after="40" w:line="240" w:lineRule="auto"/>
      <w:jc w:val="left"/>
    </w:pPr>
    <w:rPr>
      <w:sz w:val="18"/>
      <w:szCs w:val="18"/>
    </w:rPr>
  </w:style>
  <w:style w:type="paragraph" w:customStyle="1" w:styleId="BoxText">
    <w:name w:val="BoxText"/>
    <w:basedOn w:val="Normal"/>
    <w:qFormat/>
    <w:rsid w:val="002B26F9"/>
    <w:pPr>
      <w:pBdr>
        <w:top w:val="single" w:sz="4" w:space="1" w:color="auto"/>
        <w:left w:val="single" w:sz="4" w:space="4" w:color="auto"/>
        <w:bottom w:val="single" w:sz="4" w:space="1" w:color="auto"/>
        <w:right w:val="single" w:sz="4" w:space="4" w:color="auto"/>
      </w:pBdr>
      <w:spacing w:after="240"/>
    </w:pPr>
  </w:style>
  <w:style w:type="paragraph" w:customStyle="1" w:styleId="BoxHeading">
    <w:name w:val="BoxHeading"/>
    <w:basedOn w:val="Normal"/>
    <w:rsid w:val="002B26F9"/>
    <w:pPr>
      <w:keepNext/>
      <w:pBdr>
        <w:top w:val="single" w:sz="4" w:space="1" w:color="auto"/>
        <w:left w:val="single" w:sz="4" w:space="4" w:color="auto"/>
        <w:bottom w:val="single" w:sz="4" w:space="1" w:color="auto"/>
        <w:right w:val="single" w:sz="4" w:space="4" w:color="auto"/>
      </w:pBdr>
      <w:spacing w:before="240" w:after="240"/>
      <w:outlineLvl w:val="1"/>
    </w:pPr>
    <w:rPr>
      <w:rFonts w:ascii="Arial" w:hAnsi="Arial" w:cs="Arial"/>
      <w:b/>
      <w:bCs/>
      <w:iCs/>
      <w:color w:val="000000"/>
      <w:szCs w:val="28"/>
    </w:rPr>
  </w:style>
  <w:style w:type="paragraph" w:styleId="BalloonText">
    <w:name w:val="Balloon Text"/>
    <w:basedOn w:val="Normal"/>
    <w:link w:val="BalloonTextChar"/>
    <w:uiPriority w:val="99"/>
    <w:semiHidden/>
    <w:unhideWhenUsed/>
    <w:rsid w:val="00310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C6"/>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2F3DEA"/>
    <w:rPr>
      <w:sz w:val="18"/>
      <w:szCs w:val="18"/>
    </w:rPr>
  </w:style>
  <w:style w:type="paragraph" w:styleId="CommentText">
    <w:name w:val="annotation text"/>
    <w:basedOn w:val="Normal"/>
    <w:link w:val="CommentTextChar"/>
    <w:uiPriority w:val="99"/>
    <w:semiHidden/>
    <w:unhideWhenUsed/>
    <w:rsid w:val="002F3DEA"/>
    <w:rPr>
      <w:szCs w:val="24"/>
    </w:rPr>
  </w:style>
  <w:style w:type="character" w:customStyle="1" w:styleId="CommentTextChar">
    <w:name w:val="Comment Text Char"/>
    <w:basedOn w:val="DefaultParagraphFont"/>
    <w:link w:val="CommentText"/>
    <w:uiPriority w:val="99"/>
    <w:semiHidden/>
    <w:rsid w:val="002F3DE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2F3DEA"/>
    <w:rPr>
      <w:b/>
      <w:bCs/>
      <w:sz w:val="20"/>
      <w:szCs w:val="20"/>
    </w:rPr>
  </w:style>
  <w:style w:type="character" w:customStyle="1" w:styleId="CommentSubjectChar">
    <w:name w:val="Comment Subject Char"/>
    <w:basedOn w:val="CommentTextChar"/>
    <w:link w:val="CommentSubject"/>
    <w:uiPriority w:val="99"/>
    <w:semiHidden/>
    <w:rsid w:val="002F3DEA"/>
    <w:rPr>
      <w:rFonts w:eastAsia="Times New Roman"/>
      <w:b/>
      <w:bCs/>
      <w:sz w:val="20"/>
      <w:szCs w:val="20"/>
      <w:lang w:eastAsia="en-AU"/>
    </w:rPr>
  </w:style>
  <w:style w:type="paragraph" w:styleId="Header">
    <w:name w:val="header"/>
    <w:basedOn w:val="Normal"/>
    <w:link w:val="HeaderChar"/>
    <w:uiPriority w:val="99"/>
    <w:unhideWhenUsed/>
    <w:rsid w:val="0082745B"/>
    <w:pPr>
      <w:tabs>
        <w:tab w:val="center" w:pos="4513"/>
        <w:tab w:val="right" w:pos="9026"/>
      </w:tabs>
    </w:pPr>
  </w:style>
  <w:style w:type="character" w:customStyle="1" w:styleId="HeaderChar">
    <w:name w:val="Header Char"/>
    <w:basedOn w:val="DefaultParagraphFont"/>
    <w:link w:val="Header"/>
    <w:uiPriority w:val="99"/>
    <w:rsid w:val="0082745B"/>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 Final PSD</dc:title>
  <dc:subject/>
  <dc:creator/>
  <cp:keywords/>
  <dc:description/>
  <cp:lastModifiedBy/>
  <cp:revision>1</cp:revision>
  <dcterms:created xsi:type="dcterms:W3CDTF">2020-03-04T04:17:00Z</dcterms:created>
  <dcterms:modified xsi:type="dcterms:W3CDTF">2020-03-04T04:18:00Z</dcterms:modified>
</cp:coreProperties>
</file>