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F9A19" w14:textId="77777777" w:rsidR="00BC1364" w:rsidRPr="00707064" w:rsidRDefault="00C67DD2" w:rsidP="00F715D1">
      <w:pPr>
        <w:spacing w:after="240"/>
        <w:jc w:val="center"/>
        <w:rPr>
          <w:b/>
          <w:i/>
          <w:szCs w:val="24"/>
          <w:highlight w:val="yellow"/>
        </w:rPr>
      </w:pPr>
      <w:r>
        <w:rPr>
          <w:rFonts w:ascii="Arial" w:hAnsi="Arial" w:cs="Arial"/>
          <w:b/>
          <w:noProof/>
          <w:color w:val="000080"/>
          <w:sz w:val="28"/>
          <w:szCs w:val="28"/>
        </w:rPr>
        <w:drawing>
          <wp:inline distT="0" distB="0" distL="0" distR="0" wp14:anchorId="1F14F728" wp14:editId="025A73AE">
            <wp:extent cx="2627630" cy="1078865"/>
            <wp:effectExtent l="0" t="0" r="1270" b="6985"/>
            <wp:docPr id="2" name="Picture 2" descr="Medical Services Advisory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1078865"/>
                    </a:xfrm>
                    <a:prstGeom prst="rect">
                      <a:avLst/>
                    </a:prstGeom>
                    <a:noFill/>
                  </pic:spPr>
                </pic:pic>
              </a:graphicData>
            </a:graphic>
          </wp:inline>
        </w:drawing>
      </w:r>
    </w:p>
    <w:p w14:paraId="46277BEF" w14:textId="77777777" w:rsidR="00BC1364" w:rsidRPr="00F715D1" w:rsidRDefault="00F715D1" w:rsidP="00F715D1">
      <w:pPr>
        <w:pStyle w:val="Title"/>
        <w:tabs>
          <w:tab w:val="left" w:pos="1926"/>
          <w:tab w:val="center" w:pos="4513"/>
        </w:tabs>
        <w:jc w:val="left"/>
      </w:pPr>
      <w:r>
        <w:tab/>
      </w:r>
      <w:r>
        <w:tab/>
      </w:r>
      <w:r w:rsidR="00BF479B" w:rsidRPr="00F715D1">
        <w:t>Public Summary Document</w:t>
      </w:r>
    </w:p>
    <w:p w14:paraId="73CA6B45" w14:textId="77777777" w:rsidR="00BC1364" w:rsidRPr="00F715D1" w:rsidRDefault="00BC1364" w:rsidP="00F715D1">
      <w:pPr>
        <w:pStyle w:val="Subtitle"/>
      </w:pPr>
      <w:r w:rsidRPr="00F715D1">
        <w:t xml:space="preserve">Application No. </w:t>
      </w:r>
      <w:r w:rsidR="00E60F1E">
        <w:t>16</w:t>
      </w:r>
      <w:r w:rsidR="001E3F42">
        <w:t>2</w:t>
      </w:r>
      <w:r w:rsidR="00E60F1E">
        <w:t>2</w:t>
      </w:r>
      <w:r w:rsidRPr="00F715D1">
        <w:t xml:space="preserve"> – </w:t>
      </w:r>
      <w:r w:rsidR="001E3F42">
        <w:t>Cardiac ablation devices for use in ventricular arrhythmia and supraventricular tachycardia</w:t>
      </w:r>
    </w:p>
    <w:p w14:paraId="3782220A" w14:textId="782A831A" w:rsidR="00BC1364" w:rsidRPr="00F715D1" w:rsidRDefault="00B35595" w:rsidP="00EF177C">
      <w:pPr>
        <w:tabs>
          <w:tab w:val="left" w:pos="3686"/>
        </w:tabs>
        <w:spacing w:after="240"/>
        <w:ind w:left="1440" w:hanging="1440"/>
        <w:rPr>
          <w:rFonts w:ascii="Arial" w:hAnsi="Arial" w:cs="Arial"/>
          <w:b/>
          <w:szCs w:val="24"/>
        </w:rPr>
      </w:pPr>
      <w:r w:rsidRPr="00F715D1">
        <w:rPr>
          <w:rFonts w:ascii="Arial" w:hAnsi="Arial" w:cs="Arial"/>
          <w:b/>
          <w:szCs w:val="24"/>
        </w:rPr>
        <w:t>Applicant</w:t>
      </w:r>
      <w:r w:rsidR="00D64355">
        <w:rPr>
          <w:rFonts w:ascii="Arial" w:hAnsi="Arial" w:cs="Arial"/>
          <w:b/>
          <w:szCs w:val="24"/>
        </w:rPr>
        <w:t>:</w:t>
      </w:r>
      <w:r w:rsidR="00EF177C">
        <w:rPr>
          <w:rFonts w:ascii="Arial" w:hAnsi="Arial" w:cs="Arial"/>
          <w:b/>
          <w:szCs w:val="24"/>
        </w:rPr>
        <w:tab/>
      </w:r>
      <w:r w:rsidR="00174331">
        <w:rPr>
          <w:rFonts w:ascii="Arial" w:hAnsi="Arial" w:cs="Arial"/>
          <w:b/>
          <w:szCs w:val="24"/>
        </w:rPr>
        <w:t>Medical Technology Association of Australia (MTAA) on behalf of Abbott Medical, Boston Scientific Corporation, Johnson and Johnson Medical and Medtronic Australasia</w:t>
      </w:r>
    </w:p>
    <w:p w14:paraId="1660A9BC" w14:textId="77777777" w:rsidR="00BC1364" w:rsidRPr="00F715D1" w:rsidRDefault="00BC1364" w:rsidP="00D64355">
      <w:pPr>
        <w:tabs>
          <w:tab w:val="left" w:pos="3686"/>
        </w:tabs>
        <w:spacing w:after="240"/>
        <w:rPr>
          <w:rFonts w:ascii="Arial" w:hAnsi="Arial" w:cs="Arial"/>
          <w:b/>
          <w:szCs w:val="24"/>
        </w:rPr>
      </w:pPr>
      <w:r w:rsidRPr="00F715D1">
        <w:rPr>
          <w:rFonts w:ascii="Arial" w:hAnsi="Arial" w:cs="Arial"/>
          <w:b/>
          <w:szCs w:val="24"/>
        </w:rPr>
        <w:t>Date of MSAC consideration:</w:t>
      </w:r>
      <w:r w:rsidRPr="00F715D1">
        <w:rPr>
          <w:rFonts w:ascii="Arial" w:hAnsi="Arial" w:cs="Arial"/>
          <w:b/>
          <w:szCs w:val="24"/>
        </w:rPr>
        <w:tab/>
      </w:r>
      <w:r w:rsidR="00C67DD2" w:rsidRPr="00F715D1">
        <w:rPr>
          <w:rFonts w:ascii="Arial" w:hAnsi="Arial" w:cs="Arial"/>
          <w:b/>
          <w:szCs w:val="24"/>
        </w:rPr>
        <w:t xml:space="preserve">MSAC </w:t>
      </w:r>
      <w:r w:rsidR="00F878CB">
        <w:rPr>
          <w:rFonts w:ascii="Arial" w:hAnsi="Arial" w:cs="Arial"/>
          <w:b/>
          <w:szCs w:val="24"/>
        </w:rPr>
        <w:t>79</w:t>
      </w:r>
      <w:r w:rsidR="00EB6B6F" w:rsidRPr="00F715D1">
        <w:rPr>
          <w:rFonts w:ascii="Arial" w:hAnsi="Arial" w:cs="Arial"/>
          <w:b/>
          <w:szCs w:val="24"/>
          <w:vertAlign w:val="superscript"/>
        </w:rPr>
        <w:t>th</w:t>
      </w:r>
      <w:r w:rsidR="00EB6B6F" w:rsidRPr="00F715D1">
        <w:rPr>
          <w:rFonts w:ascii="Arial" w:hAnsi="Arial" w:cs="Arial"/>
          <w:b/>
          <w:szCs w:val="24"/>
        </w:rPr>
        <w:t xml:space="preserve"> </w:t>
      </w:r>
      <w:r w:rsidRPr="00F715D1">
        <w:rPr>
          <w:rFonts w:ascii="Arial" w:hAnsi="Arial" w:cs="Arial"/>
          <w:b/>
          <w:szCs w:val="24"/>
        </w:rPr>
        <w:t xml:space="preserve">Meeting, </w:t>
      </w:r>
      <w:r w:rsidR="00F878CB">
        <w:rPr>
          <w:rFonts w:ascii="Arial" w:hAnsi="Arial" w:cs="Arial"/>
          <w:b/>
          <w:szCs w:val="24"/>
        </w:rPr>
        <w:t>28-29 July 2020</w:t>
      </w:r>
    </w:p>
    <w:p w14:paraId="155C4B72" w14:textId="2B86DE2C" w:rsidR="0041184F" w:rsidRPr="00B03EAB" w:rsidRDefault="006A0D97" w:rsidP="00B03EAB">
      <w:pPr>
        <w:spacing w:after="360"/>
        <w:rPr>
          <w:color w:val="0000FF"/>
          <w:szCs w:val="24"/>
          <w:u w:val="single"/>
        </w:rPr>
      </w:pPr>
      <w:r w:rsidRPr="00F715D1">
        <w:rPr>
          <w:szCs w:val="24"/>
        </w:rPr>
        <w:t>Context for decision: MSAC makes its advice in accordance wit</w:t>
      </w:r>
      <w:r w:rsidR="00F715D1">
        <w:rPr>
          <w:szCs w:val="24"/>
        </w:rPr>
        <w:t>h its Terms of Reference,</w:t>
      </w:r>
      <w:r w:rsidRPr="00F715D1">
        <w:rPr>
          <w:szCs w:val="24"/>
        </w:rPr>
        <w:t xml:space="preserve"> </w:t>
      </w:r>
      <w:hyperlink r:id="rId9" w:tooltip="Link to Medical Services Advisory Committee website" w:history="1">
        <w:r w:rsidR="00F715D1" w:rsidRPr="00F715D1">
          <w:rPr>
            <w:rStyle w:val="Hyperlink"/>
            <w:szCs w:val="24"/>
          </w:rPr>
          <w:t>visit the MSAC website</w:t>
        </w:r>
      </w:hyperlink>
    </w:p>
    <w:p w14:paraId="10C70618" w14:textId="77777777" w:rsidR="003D7F29" w:rsidRPr="00F715D1" w:rsidRDefault="003D7F29" w:rsidP="00F715D1">
      <w:pPr>
        <w:pStyle w:val="Heading1"/>
      </w:pPr>
      <w:r w:rsidRPr="00F715D1">
        <w:t>Purpose of application</w:t>
      </w:r>
      <w:r w:rsidR="00822C7E" w:rsidRPr="00F715D1">
        <w:t xml:space="preserve"> </w:t>
      </w:r>
    </w:p>
    <w:p w14:paraId="3E418A9B" w14:textId="4CDBC2FF" w:rsidR="003E5E8C" w:rsidRDefault="003E5E8C" w:rsidP="003E5E8C">
      <w:r>
        <w:t xml:space="preserve">An application requesting </w:t>
      </w:r>
      <w:r w:rsidRPr="00753BFE">
        <w:t xml:space="preserve">extension of the current Prostheses List (PL) listing of cardiac ablation catheters and related technologies (‘cardiac ablation devices’) </w:t>
      </w:r>
      <w:r>
        <w:t>in patients with symptomatic ventricular arrhythmia (VA) or non-atrial fibrillation [AF] supraventricular tachycardia (</w:t>
      </w:r>
      <w:r w:rsidR="003F129F">
        <w:t xml:space="preserve">non-AF </w:t>
      </w:r>
      <w:r>
        <w:t xml:space="preserve">SVT) </w:t>
      </w:r>
      <w:r w:rsidR="00EF177C">
        <w:t xml:space="preserve">was received </w:t>
      </w:r>
      <w:r>
        <w:t xml:space="preserve">from </w:t>
      </w:r>
      <w:r w:rsidRPr="00753BFE">
        <w:t>the Medical Technology Association of Australia (MTAA)</w:t>
      </w:r>
      <w:r>
        <w:t xml:space="preserve"> </w:t>
      </w:r>
      <w:r w:rsidRPr="00753BFE">
        <w:t>on behalf of Abbott Medical</w:t>
      </w:r>
      <w:bookmarkStart w:id="0" w:name="_GoBack"/>
      <w:bookmarkEnd w:id="0"/>
      <w:r w:rsidRPr="00753BFE">
        <w:t>, Boston Scientific Corporation, Johnson and Johnson Medical and Medtronic Australasia</w:t>
      </w:r>
      <w:r>
        <w:t xml:space="preserve"> by the Department of Health.</w:t>
      </w:r>
    </w:p>
    <w:p w14:paraId="736F2583" w14:textId="77777777" w:rsidR="00E977EE" w:rsidRPr="00F715D1" w:rsidRDefault="00E977EE" w:rsidP="00F715D1">
      <w:pPr>
        <w:pStyle w:val="Heading1"/>
      </w:pPr>
      <w:r w:rsidRPr="00F715D1">
        <w:t>MSAC’s advice to the Minister</w:t>
      </w:r>
    </w:p>
    <w:p w14:paraId="166A4AFC" w14:textId="40E03153" w:rsidR="007C7754" w:rsidRDefault="007C7754" w:rsidP="004E3E96">
      <w:pPr>
        <w:spacing w:after="240"/>
      </w:pPr>
      <w:r>
        <w:t>After considering the strength of the available evidence in relation to comparative safety, clinical effectiveness and cost-effectiveness, MSAC supported a recommendation to the Prostheses List Advisory Committee (PLAC) to expand the use of cardiac ablation catheters to include treatment of symptomatic ventricular arrhythmia (VA) and non-atrial fibrillation  supraventricular tachycardia (</w:t>
      </w:r>
      <w:r w:rsidR="003F129F">
        <w:t xml:space="preserve">non-AF </w:t>
      </w:r>
      <w:r>
        <w:t xml:space="preserve">SVT), based on safety, efficacy and likely cost-effectiveness. MSAC recommended that a patient registry be developed to capture the performance of individual practitioners and laboratories to monitor </w:t>
      </w:r>
      <w:r w:rsidR="0076434C">
        <w:t xml:space="preserve">patient </w:t>
      </w:r>
      <w:r w:rsidR="004E3E96">
        <w:t>outcomes.</w:t>
      </w:r>
    </w:p>
    <w:tbl>
      <w:tblPr>
        <w:tblStyle w:val="TableGrid"/>
        <w:tblW w:w="0" w:type="auto"/>
        <w:tblLook w:val="04A0" w:firstRow="1" w:lastRow="0" w:firstColumn="1" w:lastColumn="0" w:noHBand="0" w:noVBand="1"/>
        <w:tblDescription w:val="Consumer summary of MSAC consideration"/>
      </w:tblPr>
      <w:tblGrid>
        <w:gridCol w:w="9016"/>
      </w:tblGrid>
      <w:tr w:rsidR="004E3E96" w14:paraId="244674F0" w14:textId="77777777" w:rsidTr="004E3E96">
        <w:trPr>
          <w:tblHeader/>
        </w:trPr>
        <w:tc>
          <w:tcPr>
            <w:tcW w:w="9016" w:type="dxa"/>
          </w:tcPr>
          <w:p w14:paraId="078F6C9D" w14:textId="0D82BCA1" w:rsidR="004E3E96" w:rsidRPr="004E3E96" w:rsidRDefault="004E3E96" w:rsidP="004E3E96">
            <w:pPr>
              <w:pStyle w:val="Default"/>
              <w:spacing w:before="120" w:after="240"/>
              <w:rPr>
                <w:b/>
                <w:color w:val="auto"/>
              </w:rPr>
            </w:pPr>
            <w:r w:rsidRPr="00C06B0B">
              <w:rPr>
                <w:b/>
                <w:color w:val="auto"/>
              </w:rPr>
              <w:t>Consumer summary</w:t>
            </w:r>
          </w:p>
        </w:tc>
      </w:tr>
      <w:tr w:rsidR="004E3E96" w14:paraId="459CA106" w14:textId="77777777" w:rsidTr="004E3E96">
        <w:tc>
          <w:tcPr>
            <w:tcW w:w="9016" w:type="dxa"/>
          </w:tcPr>
          <w:p w14:paraId="7C82FA6D" w14:textId="547564FE" w:rsidR="004E3E96" w:rsidRPr="007C7754" w:rsidRDefault="004E3E96" w:rsidP="004E3E96">
            <w:pPr>
              <w:pStyle w:val="Default"/>
              <w:spacing w:before="120" w:after="240"/>
              <w:rPr>
                <w:color w:val="auto"/>
              </w:rPr>
            </w:pPr>
            <w:r w:rsidRPr="007C7754">
              <w:rPr>
                <w:color w:val="auto"/>
              </w:rPr>
              <w:t>This application is from the Medical Technology Association of Australia on behalf of Abbott Medical, Boston Scientific Corporation, Johnson and Johnson Medical and Medtronic Australasia. The application seeks to extend the use of cardiac ablation catheters to include treatment of symptomatic ventricular arrhythmia (VA) and non-atrial fibrillation supraventricular tachycardia (</w:t>
            </w:r>
            <w:r>
              <w:rPr>
                <w:color w:val="auto"/>
              </w:rPr>
              <w:t xml:space="preserve">non-AF </w:t>
            </w:r>
            <w:r w:rsidRPr="007C7754">
              <w:rPr>
                <w:color w:val="auto"/>
              </w:rPr>
              <w:t>SVT).</w:t>
            </w:r>
            <w:r>
              <w:rPr>
                <w:color w:val="auto"/>
              </w:rPr>
              <w:t xml:space="preserve"> The Prostheses List Advisory Committee (PLAC </w:t>
            </w:r>
            <w:hyperlink r:id="rId10" w:tooltip="Link to Department of Health webpage about PLAC" w:history="1">
              <w:r>
                <w:rPr>
                  <w:rStyle w:val="Hyperlink"/>
                </w:rPr>
                <w:t>https://www1.health.gov.au/internet/main/publishing.nsf/Content/health-about-PLAC</w:t>
              </w:r>
            </w:hyperlink>
            <w:r>
              <w:t>) has sought MSAC’s advice in relation to this request.</w:t>
            </w:r>
          </w:p>
          <w:p w14:paraId="47CE1A76" w14:textId="44A94007" w:rsidR="004E3E96" w:rsidRPr="007C7754" w:rsidRDefault="004E3E96" w:rsidP="004E3E96">
            <w:pPr>
              <w:pStyle w:val="Default"/>
              <w:spacing w:before="120" w:after="240"/>
              <w:rPr>
                <w:color w:val="auto"/>
              </w:rPr>
            </w:pPr>
            <w:r w:rsidRPr="007C7754">
              <w:rPr>
                <w:color w:val="auto"/>
              </w:rPr>
              <w:lastRenderedPageBreak/>
              <w:t xml:space="preserve">Cardiac ablation catheters are flexible thin wires that are inserted through the blood vessels to the heart to stop irregular electrical signals in the heart tissue </w:t>
            </w:r>
            <w:r>
              <w:rPr>
                <w:color w:val="auto"/>
              </w:rPr>
              <w:t>that can cause</w:t>
            </w:r>
            <w:r w:rsidRPr="007C7754">
              <w:rPr>
                <w:color w:val="auto"/>
              </w:rPr>
              <w:t xml:space="preserve"> arrhythmias</w:t>
            </w:r>
            <w:r>
              <w:rPr>
                <w:color w:val="auto"/>
              </w:rPr>
              <w:t xml:space="preserve"> (regular or irregular and often rapid heartbeat)</w:t>
            </w:r>
            <w:r w:rsidRPr="007C7754">
              <w:rPr>
                <w:color w:val="auto"/>
              </w:rPr>
              <w:t xml:space="preserve">. Four </w:t>
            </w:r>
            <w:r>
              <w:rPr>
                <w:color w:val="auto"/>
              </w:rPr>
              <w:t>Medical Benefits Schedule (</w:t>
            </w:r>
            <w:r w:rsidRPr="007C7754">
              <w:rPr>
                <w:color w:val="auto"/>
              </w:rPr>
              <w:t>MBS</w:t>
            </w:r>
            <w:r>
              <w:rPr>
                <w:color w:val="auto"/>
              </w:rPr>
              <w:t>)</w:t>
            </w:r>
            <w:r w:rsidRPr="007C7754">
              <w:rPr>
                <w:color w:val="auto"/>
              </w:rPr>
              <w:t xml:space="preserve"> items for services relating to catheter-based arrhythmia ablation of atrial fibrillation, VA and </w:t>
            </w:r>
            <w:r>
              <w:rPr>
                <w:color w:val="auto"/>
              </w:rPr>
              <w:t xml:space="preserve">non-AF </w:t>
            </w:r>
            <w:r w:rsidRPr="007C7754">
              <w:rPr>
                <w:color w:val="auto"/>
              </w:rPr>
              <w:t>SVT</w:t>
            </w:r>
            <w:r>
              <w:rPr>
                <w:color w:val="auto"/>
              </w:rPr>
              <w:t>)</w:t>
            </w:r>
            <w:r w:rsidRPr="007C7754">
              <w:rPr>
                <w:color w:val="auto"/>
              </w:rPr>
              <w:t xml:space="preserve"> have been listed since 1998. However, the current </w:t>
            </w:r>
            <w:r>
              <w:rPr>
                <w:color w:val="auto"/>
              </w:rPr>
              <w:t>Prostheses List (</w:t>
            </w:r>
            <w:hyperlink r:id="rId11" w:tooltip="Link to Department of Health webpage for the Prostheses List" w:history="1">
              <w:r>
                <w:rPr>
                  <w:rStyle w:val="Hyperlink"/>
                </w:rPr>
                <w:t>https://www1.health.gov.au/internet/main/publishing.nsf/Content/health-privatehealth-prostheseslist.htm</w:t>
              </w:r>
            </w:hyperlink>
            <w:r>
              <w:rPr>
                <w:color w:val="auto"/>
              </w:rPr>
              <w:t>)</w:t>
            </w:r>
            <w:r w:rsidRPr="007C7754">
              <w:rPr>
                <w:color w:val="auto"/>
              </w:rPr>
              <w:t xml:space="preserve"> only cover</w:t>
            </w:r>
            <w:r>
              <w:rPr>
                <w:color w:val="auto"/>
              </w:rPr>
              <w:t>s</w:t>
            </w:r>
            <w:r w:rsidRPr="007C7754">
              <w:rPr>
                <w:color w:val="auto"/>
              </w:rPr>
              <w:t xml:space="preserve"> private health insurance funding for </w:t>
            </w:r>
            <w:r>
              <w:rPr>
                <w:color w:val="auto"/>
              </w:rPr>
              <w:t xml:space="preserve">ablation in patients with </w:t>
            </w:r>
            <w:r w:rsidRPr="007C7754">
              <w:rPr>
                <w:color w:val="auto"/>
              </w:rPr>
              <w:t xml:space="preserve">AF. This application seeks to </w:t>
            </w:r>
            <w:r>
              <w:rPr>
                <w:color w:val="auto"/>
              </w:rPr>
              <w:t>amend the Prostheses List to include use</w:t>
            </w:r>
            <w:r w:rsidRPr="007C7754">
              <w:rPr>
                <w:color w:val="auto"/>
              </w:rPr>
              <w:t xml:space="preserve"> of these devices </w:t>
            </w:r>
            <w:r>
              <w:rPr>
                <w:color w:val="auto"/>
              </w:rPr>
              <w:t>in</w:t>
            </w:r>
            <w:r w:rsidRPr="007C7754">
              <w:rPr>
                <w:color w:val="auto"/>
              </w:rPr>
              <w:t xml:space="preserve"> all cardiac ablation procedures. </w:t>
            </w:r>
          </w:p>
          <w:p w14:paraId="48DA0C3D" w14:textId="77777777" w:rsidR="004E3E96" w:rsidRPr="007C7754" w:rsidRDefault="004E3E96" w:rsidP="004E3E96">
            <w:pPr>
              <w:pStyle w:val="Default"/>
              <w:spacing w:before="120" w:after="240"/>
              <w:rPr>
                <w:color w:val="auto"/>
              </w:rPr>
            </w:pPr>
            <w:r w:rsidRPr="007C7754">
              <w:rPr>
                <w:color w:val="auto"/>
              </w:rPr>
              <w:t xml:space="preserve">MSAC found there was enough evidence to show that the use of cardiac ablation catheters was safe and effective in treating VA and </w:t>
            </w:r>
            <w:r>
              <w:rPr>
                <w:color w:val="auto"/>
              </w:rPr>
              <w:t xml:space="preserve">non-AF </w:t>
            </w:r>
            <w:r w:rsidRPr="007C7754">
              <w:rPr>
                <w:color w:val="auto"/>
              </w:rPr>
              <w:t>SVT.</w:t>
            </w:r>
          </w:p>
          <w:p w14:paraId="70146529" w14:textId="77777777" w:rsidR="004E3E96" w:rsidRDefault="004E3E96" w:rsidP="004E3E96">
            <w:pPr>
              <w:pStyle w:val="Default"/>
              <w:spacing w:after="120"/>
              <w:rPr>
                <w:b/>
                <w:color w:val="auto"/>
              </w:rPr>
            </w:pPr>
            <w:r w:rsidRPr="00C06B0B">
              <w:rPr>
                <w:b/>
                <w:color w:val="auto"/>
              </w:rPr>
              <w:t xml:space="preserve">MSAC’s </w:t>
            </w:r>
            <w:r>
              <w:rPr>
                <w:b/>
                <w:color w:val="auto"/>
              </w:rPr>
              <w:t>advice</w:t>
            </w:r>
            <w:r w:rsidRPr="00C06B0B">
              <w:rPr>
                <w:b/>
                <w:color w:val="auto"/>
              </w:rPr>
              <w:t xml:space="preserve"> to the Commonwealth Minister</w:t>
            </w:r>
            <w:r>
              <w:rPr>
                <w:b/>
                <w:color w:val="auto"/>
              </w:rPr>
              <w:t xml:space="preserve"> for Health</w:t>
            </w:r>
          </w:p>
          <w:p w14:paraId="3E00F3FA" w14:textId="5979D067" w:rsidR="004E3E96" w:rsidRDefault="004E3E96" w:rsidP="004E3E96">
            <w:r w:rsidRPr="007C7754">
              <w:t xml:space="preserve">MSAC advised PLAC to expand the use of cardiac ablation catheters to include treatment of VA and </w:t>
            </w:r>
            <w:r>
              <w:t xml:space="preserve">non-AF </w:t>
            </w:r>
            <w:r w:rsidRPr="007C7754">
              <w:t>SVT, based on safety, efficacy and likely cost-effectiveness.</w:t>
            </w:r>
          </w:p>
        </w:tc>
      </w:tr>
    </w:tbl>
    <w:p w14:paraId="743C36D6" w14:textId="77777777" w:rsidR="00550354" w:rsidRPr="00F715D1" w:rsidRDefault="00550354" w:rsidP="00F715D1">
      <w:pPr>
        <w:pStyle w:val="Heading1"/>
      </w:pPr>
      <w:r w:rsidRPr="00F715D1">
        <w:lastRenderedPageBreak/>
        <w:t xml:space="preserve">Summary of consideration and rationale for MSAC’s advice </w:t>
      </w:r>
    </w:p>
    <w:p w14:paraId="4510B4D1" w14:textId="3F3A50B8" w:rsidR="007C7754" w:rsidRPr="00B4578D" w:rsidRDefault="007C7754" w:rsidP="007C7754">
      <w:pPr>
        <w:spacing w:after="240"/>
        <w:rPr>
          <w:szCs w:val="24"/>
        </w:rPr>
      </w:pPr>
      <w:r w:rsidRPr="00B4578D">
        <w:rPr>
          <w:szCs w:val="24"/>
        </w:rPr>
        <w:t xml:space="preserve">MSAC noted that this is a fit-for-purpose application requesting the extension of the current Prostheses List (PL) listing of cardiac ablation catheters </w:t>
      </w:r>
      <w:r w:rsidR="00684C8B">
        <w:rPr>
          <w:szCs w:val="24"/>
        </w:rPr>
        <w:t>to include treatment of</w:t>
      </w:r>
      <w:r w:rsidRPr="00B4578D">
        <w:rPr>
          <w:szCs w:val="24"/>
        </w:rPr>
        <w:t xml:space="preserve"> patients with symptomatic VA or non-AF SVT. The assessment report seeks to extend PL listing for cardiac ablation devices to all four existing MBS items (38290, 38287, 38293 and 38518) with the current PL “bundled price” of $6,399 for ablation devices.</w:t>
      </w:r>
    </w:p>
    <w:p w14:paraId="2CF5802E" w14:textId="5A5C079D" w:rsidR="007C7754" w:rsidRPr="00B4578D" w:rsidRDefault="007C7754" w:rsidP="007C7754">
      <w:pPr>
        <w:spacing w:after="240"/>
        <w:rPr>
          <w:szCs w:val="24"/>
        </w:rPr>
      </w:pPr>
      <w:r w:rsidRPr="00B4578D">
        <w:rPr>
          <w:szCs w:val="24"/>
        </w:rPr>
        <w:t>MSAC noted that there is only a small number of systematic reviews and randomised control trials and that t</w:t>
      </w:r>
      <w:r w:rsidR="0076434C">
        <w:rPr>
          <w:szCs w:val="24"/>
        </w:rPr>
        <w:t>his</w:t>
      </w:r>
      <w:r w:rsidRPr="00B4578D">
        <w:rPr>
          <w:szCs w:val="24"/>
        </w:rPr>
        <w:t xml:space="preserve"> is a potential</w:t>
      </w:r>
      <w:r w:rsidR="0076434C">
        <w:rPr>
          <w:szCs w:val="24"/>
        </w:rPr>
        <w:t xml:space="preserve"> source of</w:t>
      </w:r>
      <w:r w:rsidRPr="00B4578D">
        <w:rPr>
          <w:szCs w:val="24"/>
        </w:rPr>
        <w:t xml:space="preserve"> bias. On the basis of the </w:t>
      </w:r>
      <w:r w:rsidR="003F129F">
        <w:rPr>
          <w:szCs w:val="24"/>
        </w:rPr>
        <w:t xml:space="preserve">identified </w:t>
      </w:r>
      <w:r w:rsidRPr="00B4578D">
        <w:rPr>
          <w:szCs w:val="24"/>
        </w:rPr>
        <w:t xml:space="preserve">clinical evidence, it is suggested that relative to no ablation, cardiac ablation has superior safety and superior effectiveness for all </w:t>
      </w:r>
      <w:r w:rsidR="0076434C">
        <w:rPr>
          <w:szCs w:val="24"/>
        </w:rPr>
        <w:t xml:space="preserve">of the proposed </w:t>
      </w:r>
      <w:r w:rsidRPr="00B4578D">
        <w:rPr>
          <w:szCs w:val="24"/>
        </w:rPr>
        <w:t>patient groups</w:t>
      </w:r>
      <w:r w:rsidR="00A17226">
        <w:rPr>
          <w:szCs w:val="24"/>
        </w:rPr>
        <w:t xml:space="preserve"> in this application</w:t>
      </w:r>
      <w:r w:rsidRPr="00B4578D">
        <w:rPr>
          <w:szCs w:val="24"/>
        </w:rPr>
        <w:t xml:space="preserve">. </w:t>
      </w:r>
    </w:p>
    <w:p w14:paraId="61433EC6" w14:textId="77777777" w:rsidR="007C7754" w:rsidRPr="00B4578D" w:rsidRDefault="007C7754" w:rsidP="007C7754">
      <w:pPr>
        <w:spacing w:after="240"/>
        <w:rPr>
          <w:szCs w:val="24"/>
        </w:rPr>
      </w:pPr>
      <w:r w:rsidRPr="00B4578D">
        <w:rPr>
          <w:szCs w:val="24"/>
        </w:rPr>
        <w:t>MSAC noted that catheter ablation is likely to have superior safety compared with anti-arrhythmic drugs.</w:t>
      </w:r>
    </w:p>
    <w:p w14:paraId="6BCC1881" w14:textId="7C1CEA82" w:rsidR="007C7754" w:rsidRPr="00B4578D" w:rsidRDefault="007C7754" w:rsidP="007C7754">
      <w:pPr>
        <w:spacing w:after="240"/>
        <w:rPr>
          <w:szCs w:val="24"/>
        </w:rPr>
      </w:pPr>
      <w:r w:rsidRPr="00B4578D">
        <w:rPr>
          <w:szCs w:val="24"/>
        </w:rPr>
        <w:t xml:space="preserve">In terms of clinical effectiveness, for </w:t>
      </w:r>
      <w:r w:rsidR="0076434C">
        <w:rPr>
          <w:szCs w:val="24"/>
        </w:rPr>
        <w:t xml:space="preserve">non-AF </w:t>
      </w:r>
      <w:r w:rsidRPr="00B4578D">
        <w:rPr>
          <w:szCs w:val="24"/>
        </w:rPr>
        <w:t xml:space="preserve">SVT, catheter ablation is effective in reducing arrhythmia recurrence. The outcome </w:t>
      </w:r>
      <w:r w:rsidR="0076434C">
        <w:rPr>
          <w:szCs w:val="24"/>
        </w:rPr>
        <w:t>of</w:t>
      </w:r>
      <w:r w:rsidRPr="00B4578D">
        <w:rPr>
          <w:szCs w:val="24"/>
        </w:rPr>
        <w:t xml:space="preserve"> VA recurrence was not statistically significant when </w:t>
      </w:r>
      <w:r w:rsidR="0076434C">
        <w:rPr>
          <w:szCs w:val="24"/>
        </w:rPr>
        <w:t xml:space="preserve">evidence from </w:t>
      </w:r>
      <w:r w:rsidRPr="00B4578D">
        <w:rPr>
          <w:szCs w:val="24"/>
        </w:rPr>
        <w:t>conference abstracts were excluded</w:t>
      </w:r>
      <w:r w:rsidR="0076434C">
        <w:rPr>
          <w:szCs w:val="24"/>
        </w:rPr>
        <w:t>,</w:t>
      </w:r>
      <w:r w:rsidRPr="00B4578D">
        <w:rPr>
          <w:szCs w:val="24"/>
        </w:rPr>
        <w:t xml:space="preserve"> but </w:t>
      </w:r>
      <w:r w:rsidR="00A17226">
        <w:rPr>
          <w:szCs w:val="24"/>
        </w:rPr>
        <w:t xml:space="preserve">overall, </w:t>
      </w:r>
      <w:r w:rsidRPr="00B4578D">
        <w:rPr>
          <w:szCs w:val="24"/>
        </w:rPr>
        <w:t xml:space="preserve">MSAC accepted </w:t>
      </w:r>
      <w:r w:rsidR="00A17226">
        <w:rPr>
          <w:szCs w:val="24"/>
        </w:rPr>
        <w:t xml:space="preserve">the </w:t>
      </w:r>
      <w:r w:rsidR="0076434C">
        <w:rPr>
          <w:szCs w:val="24"/>
        </w:rPr>
        <w:t>likelihood of</w:t>
      </w:r>
      <w:r w:rsidRPr="00B4578D">
        <w:rPr>
          <w:szCs w:val="24"/>
        </w:rPr>
        <w:t xml:space="preserve"> effectiveness</w:t>
      </w:r>
      <w:r w:rsidR="0076434C">
        <w:rPr>
          <w:szCs w:val="24"/>
        </w:rPr>
        <w:t xml:space="preserve"> in this population</w:t>
      </w:r>
      <w:r w:rsidRPr="00B4578D">
        <w:rPr>
          <w:szCs w:val="24"/>
        </w:rPr>
        <w:t>.</w:t>
      </w:r>
    </w:p>
    <w:p w14:paraId="0FD50042" w14:textId="6DABBE5B" w:rsidR="007C7754" w:rsidRPr="00B4578D" w:rsidRDefault="007C7754" w:rsidP="007C7754">
      <w:pPr>
        <w:spacing w:after="240"/>
        <w:rPr>
          <w:szCs w:val="24"/>
        </w:rPr>
      </w:pPr>
      <w:r w:rsidRPr="00DD1350">
        <w:rPr>
          <w:szCs w:val="24"/>
        </w:rPr>
        <w:t>MSAC noted that the economic model d</w:t>
      </w:r>
      <w:r w:rsidR="00E861C4">
        <w:rPr>
          <w:szCs w:val="24"/>
        </w:rPr>
        <w:t>id</w:t>
      </w:r>
      <w:r w:rsidRPr="00DD1350">
        <w:rPr>
          <w:szCs w:val="24"/>
        </w:rPr>
        <w:t xml:space="preserve"> not allow for crossover</w:t>
      </w:r>
      <w:r w:rsidR="00DD1350">
        <w:rPr>
          <w:szCs w:val="24"/>
        </w:rPr>
        <w:t xml:space="preserve"> from medical therapy to ablation</w:t>
      </w:r>
      <w:r w:rsidRPr="00DD1350">
        <w:rPr>
          <w:szCs w:val="24"/>
        </w:rPr>
        <w:t xml:space="preserve">; in practice, if </w:t>
      </w:r>
      <w:r w:rsidR="00E861C4" w:rsidRPr="00DD1350">
        <w:rPr>
          <w:szCs w:val="24"/>
        </w:rPr>
        <w:t xml:space="preserve">medical therapy </w:t>
      </w:r>
      <w:r w:rsidR="00E861C4">
        <w:rPr>
          <w:szCs w:val="24"/>
        </w:rPr>
        <w:t>or ablation</w:t>
      </w:r>
      <w:r w:rsidRPr="00DD1350">
        <w:rPr>
          <w:szCs w:val="24"/>
        </w:rPr>
        <w:t xml:space="preserve"> is unsuccessful the patient </w:t>
      </w:r>
      <w:r w:rsidR="00DD1350">
        <w:rPr>
          <w:szCs w:val="24"/>
        </w:rPr>
        <w:t>can</w:t>
      </w:r>
      <w:r w:rsidR="00E861C4">
        <w:rPr>
          <w:szCs w:val="24"/>
        </w:rPr>
        <w:t xml:space="preserve"> </w:t>
      </w:r>
      <w:r w:rsidR="00DD1350" w:rsidRPr="00DD1350">
        <w:rPr>
          <w:szCs w:val="24"/>
        </w:rPr>
        <w:t>proceed to</w:t>
      </w:r>
      <w:r w:rsidRPr="00DD1350">
        <w:rPr>
          <w:szCs w:val="24"/>
        </w:rPr>
        <w:t xml:space="preserve"> ablation</w:t>
      </w:r>
      <w:r w:rsidR="00E861C4">
        <w:rPr>
          <w:szCs w:val="24"/>
        </w:rPr>
        <w:t xml:space="preserve">, or re-ablation, respectively </w:t>
      </w:r>
      <w:r w:rsidRPr="00DD1350">
        <w:rPr>
          <w:szCs w:val="24"/>
        </w:rPr>
        <w:t>as standard practice.</w:t>
      </w:r>
      <w:r w:rsidRPr="00B4578D">
        <w:rPr>
          <w:szCs w:val="24"/>
        </w:rPr>
        <w:t xml:space="preserve"> </w:t>
      </w:r>
    </w:p>
    <w:p w14:paraId="79778CF6" w14:textId="62E6D855" w:rsidR="007C7754" w:rsidRPr="00B4578D" w:rsidRDefault="007C7754" w:rsidP="007C7754">
      <w:pPr>
        <w:spacing w:after="240"/>
        <w:rPr>
          <w:szCs w:val="24"/>
        </w:rPr>
      </w:pPr>
      <w:r w:rsidRPr="00B4578D">
        <w:rPr>
          <w:szCs w:val="24"/>
        </w:rPr>
        <w:t xml:space="preserve">MSAC noted that a weighted incremental cost-effectiveness ratio (ICER) was not appropriate for this application because of the different time horizons used. MSAC queried whether PLAC would want </w:t>
      </w:r>
      <w:r w:rsidR="00E861C4">
        <w:rPr>
          <w:szCs w:val="24"/>
        </w:rPr>
        <w:t>to consider</w:t>
      </w:r>
      <w:r w:rsidR="0076434C">
        <w:rPr>
          <w:szCs w:val="24"/>
        </w:rPr>
        <w:t xml:space="preserve"> separate</w:t>
      </w:r>
      <w:r w:rsidR="00E861C4">
        <w:rPr>
          <w:szCs w:val="24"/>
        </w:rPr>
        <w:t xml:space="preserve"> ICERs </w:t>
      </w:r>
      <w:r w:rsidRPr="00B4578D">
        <w:rPr>
          <w:szCs w:val="24"/>
        </w:rPr>
        <w:t>depending on indication of use</w:t>
      </w:r>
      <w:r w:rsidR="00E861C4">
        <w:rPr>
          <w:szCs w:val="24"/>
        </w:rPr>
        <w:t>,</w:t>
      </w:r>
      <w:r w:rsidR="0076434C">
        <w:rPr>
          <w:szCs w:val="24"/>
        </w:rPr>
        <w:t xml:space="preserve"> or a single weighted ICER</w:t>
      </w:r>
      <w:r w:rsidRPr="00B4578D">
        <w:rPr>
          <w:szCs w:val="24"/>
        </w:rPr>
        <w:t xml:space="preserve">. However, MSAC agreed </w:t>
      </w:r>
      <w:r w:rsidR="00170FB8">
        <w:rPr>
          <w:szCs w:val="24"/>
        </w:rPr>
        <w:t xml:space="preserve">that </w:t>
      </w:r>
      <w:r w:rsidR="00170FB8" w:rsidRPr="00B4578D">
        <w:rPr>
          <w:szCs w:val="24"/>
        </w:rPr>
        <w:t xml:space="preserve">for the sake of transparency </w:t>
      </w:r>
      <w:r w:rsidRPr="00B4578D">
        <w:rPr>
          <w:szCs w:val="24"/>
        </w:rPr>
        <w:t xml:space="preserve">it was important for PLAC to </w:t>
      </w:r>
      <w:r w:rsidR="00E861C4">
        <w:rPr>
          <w:szCs w:val="24"/>
        </w:rPr>
        <w:t>be able to consider</w:t>
      </w:r>
      <w:r w:rsidRPr="00B4578D">
        <w:rPr>
          <w:szCs w:val="24"/>
        </w:rPr>
        <w:t xml:space="preserve"> the separate ICERs for VA, </w:t>
      </w:r>
      <w:r w:rsidR="009D1A57">
        <w:rPr>
          <w:szCs w:val="24"/>
        </w:rPr>
        <w:t xml:space="preserve">atrial flutter </w:t>
      </w:r>
      <w:r w:rsidRPr="00B4578D">
        <w:rPr>
          <w:szCs w:val="24"/>
        </w:rPr>
        <w:t xml:space="preserve">and all remaining tachycardia groups. </w:t>
      </w:r>
    </w:p>
    <w:p w14:paraId="7A67A0EA" w14:textId="0A50A927" w:rsidR="007C7754" w:rsidRPr="00B4578D" w:rsidRDefault="007C7754" w:rsidP="007C7754">
      <w:pPr>
        <w:spacing w:after="240"/>
        <w:rPr>
          <w:szCs w:val="24"/>
        </w:rPr>
      </w:pPr>
      <w:r w:rsidRPr="00B4578D">
        <w:rPr>
          <w:szCs w:val="24"/>
        </w:rPr>
        <w:lastRenderedPageBreak/>
        <w:t xml:space="preserve">MSAC noted that a key uncertainty is whether the exclusion of VA and </w:t>
      </w:r>
      <w:r w:rsidR="003F129F">
        <w:rPr>
          <w:szCs w:val="24"/>
        </w:rPr>
        <w:t xml:space="preserve">non-AF </w:t>
      </w:r>
      <w:r w:rsidRPr="00B4578D">
        <w:rPr>
          <w:szCs w:val="24"/>
        </w:rPr>
        <w:t>SVT from the current PL listing means</w:t>
      </w:r>
      <w:r w:rsidR="00170FB8">
        <w:rPr>
          <w:szCs w:val="24"/>
        </w:rPr>
        <w:t>:</w:t>
      </w:r>
      <w:r w:rsidRPr="00B4578D">
        <w:rPr>
          <w:szCs w:val="24"/>
        </w:rPr>
        <w:t xml:space="preserve"> that </w:t>
      </w:r>
      <w:r w:rsidR="005833BA">
        <w:rPr>
          <w:szCs w:val="24"/>
        </w:rPr>
        <w:t xml:space="preserve">some </w:t>
      </w:r>
      <w:r w:rsidRPr="00B4578D">
        <w:rPr>
          <w:szCs w:val="24"/>
        </w:rPr>
        <w:t xml:space="preserve">patients are </w:t>
      </w:r>
      <w:r w:rsidR="005833BA">
        <w:rPr>
          <w:szCs w:val="24"/>
        </w:rPr>
        <w:t xml:space="preserve">not receiving </w:t>
      </w:r>
      <w:r w:rsidRPr="00B4578D">
        <w:rPr>
          <w:szCs w:val="24"/>
        </w:rPr>
        <w:t xml:space="preserve">cardiac ablation, </w:t>
      </w:r>
      <w:r w:rsidR="005833BA">
        <w:rPr>
          <w:szCs w:val="24"/>
        </w:rPr>
        <w:t>if those that are having ablation</w:t>
      </w:r>
      <w:r w:rsidRPr="00B4578D">
        <w:rPr>
          <w:szCs w:val="24"/>
        </w:rPr>
        <w:t xml:space="preserve"> are paying significant out-of-pocket expenses, </w:t>
      </w:r>
      <w:r w:rsidR="001E1313">
        <w:rPr>
          <w:szCs w:val="24"/>
        </w:rPr>
        <w:t>or</w:t>
      </w:r>
      <w:r w:rsidRPr="00B4578D">
        <w:rPr>
          <w:szCs w:val="24"/>
        </w:rPr>
        <w:t xml:space="preserve"> whether patients who could </w:t>
      </w:r>
      <w:r w:rsidR="005833BA">
        <w:rPr>
          <w:szCs w:val="24"/>
        </w:rPr>
        <w:t xml:space="preserve">otherwise </w:t>
      </w:r>
      <w:r w:rsidRPr="00B4578D">
        <w:rPr>
          <w:szCs w:val="24"/>
        </w:rPr>
        <w:t>be managed in private hospitals currently undergo the procedure in public hospitals. The MBS data only provide an estimate of current private sector utilisation, and as current private health insurance subsidies for cardiac ablation for VA and SVT are unknown, the net impact of extending the current PL listing is therefore highly uncertain.</w:t>
      </w:r>
    </w:p>
    <w:p w14:paraId="74953268" w14:textId="25DF4C4D" w:rsidR="007C7754" w:rsidRPr="00B4578D" w:rsidRDefault="007C7754" w:rsidP="007C7754">
      <w:pPr>
        <w:spacing w:after="240"/>
        <w:rPr>
          <w:szCs w:val="24"/>
        </w:rPr>
      </w:pPr>
      <w:r w:rsidRPr="00B4578D">
        <w:rPr>
          <w:szCs w:val="24"/>
        </w:rPr>
        <w:t xml:space="preserve">MSAC noted that the </w:t>
      </w:r>
      <w:r w:rsidR="001E1313">
        <w:rPr>
          <w:szCs w:val="24"/>
        </w:rPr>
        <w:t>applicant</w:t>
      </w:r>
      <w:r w:rsidR="003F129F">
        <w:rPr>
          <w:szCs w:val="24"/>
        </w:rPr>
        <w:t>’</w:t>
      </w:r>
      <w:r w:rsidR="001E1313">
        <w:rPr>
          <w:szCs w:val="24"/>
        </w:rPr>
        <w:t xml:space="preserve">s </w:t>
      </w:r>
      <w:r w:rsidRPr="00B4578D">
        <w:rPr>
          <w:szCs w:val="24"/>
        </w:rPr>
        <w:t xml:space="preserve">pre-MSAC response was not in favour of making a registry a condition of listing VA and </w:t>
      </w:r>
      <w:r w:rsidR="003F129F">
        <w:rPr>
          <w:szCs w:val="24"/>
        </w:rPr>
        <w:t xml:space="preserve">non-AF </w:t>
      </w:r>
      <w:r w:rsidRPr="00B4578D">
        <w:rPr>
          <w:szCs w:val="24"/>
        </w:rPr>
        <w:t xml:space="preserve">SVT on the PL because it is not for a new or amended item. However, MSAC agreed with the Evaluation Sub-committee’s suggestion of a registry, which should be </w:t>
      </w:r>
      <w:r w:rsidR="001E1313">
        <w:rPr>
          <w:szCs w:val="24"/>
        </w:rPr>
        <w:t>consistent with</w:t>
      </w:r>
      <w:r w:rsidRPr="00B4578D">
        <w:rPr>
          <w:szCs w:val="24"/>
        </w:rPr>
        <w:t xml:space="preserve"> the Australian Commission on Safety and Quality in Health Care’s Framework on Australian clinical quality registries, and that industry should be a key stakeholder. </w:t>
      </w:r>
    </w:p>
    <w:p w14:paraId="1ABBB44C" w14:textId="77777777" w:rsidR="00BC1364" w:rsidRPr="00F715D1" w:rsidRDefault="00BC1364" w:rsidP="00F715D1">
      <w:pPr>
        <w:pStyle w:val="Heading1"/>
      </w:pPr>
      <w:r w:rsidRPr="00F715D1">
        <w:t>Background</w:t>
      </w:r>
    </w:p>
    <w:p w14:paraId="6619AEA9" w14:textId="6A2C4EA4" w:rsidR="001D266C" w:rsidRPr="00590704" w:rsidRDefault="001D266C" w:rsidP="004E3E96">
      <w:pPr>
        <w:rPr>
          <w:rFonts w:eastAsia="MS PMincho"/>
        </w:rPr>
      </w:pPr>
      <w:r>
        <w:rPr>
          <w:rFonts w:eastAsia="MS PMincho"/>
        </w:rPr>
        <w:t>In</w:t>
      </w:r>
      <w:r w:rsidRPr="00590704">
        <w:rPr>
          <w:rFonts w:eastAsia="MS PMincho"/>
        </w:rPr>
        <w:t xml:space="preserve"> October 2017, the Minister for Health, the Hon Greg Hunt MP requested an assessment of comparative clinical and cost</w:t>
      </w:r>
      <w:r>
        <w:rPr>
          <w:rFonts w:eastAsia="MS PMincho"/>
        </w:rPr>
        <w:t>-</w:t>
      </w:r>
      <w:r w:rsidRPr="00590704">
        <w:rPr>
          <w:rFonts w:eastAsia="MS PMincho"/>
        </w:rPr>
        <w:t>effectiveness from the PLAC regarding the inclusion of cardiac ablation catheters for atrial fibrilla</w:t>
      </w:r>
      <w:r w:rsidR="00A26BEE">
        <w:rPr>
          <w:rFonts w:eastAsia="MS PMincho"/>
        </w:rPr>
        <w:t xml:space="preserve">tion (AF) on the </w:t>
      </w:r>
      <w:r w:rsidRPr="00590704">
        <w:rPr>
          <w:rFonts w:eastAsia="MS PMincho"/>
        </w:rPr>
        <w:t xml:space="preserve">PL. </w:t>
      </w:r>
      <w:r>
        <w:rPr>
          <w:rFonts w:eastAsia="MS PMincho"/>
        </w:rPr>
        <w:t xml:space="preserve"> </w:t>
      </w:r>
      <w:r w:rsidRPr="00590704">
        <w:rPr>
          <w:rFonts w:eastAsia="MS PMincho"/>
        </w:rPr>
        <w:t xml:space="preserve">Consumer groups had previously claimed that </w:t>
      </w:r>
      <w:r w:rsidRPr="00590704">
        <w:t>affordable access to cardiac ablation is limited in Australia and i</w:t>
      </w:r>
      <w:r w:rsidRPr="00590704">
        <w:rPr>
          <w:rFonts w:eastAsia="MS PMincho"/>
        </w:rPr>
        <w:t>ncluding this procedure on the PL would therefore provide more certain access to appropriately insured patients.</w:t>
      </w:r>
    </w:p>
    <w:p w14:paraId="14A38213" w14:textId="1755F926" w:rsidR="001D266C" w:rsidRDefault="001D266C" w:rsidP="004E3E96">
      <w:pPr>
        <w:spacing w:before="240"/>
      </w:pPr>
      <w:r>
        <w:t xml:space="preserve">A fit-for-purpose approach was used to assess the technology, culminating in </w:t>
      </w:r>
      <w:hyperlink r:id="rId12" w:anchor="1" w:history="1">
        <w:r w:rsidRPr="00015B78">
          <w:rPr>
            <w:rStyle w:val="Hyperlink"/>
          </w:rPr>
          <w:t>three assessment reports</w:t>
        </w:r>
      </w:hyperlink>
      <w:r>
        <w:t xml:space="preserve"> </w:t>
      </w:r>
      <w:r w:rsidRPr="00973426">
        <w:t>(</w:t>
      </w:r>
      <w:r>
        <w:t xml:space="preserve">collectively referred to in the </w:t>
      </w:r>
      <w:r w:rsidR="00A26BEE">
        <w:t>applicant developed assessment report [</w:t>
      </w:r>
      <w:r>
        <w:t>ADAR</w:t>
      </w:r>
      <w:r w:rsidR="00A26BEE">
        <w:t>]</w:t>
      </w:r>
      <w:r>
        <w:t xml:space="preserve"> as </w:t>
      </w:r>
      <w:r w:rsidRPr="00973426">
        <w:t>the ‘AF Review’)</w:t>
      </w:r>
      <w:r>
        <w:t>: a</w:t>
      </w:r>
      <w:r w:rsidRPr="00973426">
        <w:t xml:space="preserve"> rapid review of high-level clinical evidence</w:t>
      </w:r>
      <w:r>
        <w:t xml:space="preserve"> to address two very specific clinical questions;</w:t>
      </w:r>
      <w:r w:rsidRPr="00973426">
        <w:t xml:space="preserve"> </w:t>
      </w:r>
      <w:r>
        <w:t xml:space="preserve">a </w:t>
      </w:r>
      <w:r w:rsidRPr="00973426">
        <w:t xml:space="preserve">focused </w:t>
      </w:r>
      <w:r>
        <w:t xml:space="preserve">economic evaluation and financial analysis; </w:t>
      </w:r>
      <w:r w:rsidRPr="00973426">
        <w:t xml:space="preserve">and </w:t>
      </w:r>
      <w:r>
        <w:t xml:space="preserve">an </w:t>
      </w:r>
      <w:r w:rsidRPr="00973426">
        <w:t xml:space="preserve">extended economic </w:t>
      </w:r>
      <w:r w:rsidR="004E3E96">
        <w:t>analysis.</w:t>
      </w:r>
    </w:p>
    <w:p w14:paraId="29D2C9AC" w14:textId="0D9524E7" w:rsidR="001D266C" w:rsidRDefault="001D266C" w:rsidP="004E3E96">
      <w:pPr>
        <w:spacing w:before="240"/>
      </w:pPr>
      <w:r>
        <w:t>At its November 2018 meeting, MSAC</w:t>
      </w:r>
      <w:r w:rsidR="00A26BEE">
        <w:t xml:space="preserve"> considered </w:t>
      </w:r>
      <w:r>
        <w:t>cardiac ablation catheters for the treatment of AF (</w:t>
      </w:r>
      <w:hyperlink r:id="rId13" w:history="1">
        <w:r w:rsidRPr="00015B78">
          <w:rPr>
            <w:rStyle w:val="Hyperlink"/>
          </w:rPr>
          <w:t>Final MSAC minutes</w:t>
        </w:r>
        <w:r w:rsidR="00A26BEE">
          <w:rPr>
            <w:rStyle w:val="Hyperlink"/>
          </w:rPr>
          <w:t xml:space="preserve"> </w:t>
        </w:r>
        <w:r w:rsidRPr="00015B78">
          <w:rPr>
            <w:rStyle w:val="Hyperlink"/>
          </w:rPr>
          <w:t>- November 2018</w:t>
        </w:r>
      </w:hyperlink>
      <w:r>
        <w:t>)</w:t>
      </w:r>
      <w:r w:rsidR="00A26BEE">
        <w:t>.</w:t>
      </w:r>
      <w:r w:rsidRPr="00015B78">
        <w:t xml:space="preserve"> </w:t>
      </w:r>
      <w:r>
        <w:t xml:space="preserve">In summary, </w:t>
      </w:r>
      <w:r w:rsidRPr="003576E4">
        <w:t>MSAC advised that catheter ablation</w:t>
      </w:r>
      <w:r w:rsidR="00A26BEE">
        <w:t xml:space="preserve"> for </w:t>
      </w:r>
      <w:r>
        <w:t xml:space="preserve">AF </w:t>
      </w:r>
      <w:r w:rsidRPr="003576E4">
        <w:t xml:space="preserve">is not cost-effective at the current </w:t>
      </w:r>
      <w:r>
        <w:t xml:space="preserve">catheter </w:t>
      </w:r>
      <w:r w:rsidRPr="003576E4">
        <w:t>price</w:t>
      </w:r>
      <w:r>
        <w:t>s and</w:t>
      </w:r>
      <w:r w:rsidRPr="003576E4">
        <w:t xml:space="preserve"> based on </w:t>
      </w:r>
      <w:r>
        <w:t xml:space="preserve">other assumptions in the </w:t>
      </w:r>
      <w:r w:rsidRPr="003576E4">
        <w:t>economic analysis</w:t>
      </w:r>
      <w:r>
        <w:t>.</w:t>
      </w:r>
      <w:r w:rsidRPr="003576E4">
        <w:t xml:space="preserve"> MSAC suggested there should be further </w:t>
      </w:r>
      <w:r>
        <w:t xml:space="preserve">consideration following updated </w:t>
      </w:r>
      <w:r w:rsidRPr="003576E4">
        <w:t xml:space="preserve">economic </w:t>
      </w:r>
      <w:r>
        <w:t xml:space="preserve">modelling using </w:t>
      </w:r>
      <w:r w:rsidRPr="003576E4">
        <w:t>respecified outcomes and inputs (e.g. 10</w:t>
      </w:r>
      <w:r>
        <w:t>-</w:t>
      </w:r>
      <w:r w:rsidRPr="003576E4">
        <w:t xml:space="preserve">year time horizon, </w:t>
      </w:r>
      <w:r>
        <w:t>repeat procedure rates based on MBS data</w:t>
      </w:r>
      <w:r w:rsidRPr="003576E4">
        <w:t>, not includ</w:t>
      </w:r>
      <w:r>
        <w:t>ing</w:t>
      </w:r>
      <w:r w:rsidRPr="003576E4">
        <w:t xml:space="preserve"> stroke</w:t>
      </w:r>
      <w:r>
        <w:t xml:space="preserve"> reduction</w:t>
      </w:r>
      <w:r w:rsidRPr="003576E4">
        <w:t xml:space="preserve">, </w:t>
      </w:r>
      <w:r>
        <w:t xml:space="preserve">and better determining the number and mix of </w:t>
      </w:r>
      <w:r w:rsidRPr="003576E4">
        <w:t xml:space="preserve">catheters </w:t>
      </w:r>
      <w:r>
        <w:t>used per procedure</w:t>
      </w:r>
      <w:r w:rsidRPr="003576E4">
        <w:t>).</w:t>
      </w:r>
    </w:p>
    <w:p w14:paraId="1B9BC2CE" w14:textId="45F021BB" w:rsidR="001D266C" w:rsidRDefault="001D266C" w:rsidP="004E3E96">
      <w:pPr>
        <w:spacing w:before="240"/>
      </w:pPr>
      <w:r w:rsidRPr="00212E8C">
        <w:t>The evaluation was p</w:t>
      </w:r>
      <w:r w:rsidR="005833BA">
        <w:t>resented</w:t>
      </w:r>
      <w:r w:rsidRPr="00212E8C">
        <w:t xml:space="preserve"> to the MSAC Executive and the PLAC to inform consideration of a cost-effective benefit at which to list cardiac ablation devices for the treatment of </w:t>
      </w:r>
      <w:r>
        <w:t xml:space="preserve">AF. At is February 2019 meeting, </w:t>
      </w:r>
      <w:r w:rsidR="00A26BEE">
        <w:t xml:space="preserve">the </w:t>
      </w:r>
      <w:r>
        <w:t xml:space="preserve">MSAC Executive </w:t>
      </w:r>
      <w:r>
        <w:rPr>
          <w:szCs w:val="24"/>
        </w:rPr>
        <w:t xml:space="preserve">advised that </w:t>
      </w:r>
      <w:r w:rsidRPr="00240F2E">
        <w:rPr>
          <w:bCs/>
          <w:color w:val="000000"/>
          <w:szCs w:val="24"/>
        </w:rPr>
        <w:t>cardiac ablation catheters</w:t>
      </w:r>
      <w:r>
        <w:rPr>
          <w:bCs/>
          <w:color w:val="000000"/>
          <w:szCs w:val="24"/>
        </w:rPr>
        <w:t xml:space="preserve"> are</w:t>
      </w:r>
      <w:r w:rsidRPr="00240F2E">
        <w:rPr>
          <w:bCs/>
          <w:color w:val="000000"/>
          <w:szCs w:val="24"/>
        </w:rPr>
        <w:t xml:space="preserve"> likely to be cost-effective over a ten-year time horizon at a bundled price </w:t>
      </w:r>
      <w:r>
        <w:rPr>
          <w:bCs/>
          <w:color w:val="000000"/>
          <w:szCs w:val="24"/>
        </w:rPr>
        <w:t>(incorporating ablation and mapping catheters and patches) [</w:t>
      </w:r>
      <w:hyperlink r:id="rId14" w:history="1">
        <w:r w:rsidRPr="00015B78">
          <w:rPr>
            <w:rStyle w:val="Hyperlink"/>
            <w:szCs w:val="24"/>
          </w:rPr>
          <w:t>Final MSAC minutes – February 2019</w:t>
        </w:r>
      </w:hyperlink>
      <w:r>
        <w:rPr>
          <w:bCs/>
          <w:color w:val="000000"/>
          <w:szCs w:val="24"/>
        </w:rPr>
        <w:t>].</w:t>
      </w:r>
    </w:p>
    <w:p w14:paraId="7F1921EF" w14:textId="3C8C3023" w:rsidR="004E3E96" w:rsidRDefault="001D266C" w:rsidP="004E3E96">
      <w:pPr>
        <w:spacing w:before="240"/>
      </w:pPr>
      <w:r>
        <w:t xml:space="preserve">In March 2019, </w:t>
      </w:r>
      <w:r w:rsidRPr="00753BFE">
        <w:t xml:space="preserve">cardiac ablation catheters and related technologies </w:t>
      </w:r>
      <w:r w:rsidRPr="00973426">
        <w:t>(mapping catheters and patches</w:t>
      </w:r>
      <w:r>
        <w:t xml:space="preserve">), collectively referred to as </w:t>
      </w:r>
      <w:r w:rsidRPr="00753BFE">
        <w:t>‘cardiac ablation devices</w:t>
      </w:r>
      <w:r>
        <w:t>,’</w:t>
      </w:r>
      <w:r w:rsidRPr="00973426">
        <w:t xml:space="preserve"> were included on Part C of the PL for the treatment of AF procedures covered by MBS item 38290</w:t>
      </w:r>
      <w:r>
        <w:t>. In November 2019, the l</w:t>
      </w:r>
      <w:r w:rsidRPr="00973426">
        <w:t>istings were extended to procedures covered by MBS item 38287, where the procedure is for the treatment of AF</w:t>
      </w:r>
      <w:r w:rsidR="004E3E96">
        <w:t>.</w:t>
      </w:r>
      <w:r w:rsidR="004E3E96">
        <w:br w:type="page"/>
      </w:r>
    </w:p>
    <w:p w14:paraId="57E68E90" w14:textId="584C384F" w:rsidR="001D266C" w:rsidRPr="007D3C2A" w:rsidRDefault="001D266C" w:rsidP="004E3E96">
      <w:pPr>
        <w:spacing w:before="240"/>
      </w:pPr>
      <w:r w:rsidRPr="007D3C2A">
        <w:lastRenderedPageBreak/>
        <w:t xml:space="preserve">The current PL (Part C) </w:t>
      </w:r>
      <w:r>
        <w:t xml:space="preserve">condition for </w:t>
      </w:r>
      <w:r w:rsidRPr="007D3C2A">
        <w:t>cardiac ablation devices</w:t>
      </w:r>
      <w:r>
        <w:t xml:space="preserve"> is</w:t>
      </w:r>
      <w:r w:rsidRPr="007D3C2A">
        <w:t>:</w:t>
      </w:r>
    </w:p>
    <w:p w14:paraId="42F8008E" w14:textId="77777777" w:rsidR="001D266C" w:rsidRPr="007D3C2A" w:rsidRDefault="001D266C" w:rsidP="001D266C">
      <w:pPr>
        <w:ind w:left="567"/>
        <w:rPr>
          <w:i/>
          <w:iCs/>
        </w:rPr>
      </w:pPr>
      <w:r w:rsidRPr="007D3C2A">
        <w:rPr>
          <w:i/>
          <w:iCs/>
        </w:rPr>
        <w:t>“The prosthesis is only to be used in a surgical procedure described in item 38290 or 38287 in Group T8 of the Health Insurance (General Medical Services Table) Regulations 2018 AND where the procedure is for the treatment of atrial fibrillation</w:t>
      </w:r>
      <w:r>
        <w:rPr>
          <w:i/>
          <w:iCs/>
        </w:rPr>
        <w:t>.”</w:t>
      </w:r>
    </w:p>
    <w:p w14:paraId="3485BFBE" w14:textId="77777777" w:rsidR="001D266C" w:rsidRDefault="001D266C" w:rsidP="004E3E96">
      <w:pPr>
        <w:spacing w:before="240"/>
      </w:pPr>
      <w:r>
        <w:t>The MTAA has communicated, on behalf of sponsor companies, that many PHIs have subsequently stopped ex gratia payments for cardiac ablation devices for other arrhythmias, including those covered by existing MBS service items.</w:t>
      </w:r>
    </w:p>
    <w:p w14:paraId="0A19BEA2" w14:textId="77777777" w:rsidR="00BC1364" w:rsidRPr="00F715D1" w:rsidRDefault="00BC1364" w:rsidP="00F715D1">
      <w:pPr>
        <w:pStyle w:val="Heading1"/>
      </w:pPr>
      <w:r w:rsidRPr="00F715D1">
        <w:t>Prerequisites to implementation of any funding advice</w:t>
      </w:r>
    </w:p>
    <w:p w14:paraId="18B301D4" w14:textId="3634BAB9" w:rsidR="001D266C" w:rsidRPr="00B02E35" w:rsidRDefault="001D266C" w:rsidP="001D266C">
      <w:r>
        <w:t>The ADAR stated that t</w:t>
      </w:r>
      <w:r w:rsidRPr="00ED72B3">
        <w:t xml:space="preserve">he cardiac ablation devices relevant to this </w:t>
      </w:r>
      <w:r>
        <w:t xml:space="preserve">application </w:t>
      </w:r>
      <w:r w:rsidRPr="00ED72B3">
        <w:t xml:space="preserve">are all included on the </w:t>
      </w:r>
      <w:r>
        <w:t>Australian Register of Therapeutic Goods (</w:t>
      </w:r>
      <w:r w:rsidRPr="00ED72B3">
        <w:t>ARTG</w:t>
      </w:r>
      <w:r>
        <w:t>)</w:t>
      </w:r>
      <w:r w:rsidRPr="00ED72B3">
        <w:t>.</w:t>
      </w:r>
      <w:r>
        <w:t xml:space="preserve"> T</w:t>
      </w:r>
      <w:r w:rsidRPr="00526CFE">
        <w:t xml:space="preserve">he </w:t>
      </w:r>
      <w:r w:rsidR="00A26BEE">
        <w:t>ADAR stated</w:t>
      </w:r>
      <w:r>
        <w:t xml:space="preserve"> that the Therapeutic Goods Administration (</w:t>
      </w:r>
      <w:r w:rsidRPr="00526CFE">
        <w:t>TGA</w:t>
      </w:r>
      <w:r>
        <w:t>)</w:t>
      </w:r>
      <w:r w:rsidR="005833BA">
        <w:t>-</w:t>
      </w:r>
      <w:r w:rsidRPr="00526CFE">
        <w:t xml:space="preserve">registered intended purpose </w:t>
      </w:r>
      <w:r w:rsidR="005833BA">
        <w:t>of</w:t>
      </w:r>
      <w:r w:rsidRPr="00526CFE">
        <w:t xml:space="preserve"> some of these cardiac ablation devices is for </w:t>
      </w:r>
      <w:r w:rsidR="005833BA">
        <w:t xml:space="preserve">management of </w:t>
      </w:r>
      <w:r w:rsidRPr="00526CFE">
        <w:t>a range of cardiac arrhythmia</w:t>
      </w:r>
      <w:r>
        <w:t>s</w:t>
      </w:r>
      <w:r w:rsidR="005833BA">
        <w:t>, not just atrial fibrillation</w:t>
      </w:r>
      <w:r>
        <w:t>.</w:t>
      </w:r>
    </w:p>
    <w:p w14:paraId="2659E59A" w14:textId="77777777" w:rsidR="00BC1364" w:rsidRPr="00F715D1" w:rsidRDefault="00BC1364" w:rsidP="00F715D1">
      <w:pPr>
        <w:pStyle w:val="Heading1"/>
      </w:pPr>
      <w:r w:rsidRPr="00F715D1">
        <w:t>Proposal for public funding</w:t>
      </w:r>
    </w:p>
    <w:p w14:paraId="2120214C" w14:textId="55EBD8A7" w:rsidR="001D266C" w:rsidRDefault="001D266C" w:rsidP="001D266C">
      <w:r>
        <w:t>Cardiac ablation devices are included in the</w:t>
      </w:r>
      <w:r w:rsidRPr="007D3C2A">
        <w:t xml:space="preserve"> current </w:t>
      </w:r>
      <w:r>
        <w:t>PL</w:t>
      </w:r>
      <w:r w:rsidRPr="007D3C2A">
        <w:t xml:space="preserve"> (Part C)</w:t>
      </w:r>
      <w:r>
        <w:t>,</w:t>
      </w:r>
      <w:r w:rsidRPr="007D3C2A">
        <w:t xml:space="preserve"> </w:t>
      </w:r>
      <w:r>
        <w:t xml:space="preserve">but the listing is tied to MBS item 38290 (which is specific to treatment of AF) or 38287 “where the procedure is for the treatment of AF”. </w:t>
      </w:r>
      <w:r w:rsidRPr="007D3C2A">
        <w:t>Th</w:t>
      </w:r>
      <w:r>
        <w:t>e</w:t>
      </w:r>
      <w:r w:rsidRPr="007D3C2A">
        <w:t xml:space="preserve"> ADAR seeks to ex</w:t>
      </w:r>
      <w:r>
        <w:t>tend</w:t>
      </w:r>
      <w:r w:rsidRPr="007D3C2A">
        <w:t xml:space="preserve"> the </w:t>
      </w:r>
      <w:r>
        <w:t>PL listing for cardiac ablation devices</w:t>
      </w:r>
      <w:r w:rsidRPr="007D3C2A">
        <w:t xml:space="preserve"> to </w:t>
      </w:r>
      <w:r>
        <w:t xml:space="preserve">all indications </w:t>
      </w:r>
      <w:r w:rsidRPr="007D3C2A">
        <w:t xml:space="preserve">covered by </w:t>
      </w:r>
      <w:r>
        <w:t xml:space="preserve">the four existing </w:t>
      </w:r>
      <w:r w:rsidRPr="007D3C2A">
        <w:t>MBS items</w:t>
      </w:r>
      <w:r>
        <w:t xml:space="preserve"> (</w:t>
      </w:r>
      <w:r w:rsidRPr="007D3C2A">
        <w:t>38290, 38287, 38293 and 38518</w:t>
      </w:r>
      <w:r>
        <w:t xml:space="preserve">) for catheter-based arrhythmia ablation services. The ADAR </w:t>
      </w:r>
      <w:r w:rsidRPr="004013F9">
        <w:t>does not seek</w:t>
      </w:r>
      <w:r w:rsidRPr="005A7286">
        <w:t xml:space="preserve"> new MBS item numbers or seek to amend existing MBS item numbers.</w:t>
      </w:r>
    </w:p>
    <w:p w14:paraId="68AA32A7" w14:textId="77777777" w:rsidR="001D266C" w:rsidRPr="00672E81" w:rsidRDefault="001D266C" w:rsidP="004E3E96">
      <w:pPr>
        <w:spacing w:before="240"/>
      </w:pPr>
      <w:r w:rsidRPr="007D3C2A">
        <w:t xml:space="preserve">The proposal is that the current </w:t>
      </w:r>
      <w:r>
        <w:t xml:space="preserve">PL </w:t>
      </w:r>
      <w:r w:rsidRPr="007D3C2A">
        <w:t>‘bundled price’ of $6,399 for cardiac ablation</w:t>
      </w:r>
      <w:r>
        <w:t xml:space="preserve"> devices</w:t>
      </w:r>
      <w:r w:rsidRPr="007D3C2A">
        <w:t xml:space="preserve"> </w:t>
      </w:r>
      <w:r>
        <w:t>for the</w:t>
      </w:r>
      <w:r w:rsidRPr="007D3C2A">
        <w:t xml:space="preserve"> AF </w:t>
      </w:r>
      <w:r>
        <w:t xml:space="preserve">indication </w:t>
      </w:r>
      <w:r w:rsidRPr="007D3C2A">
        <w:t>will be maintained</w:t>
      </w:r>
      <w:r>
        <w:t xml:space="preserve"> across all indications</w:t>
      </w:r>
      <w:r w:rsidRPr="007D3C2A">
        <w:t>.</w:t>
      </w:r>
    </w:p>
    <w:p w14:paraId="64662CE6" w14:textId="77777777" w:rsidR="00BC1364" w:rsidRPr="00F715D1" w:rsidRDefault="00BC1364" w:rsidP="00F715D1">
      <w:pPr>
        <w:pStyle w:val="Heading1"/>
      </w:pPr>
      <w:r w:rsidRPr="00F715D1">
        <w:t xml:space="preserve">Summary of </w:t>
      </w:r>
      <w:r w:rsidR="00C06B0B">
        <w:t>public c</w:t>
      </w:r>
      <w:r w:rsidR="003D7F29" w:rsidRPr="00F715D1">
        <w:t>onsultation</w:t>
      </w:r>
      <w:r w:rsidR="00C06B0B">
        <w:t xml:space="preserve"> f</w:t>
      </w:r>
      <w:r w:rsidRPr="00F715D1">
        <w:t>eedback</w:t>
      </w:r>
      <w:r w:rsidR="00C06B0B">
        <w:t>/c</w:t>
      </w:r>
      <w:r w:rsidR="003D7F29" w:rsidRPr="00F715D1">
        <w:t>onsumer Issues</w:t>
      </w:r>
    </w:p>
    <w:p w14:paraId="3ED5538A" w14:textId="027EFA45" w:rsidR="00853570" w:rsidRPr="00F84710" w:rsidRDefault="00853570" w:rsidP="00853570">
      <w:pPr>
        <w:rPr>
          <w:i/>
        </w:rPr>
      </w:pPr>
      <w:r>
        <w:t>The ADAR was accompanied by s</w:t>
      </w:r>
      <w:r w:rsidRPr="00F84710">
        <w:t>upporting letters from</w:t>
      </w:r>
      <w:r w:rsidR="00CA4DD1">
        <w:t xml:space="preserve"> one specialist organisation and one </w:t>
      </w:r>
      <w:r w:rsidR="009D1A57">
        <w:t xml:space="preserve">other </w:t>
      </w:r>
      <w:r w:rsidR="00CA4DD1">
        <w:t>organisation.</w:t>
      </w:r>
      <w:r w:rsidRPr="00F84710">
        <w:t xml:space="preserve"> The letters </w:t>
      </w:r>
      <w:r>
        <w:t>reiterate</w:t>
      </w:r>
      <w:r w:rsidRPr="00F84710">
        <w:t xml:space="preserve"> </w:t>
      </w:r>
      <w:r>
        <w:t xml:space="preserve">the negative impact of VT, </w:t>
      </w:r>
      <w:r w:rsidR="003F129F">
        <w:t xml:space="preserve">non-AF </w:t>
      </w:r>
      <w:r>
        <w:t xml:space="preserve">SVT and implantable cardioverter defibrillator (ICD) </w:t>
      </w:r>
      <w:r w:rsidR="009D1A57">
        <w:t xml:space="preserve">shocks </w:t>
      </w:r>
      <w:r>
        <w:t xml:space="preserve">on </w:t>
      </w:r>
      <w:r w:rsidRPr="00F84710">
        <w:t>quality of life</w:t>
      </w:r>
      <w:r>
        <w:t xml:space="preserve">, </w:t>
      </w:r>
      <w:r w:rsidRPr="00F84710">
        <w:t xml:space="preserve">and </w:t>
      </w:r>
      <w:r>
        <w:t xml:space="preserve">the </w:t>
      </w:r>
      <w:r w:rsidRPr="00F84710">
        <w:t xml:space="preserve">long waiting lists for </w:t>
      </w:r>
      <w:r>
        <w:t xml:space="preserve">ablation </w:t>
      </w:r>
      <w:r w:rsidRPr="00F84710">
        <w:t>procedures</w:t>
      </w:r>
      <w:r>
        <w:t xml:space="preserve"> at public hospitals</w:t>
      </w:r>
      <w:r w:rsidRPr="00F84710">
        <w:t>.</w:t>
      </w:r>
    </w:p>
    <w:p w14:paraId="18F2A2C3" w14:textId="77777777" w:rsidR="00BC1364" w:rsidRPr="00F715D1" w:rsidRDefault="00BC1364" w:rsidP="00F715D1">
      <w:pPr>
        <w:pStyle w:val="Heading1"/>
      </w:pPr>
      <w:r w:rsidRPr="00F715D1">
        <w:t>Proposed intervention’s place in clinical management</w:t>
      </w:r>
    </w:p>
    <w:p w14:paraId="2F5ACD36" w14:textId="77777777" w:rsidR="00CF4E81" w:rsidRDefault="00CF4E81" w:rsidP="001D266C">
      <w:pPr>
        <w:rPr>
          <w:b/>
          <w:szCs w:val="24"/>
        </w:rPr>
      </w:pPr>
      <w:r w:rsidRPr="00CF4E81">
        <w:rPr>
          <w:b/>
          <w:szCs w:val="24"/>
        </w:rPr>
        <w:t>Description of Proposed Intervention</w:t>
      </w:r>
    </w:p>
    <w:p w14:paraId="18B70FB3" w14:textId="0DDD10C8" w:rsidR="00EF177C" w:rsidRPr="004E3E96" w:rsidRDefault="001D266C">
      <w:r w:rsidRPr="00E35CF8">
        <w:t>Cardiac ablation catheters are used in minimally invasive procedures in which a cardiac electrophysiologist advances a flexible thin wire (the catheter) through the blood vessels to the heart to ablate</w:t>
      </w:r>
      <w:r>
        <w:t xml:space="preserve"> the muscle </w:t>
      </w:r>
      <w:r w:rsidR="005833BA">
        <w:t>that</w:t>
      </w:r>
      <w:r>
        <w:t xml:space="preserve"> initiates or conducts</w:t>
      </w:r>
      <w:r w:rsidRPr="00E35CF8">
        <w:t xml:space="preserve"> </w:t>
      </w:r>
      <w:r>
        <w:t xml:space="preserve">abnormal </w:t>
      </w:r>
      <w:r w:rsidRPr="00E35CF8">
        <w:t>electrical signals in the heart tissue (arrhythmias)</w:t>
      </w:r>
      <w:r>
        <w:t>. The procedure involves r</w:t>
      </w:r>
      <w:r w:rsidRPr="00E35CF8">
        <w:t xml:space="preserve">adiofrequency catheter ablation (RFCA) </w:t>
      </w:r>
      <w:r>
        <w:t>or c</w:t>
      </w:r>
      <w:r w:rsidRPr="00E35CF8">
        <w:t>ryoablation.</w:t>
      </w:r>
      <w:r w:rsidR="00EF177C">
        <w:rPr>
          <w:b/>
        </w:rPr>
        <w:br w:type="page"/>
      </w:r>
    </w:p>
    <w:p w14:paraId="1E1235D7" w14:textId="2F638A22" w:rsidR="00CF4E81" w:rsidRPr="001D266C" w:rsidRDefault="00CF4E81" w:rsidP="00CF4E81">
      <w:pPr>
        <w:autoSpaceDE w:val="0"/>
        <w:autoSpaceDN w:val="0"/>
        <w:adjustRightInd w:val="0"/>
        <w:rPr>
          <w:b/>
        </w:rPr>
      </w:pPr>
      <w:r w:rsidRPr="00CF4E81">
        <w:rPr>
          <w:b/>
        </w:rPr>
        <w:lastRenderedPageBreak/>
        <w:t>Description of Medical Condition(s)</w:t>
      </w:r>
    </w:p>
    <w:p w14:paraId="3ED71563" w14:textId="74C32E0B" w:rsidR="001D266C" w:rsidRDefault="001D266C" w:rsidP="001D266C">
      <w:r w:rsidRPr="00621999">
        <w:t xml:space="preserve">The populations </w:t>
      </w:r>
      <w:r w:rsidR="005833BA">
        <w:t xml:space="preserve">requiring </w:t>
      </w:r>
      <w:r w:rsidR="005833BA" w:rsidRPr="00621999">
        <w:t xml:space="preserve">curative ablation </w:t>
      </w:r>
      <w:r w:rsidR="001E1313" w:rsidRPr="00621999">
        <w:t>procedures,</w:t>
      </w:r>
      <w:r w:rsidR="005833BA" w:rsidRPr="00621999">
        <w:t xml:space="preserve"> </w:t>
      </w:r>
      <w:r w:rsidRPr="00621999">
        <w:t xml:space="preserve">for whom expansion of the PL listing for cardiac ablation devices is sought are patients with symptomatic VA or </w:t>
      </w:r>
      <w:r w:rsidR="003F129F">
        <w:t xml:space="preserve">non-AF </w:t>
      </w:r>
      <w:r w:rsidRPr="00621999">
        <w:t>SVT. There are two main types of VA: ventricular tachycardia (VT) and ventricular fibrillation (VF). The ADAR notes a range of</w:t>
      </w:r>
      <w:r w:rsidR="003F129F">
        <w:t xml:space="preserve"> distinct</w:t>
      </w:r>
      <w:r w:rsidRPr="00621999">
        <w:t xml:space="preserve"> SVT types: sinus tachycardia, atrial tachycardia (AT), macro re-entrant atrial tachycardia (MART, commonly referred to as atrial flutter [AFL]), atrioventricular nodal re-entrant tachycardia (AVNRT), symptomatic atrioventricular reciprocating tachycardia (AVRT, which includes Wolff-Parkinson-White syndrome), focal junctional ectopic tachycardia and non-paroxysmal junctional tachycardia.</w:t>
      </w:r>
    </w:p>
    <w:p w14:paraId="5C5C445D" w14:textId="77777777" w:rsidR="001D266C" w:rsidRDefault="001D266C" w:rsidP="004E3E96">
      <w:pPr>
        <w:spacing w:before="240"/>
        <w:rPr>
          <w:b/>
        </w:rPr>
      </w:pPr>
      <w:r>
        <w:rPr>
          <w:b/>
        </w:rPr>
        <w:t>Place in clinical management</w:t>
      </w:r>
    </w:p>
    <w:p w14:paraId="5AB795F9" w14:textId="77777777" w:rsidR="001D266C" w:rsidRPr="00590704" w:rsidRDefault="001D266C" w:rsidP="001D266C">
      <w:pPr>
        <w:pStyle w:val="Heading2"/>
      </w:pPr>
      <w:r>
        <w:t>Ventricular arrhythmia</w:t>
      </w:r>
    </w:p>
    <w:p w14:paraId="6169BDF6" w14:textId="5D99BBE2" w:rsidR="001D266C" w:rsidRDefault="001D266C" w:rsidP="001D266C">
      <w:r>
        <w:t>The ADAR stated that t</w:t>
      </w:r>
      <w:r w:rsidRPr="00590704">
        <w:t>here are no Australian guidelines for the treatment of VA</w:t>
      </w:r>
      <w:r>
        <w:t>.</w:t>
      </w:r>
      <w:r w:rsidRPr="00590704">
        <w:t xml:space="preserve"> </w:t>
      </w:r>
      <w:r>
        <w:t xml:space="preserve"> H</w:t>
      </w:r>
      <w:r w:rsidRPr="00590704">
        <w:t>owever</w:t>
      </w:r>
      <w:r>
        <w:t>,</w:t>
      </w:r>
      <w:r w:rsidRPr="00590704">
        <w:t xml:space="preserve"> the</w:t>
      </w:r>
      <w:r w:rsidR="00557313">
        <w:t>:</w:t>
      </w:r>
      <w:r w:rsidRPr="00590704">
        <w:t xml:space="preserve"> European Society of Cardiology </w:t>
      </w:r>
      <w:r>
        <w:t xml:space="preserve">2019 guidelines on catheter ablation of VA </w:t>
      </w:r>
      <w:r w:rsidRPr="00590704">
        <w:t>(Cronin 2019</w:t>
      </w:r>
      <w:r>
        <w:rPr>
          <w:rStyle w:val="FootnoteReference"/>
        </w:rPr>
        <w:footnoteReference w:id="1"/>
      </w:r>
      <w:r w:rsidRPr="00590704">
        <w:t>)</w:t>
      </w:r>
      <w:r>
        <w:t>,</w:t>
      </w:r>
      <w:r w:rsidRPr="00590704">
        <w:t xml:space="preserve"> which supplement the</w:t>
      </w:r>
      <w:r>
        <w:t xml:space="preserve"> 2017 </w:t>
      </w:r>
      <w:r w:rsidRPr="00F150DD">
        <w:t xml:space="preserve">American Heart Association </w:t>
      </w:r>
      <w:r>
        <w:t>(AHA)/</w:t>
      </w:r>
      <w:r w:rsidRPr="00F150DD">
        <w:t xml:space="preserve"> </w:t>
      </w:r>
      <w:r>
        <w:t>American College of Cardiology (ACC)/</w:t>
      </w:r>
      <w:r w:rsidRPr="00F150DD">
        <w:t xml:space="preserve"> Heart Rhythm Society </w:t>
      </w:r>
      <w:r>
        <w:t xml:space="preserve">(HRS) guidelines </w:t>
      </w:r>
      <w:r w:rsidRPr="00590704">
        <w:t>and the</w:t>
      </w:r>
      <w:r>
        <w:t xml:space="preserve"> 2015 E</w:t>
      </w:r>
      <w:r w:rsidR="00D96C00">
        <w:t xml:space="preserve">uropean </w:t>
      </w:r>
      <w:r>
        <w:t>S</w:t>
      </w:r>
      <w:r w:rsidR="00D96C00">
        <w:t xml:space="preserve">ociety of </w:t>
      </w:r>
      <w:r>
        <w:t>C</w:t>
      </w:r>
      <w:r w:rsidR="00D96C00">
        <w:t>ardiology</w:t>
      </w:r>
      <w:r>
        <w:t xml:space="preserve"> guidelines for the management of patients with VA </w:t>
      </w:r>
      <w:r w:rsidRPr="00590704">
        <w:t>(Al-Khatib 201</w:t>
      </w:r>
      <w:r>
        <w:t>8</w:t>
      </w:r>
      <w:r>
        <w:rPr>
          <w:rStyle w:val="FootnoteReference"/>
        </w:rPr>
        <w:footnoteReference w:id="2"/>
      </w:r>
      <w:r>
        <w:t>, Priori 2015</w:t>
      </w:r>
      <w:r>
        <w:rPr>
          <w:rStyle w:val="FootnoteReference"/>
        </w:rPr>
        <w:footnoteReference w:id="3"/>
      </w:r>
      <w:r w:rsidRPr="00590704">
        <w:t>)</w:t>
      </w:r>
      <w:r>
        <w:t xml:space="preserve">, </w:t>
      </w:r>
      <w:r w:rsidR="00557313">
        <w:t xml:space="preserve">each </w:t>
      </w:r>
      <w:r>
        <w:t xml:space="preserve">strongly </w:t>
      </w:r>
      <w:r w:rsidRPr="00590704">
        <w:t xml:space="preserve">recommend </w:t>
      </w:r>
      <w:r>
        <w:t>cardiac</w:t>
      </w:r>
      <w:r w:rsidRPr="00590704">
        <w:t xml:space="preserve"> ablation for treatment of symptomatic VA</w:t>
      </w:r>
      <w:r>
        <w:t xml:space="preserve"> </w:t>
      </w:r>
      <w:r w:rsidR="00557313">
        <w:t>in comparison to</w:t>
      </w:r>
      <w:r w:rsidRPr="00590704">
        <w:t xml:space="preserve"> </w:t>
      </w:r>
      <w:r>
        <w:t>anti-arrhythmic drug</w:t>
      </w:r>
      <w:r w:rsidRPr="00590704">
        <w:t xml:space="preserve"> </w:t>
      </w:r>
      <w:r>
        <w:t>(</w:t>
      </w:r>
      <w:r w:rsidRPr="00590704">
        <w:t>AAD</w:t>
      </w:r>
      <w:r>
        <w:t>)</w:t>
      </w:r>
      <w:r w:rsidRPr="00590704">
        <w:t xml:space="preserve"> therapy.</w:t>
      </w:r>
      <w:r>
        <w:t xml:space="preserve">  The key opinion leader (KOL) advised that the E</w:t>
      </w:r>
      <w:r w:rsidR="00D96C00">
        <w:t xml:space="preserve">uropean </w:t>
      </w:r>
      <w:r>
        <w:t>S</w:t>
      </w:r>
      <w:r w:rsidR="00D96C00">
        <w:t xml:space="preserve">ociety of </w:t>
      </w:r>
      <w:r>
        <w:t>C</w:t>
      </w:r>
      <w:r w:rsidR="00D96C00">
        <w:t>ardiology</w:t>
      </w:r>
      <w:r>
        <w:t xml:space="preserve"> and </w:t>
      </w:r>
      <w:r w:rsidR="00D96C00">
        <w:t>ACC/HRS guidelines</w:t>
      </w:r>
      <w:r>
        <w:t xml:space="preserve"> are </w:t>
      </w:r>
      <w:r w:rsidR="00557313">
        <w:t xml:space="preserve">those </w:t>
      </w:r>
      <w:r>
        <w:t>followed</w:t>
      </w:r>
      <w:r w:rsidR="00557313">
        <w:t xml:space="preserve"> by clinicians</w:t>
      </w:r>
      <w:r>
        <w:t xml:space="preserve"> in Australia.</w:t>
      </w:r>
    </w:p>
    <w:p w14:paraId="30A981A0" w14:textId="77777777" w:rsidR="001D266C" w:rsidRDefault="001D266C" w:rsidP="004E3E96">
      <w:pPr>
        <w:spacing w:before="240"/>
      </w:pPr>
      <w:r>
        <w:t>The ADAR stated that p</w:t>
      </w:r>
      <w:r w:rsidRPr="00590704">
        <w:t>rior to</w:t>
      </w:r>
      <w:r w:rsidR="00557313">
        <w:t>,</w:t>
      </w:r>
      <w:r w:rsidRPr="00590704">
        <w:t xml:space="preserve"> or following ablation, patients with</w:t>
      </w:r>
      <w:r>
        <w:t xml:space="preserve"> VA and</w:t>
      </w:r>
      <w:r w:rsidRPr="00590704">
        <w:t xml:space="preserve"> the following conditions may</w:t>
      </w:r>
      <w:r>
        <w:t xml:space="preserve"> undergo ICD implantation:</w:t>
      </w:r>
    </w:p>
    <w:p w14:paraId="71DEA93E" w14:textId="271E9BCA" w:rsidR="001D266C" w:rsidRDefault="001D266C" w:rsidP="00557313">
      <w:pPr>
        <w:pStyle w:val="ListParagraph"/>
        <w:numPr>
          <w:ilvl w:val="0"/>
          <w:numId w:val="26"/>
        </w:numPr>
        <w:jc w:val="both"/>
      </w:pPr>
      <w:r w:rsidRPr="00590704">
        <w:t>documented VF</w:t>
      </w:r>
      <w:r w:rsidR="00557313">
        <w:t>,</w:t>
      </w:r>
      <w:r w:rsidRPr="00590704">
        <w:t xml:space="preserve"> or </w:t>
      </w:r>
      <w:r w:rsidR="00557313" w:rsidRPr="00590704">
        <w:t xml:space="preserve">VT </w:t>
      </w:r>
      <w:r w:rsidR="001E1313">
        <w:t xml:space="preserve">which is </w:t>
      </w:r>
      <w:r w:rsidR="00557313">
        <w:t xml:space="preserve">not </w:t>
      </w:r>
      <w:r w:rsidRPr="00590704">
        <w:t xml:space="preserve">haemodynamically tolerated </w:t>
      </w:r>
      <w:r w:rsidR="00557313">
        <w:t xml:space="preserve">and </w:t>
      </w:r>
      <w:r w:rsidRPr="00590704">
        <w:t>in the absence of reversible causes</w:t>
      </w:r>
      <w:r w:rsidR="00557313">
        <w:t>,</w:t>
      </w:r>
      <w:r w:rsidRPr="00590704">
        <w:t xml:space="preserve"> or within 48 h after </w:t>
      </w:r>
      <w:r w:rsidR="00557313">
        <w:t>myocardial infarction (</w:t>
      </w:r>
      <w:r>
        <w:t>MI</w:t>
      </w:r>
      <w:r w:rsidR="00557313">
        <w:t>)</w:t>
      </w:r>
      <w:r w:rsidRPr="00590704">
        <w:t xml:space="preserve"> who are receiving chroni</w:t>
      </w:r>
      <w:r>
        <w:t>c optimal medical therapy</w:t>
      </w:r>
    </w:p>
    <w:p w14:paraId="060FB2BA" w14:textId="77777777" w:rsidR="001D266C" w:rsidRPr="00590704" w:rsidRDefault="001D266C" w:rsidP="001D266C">
      <w:pPr>
        <w:pStyle w:val="ListParagraph"/>
        <w:numPr>
          <w:ilvl w:val="0"/>
          <w:numId w:val="26"/>
        </w:numPr>
        <w:jc w:val="both"/>
      </w:pPr>
      <w:r w:rsidRPr="00590704">
        <w:t>recurrent sustained VT (not within 48 h</w:t>
      </w:r>
      <w:r>
        <w:t>ours</w:t>
      </w:r>
      <w:r w:rsidRPr="00590704">
        <w:t xml:space="preserve"> after </w:t>
      </w:r>
      <w:r>
        <w:t>MI</w:t>
      </w:r>
      <w:r w:rsidRPr="00590704">
        <w:t>) who are receiving chronic optimal medical therapy, have a normal left ventr</w:t>
      </w:r>
      <w:r>
        <w:t>icular ejection fraction (LVEF).</w:t>
      </w:r>
    </w:p>
    <w:p w14:paraId="25AB4369" w14:textId="20C9A98E" w:rsidR="001D266C" w:rsidRDefault="001D266C" w:rsidP="004E3E96">
      <w:pPr>
        <w:spacing w:before="240"/>
      </w:pPr>
      <w:r w:rsidRPr="00590704">
        <w:t xml:space="preserve">The </w:t>
      </w:r>
      <w:r>
        <w:t>E</w:t>
      </w:r>
      <w:r w:rsidR="00D96C00">
        <w:t xml:space="preserve">uropean </w:t>
      </w:r>
      <w:r>
        <w:t>S</w:t>
      </w:r>
      <w:r w:rsidR="00D96C00">
        <w:t xml:space="preserve">ociety of </w:t>
      </w:r>
      <w:r>
        <w:t>C</w:t>
      </w:r>
      <w:r w:rsidR="00D96C00">
        <w:t>ardiology</w:t>
      </w:r>
      <w:r>
        <w:t xml:space="preserve"> </w:t>
      </w:r>
      <w:r w:rsidRPr="00590704">
        <w:t>clinical algorithm</w:t>
      </w:r>
      <w:r>
        <w:t xml:space="preserve"> for patients with VT and </w:t>
      </w:r>
      <w:r w:rsidRPr="00201798">
        <w:t xml:space="preserve">ischaemic heart disease </w:t>
      </w:r>
      <w:r>
        <w:t>(IHD)</w:t>
      </w:r>
      <w:r w:rsidRPr="00590704">
        <w:t xml:space="preserve"> </w:t>
      </w:r>
      <w:r>
        <w:t xml:space="preserve">including cardiac ablation </w:t>
      </w:r>
      <w:r w:rsidRPr="00590704">
        <w:t>is presented in</w:t>
      </w:r>
      <w:r>
        <w:t xml:space="preserve"> </w:t>
      </w:r>
      <w:r w:rsidR="0082454F" w:rsidRPr="0082454F">
        <w:rPr>
          <w:szCs w:val="24"/>
        </w:rPr>
        <w:fldChar w:fldCharType="begin"/>
      </w:r>
      <w:r w:rsidR="0082454F" w:rsidRPr="0082454F">
        <w:rPr>
          <w:szCs w:val="24"/>
        </w:rPr>
        <w:instrText xml:space="preserve"> REF _Ref49780754 \h  \* MERGEFORMAT </w:instrText>
      </w:r>
      <w:r w:rsidR="0082454F" w:rsidRPr="0082454F">
        <w:rPr>
          <w:szCs w:val="24"/>
        </w:rPr>
      </w:r>
      <w:r w:rsidR="0082454F" w:rsidRPr="0082454F">
        <w:rPr>
          <w:szCs w:val="24"/>
        </w:rPr>
        <w:fldChar w:fldCharType="separate"/>
      </w:r>
      <w:r w:rsidR="0082454F" w:rsidRPr="0082454F">
        <w:rPr>
          <w:szCs w:val="24"/>
        </w:rPr>
        <w:t>Figure 1</w:t>
      </w:r>
      <w:r w:rsidR="0082454F" w:rsidRPr="0082454F">
        <w:rPr>
          <w:szCs w:val="24"/>
        </w:rPr>
        <w:fldChar w:fldCharType="end"/>
      </w:r>
      <w:r w:rsidRPr="00590704">
        <w:t>.</w:t>
      </w:r>
      <w:r>
        <w:t xml:space="preserve">  The ADAR stated this shows that for patients with an ICD who have recurrent ICD therapies </w:t>
      </w:r>
      <w:r w:rsidR="00C75C9A">
        <w:t>in response to</w:t>
      </w:r>
      <w:r>
        <w:t xml:space="preserve"> </w:t>
      </w:r>
      <w:r w:rsidR="00C75C9A">
        <w:t>ongoing</w:t>
      </w:r>
      <w:r w:rsidR="006E4ADD">
        <w:t xml:space="preserve"> </w:t>
      </w:r>
      <w:r>
        <w:t>VT</w:t>
      </w:r>
      <w:r w:rsidR="00C75C9A">
        <w:t>,</w:t>
      </w:r>
      <w:r>
        <w:t xml:space="preserve"> cardiac ablation is recommended. </w:t>
      </w:r>
      <w:r w:rsidR="00C75C9A">
        <w:t>I</w:t>
      </w:r>
      <w:r>
        <w:t xml:space="preserve">n the </w:t>
      </w:r>
      <w:r w:rsidR="00C75C9A">
        <w:t xml:space="preserve">hypothetical </w:t>
      </w:r>
      <w:r>
        <w:t xml:space="preserve">absence of cardiac ablation, the KOL advised that patients would receive AADs (not shown in </w:t>
      </w:r>
      <w:r w:rsidR="006B186A">
        <w:fldChar w:fldCharType="begin"/>
      </w:r>
      <w:r w:rsidR="006B186A">
        <w:instrText xml:space="preserve"> REF _Ref49780754 \h </w:instrText>
      </w:r>
      <w:r w:rsidR="006B186A">
        <w:fldChar w:fldCharType="separate"/>
      </w:r>
      <w:r w:rsidR="006B186A">
        <w:t xml:space="preserve">Figure </w:t>
      </w:r>
      <w:r w:rsidR="006B186A">
        <w:rPr>
          <w:noProof/>
        </w:rPr>
        <w:t>1</w:t>
      </w:r>
      <w:r w:rsidR="006B186A">
        <w:fldChar w:fldCharType="end"/>
      </w:r>
      <w:r w:rsidR="00C75C9A">
        <w:t>)</w:t>
      </w:r>
      <w:r>
        <w:t xml:space="preserve"> </w:t>
      </w:r>
      <w:r w:rsidR="00C75C9A">
        <w:t>but</w:t>
      </w:r>
      <w:r>
        <w:t xml:space="preserve"> as mentioned above</w:t>
      </w:r>
      <w:r w:rsidR="00C75C9A">
        <w:t>,</w:t>
      </w:r>
      <w:r>
        <w:t xml:space="preserve"> cardiac abl</w:t>
      </w:r>
      <w:r w:rsidR="004E3E96">
        <w:t>ation is recommended practice).</w:t>
      </w:r>
    </w:p>
    <w:p w14:paraId="33849283" w14:textId="2F02AAC3" w:rsidR="001D266C" w:rsidRDefault="001D266C" w:rsidP="004E3E96">
      <w:pPr>
        <w:spacing w:before="240" w:after="240"/>
      </w:pPr>
      <w:r>
        <w:t xml:space="preserve">The Commentary stated that </w:t>
      </w:r>
      <w:r w:rsidRPr="00201798">
        <w:t>the algorithm presented in the ADAR was for congenital VA, which may be applicable to the broader ac</w:t>
      </w:r>
      <w:r>
        <w:t>quired IHD</w:t>
      </w:r>
      <w:r w:rsidRPr="00201798">
        <w:t xml:space="preserve"> population</w:t>
      </w:r>
      <w:r>
        <w:t>,</w:t>
      </w:r>
      <w:r w:rsidRPr="00201798">
        <w:t xml:space="preserve"> but no justification was </w:t>
      </w:r>
      <w:r w:rsidRPr="00201798">
        <w:lastRenderedPageBreak/>
        <w:t>provided in the ADAR to support this. An alternative c</w:t>
      </w:r>
      <w:r w:rsidR="006B186A">
        <w:t xml:space="preserve">linical management algorithm is </w:t>
      </w:r>
      <w:r w:rsidRPr="00201798">
        <w:t>presented for patients with an ICD (</w:t>
      </w:r>
      <w:r w:rsidR="006B186A">
        <w:fldChar w:fldCharType="begin"/>
      </w:r>
      <w:r w:rsidR="006B186A">
        <w:instrText xml:space="preserve"> REF _Ref49780791 \h </w:instrText>
      </w:r>
      <w:r w:rsidR="006B186A">
        <w:fldChar w:fldCharType="separate"/>
      </w:r>
      <w:r w:rsidR="006B186A">
        <w:t xml:space="preserve">Figure </w:t>
      </w:r>
      <w:r w:rsidR="006B186A">
        <w:rPr>
          <w:noProof/>
        </w:rPr>
        <w:t>2</w:t>
      </w:r>
      <w:r w:rsidR="006B186A">
        <w:fldChar w:fldCharType="end"/>
      </w:r>
      <w:r w:rsidRPr="00201798">
        <w:t>) and without an ICD (</w:t>
      </w:r>
      <w:r w:rsidR="006B186A">
        <w:fldChar w:fldCharType="begin"/>
      </w:r>
      <w:r w:rsidR="006B186A">
        <w:instrText xml:space="preserve"> REF _Ref49780832 \h </w:instrText>
      </w:r>
      <w:r w:rsidR="006B186A">
        <w:fldChar w:fldCharType="separate"/>
      </w:r>
      <w:r w:rsidR="006B186A">
        <w:t xml:space="preserve">Figure </w:t>
      </w:r>
      <w:r w:rsidR="006B186A">
        <w:rPr>
          <w:noProof/>
        </w:rPr>
        <w:t>3</w:t>
      </w:r>
      <w:r w:rsidR="006B186A">
        <w:fldChar w:fldCharType="end"/>
      </w:r>
      <w:r w:rsidRPr="00201798">
        <w:t>).</w:t>
      </w:r>
    </w:p>
    <w:p w14:paraId="09689A7F" w14:textId="22998E59" w:rsidR="001D266C" w:rsidRDefault="001D266C" w:rsidP="001D266C">
      <w:pPr>
        <w:pStyle w:val="Tablenotes"/>
      </w:pPr>
      <w:r>
        <w:rPr>
          <w:noProof/>
          <w:lang w:eastAsia="en-AU"/>
        </w:rPr>
        <w:drawing>
          <wp:inline distT="0" distB="0" distL="0" distR="0" wp14:anchorId="63148BE3" wp14:editId="0D8875AD">
            <wp:extent cx="4343400" cy="5913066"/>
            <wp:effectExtent l="0" t="0" r="0" b="0"/>
            <wp:docPr id="4" name="Picture 4" descr="Clinical management algorithm for VT and IHD with and without an ICD"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3751" cy="5927157"/>
                    </a:xfrm>
                    <a:prstGeom prst="rect">
                      <a:avLst/>
                    </a:prstGeom>
                  </pic:spPr>
                </pic:pic>
              </a:graphicData>
            </a:graphic>
          </wp:inline>
        </w:drawing>
      </w:r>
    </w:p>
    <w:p w14:paraId="0CFBC2E5" w14:textId="24EB6512" w:rsidR="001D266C" w:rsidRPr="00D55575" w:rsidRDefault="006B186A" w:rsidP="00D55575">
      <w:pPr>
        <w:rPr>
          <w:rFonts w:ascii="Arial Narrow" w:hAnsi="Arial Narrow"/>
          <w:b/>
          <w:sz w:val="20"/>
        </w:rPr>
      </w:pPr>
      <w:bookmarkStart w:id="1" w:name="_Ref49780754"/>
      <w:bookmarkStart w:id="2" w:name="_Toc29370399"/>
      <w:r w:rsidRPr="00D55575">
        <w:rPr>
          <w:rFonts w:ascii="Arial Narrow" w:hAnsi="Arial Narrow"/>
          <w:b/>
          <w:sz w:val="20"/>
        </w:rPr>
        <w:t xml:space="preserve">Figure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Figure \* ARABIC </w:instrText>
      </w:r>
      <w:r w:rsidR="00156907" w:rsidRPr="00D55575">
        <w:rPr>
          <w:rFonts w:ascii="Arial Narrow" w:hAnsi="Arial Narrow"/>
          <w:b/>
          <w:sz w:val="20"/>
        </w:rPr>
        <w:fldChar w:fldCharType="separate"/>
      </w:r>
      <w:r w:rsidR="009E51D7" w:rsidRPr="00D55575">
        <w:rPr>
          <w:rFonts w:ascii="Arial Narrow" w:hAnsi="Arial Narrow"/>
          <w:b/>
          <w:sz w:val="20"/>
        </w:rPr>
        <w:t>1</w:t>
      </w:r>
      <w:r w:rsidR="00156907" w:rsidRPr="00D55575">
        <w:rPr>
          <w:rFonts w:ascii="Arial Narrow" w:hAnsi="Arial Narrow"/>
          <w:b/>
          <w:sz w:val="20"/>
        </w:rPr>
        <w:fldChar w:fldCharType="end"/>
      </w:r>
      <w:bookmarkEnd w:id="1"/>
      <w:r w:rsidRPr="00D55575">
        <w:rPr>
          <w:rFonts w:ascii="Arial Narrow" w:hAnsi="Arial Narrow"/>
          <w:b/>
          <w:sz w:val="20"/>
        </w:rPr>
        <w:t xml:space="preserve"> </w:t>
      </w:r>
      <w:r w:rsidR="001D266C" w:rsidRPr="00D55575">
        <w:rPr>
          <w:rFonts w:ascii="Arial Narrow" w:hAnsi="Arial Narrow"/>
          <w:b/>
          <w:sz w:val="20"/>
        </w:rPr>
        <w:t>Clinical management algorithm for VT and IHD with and without an ICD</w:t>
      </w:r>
      <w:bookmarkEnd w:id="2"/>
    </w:p>
    <w:p w14:paraId="31708CFB" w14:textId="77777777" w:rsidR="001D266C" w:rsidRDefault="001D266C" w:rsidP="001D266C">
      <w:pPr>
        <w:pStyle w:val="Tablenotes"/>
      </w:pPr>
      <w:r w:rsidRPr="00590704">
        <w:t>Source: Cronin 2019</w:t>
      </w:r>
      <w:r>
        <w:t xml:space="preserve"> (</w:t>
      </w:r>
      <w:r w:rsidRPr="00590704">
        <w:t>Figure 2, p.1144x</w:t>
      </w:r>
      <w:r>
        <w:t>)</w:t>
      </w:r>
    </w:p>
    <w:p w14:paraId="53CA4140" w14:textId="31A8DE35" w:rsidR="001D266C" w:rsidRDefault="001D266C" w:rsidP="001D266C">
      <w:pPr>
        <w:pStyle w:val="Tablenotes"/>
      </w:pPr>
      <w:r w:rsidRPr="00590704">
        <w:t xml:space="preserve">ACA, aborted cardiac </w:t>
      </w:r>
      <w:r w:rsidRPr="00DB13B4">
        <w:t>arrest; CHD, congenital heart disease</w:t>
      </w:r>
      <w:r>
        <w:t xml:space="preserve"> (same as ischaemic heart disease)</w:t>
      </w:r>
      <w:r w:rsidRPr="00DB13B4">
        <w:t>; DORV, double</w:t>
      </w:r>
      <w:r w:rsidRPr="00590704">
        <w:t xml:space="preserve"> outlet right ventricle; ICD, implantable cardioverter defibrillator; TOF, tetralogy of Fall</w:t>
      </w:r>
      <w:r>
        <w:t>ot; VT, ventricular tachycardia</w:t>
      </w:r>
    </w:p>
    <w:p w14:paraId="113623AC" w14:textId="77777777" w:rsidR="001D266C" w:rsidRDefault="001D266C" w:rsidP="001D266C">
      <w:pPr>
        <w:pStyle w:val="Tablenotes"/>
      </w:pPr>
      <w:r>
        <w:rPr>
          <w:noProof/>
          <w:snapToGrid/>
          <w:lang w:eastAsia="en-AU"/>
        </w:rPr>
        <w:lastRenderedPageBreak/>
        <w:drawing>
          <wp:inline distT="0" distB="0" distL="0" distR="0" wp14:anchorId="1D48E5B1" wp14:editId="10A07379">
            <wp:extent cx="5486400" cy="4764024"/>
            <wp:effectExtent l="0" t="0" r="0" b="0"/>
            <wp:docPr id="5" name="Picture 5" descr="Clinical management algorithm for recurrent VA in patients with an I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272fig06.tif"/>
                    <pic:cNvPicPr/>
                  </pic:nvPicPr>
                  <pic:blipFill>
                    <a:blip r:embed="rId16">
                      <a:extLst>
                        <a:ext uri="{28A0092B-C50C-407E-A947-70E740481C1C}">
                          <a14:useLocalDpi xmlns:a14="http://schemas.microsoft.com/office/drawing/2010/main" val="0"/>
                        </a:ext>
                      </a:extLst>
                    </a:blip>
                    <a:stretch>
                      <a:fillRect/>
                    </a:stretch>
                  </pic:blipFill>
                  <pic:spPr>
                    <a:xfrm>
                      <a:off x="0" y="0"/>
                      <a:ext cx="5486400" cy="4764024"/>
                    </a:xfrm>
                    <a:prstGeom prst="rect">
                      <a:avLst/>
                    </a:prstGeom>
                  </pic:spPr>
                </pic:pic>
              </a:graphicData>
            </a:graphic>
          </wp:inline>
        </w:drawing>
      </w:r>
    </w:p>
    <w:p w14:paraId="650334C8" w14:textId="3DB78194" w:rsidR="001D266C" w:rsidRPr="00D55575" w:rsidRDefault="006B186A" w:rsidP="00D55575">
      <w:pPr>
        <w:rPr>
          <w:rFonts w:ascii="Arial Narrow" w:hAnsi="Arial Narrow"/>
          <w:b/>
          <w:sz w:val="20"/>
        </w:rPr>
      </w:pPr>
      <w:bookmarkStart w:id="3" w:name="_Ref49780791"/>
      <w:r w:rsidRPr="00D55575">
        <w:rPr>
          <w:rFonts w:ascii="Arial Narrow" w:hAnsi="Arial Narrow"/>
          <w:b/>
          <w:sz w:val="20"/>
        </w:rPr>
        <w:t xml:space="preserve">Figure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Figure \* ARABIC </w:instrText>
      </w:r>
      <w:r w:rsidR="00156907" w:rsidRPr="00D55575">
        <w:rPr>
          <w:rFonts w:ascii="Arial Narrow" w:hAnsi="Arial Narrow"/>
          <w:b/>
          <w:sz w:val="20"/>
        </w:rPr>
        <w:fldChar w:fldCharType="separate"/>
      </w:r>
      <w:r w:rsidR="009E51D7" w:rsidRPr="00D55575">
        <w:rPr>
          <w:rFonts w:ascii="Arial Narrow" w:hAnsi="Arial Narrow"/>
          <w:b/>
          <w:sz w:val="20"/>
        </w:rPr>
        <w:t>2</w:t>
      </w:r>
      <w:r w:rsidR="00156907" w:rsidRPr="00D55575">
        <w:rPr>
          <w:rFonts w:ascii="Arial Narrow" w:hAnsi="Arial Narrow"/>
          <w:b/>
          <w:sz w:val="20"/>
        </w:rPr>
        <w:fldChar w:fldCharType="end"/>
      </w:r>
      <w:bookmarkEnd w:id="3"/>
      <w:r w:rsidRPr="00D55575">
        <w:rPr>
          <w:rFonts w:ascii="Arial Narrow" w:hAnsi="Arial Narrow"/>
          <w:b/>
          <w:sz w:val="20"/>
        </w:rPr>
        <w:t xml:space="preserve"> </w:t>
      </w:r>
      <w:r w:rsidR="001D266C" w:rsidRPr="00D55575">
        <w:rPr>
          <w:rFonts w:ascii="Arial Narrow" w:hAnsi="Arial Narrow"/>
          <w:b/>
          <w:sz w:val="20"/>
        </w:rPr>
        <w:t>Clinical management algorithm for recurrent VA in patients with an ICD</w:t>
      </w:r>
    </w:p>
    <w:p w14:paraId="470CB871" w14:textId="77777777" w:rsidR="001D266C" w:rsidRDefault="001D266C" w:rsidP="001D266C">
      <w:pPr>
        <w:pStyle w:val="TFAbbrevs0"/>
        <w:keepNext w:val="0"/>
        <w:keepLines w:val="0"/>
      </w:pPr>
      <w:r>
        <w:rPr>
          <w:lang w:val="en-US"/>
        </w:rPr>
        <w:t xml:space="preserve">Source: </w:t>
      </w:r>
      <w:r>
        <w:t>Al-Khatib 2017 (figure 5, e306)</w:t>
      </w:r>
    </w:p>
    <w:p w14:paraId="4E0CB472" w14:textId="77777777" w:rsidR="001D266C" w:rsidRDefault="001D266C" w:rsidP="001D266C">
      <w:pPr>
        <w:pStyle w:val="TFAbbrevs0"/>
        <w:rPr>
          <w:lang w:val="en-US"/>
        </w:rPr>
      </w:pPr>
      <w:r>
        <w:rPr>
          <w:lang w:val="en-US"/>
        </w:rPr>
        <w:t>Colours correspond to Class of Recommendation.</w:t>
      </w:r>
    </w:p>
    <w:p w14:paraId="58735ABF" w14:textId="77777777" w:rsidR="001D266C" w:rsidRPr="004068DC" w:rsidRDefault="001D266C" w:rsidP="001D266C">
      <w:pPr>
        <w:pStyle w:val="TFAbbrevs0"/>
      </w:pPr>
      <w:r w:rsidRPr="004068DC">
        <w:t>*</w:t>
      </w:r>
      <w:r>
        <w:t xml:space="preserve"> </w:t>
      </w:r>
      <w:r w:rsidRPr="004068DC">
        <w:t>Management should start with ensuring that the</w:t>
      </w:r>
      <w:r>
        <w:t xml:space="preserve"> </w:t>
      </w:r>
      <w:r w:rsidRPr="004068DC">
        <w:t>ICD is programmed appropriately and that potential precipitating causes, including heart failure exacerbation, are addressed</w:t>
      </w:r>
    </w:p>
    <w:p w14:paraId="5C6D295A" w14:textId="77777777" w:rsidR="001D266C" w:rsidRDefault="001D266C" w:rsidP="001D266C">
      <w:pPr>
        <w:pStyle w:val="TFAbbrevs18"/>
        <w:rPr>
          <w:lang w:val="en-US"/>
        </w:rPr>
      </w:pPr>
      <w:r>
        <w:rPr>
          <w:lang w:val="en-US"/>
        </w:rPr>
        <w:t>PHRS=Asia Pacific Heart Rhythm Society; EHRA=European Heart Rhythm Association; HRS=Heart Rhythm Society; IHD=ischaemic heart disease; ICD=implantable cardioverter defibrillator; PVC=premature ventricular</w:t>
      </w:r>
      <w:r>
        <w:rPr>
          <w:sz w:val="8"/>
          <w:szCs w:val="8"/>
          <w:lang w:val="en-US"/>
        </w:rPr>
        <w:t xml:space="preserve"> </w:t>
      </w:r>
      <w:r>
        <w:rPr>
          <w:lang w:val="en-US"/>
        </w:rPr>
        <w:t>complex; NICM=nonischemic cardiomyopathy; VF=ventricular fibrillation; VT=ventricular tachycardia.</w:t>
      </w:r>
    </w:p>
    <w:p w14:paraId="62D844F9" w14:textId="77777777" w:rsidR="001D266C" w:rsidRDefault="001D266C" w:rsidP="001D266C">
      <w:pPr>
        <w:pStyle w:val="Tabletext"/>
        <w:keepNext/>
        <w:spacing w:before="0" w:after="0"/>
      </w:pPr>
      <w:r>
        <w:rPr>
          <w:noProof/>
          <w:lang w:eastAsia="en-AU"/>
        </w:rPr>
        <w:lastRenderedPageBreak/>
        <w:drawing>
          <wp:inline distT="0" distB="0" distL="0" distR="0" wp14:anchorId="767A96F6" wp14:editId="57FE4970">
            <wp:extent cx="4572000" cy="6112764"/>
            <wp:effectExtent l="0" t="0" r="0" b="2540"/>
            <wp:docPr id="6" name="Picture 6" descr="Clinical management algorithm for sustained monomorphic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2 (Al-Khatib).tif"/>
                    <pic:cNvPicPr/>
                  </pic:nvPicPr>
                  <pic:blipFill>
                    <a:blip r:embed="rId17">
                      <a:extLst>
                        <a:ext uri="{28A0092B-C50C-407E-A947-70E740481C1C}">
                          <a14:useLocalDpi xmlns:a14="http://schemas.microsoft.com/office/drawing/2010/main" val="0"/>
                        </a:ext>
                      </a:extLst>
                    </a:blip>
                    <a:stretch>
                      <a:fillRect/>
                    </a:stretch>
                  </pic:blipFill>
                  <pic:spPr>
                    <a:xfrm>
                      <a:off x="0" y="0"/>
                      <a:ext cx="4572000" cy="6112764"/>
                    </a:xfrm>
                    <a:prstGeom prst="rect">
                      <a:avLst/>
                    </a:prstGeom>
                  </pic:spPr>
                </pic:pic>
              </a:graphicData>
            </a:graphic>
          </wp:inline>
        </w:drawing>
      </w:r>
    </w:p>
    <w:p w14:paraId="1DDAF826" w14:textId="3F219461" w:rsidR="001D266C" w:rsidRPr="00D55575" w:rsidRDefault="006B186A" w:rsidP="00D55575">
      <w:pPr>
        <w:spacing w:before="240"/>
        <w:rPr>
          <w:rFonts w:ascii="Arial Narrow" w:hAnsi="Arial Narrow"/>
          <w:b/>
          <w:sz w:val="20"/>
        </w:rPr>
      </w:pPr>
      <w:bookmarkStart w:id="4" w:name="_Ref49780832"/>
      <w:r w:rsidRPr="00D55575">
        <w:rPr>
          <w:rFonts w:ascii="Arial Narrow" w:hAnsi="Arial Narrow"/>
          <w:b/>
          <w:sz w:val="20"/>
        </w:rPr>
        <w:t xml:space="preserve">Figure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Figure \* ARABIC </w:instrText>
      </w:r>
      <w:r w:rsidR="00156907" w:rsidRPr="00D55575">
        <w:rPr>
          <w:rFonts w:ascii="Arial Narrow" w:hAnsi="Arial Narrow"/>
          <w:b/>
          <w:sz w:val="20"/>
        </w:rPr>
        <w:fldChar w:fldCharType="separate"/>
      </w:r>
      <w:r w:rsidR="009E51D7" w:rsidRPr="00D55575">
        <w:rPr>
          <w:rFonts w:ascii="Arial Narrow" w:hAnsi="Arial Narrow"/>
          <w:b/>
          <w:sz w:val="20"/>
        </w:rPr>
        <w:t>3</w:t>
      </w:r>
      <w:r w:rsidR="00156907" w:rsidRPr="00D55575">
        <w:rPr>
          <w:rFonts w:ascii="Arial Narrow" w:hAnsi="Arial Narrow"/>
          <w:b/>
          <w:sz w:val="20"/>
        </w:rPr>
        <w:fldChar w:fldCharType="end"/>
      </w:r>
      <w:bookmarkEnd w:id="4"/>
      <w:r w:rsidR="001D266C" w:rsidRPr="00D55575">
        <w:rPr>
          <w:rFonts w:ascii="Arial Narrow" w:hAnsi="Arial Narrow"/>
          <w:b/>
          <w:sz w:val="20"/>
        </w:rPr>
        <w:tab/>
        <w:t>Clinical management algorithm for sustained monomorphic VT</w:t>
      </w:r>
    </w:p>
    <w:p w14:paraId="746E8EA9" w14:textId="77777777" w:rsidR="001D266C" w:rsidRDefault="001D266C" w:rsidP="001D266C">
      <w:pPr>
        <w:pStyle w:val="TFAbbrevs0"/>
      </w:pPr>
      <w:r>
        <w:rPr>
          <w:lang w:val="en-US"/>
        </w:rPr>
        <w:t xml:space="preserve">Source: </w:t>
      </w:r>
      <w:r>
        <w:t>Al-Khatib 2017 (figure 2, e300)</w:t>
      </w:r>
    </w:p>
    <w:p w14:paraId="5063E6D3" w14:textId="77777777" w:rsidR="001D266C" w:rsidRDefault="001D266C" w:rsidP="001D266C">
      <w:pPr>
        <w:pStyle w:val="TFAbbrevs0"/>
        <w:rPr>
          <w:lang w:val="en-US"/>
        </w:rPr>
      </w:pPr>
      <w:r>
        <w:rPr>
          <w:lang w:val="en-US"/>
        </w:rPr>
        <w:t>Colours correspond to Class of Recommendation.</w:t>
      </w:r>
    </w:p>
    <w:p w14:paraId="239B0931" w14:textId="77777777" w:rsidR="001D266C" w:rsidRPr="00201798" w:rsidRDefault="001D266C" w:rsidP="00BE7F53">
      <w:pPr>
        <w:pStyle w:val="TFAbbrevs18"/>
        <w:spacing w:after="240"/>
        <w:rPr>
          <w:lang w:val="en-US"/>
        </w:rPr>
      </w:pPr>
      <w:r>
        <w:rPr>
          <w:lang w:val="en-US"/>
        </w:rPr>
        <w:t>ACLS=advanced cardiovascular life support; ECG=electrocardiogram; VA=ventricular arrhythmia; VT=ventricular tachycardia.</w:t>
      </w:r>
    </w:p>
    <w:p w14:paraId="0DBC5CCB" w14:textId="77777777" w:rsidR="001D266C" w:rsidRPr="00590704" w:rsidRDefault="001D266C" w:rsidP="001D266C">
      <w:pPr>
        <w:pStyle w:val="Heading2"/>
      </w:pPr>
      <w:r>
        <w:t>Supraventricular tachycardia</w:t>
      </w:r>
    </w:p>
    <w:p w14:paraId="5DDC135C" w14:textId="02DC9C4F" w:rsidR="001D266C" w:rsidRDefault="001D266C" w:rsidP="00C12495">
      <w:pPr>
        <w:tabs>
          <w:tab w:val="left" w:pos="1418"/>
        </w:tabs>
        <w:spacing w:after="240"/>
      </w:pPr>
      <w:r>
        <w:t>The ADAR stated t</w:t>
      </w:r>
      <w:r w:rsidRPr="00590704">
        <w:t>here are no Australian guidelines for the treatment of SVT</w:t>
      </w:r>
      <w:r w:rsidR="009E51D7">
        <w:t xml:space="preserve">. </w:t>
      </w:r>
      <w:r>
        <w:t>H</w:t>
      </w:r>
      <w:r w:rsidRPr="00590704">
        <w:t>owever</w:t>
      </w:r>
      <w:r>
        <w:t>,</w:t>
      </w:r>
      <w:r w:rsidRPr="00590704">
        <w:t xml:space="preserve"> the</w:t>
      </w:r>
      <w:r>
        <w:t xml:space="preserve"> 2019 E</w:t>
      </w:r>
      <w:r w:rsidR="00D96C00">
        <w:t xml:space="preserve">uropean </w:t>
      </w:r>
      <w:r>
        <w:t>S</w:t>
      </w:r>
      <w:r w:rsidR="00D96C00">
        <w:t xml:space="preserve">ociety of </w:t>
      </w:r>
      <w:r>
        <w:t>C</w:t>
      </w:r>
      <w:r w:rsidR="00D96C00">
        <w:t>ardiology</w:t>
      </w:r>
      <w:r>
        <w:t xml:space="preserve"> guidelines for the management of SVT recommend</w:t>
      </w:r>
      <w:r w:rsidRPr="00590704">
        <w:t xml:space="preserve"> </w:t>
      </w:r>
      <w:r>
        <w:t>cardiac ablation</w:t>
      </w:r>
      <w:r w:rsidRPr="00590704">
        <w:t xml:space="preserve"> as </w:t>
      </w:r>
      <w:r>
        <w:t xml:space="preserve">first-line </w:t>
      </w:r>
      <w:r w:rsidRPr="00590704">
        <w:t>treatment for symptomatic</w:t>
      </w:r>
      <w:r>
        <w:t xml:space="preserve"> and recurrent</w:t>
      </w:r>
      <w:r w:rsidRPr="00590704">
        <w:t xml:space="preserve"> SVT (particular</w:t>
      </w:r>
      <w:r>
        <w:t>ly</w:t>
      </w:r>
      <w:r w:rsidRPr="00590704">
        <w:t xml:space="preserve"> </w:t>
      </w:r>
      <w:r>
        <w:t>atrioventricular nodal re-entrant tachycardia [</w:t>
      </w:r>
      <w:r w:rsidRPr="00590704">
        <w:t>AVNRT</w:t>
      </w:r>
      <w:r>
        <w:t>]</w:t>
      </w:r>
      <w:r w:rsidRPr="00590704">
        <w:t xml:space="preserve">) because it substantially improves </w:t>
      </w:r>
      <w:r>
        <w:t>quality of life (QoL)</w:t>
      </w:r>
      <w:r w:rsidRPr="00590704">
        <w:t xml:space="preserve"> and reduces costs (Brugada 2019</w:t>
      </w:r>
      <w:r>
        <w:rPr>
          <w:rStyle w:val="FootnoteReference"/>
        </w:rPr>
        <w:footnoteReference w:id="4"/>
      </w:r>
      <w:r w:rsidRPr="00590704">
        <w:t>).</w:t>
      </w:r>
      <w:r>
        <w:t xml:space="preserve"> If</w:t>
      </w:r>
      <w:r w:rsidRPr="00590704">
        <w:t xml:space="preserve"> </w:t>
      </w:r>
      <w:r>
        <w:t xml:space="preserve">cardiac </w:t>
      </w:r>
      <w:r w:rsidRPr="00590704">
        <w:t>ablation is not desirable or feasi</w:t>
      </w:r>
      <w:r>
        <w:t xml:space="preserve">ble, </w:t>
      </w:r>
      <w:r w:rsidR="00C75C9A">
        <w:t xml:space="preserve">then </w:t>
      </w:r>
      <w:r w:rsidR="00C12495">
        <w:t>AADs should be considered.</w:t>
      </w:r>
    </w:p>
    <w:p w14:paraId="5EDF96D9" w14:textId="2B402634" w:rsidR="001D266C" w:rsidRDefault="001D266C" w:rsidP="001D266C">
      <w:r w:rsidRPr="00590704">
        <w:lastRenderedPageBreak/>
        <w:t xml:space="preserve">The </w:t>
      </w:r>
      <w:r>
        <w:t>E</w:t>
      </w:r>
      <w:r w:rsidR="00D96C00">
        <w:t xml:space="preserve">uropean </w:t>
      </w:r>
      <w:r>
        <w:t>S</w:t>
      </w:r>
      <w:r w:rsidR="00D96C00">
        <w:t xml:space="preserve">ociety of </w:t>
      </w:r>
      <w:r>
        <w:t>C</w:t>
      </w:r>
      <w:r w:rsidR="00D96C00">
        <w:t>ardiology</w:t>
      </w:r>
      <w:r>
        <w:t xml:space="preserve"> </w:t>
      </w:r>
      <w:r w:rsidRPr="00590704">
        <w:t xml:space="preserve">clinical </w:t>
      </w:r>
      <w:r>
        <w:t xml:space="preserve">management </w:t>
      </w:r>
      <w:r w:rsidRPr="00590704">
        <w:t>algorithm</w:t>
      </w:r>
      <w:r>
        <w:t xml:space="preserve">s for </w:t>
      </w:r>
      <w:r w:rsidR="00703DB3">
        <w:t xml:space="preserve">management of </w:t>
      </w:r>
      <w:r>
        <w:t>AFL and AVNRT</w:t>
      </w:r>
      <w:r w:rsidR="00703DB3">
        <w:t>,</w:t>
      </w:r>
      <w:r>
        <w:t xml:space="preserve"> including </w:t>
      </w:r>
      <w:r w:rsidR="00703DB3">
        <w:t xml:space="preserve">use of </w:t>
      </w:r>
      <w:r>
        <w:t>cardiac ablation</w:t>
      </w:r>
      <w:r w:rsidR="00703DB3">
        <w:t>,</w:t>
      </w:r>
      <w:r>
        <w:t xml:space="preserve"> are </w:t>
      </w:r>
      <w:r w:rsidRPr="00A10950">
        <w:rPr>
          <w:szCs w:val="24"/>
        </w:rPr>
        <w:t>presented in</w:t>
      </w:r>
      <w:r w:rsidR="003E740E">
        <w:rPr>
          <w:szCs w:val="24"/>
        </w:rPr>
        <w:t xml:space="preserve"> </w:t>
      </w:r>
      <w:r w:rsidR="003E740E" w:rsidRPr="003E740E">
        <w:rPr>
          <w:szCs w:val="24"/>
        </w:rPr>
        <w:t>Brugada 2019 (Figure 12</w:t>
      </w:r>
      <w:r w:rsidR="003E740E">
        <w:rPr>
          <w:szCs w:val="24"/>
        </w:rPr>
        <w:t xml:space="preserve"> and </w:t>
      </w:r>
      <w:r w:rsidR="003E740E">
        <w:t>Figure 15</w:t>
      </w:r>
      <w:r w:rsidR="003E740E" w:rsidRPr="003E740E">
        <w:rPr>
          <w:szCs w:val="24"/>
        </w:rPr>
        <w:t xml:space="preserve">). </w:t>
      </w:r>
      <w:r w:rsidRPr="00A10950">
        <w:rPr>
          <w:szCs w:val="24"/>
        </w:rPr>
        <w:t>These</w:t>
      </w:r>
      <w:r>
        <w:t xml:space="preserve"> figures show that for patients with symptomatic and recurrent AFL or AVNRT cardiac ablation is recommended</w:t>
      </w:r>
      <w:r w:rsidR="006D1B35">
        <w:t xml:space="preserve"> either as first-line treatment or where AADs are either ineffective or undesirable</w:t>
      </w:r>
      <w:r>
        <w:t xml:space="preserve">. </w:t>
      </w:r>
      <w:r w:rsidR="006D1B35">
        <w:t>I</w:t>
      </w:r>
      <w:r>
        <w:t xml:space="preserve">n the </w:t>
      </w:r>
      <w:r w:rsidR="006D1B35">
        <w:t xml:space="preserve">hypothetical </w:t>
      </w:r>
      <w:r>
        <w:t xml:space="preserve">absence of cardiac ablation, the KOL advised that patients would </w:t>
      </w:r>
      <w:r w:rsidR="006D1B35">
        <w:t>only have the option of</w:t>
      </w:r>
      <w:r>
        <w:t xml:space="preserve"> AADs. Anticoagulant therapy, such as </w:t>
      </w:r>
      <w:r w:rsidRPr="00590704">
        <w:t>warfarin and aspirin</w:t>
      </w:r>
      <w:r>
        <w:t>, may be given to patients following cardiac ablation for VA or SVT for a limited period of time</w:t>
      </w:r>
      <w:r w:rsidR="006D1B35">
        <w:t>,</w:t>
      </w:r>
      <w:r>
        <w:t xml:space="preserve"> at the discretion of the treating physician</w:t>
      </w:r>
      <w:r w:rsidR="006D1B35">
        <w:t>,</w:t>
      </w:r>
      <w:r>
        <w:t xml:space="preserve"> </w:t>
      </w:r>
      <w:r w:rsidRPr="00590704">
        <w:t xml:space="preserve">to minimise </w:t>
      </w:r>
      <w:r>
        <w:t xml:space="preserve">the </w:t>
      </w:r>
      <w:r w:rsidRPr="00590704">
        <w:t>risk of thromboembolic complications</w:t>
      </w:r>
      <w:r>
        <w:t xml:space="preserve"> (Brugada 2019, Cronin 2019).</w:t>
      </w:r>
    </w:p>
    <w:p w14:paraId="17DCE8FA" w14:textId="46561A2E" w:rsidR="001D266C" w:rsidRPr="00590704" w:rsidRDefault="001D266C" w:rsidP="00372687">
      <w:pPr>
        <w:spacing w:before="240" w:after="240"/>
      </w:pPr>
      <w:r>
        <w:t>The Commentary stated that</w:t>
      </w:r>
      <w:r w:rsidRPr="00792B75">
        <w:t xml:space="preserve"> the clinical algorithms for AFL and AVNRT are clear and appropriate and show that in the absence of catheter ablation, the appropriate therapy would be drug based, although catheter ablation is recommended as first-line treatment in symptomatic patients with recurrent episodes.</w:t>
      </w:r>
    </w:p>
    <w:p w14:paraId="5481B863" w14:textId="77777777" w:rsidR="00BC1364" w:rsidRPr="00F715D1" w:rsidRDefault="00BC1364" w:rsidP="00F715D1">
      <w:pPr>
        <w:pStyle w:val="Heading1"/>
      </w:pPr>
      <w:r w:rsidRPr="00F715D1">
        <w:t xml:space="preserve">Comparator </w:t>
      </w:r>
    </w:p>
    <w:p w14:paraId="0F8B8722" w14:textId="4ACE0D3A" w:rsidR="001D266C" w:rsidRDefault="001D266C" w:rsidP="001D266C">
      <w:r w:rsidRPr="00006405">
        <w:t>The comparator for cardiac ablation for the treatment of VA and</w:t>
      </w:r>
      <w:r w:rsidR="003F129F">
        <w:t xml:space="preserve"> non-AF</w:t>
      </w:r>
      <w:r w:rsidRPr="00006405">
        <w:t xml:space="preserve"> SVT has been broadly defined </w:t>
      </w:r>
      <w:r>
        <w:t>in the ADAR</w:t>
      </w:r>
      <w:r w:rsidRPr="00006405">
        <w:t xml:space="preserve"> as ‘no cardiac ablation</w:t>
      </w:r>
      <w:r>
        <w:t>,’</w:t>
      </w:r>
      <w:r w:rsidRPr="00006405">
        <w:t xml:space="preserve"> which includes medical treatment with</w:t>
      </w:r>
      <w:r>
        <w:t xml:space="preserve"> AADs.</w:t>
      </w:r>
    </w:p>
    <w:p w14:paraId="05DD8A9B" w14:textId="0FC8AA4E" w:rsidR="001D266C" w:rsidRDefault="001D266C" w:rsidP="00372687">
      <w:pPr>
        <w:spacing w:before="240"/>
      </w:pPr>
      <w:r w:rsidRPr="00A45058">
        <w:t>The</w:t>
      </w:r>
      <w:r>
        <w:t xml:space="preserve"> Commentary considered that the </w:t>
      </w:r>
      <w:r w:rsidRPr="00A45058">
        <w:t>comparator</w:t>
      </w:r>
      <w:r>
        <w:t xml:space="preserve"> </w:t>
      </w:r>
      <w:r w:rsidRPr="00A45058">
        <w:t>is appropriate</w:t>
      </w:r>
      <w:r>
        <w:t xml:space="preserve"> and may be partially, but not completely, replaced by catheter ablation as it is possible for patients to still require AADs after ablation. Although </w:t>
      </w:r>
      <w:r w:rsidRPr="000D06FB">
        <w:t xml:space="preserve">ICD implantation and cardioversion are </w:t>
      </w:r>
      <w:r>
        <w:t xml:space="preserve">management options for the populations of interest, they are </w:t>
      </w:r>
      <w:r w:rsidRPr="000D06FB">
        <w:t xml:space="preserve">not considered comparators for </w:t>
      </w:r>
      <w:r>
        <w:t xml:space="preserve">catheter </w:t>
      </w:r>
      <w:r w:rsidRPr="000D06FB">
        <w:t>ablation.</w:t>
      </w:r>
    </w:p>
    <w:p w14:paraId="1F1B00CD" w14:textId="77777777" w:rsidR="00BC1364" w:rsidRPr="00F715D1" w:rsidRDefault="00BC1364" w:rsidP="00F715D1">
      <w:pPr>
        <w:pStyle w:val="Heading1"/>
      </w:pPr>
      <w:r w:rsidRPr="00F715D1">
        <w:t>Comparative safety</w:t>
      </w:r>
    </w:p>
    <w:p w14:paraId="69FA7D8E" w14:textId="77777777" w:rsidR="00853570" w:rsidRPr="00590704" w:rsidRDefault="00853570" w:rsidP="00853570">
      <w:pPr>
        <w:pStyle w:val="Heading2"/>
      </w:pPr>
      <w:r>
        <w:t>Ventricular arrhythmia</w:t>
      </w:r>
    </w:p>
    <w:p w14:paraId="7115E9F8" w14:textId="419DC1B3" w:rsidR="00853570" w:rsidRDefault="00853570" w:rsidP="00853570">
      <w:r>
        <w:t>F</w:t>
      </w:r>
      <w:r w:rsidRPr="00293E7F">
        <w:t xml:space="preserve">our </w:t>
      </w:r>
      <w:r>
        <w:t>systematic literature reviews (</w:t>
      </w:r>
      <w:r w:rsidRPr="00293E7F">
        <w:t>SLRs</w:t>
      </w:r>
      <w:r>
        <w:t>)</w:t>
      </w:r>
      <w:r w:rsidRPr="00293E7F">
        <w:t xml:space="preserve"> </w:t>
      </w:r>
      <w:r>
        <w:t xml:space="preserve">were </w:t>
      </w:r>
      <w:r w:rsidRPr="00293E7F">
        <w:t xml:space="preserve">included in </w:t>
      </w:r>
      <w:r>
        <w:t xml:space="preserve">the ADARs </w:t>
      </w:r>
      <w:r w:rsidRPr="00293E7F">
        <w:t xml:space="preserve">synthesis of high-level </w:t>
      </w:r>
      <w:r>
        <w:t xml:space="preserve">clinical </w:t>
      </w:r>
      <w:r w:rsidRPr="00293E7F">
        <w:t xml:space="preserve">evidence for </w:t>
      </w:r>
      <w:r>
        <w:t xml:space="preserve">the </w:t>
      </w:r>
      <w:r w:rsidRPr="00293E7F">
        <w:t xml:space="preserve">VA </w:t>
      </w:r>
      <w:r>
        <w:t xml:space="preserve">population </w:t>
      </w:r>
      <w:r w:rsidRPr="00293E7F">
        <w:t>(Anderson 2019</w:t>
      </w:r>
      <w:r>
        <w:rPr>
          <w:rStyle w:val="FootnoteReference"/>
        </w:rPr>
        <w:footnoteReference w:id="5"/>
      </w:r>
      <w:r w:rsidRPr="00293E7F">
        <w:t xml:space="preserve">, </w:t>
      </w:r>
      <w:r w:rsidRPr="00141033">
        <w:t>Atti 20</w:t>
      </w:r>
      <w:r>
        <w:t>18</w:t>
      </w:r>
      <w:r>
        <w:rPr>
          <w:rStyle w:val="FootnoteReference"/>
        </w:rPr>
        <w:footnoteReference w:id="6"/>
      </w:r>
      <w:r>
        <w:t>, Martinez 2019</w:t>
      </w:r>
      <w:r>
        <w:rPr>
          <w:rStyle w:val="FootnoteReference"/>
        </w:rPr>
        <w:footnoteReference w:id="7"/>
      </w:r>
      <w:r>
        <w:t xml:space="preserve"> and Tilz 2019</w:t>
      </w:r>
      <w:r>
        <w:rPr>
          <w:rStyle w:val="FootnoteReference"/>
        </w:rPr>
        <w:footnoteReference w:id="8"/>
      </w:r>
      <w:r>
        <w:t xml:space="preserve">; </w:t>
      </w:r>
      <w:r w:rsidRPr="00A10950">
        <w:rPr>
          <w:szCs w:val="24"/>
        </w:rPr>
        <w:t xml:space="preserve">see </w:t>
      </w:r>
      <w:r w:rsidR="00A10950" w:rsidRPr="00A10950">
        <w:rPr>
          <w:szCs w:val="24"/>
        </w:rPr>
        <w:fldChar w:fldCharType="begin"/>
      </w:r>
      <w:r w:rsidR="00A10950" w:rsidRPr="00A10950">
        <w:rPr>
          <w:szCs w:val="24"/>
        </w:rPr>
        <w:instrText xml:space="preserve"> REF _Ref49781333 \h  \* MERGEFORMAT </w:instrText>
      </w:r>
      <w:r w:rsidR="00A10950" w:rsidRPr="00A10950">
        <w:rPr>
          <w:szCs w:val="24"/>
        </w:rPr>
      </w:r>
      <w:r w:rsidR="00A10950" w:rsidRPr="00A10950">
        <w:rPr>
          <w:szCs w:val="24"/>
        </w:rPr>
        <w:fldChar w:fldCharType="separate"/>
      </w:r>
      <w:r w:rsidR="00A10950" w:rsidRPr="00A10950">
        <w:rPr>
          <w:szCs w:val="24"/>
        </w:rPr>
        <w:t>Table 1</w:t>
      </w:r>
      <w:r w:rsidR="00A10950" w:rsidRPr="00A10950">
        <w:rPr>
          <w:szCs w:val="24"/>
        </w:rPr>
        <w:fldChar w:fldCharType="end"/>
      </w:r>
      <w:r w:rsidRPr="00A10950">
        <w:rPr>
          <w:szCs w:val="24"/>
        </w:rPr>
        <w:t>).</w:t>
      </w:r>
      <w:r w:rsidRPr="00141033">
        <w:t xml:space="preserve"> Collectively these SLRs included eight RCTs, including five full papers and </w:t>
      </w:r>
      <w:r>
        <w:t>three conference abstracts</w:t>
      </w:r>
      <w:r w:rsidRPr="00141033">
        <w:t>.</w:t>
      </w:r>
    </w:p>
    <w:p w14:paraId="52106DBF" w14:textId="00E50A26" w:rsidR="00EF177C" w:rsidRPr="00372687" w:rsidRDefault="00853570" w:rsidP="00052851">
      <w:pPr>
        <w:spacing w:before="240" w:after="240"/>
      </w:pPr>
      <w:r>
        <w:t xml:space="preserve">The Commentary stated that the </w:t>
      </w:r>
      <w:r w:rsidRPr="00141033">
        <w:t xml:space="preserve">Martinez (2019) SLR </w:t>
      </w:r>
      <w:r>
        <w:t>is considered to be</w:t>
      </w:r>
      <w:r w:rsidRPr="00141033">
        <w:t xml:space="preserve"> </w:t>
      </w:r>
      <w:r>
        <w:t xml:space="preserve">of </w:t>
      </w:r>
      <w:r w:rsidRPr="00141033">
        <w:t>moderate quality</w:t>
      </w:r>
      <w:r>
        <w:t xml:space="preserve"> and should be used in preference to the Anderson SLR as the basis of the clinical assessment (</w:t>
      </w:r>
      <w:r w:rsidR="00C12495">
        <w:fldChar w:fldCharType="begin"/>
      </w:r>
      <w:r w:rsidR="00C12495">
        <w:instrText xml:space="preserve"> REF _Ref49781333 \h </w:instrText>
      </w:r>
      <w:r w:rsidR="00C12495">
        <w:fldChar w:fldCharType="separate"/>
      </w:r>
      <w:r w:rsidR="00C12495">
        <w:t xml:space="preserve">Table </w:t>
      </w:r>
      <w:r w:rsidR="00C12495">
        <w:rPr>
          <w:noProof/>
        </w:rPr>
        <w:t>1</w:t>
      </w:r>
      <w:r w:rsidR="00C12495">
        <w:fldChar w:fldCharType="end"/>
      </w:r>
      <w:r>
        <w:t>).</w:t>
      </w:r>
      <w:r w:rsidR="006D1B35">
        <w:t xml:space="preserve"> </w:t>
      </w:r>
      <w:r>
        <w:t>The Commentary also considered that the two other SLRs</w:t>
      </w:r>
      <w:r w:rsidRPr="00141033">
        <w:t xml:space="preserve"> are </w:t>
      </w:r>
      <w:r>
        <w:t xml:space="preserve">of </w:t>
      </w:r>
      <w:r w:rsidRPr="00141033">
        <w:t xml:space="preserve">‘low’ quality and also less applicable as </w:t>
      </w:r>
      <w:r>
        <w:t xml:space="preserve">they excluded </w:t>
      </w:r>
      <w:r w:rsidRPr="00141033">
        <w:t xml:space="preserve">studies </w:t>
      </w:r>
      <w:r>
        <w:t>where</w:t>
      </w:r>
      <w:r w:rsidRPr="00141033">
        <w:t xml:space="preserve"> AADs </w:t>
      </w:r>
      <w:r>
        <w:t xml:space="preserve">were used </w:t>
      </w:r>
      <w:r w:rsidRPr="00141033">
        <w:t xml:space="preserve">in the comparator arm. </w:t>
      </w:r>
      <w:r>
        <w:t>T</w:t>
      </w:r>
      <w:r w:rsidRPr="00141033">
        <w:t>he</w:t>
      </w:r>
      <w:r>
        <w:t>se SLRs</w:t>
      </w:r>
      <w:r w:rsidRPr="00141033">
        <w:t xml:space="preserve"> are excluded</w:t>
      </w:r>
      <w:r>
        <w:t xml:space="preserve"> from further consideration in the Commentary (</w:t>
      </w:r>
      <w:r w:rsidRPr="00117735">
        <w:rPr>
          <w:strike/>
        </w:rPr>
        <w:t>strikethrough</w:t>
      </w:r>
      <w:r>
        <w:t xml:space="preserve"> below). The Commentary also considered a</w:t>
      </w:r>
      <w:r w:rsidRPr="00141033">
        <w:t xml:space="preserve"> key difference between the Anderson (2019) and Martinez (2019) </w:t>
      </w:r>
      <w:r>
        <w:t>SLRs</w:t>
      </w:r>
      <w:r w:rsidRPr="00141033">
        <w:t xml:space="preserve"> is in how they have defined recurrence and which studies have been included for this outcome.</w:t>
      </w:r>
      <w:r>
        <w:t xml:space="preserve"> The </w:t>
      </w:r>
      <w:r w:rsidRPr="00141033">
        <w:t xml:space="preserve">Anderson </w:t>
      </w:r>
      <w:r>
        <w:t xml:space="preserve">SLR </w:t>
      </w:r>
      <w:r w:rsidRPr="00141033">
        <w:t>has included studies that specifically measured recurrence, as well as those that included ‘appropriate ICD events.</w:t>
      </w:r>
      <w:r>
        <w:t>’</w:t>
      </w:r>
      <w:r w:rsidRPr="00141033">
        <w:t xml:space="preserve"> </w:t>
      </w:r>
      <w:r>
        <w:t xml:space="preserve">The </w:t>
      </w:r>
      <w:r w:rsidRPr="00141033">
        <w:t xml:space="preserve">Martinez </w:t>
      </w:r>
      <w:r>
        <w:t xml:space="preserve">SLR </w:t>
      </w:r>
      <w:r w:rsidRPr="00141033">
        <w:t xml:space="preserve">has </w:t>
      </w:r>
      <w:r w:rsidRPr="00141033">
        <w:lastRenderedPageBreak/>
        <w:t>only included the studies that specifically measured recurrence</w:t>
      </w:r>
      <w:r>
        <w:t xml:space="preserve"> and </w:t>
      </w:r>
      <w:r w:rsidRPr="00141033">
        <w:t>a separate analysis was undertaken for ‘appropriate ICD events.</w:t>
      </w:r>
      <w:bookmarkStart w:id="5" w:name="_Ref36721159"/>
      <w:r w:rsidR="00372687">
        <w:t>’</w:t>
      </w:r>
    </w:p>
    <w:p w14:paraId="6984A3ED" w14:textId="27F57F90" w:rsidR="00853570" w:rsidRPr="00D55575" w:rsidRDefault="00C12495" w:rsidP="00D55575">
      <w:pPr>
        <w:rPr>
          <w:rFonts w:ascii="Arial Narrow" w:hAnsi="Arial Narrow"/>
          <w:b/>
          <w:sz w:val="20"/>
        </w:rPr>
      </w:pPr>
      <w:bookmarkStart w:id="6" w:name="_Ref49781333"/>
      <w:r w:rsidRPr="00D55575">
        <w:rPr>
          <w:rFonts w:ascii="Arial Narrow" w:hAnsi="Arial Narrow"/>
          <w:b/>
          <w:sz w:val="20"/>
        </w:rPr>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1</w:t>
      </w:r>
      <w:r w:rsidR="00156907" w:rsidRPr="00D55575">
        <w:rPr>
          <w:rFonts w:ascii="Arial Narrow" w:hAnsi="Arial Narrow"/>
          <w:b/>
          <w:sz w:val="20"/>
        </w:rPr>
        <w:fldChar w:fldCharType="end"/>
      </w:r>
      <w:bookmarkEnd w:id="5"/>
      <w:bookmarkEnd w:id="6"/>
      <w:r w:rsidR="00853570" w:rsidRPr="00D55575">
        <w:rPr>
          <w:rFonts w:ascii="Arial Narrow" w:hAnsi="Arial Narrow"/>
          <w:b/>
          <w:sz w:val="20"/>
        </w:rPr>
        <w:tab/>
        <w:t>Results from the systematic reviews and trials – peri-procedural complications</w:t>
      </w:r>
    </w:p>
    <w:tbl>
      <w:tblPr>
        <w:tblStyle w:val="TableGrid2"/>
        <w:tblW w:w="4984" w:type="pct"/>
        <w:tblLook w:val="04A0" w:firstRow="1" w:lastRow="0" w:firstColumn="1" w:lastColumn="0" w:noHBand="0" w:noVBand="1"/>
        <w:tblCaption w:val="Results from the systematic reviews and trials – peri-procedural complications"/>
        <w:tblDescription w:val="This table contains:  Results from selected systematic reviews and trials – safety outcomes"/>
      </w:tblPr>
      <w:tblGrid>
        <w:gridCol w:w="1073"/>
        <w:gridCol w:w="1232"/>
        <w:gridCol w:w="819"/>
        <w:gridCol w:w="1246"/>
        <w:gridCol w:w="1225"/>
        <w:gridCol w:w="879"/>
        <w:gridCol w:w="1203"/>
        <w:gridCol w:w="1310"/>
      </w:tblGrid>
      <w:tr w:rsidR="00853570" w:rsidRPr="00F71AD9" w14:paraId="480B91AC" w14:textId="77777777" w:rsidTr="00D55575">
        <w:trPr>
          <w:cnfStyle w:val="100000000000" w:firstRow="1" w:lastRow="0" w:firstColumn="0" w:lastColumn="0" w:oddVBand="0" w:evenVBand="0" w:oddHBand="0" w:evenHBand="0" w:firstRowFirstColumn="0" w:firstRowLastColumn="0" w:lastRowFirstColumn="0" w:lastRowLastColumn="0"/>
          <w:tblHeader/>
        </w:trPr>
        <w:tc>
          <w:tcPr>
            <w:tcW w:w="509" w:type="pct"/>
          </w:tcPr>
          <w:p w14:paraId="2091B109" w14:textId="77777777" w:rsidR="00853570" w:rsidRPr="009952CF" w:rsidRDefault="00853570" w:rsidP="00662941">
            <w:pPr>
              <w:pStyle w:val="Tabletextcentred"/>
              <w:rPr>
                <w:b/>
                <w:snapToGrid w:val="0"/>
              </w:rPr>
            </w:pPr>
            <w:r w:rsidRPr="009952CF">
              <w:rPr>
                <w:b/>
                <w:snapToGrid w:val="0"/>
              </w:rPr>
              <w:t>Study ID</w:t>
            </w:r>
          </w:p>
          <w:p w14:paraId="10417C5E" w14:textId="77777777" w:rsidR="00853570" w:rsidRPr="009952CF" w:rsidRDefault="00853570" w:rsidP="00662941">
            <w:pPr>
              <w:pStyle w:val="Tabletextcentred"/>
              <w:rPr>
                <w:b/>
                <w:snapToGrid w:val="0"/>
              </w:rPr>
            </w:pPr>
            <w:r w:rsidRPr="009952CF">
              <w:rPr>
                <w:b/>
                <w:snapToGrid w:val="0"/>
              </w:rPr>
              <w:t>Risk of bias</w:t>
            </w:r>
          </w:p>
        </w:tc>
        <w:tc>
          <w:tcPr>
            <w:tcW w:w="705" w:type="pct"/>
          </w:tcPr>
          <w:p w14:paraId="3B4CCA50" w14:textId="77777777" w:rsidR="00853570" w:rsidRPr="009952CF" w:rsidRDefault="00853570" w:rsidP="00662941">
            <w:pPr>
              <w:pStyle w:val="Tabletextcentred"/>
              <w:rPr>
                <w:b/>
                <w:snapToGrid w:val="0"/>
              </w:rPr>
            </w:pPr>
            <w:r w:rsidRPr="009952CF">
              <w:rPr>
                <w:b/>
                <w:snapToGrid w:val="0"/>
              </w:rPr>
              <w:t>Population</w:t>
            </w:r>
          </w:p>
          <w:p w14:paraId="0BFA2054" w14:textId="77777777" w:rsidR="00853570" w:rsidRPr="009952CF" w:rsidRDefault="00853570" w:rsidP="00662941">
            <w:pPr>
              <w:pStyle w:val="Tabletextcentred"/>
              <w:rPr>
                <w:b/>
                <w:snapToGrid w:val="0"/>
              </w:rPr>
            </w:pPr>
            <w:r w:rsidRPr="009952CF">
              <w:rPr>
                <w:b/>
                <w:snapToGrid w:val="0"/>
              </w:rPr>
              <w:t>(follow-up)</w:t>
            </w:r>
          </w:p>
        </w:tc>
        <w:tc>
          <w:tcPr>
            <w:tcW w:w="475" w:type="pct"/>
          </w:tcPr>
          <w:p w14:paraId="15B6F203" w14:textId="77777777" w:rsidR="00853570" w:rsidRPr="009952CF" w:rsidRDefault="00853570" w:rsidP="00662941">
            <w:pPr>
              <w:pStyle w:val="Tabletextcentred"/>
              <w:rPr>
                <w:b/>
                <w:snapToGrid w:val="0"/>
              </w:rPr>
            </w:pPr>
            <w:r w:rsidRPr="009952CF">
              <w:rPr>
                <w:b/>
                <w:snapToGrid w:val="0"/>
              </w:rPr>
              <w:t xml:space="preserve">No. studies </w:t>
            </w:r>
          </w:p>
        </w:tc>
        <w:tc>
          <w:tcPr>
            <w:tcW w:w="712" w:type="pct"/>
          </w:tcPr>
          <w:p w14:paraId="266F191C" w14:textId="77777777" w:rsidR="00853570" w:rsidRPr="009952CF" w:rsidRDefault="00853570" w:rsidP="00662941">
            <w:pPr>
              <w:pStyle w:val="Tabletextcentred"/>
              <w:rPr>
                <w:b/>
                <w:snapToGrid w:val="0"/>
              </w:rPr>
            </w:pPr>
            <w:r w:rsidRPr="009952CF">
              <w:rPr>
                <w:b/>
                <w:snapToGrid w:val="0"/>
              </w:rPr>
              <w:t>Definition</w:t>
            </w:r>
          </w:p>
        </w:tc>
        <w:tc>
          <w:tcPr>
            <w:tcW w:w="701" w:type="pct"/>
          </w:tcPr>
          <w:p w14:paraId="0F230D9C" w14:textId="77777777" w:rsidR="00853570" w:rsidRPr="009952CF" w:rsidRDefault="00853570" w:rsidP="00662941">
            <w:pPr>
              <w:pStyle w:val="Tabletextcentred"/>
              <w:rPr>
                <w:b/>
                <w:snapToGrid w:val="0"/>
              </w:rPr>
            </w:pPr>
            <w:r w:rsidRPr="009952CF">
              <w:rPr>
                <w:b/>
                <w:snapToGrid w:val="0"/>
              </w:rPr>
              <w:t>Cardiac ablation</w:t>
            </w:r>
          </w:p>
          <w:p w14:paraId="4ECDC342" w14:textId="77777777" w:rsidR="00853570" w:rsidRPr="009952CF" w:rsidRDefault="00853570" w:rsidP="00662941">
            <w:pPr>
              <w:pStyle w:val="Tabletextcentred"/>
              <w:rPr>
                <w:b/>
                <w:snapToGrid w:val="0"/>
              </w:rPr>
            </w:pPr>
            <w:r w:rsidRPr="009952CF">
              <w:rPr>
                <w:b/>
                <w:snapToGrid w:val="0"/>
              </w:rPr>
              <w:t>n/N (%)</w:t>
            </w:r>
          </w:p>
        </w:tc>
        <w:tc>
          <w:tcPr>
            <w:tcW w:w="508" w:type="pct"/>
          </w:tcPr>
          <w:p w14:paraId="46C88D8C" w14:textId="77777777" w:rsidR="00853570" w:rsidRPr="009952CF" w:rsidRDefault="00853570" w:rsidP="00662941">
            <w:pPr>
              <w:pStyle w:val="Tabletextcentred"/>
              <w:rPr>
                <w:b/>
                <w:snapToGrid w:val="0"/>
              </w:rPr>
            </w:pPr>
            <w:r w:rsidRPr="009952CF">
              <w:rPr>
                <w:b/>
                <w:snapToGrid w:val="0"/>
              </w:rPr>
              <w:t>No ablation</w:t>
            </w:r>
          </w:p>
          <w:p w14:paraId="16EB1425" w14:textId="77777777" w:rsidR="00853570" w:rsidRPr="009952CF" w:rsidRDefault="00853570" w:rsidP="00662941">
            <w:pPr>
              <w:pStyle w:val="Tabletextcentred"/>
              <w:rPr>
                <w:b/>
                <w:snapToGrid w:val="0"/>
              </w:rPr>
            </w:pPr>
            <w:r w:rsidRPr="009952CF">
              <w:rPr>
                <w:b/>
                <w:snapToGrid w:val="0"/>
              </w:rPr>
              <w:t>n/N (%)</w:t>
            </w:r>
          </w:p>
        </w:tc>
        <w:tc>
          <w:tcPr>
            <w:tcW w:w="688" w:type="pct"/>
          </w:tcPr>
          <w:p w14:paraId="53709294" w14:textId="77777777" w:rsidR="00853570" w:rsidRPr="009952CF" w:rsidRDefault="00853570" w:rsidP="00662941">
            <w:pPr>
              <w:pStyle w:val="Tabletextcentred"/>
              <w:rPr>
                <w:b/>
                <w:snapToGrid w:val="0"/>
              </w:rPr>
            </w:pPr>
            <w:r w:rsidRPr="009952CF">
              <w:rPr>
                <w:b/>
                <w:snapToGrid w:val="0"/>
              </w:rPr>
              <w:t>Risk estimate</w:t>
            </w:r>
          </w:p>
          <w:p w14:paraId="20B40804" w14:textId="77777777" w:rsidR="00853570" w:rsidRPr="009952CF" w:rsidRDefault="00853570" w:rsidP="00662941">
            <w:pPr>
              <w:pStyle w:val="Tabletextcentred"/>
              <w:rPr>
                <w:b/>
                <w:snapToGrid w:val="0"/>
              </w:rPr>
            </w:pPr>
            <w:r w:rsidRPr="009952CF">
              <w:rPr>
                <w:b/>
                <w:snapToGrid w:val="0"/>
              </w:rPr>
              <w:t>(95% CI)</w:t>
            </w:r>
          </w:p>
        </w:tc>
        <w:tc>
          <w:tcPr>
            <w:tcW w:w="702" w:type="pct"/>
          </w:tcPr>
          <w:p w14:paraId="35A44989" w14:textId="77777777" w:rsidR="00853570" w:rsidRPr="009952CF" w:rsidRDefault="00853570" w:rsidP="00662941">
            <w:pPr>
              <w:pStyle w:val="Tabletextcentred"/>
              <w:rPr>
                <w:b/>
                <w:snapToGrid w:val="0"/>
              </w:rPr>
            </w:pPr>
            <w:r w:rsidRPr="009952CF">
              <w:rPr>
                <w:b/>
                <w:snapToGrid w:val="0"/>
              </w:rPr>
              <w:t>Heterogeneity</w:t>
            </w:r>
          </w:p>
          <w:p w14:paraId="7AA5DC91" w14:textId="77777777" w:rsidR="00853570" w:rsidRPr="009952CF" w:rsidRDefault="00853570" w:rsidP="00662941">
            <w:pPr>
              <w:pStyle w:val="Tabletextcentred"/>
              <w:rPr>
                <w:b/>
                <w:snapToGrid w:val="0"/>
              </w:rPr>
            </w:pPr>
            <w:r w:rsidRPr="009952CF">
              <w:rPr>
                <w:b/>
                <w:snapToGrid w:val="0"/>
              </w:rPr>
              <w:t>P-value; I</w:t>
            </w:r>
            <w:r w:rsidRPr="009952CF">
              <w:rPr>
                <w:b/>
                <w:snapToGrid w:val="0"/>
                <w:vertAlign w:val="superscript"/>
              </w:rPr>
              <w:t>2</w:t>
            </w:r>
          </w:p>
        </w:tc>
      </w:tr>
      <w:tr w:rsidR="00853570" w:rsidRPr="00F71AD9" w14:paraId="608881F5" w14:textId="77777777" w:rsidTr="00D55575">
        <w:tc>
          <w:tcPr>
            <w:tcW w:w="509" w:type="pct"/>
          </w:tcPr>
          <w:p w14:paraId="7EE05C01" w14:textId="77777777" w:rsidR="00853570" w:rsidRPr="00F71AD9" w:rsidRDefault="00853570" w:rsidP="00662941">
            <w:pPr>
              <w:pStyle w:val="Tabletext"/>
              <w:rPr>
                <w:snapToGrid w:val="0"/>
              </w:rPr>
            </w:pPr>
            <w:r w:rsidRPr="00F71AD9">
              <w:rPr>
                <w:snapToGrid w:val="0"/>
              </w:rPr>
              <w:t>Anderson 2019</w:t>
            </w:r>
          </w:p>
          <w:p w14:paraId="0036A17B" w14:textId="77777777" w:rsidR="00853570" w:rsidRPr="00F71AD9" w:rsidRDefault="00853570" w:rsidP="00662941">
            <w:pPr>
              <w:pStyle w:val="Tabletext"/>
              <w:rPr>
                <w:snapToGrid w:val="0"/>
                <w:vertAlign w:val="superscript"/>
              </w:rPr>
            </w:pPr>
            <w:r w:rsidRPr="00F71AD9">
              <w:rPr>
                <w:strike/>
                <w:snapToGrid w:val="0"/>
              </w:rPr>
              <w:t>Moderate</w:t>
            </w:r>
            <w:r w:rsidRPr="00F71AD9">
              <w:rPr>
                <w:snapToGrid w:val="0"/>
              </w:rPr>
              <w:t xml:space="preserve"> </w:t>
            </w:r>
            <w:r>
              <w:rPr>
                <w:snapToGrid w:val="0"/>
              </w:rPr>
              <w:t xml:space="preserve">Low </w:t>
            </w:r>
            <w:r w:rsidRPr="00F71AD9">
              <w:rPr>
                <w:snapToGrid w:val="0"/>
              </w:rPr>
              <w:t>quality</w:t>
            </w:r>
            <w:r w:rsidRPr="00F71AD9">
              <w:rPr>
                <w:snapToGrid w:val="0"/>
                <w:vertAlign w:val="superscript"/>
              </w:rPr>
              <w:t>h</w:t>
            </w:r>
          </w:p>
        </w:tc>
        <w:tc>
          <w:tcPr>
            <w:tcW w:w="705" w:type="pct"/>
          </w:tcPr>
          <w:p w14:paraId="4ADD9CC3" w14:textId="77777777" w:rsidR="00853570" w:rsidRPr="00F71AD9" w:rsidRDefault="00853570" w:rsidP="00662941">
            <w:pPr>
              <w:pStyle w:val="Tabletext"/>
              <w:rPr>
                <w:snapToGrid w:val="0"/>
              </w:rPr>
            </w:pPr>
            <w:r w:rsidRPr="00F71AD9">
              <w:rPr>
                <w:snapToGrid w:val="0"/>
              </w:rPr>
              <w:t>VT+IHD+ICD</w:t>
            </w:r>
          </w:p>
          <w:p w14:paraId="32D3BDB5" w14:textId="77777777" w:rsidR="00853570" w:rsidRPr="00F71AD9" w:rsidRDefault="00853570" w:rsidP="00662941">
            <w:pPr>
              <w:pStyle w:val="Tabletext"/>
              <w:rPr>
                <w:snapToGrid w:val="0"/>
                <w:vertAlign w:val="superscript"/>
              </w:rPr>
            </w:pPr>
            <w:r w:rsidRPr="00F71AD9">
              <w:rPr>
                <w:snapToGrid w:val="0"/>
              </w:rPr>
              <w:t>(mean 22 months, range 6-27.9 months)</w:t>
            </w:r>
            <w:r w:rsidRPr="00F71AD9">
              <w:rPr>
                <w:snapToGrid w:val="0"/>
                <w:vertAlign w:val="superscript"/>
              </w:rPr>
              <w:t>b</w:t>
            </w:r>
          </w:p>
        </w:tc>
        <w:tc>
          <w:tcPr>
            <w:tcW w:w="475" w:type="pct"/>
          </w:tcPr>
          <w:p w14:paraId="00219AF4" w14:textId="77777777" w:rsidR="00853570" w:rsidRPr="00F71AD9" w:rsidRDefault="00853570" w:rsidP="00662941">
            <w:pPr>
              <w:pStyle w:val="Tabletext"/>
              <w:rPr>
                <w:snapToGrid w:val="0"/>
              </w:rPr>
            </w:pPr>
            <w:r w:rsidRPr="00F71AD9">
              <w:rPr>
                <w:snapToGrid w:val="0"/>
              </w:rPr>
              <w:t>7 RCTs</w:t>
            </w:r>
            <w:r w:rsidRPr="00F71AD9">
              <w:rPr>
                <w:snapToGrid w:val="0"/>
                <w:vertAlign w:val="superscript"/>
              </w:rPr>
              <w:t>a</w:t>
            </w:r>
          </w:p>
        </w:tc>
        <w:tc>
          <w:tcPr>
            <w:tcW w:w="712" w:type="pct"/>
          </w:tcPr>
          <w:p w14:paraId="24424015" w14:textId="77777777" w:rsidR="00853570" w:rsidRPr="00F71AD9" w:rsidRDefault="00853570" w:rsidP="00662941">
            <w:pPr>
              <w:pStyle w:val="Tabletext"/>
              <w:rPr>
                <w:snapToGrid w:val="0"/>
              </w:rPr>
            </w:pPr>
            <w:r w:rsidRPr="00F71AD9">
              <w:rPr>
                <w:snapToGrid w:val="0"/>
              </w:rPr>
              <w:t>Major procedural complications</w:t>
            </w:r>
          </w:p>
        </w:tc>
        <w:tc>
          <w:tcPr>
            <w:tcW w:w="701" w:type="pct"/>
          </w:tcPr>
          <w:p w14:paraId="1CA13D60" w14:textId="77777777" w:rsidR="00853570" w:rsidRPr="00F71AD9" w:rsidRDefault="00853570" w:rsidP="00662941">
            <w:pPr>
              <w:pStyle w:val="Tabletext"/>
              <w:rPr>
                <w:snapToGrid w:val="0"/>
              </w:rPr>
            </w:pPr>
            <w:r w:rsidRPr="00F71AD9">
              <w:rPr>
                <w:snapToGrid w:val="0"/>
              </w:rPr>
              <w:t>8.3%</w:t>
            </w:r>
          </w:p>
          <w:p w14:paraId="70BC4245" w14:textId="77777777" w:rsidR="00853570" w:rsidRPr="00F71AD9" w:rsidRDefault="00853570" w:rsidP="00662941">
            <w:pPr>
              <w:pStyle w:val="Tabletext"/>
              <w:rPr>
                <w:snapToGrid w:val="0"/>
              </w:rPr>
            </w:pPr>
            <w:r w:rsidRPr="00F71AD9">
              <w:rPr>
                <w:snapToGrid w:val="0"/>
              </w:rPr>
              <w:t>(95% CI: 5.6%, 12.2%)</w:t>
            </w:r>
          </w:p>
        </w:tc>
        <w:tc>
          <w:tcPr>
            <w:tcW w:w="508" w:type="pct"/>
          </w:tcPr>
          <w:p w14:paraId="01474C54" w14:textId="77777777" w:rsidR="00853570" w:rsidRPr="00F71AD9" w:rsidRDefault="00853570" w:rsidP="00662941">
            <w:pPr>
              <w:pStyle w:val="Tabletext"/>
              <w:rPr>
                <w:snapToGrid w:val="0"/>
              </w:rPr>
            </w:pPr>
            <w:r w:rsidRPr="00F71AD9">
              <w:rPr>
                <w:snapToGrid w:val="0"/>
              </w:rPr>
              <w:t>NR</w:t>
            </w:r>
          </w:p>
        </w:tc>
        <w:tc>
          <w:tcPr>
            <w:tcW w:w="688" w:type="pct"/>
          </w:tcPr>
          <w:p w14:paraId="2747DE5A" w14:textId="77777777" w:rsidR="00853570" w:rsidRPr="00F71AD9" w:rsidRDefault="00853570" w:rsidP="00662941">
            <w:pPr>
              <w:pStyle w:val="Tabletext"/>
              <w:rPr>
                <w:snapToGrid w:val="0"/>
              </w:rPr>
            </w:pPr>
            <w:r w:rsidRPr="00F71AD9">
              <w:rPr>
                <w:snapToGrid w:val="0"/>
              </w:rPr>
              <w:t>NR</w:t>
            </w:r>
          </w:p>
        </w:tc>
        <w:tc>
          <w:tcPr>
            <w:tcW w:w="702" w:type="pct"/>
          </w:tcPr>
          <w:p w14:paraId="0B29E024" w14:textId="77777777" w:rsidR="00853570" w:rsidRPr="00F71AD9" w:rsidRDefault="00853570" w:rsidP="00662941">
            <w:pPr>
              <w:pStyle w:val="Tabletext"/>
              <w:rPr>
                <w:snapToGrid w:val="0"/>
              </w:rPr>
            </w:pPr>
            <w:r w:rsidRPr="00F71AD9">
              <w:rPr>
                <w:snapToGrid w:val="0"/>
              </w:rPr>
              <w:t>p-value NR, I</w:t>
            </w:r>
            <w:r w:rsidRPr="00F71AD9">
              <w:rPr>
                <w:snapToGrid w:val="0"/>
                <w:vertAlign w:val="superscript"/>
              </w:rPr>
              <w:t>2</w:t>
            </w:r>
            <w:r w:rsidRPr="00F71AD9">
              <w:rPr>
                <w:snapToGrid w:val="0"/>
              </w:rPr>
              <w:t>=18%</w:t>
            </w:r>
          </w:p>
        </w:tc>
      </w:tr>
      <w:tr w:rsidR="00853570" w:rsidRPr="00F71AD9" w14:paraId="18C48C8D" w14:textId="77777777" w:rsidTr="00D55575">
        <w:tc>
          <w:tcPr>
            <w:tcW w:w="509" w:type="pct"/>
          </w:tcPr>
          <w:p w14:paraId="6FEE7106" w14:textId="77777777" w:rsidR="00853570" w:rsidRPr="00F71AD9" w:rsidRDefault="00853570" w:rsidP="00662941">
            <w:pPr>
              <w:pStyle w:val="Tabletext"/>
              <w:rPr>
                <w:strike/>
                <w:snapToGrid w:val="0"/>
              </w:rPr>
            </w:pPr>
            <w:r w:rsidRPr="00F71AD9">
              <w:rPr>
                <w:strike/>
                <w:snapToGrid w:val="0"/>
              </w:rPr>
              <w:t>Atti 2018</w:t>
            </w:r>
          </w:p>
          <w:p w14:paraId="2972F39C" w14:textId="77777777" w:rsidR="00853570" w:rsidRPr="00F71AD9" w:rsidRDefault="00853570" w:rsidP="00662941">
            <w:pPr>
              <w:pStyle w:val="Tabletext"/>
              <w:rPr>
                <w:strike/>
                <w:snapToGrid w:val="0"/>
                <w:vertAlign w:val="superscript"/>
              </w:rPr>
            </w:pPr>
            <w:r w:rsidRPr="00F71AD9">
              <w:rPr>
                <w:strike/>
                <w:snapToGrid w:val="0"/>
              </w:rPr>
              <w:t>Low quality</w:t>
            </w:r>
            <w:r w:rsidRPr="00F71AD9">
              <w:rPr>
                <w:strike/>
                <w:snapToGrid w:val="0"/>
                <w:vertAlign w:val="superscript"/>
              </w:rPr>
              <w:t>h</w:t>
            </w:r>
          </w:p>
        </w:tc>
        <w:tc>
          <w:tcPr>
            <w:tcW w:w="705" w:type="pct"/>
          </w:tcPr>
          <w:p w14:paraId="39F86809" w14:textId="77777777" w:rsidR="00853570" w:rsidRPr="00F71AD9" w:rsidRDefault="00853570" w:rsidP="00662941">
            <w:pPr>
              <w:pStyle w:val="Tabletext"/>
              <w:rPr>
                <w:strike/>
                <w:snapToGrid w:val="0"/>
              </w:rPr>
            </w:pPr>
            <w:r w:rsidRPr="00F71AD9">
              <w:rPr>
                <w:strike/>
                <w:snapToGrid w:val="0"/>
              </w:rPr>
              <w:t>VT+IHD+ICD</w:t>
            </w:r>
          </w:p>
          <w:p w14:paraId="09BBFC3C" w14:textId="77777777" w:rsidR="00853570" w:rsidRPr="00F71AD9" w:rsidRDefault="00853570" w:rsidP="00662941">
            <w:pPr>
              <w:pStyle w:val="Tabletext"/>
              <w:rPr>
                <w:strike/>
                <w:snapToGrid w:val="0"/>
                <w:vertAlign w:val="superscript"/>
              </w:rPr>
            </w:pPr>
            <w:r w:rsidRPr="00F71AD9">
              <w:rPr>
                <w:strike/>
                <w:snapToGrid w:val="0"/>
              </w:rPr>
              <w:t>(mean 24.1, range 22.5-27.9 months)</w:t>
            </w:r>
            <w:r w:rsidRPr="00F71AD9">
              <w:rPr>
                <w:strike/>
                <w:snapToGrid w:val="0"/>
                <w:vertAlign w:val="superscript"/>
              </w:rPr>
              <w:t>b</w:t>
            </w:r>
          </w:p>
        </w:tc>
        <w:tc>
          <w:tcPr>
            <w:tcW w:w="475" w:type="pct"/>
          </w:tcPr>
          <w:p w14:paraId="0BC850E8" w14:textId="77777777" w:rsidR="00853570" w:rsidRPr="00F71AD9" w:rsidRDefault="00853570" w:rsidP="00662941">
            <w:pPr>
              <w:pStyle w:val="Tabletext"/>
              <w:rPr>
                <w:strike/>
                <w:snapToGrid w:val="0"/>
              </w:rPr>
            </w:pPr>
            <w:r w:rsidRPr="00F71AD9">
              <w:rPr>
                <w:strike/>
                <w:snapToGrid w:val="0"/>
              </w:rPr>
              <w:t>3 RCTs</w:t>
            </w:r>
            <w:r w:rsidRPr="00F71AD9">
              <w:rPr>
                <w:strike/>
                <w:snapToGrid w:val="0"/>
                <w:vertAlign w:val="superscript"/>
              </w:rPr>
              <w:t>c</w:t>
            </w:r>
          </w:p>
        </w:tc>
        <w:tc>
          <w:tcPr>
            <w:tcW w:w="712" w:type="pct"/>
          </w:tcPr>
          <w:p w14:paraId="1ED49638" w14:textId="77777777" w:rsidR="00853570" w:rsidRPr="00F71AD9" w:rsidRDefault="00853570" w:rsidP="00662941">
            <w:pPr>
              <w:pStyle w:val="Tabletext"/>
              <w:rPr>
                <w:strike/>
                <w:snapToGrid w:val="0"/>
              </w:rPr>
            </w:pPr>
            <w:r w:rsidRPr="00F71AD9">
              <w:rPr>
                <w:strike/>
                <w:snapToGrid w:val="0"/>
              </w:rPr>
              <w:t>Major AEs</w:t>
            </w:r>
          </w:p>
        </w:tc>
        <w:tc>
          <w:tcPr>
            <w:tcW w:w="701" w:type="pct"/>
          </w:tcPr>
          <w:p w14:paraId="5C93B630" w14:textId="77777777" w:rsidR="00853570" w:rsidRPr="00F71AD9" w:rsidRDefault="00853570" w:rsidP="00662941">
            <w:pPr>
              <w:pStyle w:val="Tabletext"/>
              <w:rPr>
                <w:strike/>
                <w:snapToGrid w:val="0"/>
              </w:rPr>
            </w:pPr>
            <w:r w:rsidRPr="00F71AD9">
              <w:rPr>
                <w:strike/>
                <w:snapToGrid w:val="0"/>
              </w:rPr>
              <w:t>25/170 (14.7%)</w:t>
            </w:r>
          </w:p>
        </w:tc>
        <w:tc>
          <w:tcPr>
            <w:tcW w:w="508" w:type="pct"/>
          </w:tcPr>
          <w:p w14:paraId="29C13318" w14:textId="77777777" w:rsidR="00853570" w:rsidRPr="00F71AD9" w:rsidRDefault="00853570" w:rsidP="00662941">
            <w:pPr>
              <w:pStyle w:val="Tabletext"/>
              <w:rPr>
                <w:strike/>
                <w:snapToGrid w:val="0"/>
              </w:rPr>
            </w:pPr>
            <w:r w:rsidRPr="00F71AD9">
              <w:rPr>
                <w:strike/>
                <w:snapToGrid w:val="0"/>
              </w:rPr>
              <w:t>19/176 (10.8%)</w:t>
            </w:r>
          </w:p>
        </w:tc>
        <w:tc>
          <w:tcPr>
            <w:tcW w:w="688" w:type="pct"/>
          </w:tcPr>
          <w:p w14:paraId="73D1E985" w14:textId="77777777" w:rsidR="00853570" w:rsidRPr="00F71AD9" w:rsidRDefault="00853570" w:rsidP="00662941">
            <w:pPr>
              <w:pStyle w:val="Tabletext"/>
              <w:rPr>
                <w:strike/>
                <w:snapToGrid w:val="0"/>
              </w:rPr>
            </w:pPr>
            <w:r w:rsidRPr="00F71AD9">
              <w:rPr>
                <w:strike/>
                <w:snapToGrid w:val="0"/>
              </w:rPr>
              <w:t>OR 1.45 (0.52, 4.01), p=0.47</w:t>
            </w:r>
          </w:p>
        </w:tc>
        <w:tc>
          <w:tcPr>
            <w:tcW w:w="702" w:type="pct"/>
          </w:tcPr>
          <w:p w14:paraId="56F8904C" w14:textId="77777777" w:rsidR="00853570" w:rsidRPr="00F71AD9" w:rsidRDefault="00853570" w:rsidP="00662941">
            <w:pPr>
              <w:pStyle w:val="Tabletext"/>
              <w:rPr>
                <w:strike/>
                <w:snapToGrid w:val="0"/>
              </w:rPr>
            </w:pPr>
            <w:r w:rsidRPr="00F71AD9">
              <w:rPr>
                <w:strike/>
                <w:snapToGrid w:val="0"/>
              </w:rPr>
              <w:t>p=0.18; I</w:t>
            </w:r>
            <w:r w:rsidRPr="00F71AD9">
              <w:rPr>
                <w:strike/>
                <w:snapToGrid w:val="0"/>
                <w:vertAlign w:val="superscript"/>
              </w:rPr>
              <w:t>2</w:t>
            </w:r>
            <w:r w:rsidRPr="00F71AD9">
              <w:rPr>
                <w:strike/>
                <w:snapToGrid w:val="0"/>
              </w:rPr>
              <w:t>=43%</w:t>
            </w:r>
          </w:p>
        </w:tc>
      </w:tr>
      <w:tr w:rsidR="00853570" w:rsidRPr="00F71AD9" w14:paraId="5BDCE46B" w14:textId="77777777" w:rsidTr="00D55575">
        <w:tc>
          <w:tcPr>
            <w:tcW w:w="509" w:type="pct"/>
          </w:tcPr>
          <w:p w14:paraId="4750C800" w14:textId="77777777" w:rsidR="00853570" w:rsidRPr="00F71AD9" w:rsidRDefault="00853570" w:rsidP="00662941">
            <w:pPr>
              <w:pStyle w:val="Tabletext"/>
              <w:rPr>
                <w:snapToGrid w:val="0"/>
              </w:rPr>
            </w:pPr>
            <w:r w:rsidRPr="00F71AD9">
              <w:rPr>
                <w:snapToGrid w:val="0"/>
              </w:rPr>
              <w:t>Martinez 2019</w:t>
            </w:r>
          </w:p>
          <w:p w14:paraId="01158C7C" w14:textId="77777777" w:rsidR="00853570" w:rsidRPr="00F71AD9" w:rsidRDefault="00853570" w:rsidP="00662941">
            <w:pPr>
              <w:pStyle w:val="Tabletext"/>
              <w:rPr>
                <w:snapToGrid w:val="0"/>
                <w:vertAlign w:val="superscript"/>
              </w:rPr>
            </w:pPr>
            <w:r w:rsidRPr="00F71AD9">
              <w:rPr>
                <w:snapToGrid w:val="0"/>
              </w:rPr>
              <w:t>Moderate quality</w:t>
            </w:r>
            <w:r w:rsidRPr="00F71AD9">
              <w:rPr>
                <w:snapToGrid w:val="0"/>
                <w:vertAlign w:val="superscript"/>
              </w:rPr>
              <w:t>h</w:t>
            </w:r>
          </w:p>
        </w:tc>
        <w:tc>
          <w:tcPr>
            <w:tcW w:w="705" w:type="pct"/>
          </w:tcPr>
          <w:p w14:paraId="32BB146A" w14:textId="77777777" w:rsidR="00853570" w:rsidRPr="00F71AD9" w:rsidRDefault="00853570" w:rsidP="00662941">
            <w:pPr>
              <w:pStyle w:val="Tabletext"/>
              <w:rPr>
                <w:snapToGrid w:val="0"/>
              </w:rPr>
            </w:pPr>
            <w:r w:rsidRPr="00F71AD9">
              <w:rPr>
                <w:snapToGrid w:val="0"/>
              </w:rPr>
              <w:t>VT+IHD+ICD</w:t>
            </w:r>
          </w:p>
          <w:p w14:paraId="4E0AF628" w14:textId="77777777" w:rsidR="00853570" w:rsidRPr="00F71AD9" w:rsidRDefault="00853570" w:rsidP="00662941">
            <w:pPr>
              <w:pStyle w:val="Tabletext"/>
              <w:rPr>
                <w:snapToGrid w:val="0"/>
                <w:vertAlign w:val="superscript"/>
              </w:rPr>
            </w:pPr>
            <w:r w:rsidRPr="00F71AD9">
              <w:rPr>
                <w:snapToGrid w:val="0"/>
              </w:rPr>
              <w:t>(mean 24.9, range 6-27.9 months)</w:t>
            </w:r>
            <w:r w:rsidRPr="00F71AD9">
              <w:rPr>
                <w:snapToGrid w:val="0"/>
                <w:vertAlign w:val="superscript"/>
              </w:rPr>
              <w:t>b</w:t>
            </w:r>
          </w:p>
        </w:tc>
        <w:tc>
          <w:tcPr>
            <w:tcW w:w="475" w:type="pct"/>
          </w:tcPr>
          <w:p w14:paraId="15924519" w14:textId="77777777" w:rsidR="00853570" w:rsidRPr="00F71AD9" w:rsidRDefault="00853570" w:rsidP="00662941">
            <w:pPr>
              <w:pStyle w:val="Tabletext"/>
              <w:rPr>
                <w:snapToGrid w:val="0"/>
              </w:rPr>
            </w:pPr>
            <w:r w:rsidRPr="00F71AD9">
              <w:rPr>
                <w:snapToGrid w:val="0"/>
              </w:rPr>
              <w:t>5 RCTs</w:t>
            </w:r>
            <w:r w:rsidRPr="00F71AD9">
              <w:rPr>
                <w:snapToGrid w:val="0"/>
                <w:vertAlign w:val="superscript"/>
              </w:rPr>
              <w:t>d</w:t>
            </w:r>
          </w:p>
        </w:tc>
        <w:tc>
          <w:tcPr>
            <w:tcW w:w="712" w:type="pct"/>
          </w:tcPr>
          <w:p w14:paraId="277182BC" w14:textId="77777777" w:rsidR="00853570" w:rsidRPr="00F71AD9" w:rsidRDefault="00853570" w:rsidP="00662941">
            <w:pPr>
              <w:pStyle w:val="Tabletext"/>
              <w:rPr>
                <w:snapToGrid w:val="0"/>
                <w:vertAlign w:val="superscript"/>
              </w:rPr>
            </w:pPr>
            <w:r w:rsidRPr="00F71AD9">
              <w:rPr>
                <w:snapToGrid w:val="0"/>
              </w:rPr>
              <w:t>Procedural-related AEs</w:t>
            </w:r>
            <w:r w:rsidRPr="00F71AD9">
              <w:rPr>
                <w:snapToGrid w:val="0"/>
                <w:vertAlign w:val="superscript"/>
              </w:rPr>
              <w:t>f</w:t>
            </w:r>
          </w:p>
        </w:tc>
        <w:tc>
          <w:tcPr>
            <w:tcW w:w="701" w:type="pct"/>
          </w:tcPr>
          <w:p w14:paraId="48B1380B" w14:textId="77777777" w:rsidR="00853570" w:rsidRPr="00F71AD9" w:rsidRDefault="00853570" w:rsidP="00662941">
            <w:pPr>
              <w:pStyle w:val="Tabletext"/>
              <w:rPr>
                <w:snapToGrid w:val="0"/>
              </w:rPr>
            </w:pPr>
            <w:r w:rsidRPr="00F71AD9">
              <w:rPr>
                <w:snapToGrid w:val="0"/>
              </w:rPr>
              <w:t>30/315 (9.5%)</w:t>
            </w:r>
          </w:p>
        </w:tc>
        <w:tc>
          <w:tcPr>
            <w:tcW w:w="508" w:type="pct"/>
          </w:tcPr>
          <w:p w14:paraId="51BFDE5A" w14:textId="77777777" w:rsidR="00853570" w:rsidRPr="00F71AD9" w:rsidRDefault="00853570" w:rsidP="00662941">
            <w:pPr>
              <w:pStyle w:val="Tabletext"/>
              <w:rPr>
                <w:snapToGrid w:val="0"/>
              </w:rPr>
            </w:pPr>
            <w:r w:rsidRPr="00F71AD9">
              <w:rPr>
                <w:snapToGrid w:val="0"/>
              </w:rPr>
              <w:t>NR</w:t>
            </w:r>
          </w:p>
        </w:tc>
        <w:tc>
          <w:tcPr>
            <w:tcW w:w="688" w:type="pct"/>
          </w:tcPr>
          <w:p w14:paraId="48C2132A" w14:textId="77777777" w:rsidR="00853570" w:rsidRPr="00F71AD9" w:rsidRDefault="00853570" w:rsidP="00662941">
            <w:pPr>
              <w:pStyle w:val="Tabletext"/>
              <w:rPr>
                <w:snapToGrid w:val="0"/>
              </w:rPr>
            </w:pPr>
            <w:r w:rsidRPr="00F71AD9">
              <w:rPr>
                <w:snapToGrid w:val="0"/>
              </w:rPr>
              <w:t>NR</w:t>
            </w:r>
          </w:p>
        </w:tc>
        <w:tc>
          <w:tcPr>
            <w:tcW w:w="702" w:type="pct"/>
          </w:tcPr>
          <w:p w14:paraId="5865FE62" w14:textId="77777777" w:rsidR="00853570" w:rsidRPr="00F71AD9" w:rsidRDefault="00853570" w:rsidP="00662941">
            <w:pPr>
              <w:pStyle w:val="Tabletext"/>
              <w:rPr>
                <w:snapToGrid w:val="0"/>
              </w:rPr>
            </w:pPr>
            <w:r w:rsidRPr="00F71AD9">
              <w:rPr>
                <w:snapToGrid w:val="0"/>
              </w:rPr>
              <w:t>NR</w:t>
            </w:r>
          </w:p>
        </w:tc>
      </w:tr>
      <w:tr w:rsidR="00853570" w:rsidRPr="00F71AD9" w14:paraId="3ABC29F2" w14:textId="77777777" w:rsidTr="00D55575">
        <w:tc>
          <w:tcPr>
            <w:tcW w:w="509" w:type="pct"/>
          </w:tcPr>
          <w:p w14:paraId="4433CF83" w14:textId="77777777" w:rsidR="00853570" w:rsidRPr="00F71AD9" w:rsidRDefault="00853570" w:rsidP="00662941">
            <w:pPr>
              <w:pStyle w:val="Tabletext"/>
              <w:rPr>
                <w:strike/>
                <w:snapToGrid w:val="0"/>
              </w:rPr>
            </w:pPr>
            <w:r w:rsidRPr="00F71AD9">
              <w:rPr>
                <w:strike/>
                <w:snapToGrid w:val="0"/>
              </w:rPr>
              <w:t>Tilz 2019</w:t>
            </w:r>
          </w:p>
          <w:p w14:paraId="12ACAAFC" w14:textId="77777777" w:rsidR="00853570" w:rsidRPr="00F71AD9" w:rsidRDefault="00853570" w:rsidP="00662941">
            <w:pPr>
              <w:pStyle w:val="Tabletext"/>
              <w:rPr>
                <w:strike/>
                <w:snapToGrid w:val="0"/>
                <w:vertAlign w:val="superscript"/>
              </w:rPr>
            </w:pPr>
            <w:r w:rsidRPr="00F71AD9">
              <w:rPr>
                <w:strike/>
                <w:snapToGrid w:val="0"/>
              </w:rPr>
              <w:t>Low quality</w:t>
            </w:r>
            <w:r w:rsidRPr="00F71AD9">
              <w:rPr>
                <w:strike/>
                <w:snapToGrid w:val="0"/>
                <w:vertAlign w:val="superscript"/>
              </w:rPr>
              <w:t>h</w:t>
            </w:r>
          </w:p>
        </w:tc>
        <w:tc>
          <w:tcPr>
            <w:tcW w:w="705" w:type="pct"/>
          </w:tcPr>
          <w:p w14:paraId="05284996" w14:textId="77777777" w:rsidR="00853570" w:rsidRPr="00F71AD9" w:rsidRDefault="00853570" w:rsidP="00662941">
            <w:pPr>
              <w:pStyle w:val="Tabletext"/>
              <w:rPr>
                <w:strike/>
                <w:snapToGrid w:val="0"/>
              </w:rPr>
            </w:pPr>
            <w:r w:rsidRPr="00F71AD9">
              <w:rPr>
                <w:strike/>
                <w:snapToGrid w:val="0"/>
              </w:rPr>
              <w:t>VT+IHD+ICD</w:t>
            </w:r>
          </w:p>
          <w:p w14:paraId="759BB044" w14:textId="77777777" w:rsidR="00853570" w:rsidRPr="00F71AD9" w:rsidRDefault="00853570" w:rsidP="00662941">
            <w:pPr>
              <w:pStyle w:val="Tabletext"/>
              <w:rPr>
                <w:strike/>
                <w:snapToGrid w:val="0"/>
                <w:vertAlign w:val="superscript"/>
              </w:rPr>
            </w:pPr>
            <w:r w:rsidRPr="00F71AD9">
              <w:rPr>
                <w:strike/>
                <w:snapToGrid w:val="0"/>
              </w:rPr>
              <w:t>(mean 24.1, range 22.5-27.9 months)</w:t>
            </w:r>
            <w:r w:rsidRPr="00F71AD9">
              <w:rPr>
                <w:strike/>
                <w:snapToGrid w:val="0"/>
                <w:vertAlign w:val="superscript"/>
              </w:rPr>
              <w:t>b</w:t>
            </w:r>
          </w:p>
        </w:tc>
        <w:tc>
          <w:tcPr>
            <w:tcW w:w="475" w:type="pct"/>
          </w:tcPr>
          <w:p w14:paraId="70C62A6B" w14:textId="77777777" w:rsidR="00853570" w:rsidRPr="00F71AD9" w:rsidRDefault="00853570" w:rsidP="00662941">
            <w:pPr>
              <w:pStyle w:val="Tabletext"/>
              <w:rPr>
                <w:strike/>
                <w:snapToGrid w:val="0"/>
              </w:rPr>
            </w:pPr>
            <w:r w:rsidRPr="00F71AD9">
              <w:rPr>
                <w:strike/>
                <w:snapToGrid w:val="0"/>
              </w:rPr>
              <w:t>3 RCTs</w:t>
            </w:r>
            <w:r w:rsidRPr="00F71AD9">
              <w:rPr>
                <w:strike/>
                <w:snapToGrid w:val="0"/>
                <w:vertAlign w:val="superscript"/>
              </w:rPr>
              <w:t>c</w:t>
            </w:r>
          </w:p>
        </w:tc>
        <w:tc>
          <w:tcPr>
            <w:tcW w:w="712" w:type="pct"/>
          </w:tcPr>
          <w:p w14:paraId="7D5645AD" w14:textId="77777777" w:rsidR="00853570" w:rsidRPr="00F71AD9" w:rsidRDefault="00853570" w:rsidP="00662941">
            <w:pPr>
              <w:pStyle w:val="Tabletext"/>
              <w:rPr>
                <w:strike/>
                <w:snapToGrid w:val="0"/>
              </w:rPr>
            </w:pPr>
            <w:r w:rsidRPr="00F71AD9">
              <w:rPr>
                <w:strike/>
                <w:snapToGrid w:val="0"/>
              </w:rPr>
              <w:t>Major complications</w:t>
            </w:r>
          </w:p>
        </w:tc>
        <w:tc>
          <w:tcPr>
            <w:tcW w:w="701" w:type="pct"/>
          </w:tcPr>
          <w:p w14:paraId="71BBF2F5" w14:textId="77777777" w:rsidR="00853570" w:rsidRPr="00F71AD9" w:rsidRDefault="00853570" w:rsidP="00662941">
            <w:pPr>
              <w:pStyle w:val="Tabletext"/>
              <w:rPr>
                <w:strike/>
                <w:snapToGrid w:val="0"/>
              </w:rPr>
            </w:pPr>
            <w:r w:rsidRPr="00F71AD9">
              <w:rPr>
                <w:strike/>
                <w:snapToGrid w:val="0"/>
              </w:rPr>
              <w:t>24/170 (14.1%)</w:t>
            </w:r>
          </w:p>
        </w:tc>
        <w:tc>
          <w:tcPr>
            <w:tcW w:w="508" w:type="pct"/>
          </w:tcPr>
          <w:p w14:paraId="52649D9C" w14:textId="77777777" w:rsidR="00853570" w:rsidRPr="00F71AD9" w:rsidRDefault="00853570" w:rsidP="00662941">
            <w:pPr>
              <w:pStyle w:val="Tabletext"/>
              <w:rPr>
                <w:strike/>
                <w:snapToGrid w:val="0"/>
              </w:rPr>
            </w:pPr>
            <w:r w:rsidRPr="00F71AD9">
              <w:rPr>
                <w:strike/>
                <w:snapToGrid w:val="0"/>
              </w:rPr>
              <w:t>19/176 (10.8%)</w:t>
            </w:r>
          </w:p>
        </w:tc>
        <w:tc>
          <w:tcPr>
            <w:tcW w:w="688" w:type="pct"/>
          </w:tcPr>
          <w:p w14:paraId="78FF4635" w14:textId="77777777" w:rsidR="00853570" w:rsidRPr="00F71AD9" w:rsidRDefault="00853570" w:rsidP="00662941">
            <w:pPr>
              <w:pStyle w:val="Tabletext"/>
              <w:rPr>
                <w:strike/>
                <w:snapToGrid w:val="0"/>
              </w:rPr>
            </w:pPr>
            <w:r w:rsidRPr="00F71AD9">
              <w:rPr>
                <w:strike/>
                <w:snapToGrid w:val="0"/>
              </w:rPr>
              <w:t>OR 1.39 (0.43, 4.51), p=0.581</w:t>
            </w:r>
          </w:p>
        </w:tc>
        <w:tc>
          <w:tcPr>
            <w:tcW w:w="702" w:type="pct"/>
          </w:tcPr>
          <w:p w14:paraId="7435459A" w14:textId="77777777" w:rsidR="00853570" w:rsidRPr="00F71AD9" w:rsidRDefault="00853570" w:rsidP="00662941">
            <w:pPr>
              <w:pStyle w:val="Tabletext"/>
              <w:rPr>
                <w:strike/>
                <w:snapToGrid w:val="0"/>
              </w:rPr>
            </w:pPr>
            <w:r w:rsidRPr="00F71AD9">
              <w:rPr>
                <w:strike/>
                <w:snapToGrid w:val="0"/>
              </w:rPr>
              <w:t>p=0.118; I</w:t>
            </w:r>
            <w:r w:rsidRPr="00F71AD9">
              <w:rPr>
                <w:strike/>
                <w:snapToGrid w:val="0"/>
                <w:vertAlign w:val="superscript"/>
              </w:rPr>
              <w:t>2</w:t>
            </w:r>
            <w:r w:rsidRPr="00F71AD9">
              <w:rPr>
                <w:strike/>
                <w:snapToGrid w:val="0"/>
              </w:rPr>
              <w:t>=53.3%</w:t>
            </w:r>
          </w:p>
        </w:tc>
      </w:tr>
      <w:tr w:rsidR="00853570" w:rsidRPr="00F71AD9" w14:paraId="1560FFE5" w14:textId="77777777" w:rsidTr="00D55575">
        <w:tc>
          <w:tcPr>
            <w:tcW w:w="509" w:type="pct"/>
          </w:tcPr>
          <w:p w14:paraId="5FA1EC46" w14:textId="77777777" w:rsidR="00853570" w:rsidRPr="00083E1A" w:rsidRDefault="00853570" w:rsidP="00662941">
            <w:pPr>
              <w:pStyle w:val="Tabletext"/>
              <w:rPr>
                <w:snapToGrid w:val="0"/>
              </w:rPr>
            </w:pPr>
            <w:r w:rsidRPr="00083E1A">
              <w:rPr>
                <w:snapToGrid w:val="0"/>
              </w:rPr>
              <w:t>Da Costa 2006</w:t>
            </w:r>
          </w:p>
          <w:p w14:paraId="61F21E95" w14:textId="77777777" w:rsidR="00853570" w:rsidRPr="00083E1A" w:rsidRDefault="00853570" w:rsidP="00662941">
            <w:pPr>
              <w:pStyle w:val="Tabletext"/>
              <w:rPr>
                <w:snapToGrid w:val="0"/>
              </w:rPr>
            </w:pPr>
            <w:r w:rsidRPr="00083E1A">
              <w:rPr>
                <w:snapToGrid w:val="0"/>
              </w:rPr>
              <w:t>Satisfactory quality</w:t>
            </w:r>
            <w:r w:rsidRPr="00083E1A">
              <w:rPr>
                <w:snapToGrid w:val="0"/>
                <w:vertAlign w:val="superscript"/>
              </w:rPr>
              <w:t>g</w:t>
            </w:r>
          </w:p>
        </w:tc>
        <w:tc>
          <w:tcPr>
            <w:tcW w:w="705" w:type="pct"/>
          </w:tcPr>
          <w:p w14:paraId="208C1C36" w14:textId="77777777" w:rsidR="00853570" w:rsidRPr="00083E1A" w:rsidRDefault="00853570" w:rsidP="00662941">
            <w:pPr>
              <w:pStyle w:val="Tabletext"/>
              <w:rPr>
                <w:snapToGrid w:val="0"/>
              </w:rPr>
            </w:pPr>
            <w:r w:rsidRPr="00083E1A">
              <w:rPr>
                <w:snapToGrid w:val="0"/>
              </w:rPr>
              <w:t>AFL</w:t>
            </w:r>
          </w:p>
          <w:p w14:paraId="3A23148A" w14:textId="77777777" w:rsidR="00853570" w:rsidRPr="00083E1A" w:rsidRDefault="00853570" w:rsidP="00662941">
            <w:pPr>
              <w:pStyle w:val="Tabletext"/>
              <w:rPr>
                <w:snapToGrid w:val="0"/>
              </w:rPr>
            </w:pPr>
            <w:r w:rsidRPr="00083E1A">
              <w:rPr>
                <w:snapToGrid w:val="0"/>
              </w:rPr>
              <w:t>(mean 13 months)</w:t>
            </w:r>
          </w:p>
        </w:tc>
        <w:tc>
          <w:tcPr>
            <w:tcW w:w="475" w:type="pct"/>
          </w:tcPr>
          <w:p w14:paraId="6ED7D290" w14:textId="77777777" w:rsidR="00853570" w:rsidRPr="00083E1A" w:rsidRDefault="00853570" w:rsidP="00662941">
            <w:pPr>
              <w:pStyle w:val="Tabletext"/>
              <w:rPr>
                <w:snapToGrid w:val="0"/>
              </w:rPr>
            </w:pPr>
            <w:r w:rsidRPr="00083E1A">
              <w:rPr>
                <w:snapToGrid w:val="0"/>
              </w:rPr>
              <w:t>1 RCT</w:t>
            </w:r>
          </w:p>
        </w:tc>
        <w:tc>
          <w:tcPr>
            <w:tcW w:w="712" w:type="pct"/>
          </w:tcPr>
          <w:p w14:paraId="68B5D5BF" w14:textId="77777777" w:rsidR="00853570" w:rsidRPr="00083E1A" w:rsidRDefault="00853570" w:rsidP="00662941">
            <w:pPr>
              <w:pStyle w:val="Tabletext"/>
              <w:rPr>
                <w:snapToGrid w:val="0"/>
              </w:rPr>
            </w:pPr>
            <w:r w:rsidRPr="00083E1A">
              <w:rPr>
                <w:snapToGrid w:val="0"/>
              </w:rPr>
              <w:t>Complications</w:t>
            </w:r>
          </w:p>
        </w:tc>
        <w:tc>
          <w:tcPr>
            <w:tcW w:w="701" w:type="pct"/>
          </w:tcPr>
          <w:p w14:paraId="22D5EEE8" w14:textId="77777777" w:rsidR="00853570" w:rsidRPr="00083E1A" w:rsidRDefault="00853570" w:rsidP="00662941">
            <w:pPr>
              <w:pStyle w:val="Tabletext"/>
              <w:rPr>
                <w:snapToGrid w:val="0"/>
              </w:rPr>
            </w:pPr>
            <w:r w:rsidRPr="00083E1A">
              <w:rPr>
                <w:snapToGrid w:val="0"/>
              </w:rPr>
              <w:t>0/52 (0%)</w:t>
            </w:r>
          </w:p>
        </w:tc>
        <w:tc>
          <w:tcPr>
            <w:tcW w:w="508" w:type="pct"/>
          </w:tcPr>
          <w:p w14:paraId="043B110D" w14:textId="77777777" w:rsidR="00853570" w:rsidRPr="00083E1A" w:rsidRDefault="00853570" w:rsidP="00662941">
            <w:pPr>
              <w:pStyle w:val="Tabletext"/>
              <w:rPr>
                <w:snapToGrid w:val="0"/>
              </w:rPr>
            </w:pPr>
            <w:r w:rsidRPr="00083E1A">
              <w:rPr>
                <w:snapToGrid w:val="0"/>
              </w:rPr>
              <w:t>5/52 (9.6%)</w:t>
            </w:r>
          </w:p>
        </w:tc>
        <w:tc>
          <w:tcPr>
            <w:tcW w:w="688" w:type="pct"/>
          </w:tcPr>
          <w:p w14:paraId="6909E03C" w14:textId="77777777" w:rsidR="00853570" w:rsidRPr="00083E1A" w:rsidRDefault="00853570" w:rsidP="00662941">
            <w:pPr>
              <w:pStyle w:val="Tabletext"/>
              <w:rPr>
                <w:b/>
                <w:snapToGrid w:val="0"/>
              </w:rPr>
            </w:pPr>
            <w:r w:rsidRPr="00083E1A">
              <w:rPr>
                <w:b/>
                <w:snapToGrid w:val="0"/>
              </w:rPr>
              <w:t>RD -9.6% (-</w:t>
            </w:r>
            <w:r>
              <w:rPr>
                <w:b/>
                <w:snapToGrid w:val="0"/>
              </w:rPr>
              <w:t> </w:t>
            </w:r>
            <w:r w:rsidRPr="00083E1A">
              <w:rPr>
                <w:b/>
                <w:snapToGrid w:val="0"/>
              </w:rPr>
              <w:t>17.6%, -</w:t>
            </w:r>
            <w:r>
              <w:rPr>
                <w:b/>
                <w:snapToGrid w:val="0"/>
              </w:rPr>
              <w:t> </w:t>
            </w:r>
            <w:r w:rsidRPr="00083E1A">
              <w:rPr>
                <w:b/>
                <w:snapToGrid w:val="0"/>
              </w:rPr>
              <w:t>1.6%)</w:t>
            </w:r>
            <w:r w:rsidRPr="00083E1A">
              <w:rPr>
                <w:b/>
                <w:snapToGrid w:val="0"/>
                <w:vertAlign w:val="superscript"/>
              </w:rPr>
              <w:t>e</w:t>
            </w:r>
            <w:r w:rsidRPr="00083E1A">
              <w:rPr>
                <w:b/>
                <w:snapToGrid w:val="0"/>
              </w:rPr>
              <w:t>; p=0.03</w:t>
            </w:r>
          </w:p>
        </w:tc>
        <w:tc>
          <w:tcPr>
            <w:tcW w:w="702" w:type="pct"/>
          </w:tcPr>
          <w:p w14:paraId="3AEC46B2" w14:textId="77777777" w:rsidR="00853570" w:rsidRPr="00083E1A" w:rsidRDefault="00853570" w:rsidP="00662941">
            <w:pPr>
              <w:pStyle w:val="Tabletext"/>
              <w:rPr>
                <w:snapToGrid w:val="0"/>
              </w:rPr>
            </w:pPr>
            <w:r w:rsidRPr="00083E1A">
              <w:rPr>
                <w:snapToGrid w:val="0"/>
              </w:rPr>
              <w:t>-</w:t>
            </w:r>
          </w:p>
        </w:tc>
      </w:tr>
    </w:tbl>
    <w:p w14:paraId="4545B6E1" w14:textId="77777777" w:rsidR="00853570" w:rsidRDefault="00853570" w:rsidP="00853570">
      <w:pPr>
        <w:pStyle w:val="TFAbbrevs0"/>
      </w:pPr>
      <w:r>
        <w:t>Source: Table 29 (p.63) of the ADAR, with Commentary amendments. Low applicability studies, and Commentary suggested changes, are indicated with a strikethrough.</w:t>
      </w:r>
    </w:p>
    <w:p w14:paraId="1E85A28B" w14:textId="77777777" w:rsidR="00853570" w:rsidRPr="00F71AD9" w:rsidRDefault="00853570" w:rsidP="00853570">
      <w:pPr>
        <w:pStyle w:val="TFAbbrevs0"/>
      </w:pPr>
      <w:r w:rsidRPr="00F71AD9">
        <w:t>AE</w:t>
      </w:r>
      <w:r>
        <w:t>=</w:t>
      </w:r>
      <w:r w:rsidRPr="00F71AD9">
        <w:t>adverse event; AFL</w:t>
      </w:r>
      <w:r>
        <w:t>=</w:t>
      </w:r>
      <w:r w:rsidRPr="00F71AD9">
        <w:t>atrial flutter; AVNRT</w:t>
      </w:r>
      <w:r>
        <w:t>=</w:t>
      </w:r>
      <w:r w:rsidRPr="00F71AD9">
        <w:t>atrioventricular nodal re-entrant tachycardia; CI</w:t>
      </w:r>
      <w:r>
        <w:t>=</w:t>
      </w:r>
      <w:r w:rsidRPr="00F71AD9">
        <w:t>confidence interval; ICD</w:t>
      </w:r>
      <w:r>
        <w:t>=</w:t>
      </w:r>
      <w:r w:rsidRPr="00F71AD9">
        <w:t>implantable cardioverter defibrillator; IHD</w:t>
      </w:r>
      <w:r>
        <w:t>=</w:t>
      </w:r>
      <w:r w:rsidRPr="00F71AD9">
        <w:t>ischaemic heart disease; NR</w:t>
      </w:r>
      <w:r>
        <w:t>=</w:t>
      </w:r>
      <w:r w:rsidRPr="00F71AD9">
        <w:t>not reported; OR</w:t>
      </w:r>
      <w:r>
        <w:t>=</w:t>
      </w:r>
      <w:r w:rsidRPr="00F71AD9">
        <w:t>odds ratio; RCT</w:t>
      </w:r>
      <w:r>
        <w:t>=</w:t>
      </w:r>
      <w:r w:rsidRPr="00F71AD9">
        <w:t>randomised controlled trial; RR</w:t>
      </w:r>
      <w:r>
        <w:t>=</w:t>
      </w:r>
      <w:r w:rsidRPr="00F71AD9">
        <w:t>relative risk; VT</w:t>
      </w:r>
      <w:r>
        <w:t>=</w:t>
      </w:r>
      <w:r w:rsidRPr="00F71AD9">
        <w:t>ventricular arrhythmia</w:t>
      </w:r>
    </w:p>
    <w:p w14:paraId="07B968F2" w14:textId="77777777" w:rsidR="00853570" w:rsidRPr="00F71AD9" w:rsidRDefault="00853570" w:rsidP="00853570">
      <w:pPr>
        <w:pStyle w:val="TFAbbrevs0"/>
      </w:pPr>
      <w:r w:rsidRPr="00F71AD9">
        <w:t>a Al-Khatib 2015, Epstein 1998, Koa-Wing 2009, Kuck 2010, Kuck 2017, Reddy 2007, Sapp 2016</w:t>
      </w:r>
    </w:p>
    <w:p w14:paraId="6EFBB319" w14:textId="77777777" w:rsidR="00853570" w:rsidRPr="00F71AD9" w:rsidRDefault="00853570" w:rsidP="00853570">
      <w:pPr>
        <w:pStyle w:val="TFAbbrevs0"/>
      </w:pPr>
      <w:r w:rsidRPr="00F71AD9">
        <w:t xml:space="preserve">b </w:t>
      </w:r>
      <w:r>
        <w:t>C</w:t>
      </w:r>
      <w:r w:rsidRPr="00F71AD9">
        <w:t>alculated mean follow-up for RCTs by weighting mean follow-up period by each RCT by sample size</w:t>
      </w:r>
    </w:p>
    <w:p w14:paraId="4912C636" w14:textId="77777777" w:rsidR="00853570" w:rsidRPr="00F71AD9" w:rsidRDefault="00853570" w:rsidP="00853570">
      <w:pPr>
        <w:pStyle w:val="TFAbbrevs0"/>
      </w:pPr>
      <w:r w:rsidRPr="00F71AD9">
        <w:t>c Kuck 2010, Kuck 2017, Reddy 2007</w:t>
      </w:r>
    </w:p>
    <w:p w14:paraId="704AD078" w14:textId="77777777" w:rsidR="00853570" w:rsidRPr="00F71AD9" w:rsidRDefault="00853570" w:rsidP="00853570">
      <w:pPr>
        <w:pStyle w:val="TFAbbrevs0"/>
      </w:pPr>
      <w:r w:rsidRPr="00F71AD9">
        <w:t>d Al-Khatib 2015, Kuck 2010, Kuck 2017, Reddy 2007, Sapp 2016</w:t>
      </w:r>
    </w:p>
    <w:p w14:paraId="012C770C" w14:textId="77777777" w:rsidR="00853570" w:rsidRPr="00F71AD9" w:rsidRDefault="00853570" w:rsidP="00853570">
      <w:pPr>
        <w:pStyle w:val="TFAbbrevs0"/>
      </w:pPr>
      <w:r w:rsidRPr="00F71AD9">
        <w:t xml:space="preserve">e </w:t>
      </w:r>
      <w:r>
        <w:t>R</w:t>
      </w:r>
      <w:r w:rsidRPr="00F71AD9">
        <w:t xml:space="preserve">isk difference calculated for </w:t>
      </w:r>
      <w:r>
        <w:t>the ADAR</w:t>
      </w:r>
    </w:p>
    <w:p w14:paraId="21DFA6C2" w14:textId="77777777" w:rsidR="00853570" w:rsidRPr="00F71AD9" w:rsidRDefault="00853570" w:rsidP="00853570">
      <w:pPr>
        <w:pStyle w:val="TFAbbrevs0"/>
      </w:pPr>
      <w:r w:rsidRPr="00F71AD9">
        <w:t xml:space="preserve">f </w:t>
      </w:r>
      <w:r>
        <w:t>A</w:t>
      </w:r>
      <w:r w:rsidRPr="00F71AD9">
        <w:t>dverse events not reported in the control arms due to variations in control strategies</w:t>
      </w:r>
      <w:r>
        <w:t>;</w:t>
      </w:r>
      <w:r w:rsidRPr="00F71AD9">
        <w:t xml:space="preserve"> however</w:t>
      </w:r>
      <w:r>
        <w:t>,</w:t>
      </w:r>
      <w:r w:rsidRPr="00F71AD9">
        <w:t xml:space="preserve"> SLR concluded </w:t>
      </w:r>
      <w:r>
        <w:t>AEs</w:t>
      </w:r>
      <w:r w:rsidRPr="00F71AD9">
        <w:t xml:space="preserve"> were less common in the ablation arm versus the AAD arm</w:t>
      </w:r>
    </w:p>
    <w:p w14:paraId="1C0D1814" w14:textId="77777777" w:rsidR="00853570" w:rsidRPr="00F71AD9" w:rsidRDefault="00853570" w:rsidP="00853570">
      <w:pPr>
        <w:pStyle w:val="TFAbbrevs0"/>
      </w:pPr>
      <w:r w:rsidRPr="00F71AD9">
        <w:t xml:space="preserve">g </w:t>
      </w:r>
      <w:r>
        <w:t>A</w:t>
      </w:r>
      <w:r w:rsidRPr="00F71AD9">
        <w:t>ssessed in the SLR by the Centre for Reviews and Dissemination, University of York UK (Rodgers 2008, Appendix 2</w:t>
      </w:r>
      <w:r>
        <w:t>)</w:t>
      </w:r>
    </w:p>
    <w:p w14:paraId="3D616DB4" w14:textId="77777777" w:rsidR="00853570" w:rsidRPr="00F71AD9" w:rsidRDefault="00853570" w:rsidP="00853570">
      <w:pPr>
        <w:pStyle w:val="TFAbbrevs0"/>
      </w:pPr>
      <w:r w:rsidRPr="00F71AD9">
        <w:t xml:space="preserve">h </w:t>
      </w:r>
      <w:r>
        <w:t>C</w:t>
      </w:r>
      <w:r w:rsidRPr="00F71AD9">
        <w:t xml:space="preserve">alculated using the AMSTAR 2 tool (Shea 2017), see Section B.3 of </w:t>
      </w:r>
      <w:r>
        <w:t>the</w:t>
      </w:r>
      <w:r w:rsidRPr="00F71AD9">
        <w:t xml:space="preserve"> ADAR</w:t>
      </w:r>
      <w:r>
        <w:t>.</w:t>
      </w:r>
    </w:p>
    <w:p w14:paraId="5DBA5796" w14:textId="77777777" w:rsidR="00853570" w:rsidRDefault="00853570" w:rsidP="00AC4639">
      <w:pPr>
        <w:pStyle w:val="TFAbbrevs18"/>
        <w:spacing w:after="240"/>
      </w:pPr>
      <w:r w:rsidRPr="00F71AD9">
        <w:t xml:space="preserve">Statistically significant results are in </w:t>
      </w:r>
      <w:r w:rsidRPr="00F71AD9">
        <w:rPr>
          <w:b/>
        </w:rPr>
        <w:t>bold</w:t>
      </w:r>
      <w:r w:rsidRPr="00F71AD9">
        <w:t xml:space="preserve"> text (p-value &lt;0.05).</w:t>
      </w:r>
    </w:p>
    <w:p w14:paraId="4957B163" w14:textId="75F1296E" w:rsidR="00853570" w:rsidRDefault="00853570" w:rsidP="00853570">
      <w:r>
        <w:t>The Martinez (2019) SLR reported a</w:t>
      </w:r>
      <w:r w:rsidRPr="00210480">
        <w:t xml:space="preserve"> statistically significant reduction in </w:t>
      </w:r>
      <w:r w:rsidRPr="003F05A6">
        <w:t xml:space="preserve">cardiac </w:t>
      </w:r>
      <w:r w:rsidRPr="00210480">
        <w:t>hospitalisation for patients undergoing cardiac ablation (odds ratio</w:t>
      </w:r>
      <w:r>
        <w:t xml:space="preserve"> [OR] 0.67; 95% CI 0.46, 0.97) over a mean follow-up period of 25.5 </w:t>
      </w:r>
      <w:r w:rsidRPr="00965525">
        <w:rPr>
          <w:szCs w:val="24"/>
        </w:rPr>
        <w:t>months (</w:t>
      </w:r>
      <w:r w:rsidR="00965525" w:rsidRPr="00965525">
        <w:rPr>
          <w:szCs w:val="24"/>
        </w:rPr>
        <w:fldChar w:fldCharType="begin"/>
      </w:r>
      <w:r w:rsidR="00965525" w:rsidRPr="00965525">
        <w:rPr>
          <w:szCs w:val="24"/>
        </w:rPr>
        <w:instrText xml:space="preserve"> REF _Ref24970155 \h  \* MERGEFORMAT </w:instrText>
      </w:r>
      <w:r w:rsidR="00965525" w:rsidRPr="00965525">
        <w:rPr>
          <w:szCs w:val="24"/>
        </w:rPr>
      </w:r>
      <w:r w:rsidR="00965525" w:rsidRPr="00965525">
        <w:rPr>
          <w:szCs w:val="24"/>
        </w:rPr>
        <w:fldChar w:fldCharType="separate"/>
      </w:r>
      <w:r w:rsidR="00965525" w:rsidRPr="00965525">
        <w:rPr>
          <w:szCs w:val="24"/>
        </w:rPr>
        <w:t>Table 2</w:t>
      </w:r>
      <w:r w:rsidR="00965525" w:rsidRPr="00965525">
        <w:rPr>
          <w:szCs w:val="24"/>
        </w:rPr>
        <w:fldChar w:fldCharType="end"/>
      </w:r>
      <w:r>
        <w:t>)</w:t>
      </w:r>
      <w:r w:rsidRPr="001C2E32">
        <w:t>.</w:t>
      </w:r>
    </w:p>
    <w:p w14:paraId="443CEBF2" w14:textId="3A1BFAD7" w:rsidR="00853570" w:rsidRPr="00D55575" w:rsidRDefault="00AC4639" w:rsidP="00D55575">
      <w:pPr>
        <w:keepNext/>
        <w:keepLines/>
        <w:spacing w:before="240"/>
        <w:rPr>
          <w:rFonts w:ascii="Arial Narrow" w:hAnsi="Arial Narrow"/>
          <w:b/>
          <w:sz w:val="20"/>
        </w:rPr>
      </w:pPr>
      <w:bookmarkStart w:id="7" w:name="_Ref24970155"/>
      <w:bookmarkStart w:id="8" w:name="_Toc29370357"/>
      <w:r w:rsidRPr="00D55575">
        <w:rPr>
          <w:rFonts w:ascii="Arial Narrow" w:hAnsi="Arial Narrow"/>
          <w:b/>
          <w:sz w:val="20"/>
        </w:rPr>
        <w:lastRenderedPageBreak/>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2</w:t>
      </w:r>
      <w:r w:rsidR="00156907" w:rsidRPr="00D55575">
        <w:rPr>
          <w:rFonts w:ascii="Arial Narrow" w:hAnsi="Arial Narrow"/>
          <w:b/>
          <w:sz w:val="20"/>
        </w:rPr>
        <w:fldChar w:fldCharType="end"/>
      </w:r>
      <w:bookmarkEnd w:id="7"/>
      <w:r w:rsidR="00853570" w:rsidRPr="00D55575">
        <w:rPr>
          <w:rFonts w:ascii="Arial Narrow" w:hAnsi="Arial Narrow"/>
          <w:b/>
          <w:sz w:val="20"/>
        </w:rPr>
        <w:tab/>
        <w:t>Results from the systematic reviews and trials – cardiac hospitalisation</w:t>
      </w:r>
      <w:bookmarkEnd w:id="8"/>
    </w:p>
    <w:tbl>
      <w:tblPr>
        <w:tblStyle w:val="TableGrid2"/>
        <w:tblW w:w="4984" w:type="pct"/>
        <w:tblLook w:val="04A0" w:firstRow="1" w:lastRow="0" w:firstColumn="1" w:lastColumn="0" w:noHBand="0" w:noVBand="1"/>
        <w:tblCaption w:val="Results from the systematic reviews and trials – cardiac hospitalisation"/>
        <w:tblDescription w:val="This table contains:  Results from selected systematic reviews and trials – cardiac hospitalisation"/>
      </w:tblPr>
      <w:tblGrid>
        <w:gridCol w:w="1073"/>
        <w:gridCol w:w="1381"/>
        <w:gridCol w:w="923"/>
        <w:gridCol w:w="1244"/>
        <w:gridCol w:w="1244"/>
        <w:gridCol w:w="1812"/>
        <w:gridCol w:w="1310"/>
      </w:tblGrid>
      <w:tr w:rsidR="00853570" w:rsidRPr="0024257B" w14:paraId="602A43DF" w14:textId="77777777" w:rsidTr="00D55575">
        <w:trPr>
          <w:cnfStyle w:val="100000000000" w:firstRow="1" w:lastRow="0" w:firstColumn="0" w:lastColumn="0" w:oddVBand="0" w:evenVBand="0" w:oddHBand="0" w:evenHBand="0" w:firstRowFirstColumn="0" w:firstRowLastColumn="0" w:lastRowFirstColumn="0" w:lastRowLastColumn="0"/>
          <w:tblHeader/>
        </w:trPr>
        <w:tc>
          <w:tcPr>
            <w:tcW w:w="615" w:type="pct"/>
          </w:tcPr>
          <w:p w14:paraId="7034799A" w14:textId="77777777" w:rsidR="00853570" w:rsidRPr="009952CF" w:rsidRDefault="00853570" w:rsidP="00D55575">
            <w:pPr>
              <w:pStyle w:val="Tabletextcentred"/>
              <w:keepNext/>
              <w:keepLines/>
              <w:rPr>
                <w:b/>
                <w:snapToGrid w:val="0"/>
              </w:rPr>
            </w:pPr>
            <w:r w:rsidRPr="009952CF">
              <w:rPr>
                <w:b/>
                <w:snapToGrid w:val="0"/>
              </w:rPr>
              <w:t>Study ID</w:t>
            </w:r>
          </w:p>
          <w:p w14:paraId="282A0F38" w14:textId="77777777" w:rsidR="00853570" w:rsidRPr="009952CF" w:rsidRDefault="00853570" w:rsidP="00D55575">
            <w:pPr>
              <w:pStyle w:val="Tabletextcentred"/>
              <w:keepNext/>
              <w:keepLines/>
              <w:rPr>
                <w:b/>
                <w:snapToGrid w:val="0"/>
              </w:rPr>
            </w:pPr>
            <w:r w:rsidRPr="009952CF">
              <w:rPr>
                <w:b/>
                <w:snapToGrid w:val="0"/>
              </w:rPr>
              <w:t>Quality</w:t>
            </w:r>
          </w:p>
        </w:tc>
        <w:tc>
          <w:tcPr>
            <w:tcW w:w="787" w:type="pct"/>
          </w:tcPr>
          <w:p w14:paraId="70969E00" w14:textId="77777777" w:rsidR="00853570" w:rsidRPr="009952CF" w:rsidRDefault="00853570" w:rsidP="00D55575">
            <w:pPr>
              <w:pStyle w:val="Tabletextcentred"/>
              <w:keepNext/>
              <w:keepLines/>
              <w:rPr>
                <w:b/>
                <w:snapToGrid w:val="0"/>
              </w:rPr>
            </w:pPr>
            <w:r w:rsidRPr="009952CF">
              <w:rPr>
                <w:b/>
                <w:snapToGrid w:val="0"/>
              </w:rPr>
              <w:t>Population</w:t>
            </w:r>
          </w:p>
          <w:p w14:paraId="5D384ADA" w14:textId="77777777" w:rsidR="00853570" w:rsidRPr="009952CF" w:rsidRDefault="00853570" w:rsidP="00D55575">
            <w:pPr>
              <w:pStyle w:val="Tabletextcentred"/>
              <w:keepNext/>
              <w:keepLines/>
              <w:rPr>
                <w:b/>
                <w:snapToGrid w:val="0"/>
              </w:rPr>
            </w:pPr>
            <w:r w:rsidRPr="009952CF">
              <w:rPr>
                <w:b/>
                <w:snapToGrid w:val="0"/>
              </w:rPr>
              <w:t>(follow-up)</w:t>
            </w:r>
          </w:p>
        </w:tc>
        <w:tc>
          <w:tcPr>
            <w:tcW w:w="472" w:type="pct"/>
          </w:tcPr>
          <w:p w14:paraId="539C79EA" w14:textId="77777777" w:rsidR="00853570" w:rsidRPr="009952CF" w:rsidRDefault="00853570" w:rsidP="00D55575">
            <w:pPr>
              <w:pStyle w:val="Tabletextcentred"/>
              <w:keepNext/>
              <w:keepLines/>
              <w:rPr>
                <w:b/>
                <w:snapToGrid w:val="0"/>
              </w:rPr>
            </w:pPr>
            <w:r w:rsidRPr="009952CF">
              <w:rPr>
                <w:b/>
                <w:snapToGrid w:val="0"/>
              </w:rPr>
              <w:t xml:space="preserve">No. studies </w:t>
            </w:r>
          </w:p>
        </w:tc>
        <w:tc>
          <w:tcPr>
            <w:tcW w:w="710" w:type="pct"/>
          </w:tcPr>
          <w:p w14:paraId="34FDF55A" w14:textId="77777777" w:rsidR="00853570" w:rsidRPr="009952CF" w:rsidRDefault="00853570" w:rsidP="00D55575">
            <w:pPr>
              <w:pStyle w:val="Tabletextcentred"/>
              <w:keepNext/>
              <w:keepLines/>
              <w:rPr>
                <w:b/>
                <w:snapToGrid w:val="0"/>
              </w:rPr>
            </w:pPr>
            <w:r w:rsidRPr="009952CF">
              <w:rPr>
                <w:b/>
                <w:snapToGrid w:val="0"/>
              </w:rPr>
              <w:t>Cardiac ablation</w:t>
            </w:r>
          </w:p>
          <w:p w14:paraId="0DBA5464" w14:textId="77777777" w:rsidR="00853570" w:rsidRPr="009952CF" w:rsidRDefault="00853570" w:rsidP="00D55575">
            <w:pPr>
              <w:pStyle w:val="Tabletextcentred"/>
              <w:keepNext/>
              <w:keepLines/>
              <w:rPr>
                <w:b/>
                <w:snapToGrid w:val="0"/>
              </w:rPr>
            </w:pPr>
            <w:r w:rsidRPr="009952CF">
              <w:rPr>
                <w:b/>
                <w:snapToGrid w:val="0"/>
              </w:rPr>
              <w:t>n/N (%)</w:t>
            </w:r>
          </w:p>
        </w:tc>
        <w:tc>
          <w:tcPr>
            <w:tcW w:w="710" w:type="pct"/>
          </w:tcPr>
          <w:p w14:paraId="404439E0" w14:textId="77777777" w:rsidR="00853570" w:rsidRPr="009952CF" w:rsidRDefault="00853570" w:rsidP="00D55575">
            <w:pPr>
              <w:pStyle w:val="Tabletextcentred"/>
              <w:keepNext/>
              <w:keepLines/>
              <w:rPr>
                <w:b/>
                <w:snapToGrid w:val="0"/>
              </w:rPr>
            </w:pPr>
            <w:r w:rsidRPr="009952CF">
              <w:rPr>
                <w:b/>
                <w:snapToGrid w:val="0"/>
              </w:rPr>
              <w:t>No ablation</w:t>
            </w:r>
          </w:p>
          <w:p w14:paraId="146D0D09" w14:textId="77777777" w:rsidR="00853570" w:rsidRPr="009952CF" w:rsidRDefault="00853570" w:rsidP="00D55575">
            <w:pPr>
              <w:pStyle w:val="Tabletextcentred"/>
              <w:keepNext/>
              <w:keepLines/>
              <w:rPr>
                <w:b/>
                <w:snapToGrid w:val="0"/>
              </w:rPr>
            </w:pPr>
            <w:r w:rsidRPr="009952CF">
              <w:rPr>
                <w:b/>
                <w:snapToGrid w:val="0"/>
              </w:rPr>
              <w:t>n/N (%)</w:t>
            </w:r>
          </w:p>
        </w:tc>
        <w:tc>
          <w:tcPr>
            <w:tcW w:w="1026" w:type="pct"/>
          </w:tcPr>
          <w:p w14:paraId="3699D0C3" w14:textId="77777777" w:rsidR="00853570" w:rsidRPr="009952CF" w:rsidRDefault="00853570" w:rsidP="00D55575">
            <w:pPr>
              <w:pStyle w:val="Tabletextcentred"/>
              <w:keepNext/>
              <w:keepLines/>
              <w:rPr>
                <w:b/>
                <w:snapToGrid w:val="0"/>
              </w:rPr>
            </w:pPr>
            <w:r w:rsidRPr="009952CF">
              <w:rPr>
                <w:b/>
                <w:snapToGrid w:val="0"/>
              </w:rPr>
              <w:t>Risk estimate</w:t>
            </w:r>
          </w:p>
          <w:p w14:paraId="45EA8F0C" w14:textId="77777777" w:rsidR="00853570" w:rsidRPr="009952CF" w:rsidRDefault="00853570" w:rsidP="00D55575">
            <w:pPr>
              <w:pStyle w:val="Tabletextcentred"/>
              <w:keepNext/>
              <w:keepLines/>
              <w:rPr>
                <w:b/>
                <w:snapToGrid w:val="0"/>
              </w:rPr>
            </w:pPr>
            <w:r w:rsidRPr="009952CF">
              <w:rPr>
                <w:b/>
                <w:snapToGrid w:val="0"/>
              </w:rPr>
              <w:t>(95% CI)</w:t>
            </w:r>
            <w:r w:rsidRPr="009952CF">
              <w:rPr>
                <w:b/>
                <w:snapToGrid w:val="0"/>
              </w:rPr>
              <w:br/>
              <w:t>p-value</w:t>
            </w:r>
          </w:p>
        </w:tc>
        <w:tc>
          <w:tcPr>
            <w:tcW w:w="680" w:type="pct"/>
          </w:tcPr>
          <w:p w14:paraId="527EA0C4" w14:textId="77777777" w:rsidR="00853570" w:rsidRPr="009952CF" w:rsidRDefault="00853570" w:rsidP="00D55575">
            <w:pPr>
              <w:pStyle w:val="Tabletextcentred"/>
              <w:keepNext/>
              <w:keepLines/>
              <w:rPr>
                <w:b/>
                <w:snapToGrid w:val="0"/>
              </w:rPr>
            </w:pPr>
            <w:r w:rsidRPr="009952CF">
              <w:rPr>
                <w:b/>
                <w:snapToGrid w:val="0"/>
              </w:rPr>
              <w:t>Heterogeneity</w:t>
            </w:r>
          </w:p>
          <w:p w14:paraId="5EEA5E23" w14:textId="77777777" w:rsidR="00853570" w:rsidRPr="009952CF" w:rsidRDefault="00853570" w:rsidP="00D55575">
            <w:pPr>
              <w:pStyle w:val="Tabletextcentred"/>
              <w:keepNext/>
              <w:keepLines/>
              <w:rPr>
                <w:b/>
                <w:snapToGrid w:val="0"/>
              </w:rPr>
            </w:pPr>
            <w:r w:rsidRPr="009952CF">
              <w:rPr>
                <w:b/>
                <w:snapToGrid w:val="0"/>
              </w:rPr>
              <w:t>P-value; I</w:t>
            </w:r>
            <w:r w:rsidRPr="009952CF">
              <w:rPr>
                <w:b/>
                <w:snapToGrid w:val="0"/>
                <w:vertAlign w:val="superscript"/>
              </w:rPr>
              <w:t>2</w:t>
            </w:r>
          </w:p>
        </w:tc>
      </w:tr>
      <w:tr w:rsidR="00853570" w:rsidRPr="0024257B" w14:paraId="6CE56C83" w14:textId="77777777" w:rsidTr="00D55575">
        <w:tc>
          <w:tcPr>
            <w:tcW w:w="615" w:type="pct"/>
          </w:tcPr>
          <w:p w14:paraId="507AB613" w14:textId="77777777" w:rsidR="00853570" w:rsidRDefault="00853570" w:rsidP="00662941">
            <w:pPr>
              <w:pStyle w:val="TableText0"/>
              <w:rPr>
                <w:snapToGrid w:val="0"/>
              </w:rPr>
            </w:pPr>
            <w:r w:rsidRPr="0024257B">
              <w:rPr>
                <w:snapToGrid w:val="0"/>
              </w:rPr>
              <w:t>Martinez 2019</w:t>
            </w:r>
          </w:p>
          <w:p w14:paraId="0EA7DE9B" w14:textId="77777777" w:rsidR="00853570" w:rsidRPr="0024257B" w:rsidRDefault="00853570" w:rsidP="00662941">
            <w:pPr>
              <w:pStyle w:val="TableText0"/>
              <w:rPr>
                <w:snapToGrid w:val="0"/>
              </w:rPr>
            </w:pPr>
            <w:r>
              <w:rPr>
                <w:snapToGrid w:val="0"/>
              </w:rPr>
              <w:t>Moderate quality</w:t>
            </w:r>
            <w:r>
              <w:rPr>
                <w:snapToGrid w:val="0"/>
                <w:vertAlign w:val="superscript"/>
              </w:rPr>
              <w:t>f</w:t>
            </w:r>
          </w:p>
        </w:tc>
        <w:tc>
          <w:tcPr>
            <w:tcW w:w="787" w:type="pct"/>
          </w:tcPr>
          <w:p w14:paraId="5913A2C5" w14:textId="77777777" w:rsidR="00853570" w:rsidRPr="0024257B" w:rsidRDefault="00853570" w:rsidP="00662941">
            <w:pPr>
              <w:pStyle w:val="TableText0"/>
              <w:ind w:left="16" w:right="117"/>
              <w:rPr>
                <w:snapToGrid w:val="0"/>
              </w:rPr>
            </w:pPr>
            <w:r w:rsidRPr="0024257B">
              <w:rPr>
                <w:snapToGrid w:val="0"/>
              </w:rPr>
              <w:t>VT+IHD+ICD</w:t>
            </w:r>
          </w:p>
          <w:p w14:paraId="61583DD3" w14:textId="77777777" w:rsidR="00853570" w:rsidRPr="00442B2F" w:rsidRDefault="00853570" w:rsidP="00662941">
            <w:pPr>
              <w:pStyle w:val="TableText0"/>
              <w:ind w:left="16" w:right="117"/>
              <w:rPr>
                <w:snapToGrid w:val="0"/>
                <w:vertAlign w:val="superscript"/>
              </w:rPr>
            </w:pPr>
            <w:r w:rsidRPr="0024257B">
              <w:rPr>
                <w:snapToGrid w:val="0"/>
              </w:rPr>
              <w:t xml:space="preserve">(mean </w:t>
            </w:r>
            <w:r>
              <w:rPr>
                <w:snapToGrid w:val="0"/>
              </w:rPr>
              <w:t>25.5</w:t>
            </w:r>
            <w:r w:rsidRPr="0024257B">
              <w:rPr>
                <w:snapToGrid w:val="0"/>
              </w:rPr>
              <w:t xml:space="preserve"> months)</w:t>
            </w:r>
            <w:r>
              <w:rPr>
                <w:snapToGrid w:val="0"/>
                <w:vertAlign w:val="superscript"/>
              </w:rPr>
              <w:t>a</w:t>
            </w:r>
          </w:p>
        </w:tc>
        <w:tc>
          <w:tcPr>
            <w:tcW w:w="472" w:type="pct"/>
          </w:tcPr>
          <w:p w14:paraId="1148B4D3" w14:textId="77777777" w:rsidR="00853570" w:rsidRPr="0015135A" w:rsidRDefault="00853570" w:rsidP="00662941">
            <w:pPr>
              <w:pStyle w:val="TableText0"/>
              <w:ind w:left="111" w:right="117"/>
              <w:rPr>
                <w:snapToGrid w:val="0"/>
              </w:rPr>
            </w:pPr>
            <w:r w:rsidRPr="008C4AF7">
              <w:rPr>
                <w:snapToGrid w:val="0"/>
              </w:rPr>
              <w:t>4</w:t>
            </w:r>
            <w:r w:rsidRPr="0015135A">
              <w:rPr>
                <w:snapToGrid w:val="0"/>
              </w:rPr>
              <w:t xml:space="preserve"> RCTs</w:t>
            </w:r>
            <w:r>
              <w:rPr>
                <w:snapToGrid w:val="0"/>
                <w:vertAlign w:val="superscript"/>
              </w:rPr>
              <w:t>b</w:t>
            </w:r>
          </w:p>
        </w:tc>
        <w:tc>
          <w:tcPr>
            <w:tcW w:w="710" w:type="pct"/>
          </w:tcPr>
          <w:p w14:paraId="2D4DCF15" w14:textId="77777777" w:rsidR="00853570" w:rsidRPr="0015135A" w:rsidRDefault="00853570" w:rsidP="00662941">
            <w:pPr>
              <w:pStyle w:val="TableText0"/>
              <w:ind w:left="77" w:right="117"/>
              <w:rPr>
                <w:snapToGrid w:val="0"/>
              </w:rPr>
            </w:pPr>
            <w:r w:rsidRPr="0015135A">
              <w:rPr>
                <w:snapToGrid w:val="0"/>
              </w:rPr>
              <w:t>76/249 (30.5%)</w:t>
            </w:r>
          </w:p>
        </w:tc>
        <w:tc>
          <w:tcPr>
            <w:tcW w:w="710" w:type="pct"/>
          </w:tcPr>
          <w:p w14:paraId="1D0E1699" w14:textId="77777777" w:rsidR="00853570" w:rsidRPr="001C2E32" w:rsidRDefault="00853570" w:rsidP="00662941">
            <w:pPr>
              <w:pStyle w:val="TableText0"/>
              <w:ind w:left="41" w:right="117"/>
              <w:rPr>
                <w:snapToGrid w:val="0"/>
              </w:rPr>
            </w:pPr>
            <w:r w:rsidRPr="001C2E32">
              <w:rPr>
                <w:snapToGrid w:val="0"/>
              </w:rPr>
              <w:t>101/253 (39.9%)</w:t>
            </w:r>
          </w:p>
        </w:tc>
        <w:tc>
          <w:tcPr>
            <w:tcW w:w="1026" w:type="pct"/>
          </w:tcPr>
          <w:p w14:paraId="4085A760" w14:textId="77777777" w:rsidR="00853570" w:rsidRPr="008A03BD" w:rsidRDefault="00853570" w:rsidP="00662941">
            <w:pPr>
              <w:pStyle w:val="TableText0"/>
              <w:ind w:right="117"/>
              <w:rPr>
                <w:b/>
                <w:snapToGrid w:val="0"/>
              </w:rPr>
            </w:pPr>
            <w:r w:rsidRPr="008A03BD">
              <w:rPr>
                <w:b/>
                <w:snapToGrid w:val="0"/>
              </w:rPr>
              <w:t>OR 0.67 (0.46, 0.97)</w:t>
            </w:r>
            <w:r>
              <w:rPr>
                <w:b/>
                <w:snapToGrid w:val="0"/>
              </w:rPr>
              <w:br/>
            </w:r>
            <w:r w:rsidRPr="008A03BD">
              <w:rPr>
                <w:b/>
                <w:snapToGrid w:val="0"/>
              </w:rPr>
              <w:t>p-value NR</w:t>
            </w:r>
          </w:p>
        </w:tc>
        <w:tc>
          <w:tcPr>
            <w:tcW w:w="680" w:type="pct"/>
          </w:tcPr>
          <w:p w14:paraId="6272E5C4" w14:textId="77777777" w:rsidR="00853570" w:rsidRPr="0015135A" w:rsidRDefault="00853570" w:rsidP="00662941">
            <w:pPr>
              <w:pStyle w:val="TableText0"/>
              <w:ind w:right="117"/>
              <w:rPr>
                <w:snapToGrid w:val="0"/>
              </w:rPr>
            </w:pPr>
            <w:r w:rsidRPr="0015135A">
              <w:rPr>
                <w:snapToGrid w:val="0"/>
              </w:rPr>
              <w:t>p=0.56; I</w:t>
            </w:r>
            <w:r w:rsidRPr="0015135A">
              <w:rPr>
                <w:snapToGrid w:val="0"/>
                <w:vertAlign w:val="superscript"/>
              </w:rPr>
              <w:t>2</w:t>
            </w:r>
            <w:r w:rsidRPr="0015135A">
              <w:rPr>
                <w:snapToGrid w:val="0"/>
              </w:rPr>
              <w:t>=0%</w:t>
            </w:r>
          </w:p>
        </w:tc>
      </w:tr>
      <w:tr w:rsidR="00853570" w:rsidRPr="006D76E5" w14:paraId="20746D22" w14:textId="77777777" w:rsidTr="00D55575">
        <w:tc>
          <w:tcPr>
            <w:tcW w:w="615" w:type="pct"/>
          </w:tcPr>
          <w:p w14:paraId="3880D567" w14:textId="77777777" w:rsidR="00853570" w:rsidRPr="006D76E5" w:rsidRDefault="00853570" w:rsidP="00662941">
            <w:pPr>
              <w:pStyle w:val="TableText0"/>
              <w:rPr>
                <w:snapToGrid w:val="0"/>
              </w:rPr>
            </w:pPr>
            <w:r w:rsidRPr="006D76E5">
              <w:rPr>
                <w:snapToGrid w:val="0"/>
              </w:rPr>
              <w:t>Natale 2000</w:t>
            </w:r>
          </w:p>
          <w:p w14:paraId="418794FA" w14:textId="77777777" w:rsidR="00853570" w:rsidRPr="006D76E5" w:rsidRDefault="00853570" w:rsidP="00662941">
            <w:pPr>
              <w:pStyle w:val="TableText0"/>
              <w:rPr>
                <w:snapToGrid w:val="0"/>
                <w:vertAlign w:val="superscript"/>
              </w:rPr>
            </w:pPr>
            <w:r w:rsidRPr="006D76E5">
              <w:rPr>
                <w:snapToGrid w:val="0"/>
              </w:rPr>
              <w:t>Satisfactory quality</w:t>
            </w:r>
            <w:r w:rsidRPr="006D76E5">
              <w:rPr>
                <w:snapToGrid w:val="0"/>
                <w:vertAlign w:val="superscript"/>
              </w:rPr>
              <w:t>d</w:t>
            </w:r>
          </w:p>
        </w:tc>
        <w:tc>
          <w:tcPr>
            <w:tcW w:w="787" w:type="pct"/>
          </w:tcPr>
          <w:p w14:paraId="096B1C61" w14:textId="77777777" w:rsidR="00853570" w:rsidRPr="006D76E5" w:rsidRDefault="00853570" w:rsidP="00662941">
            <w:pPr>
              <w:pStyle w:val="TableText0"/>
              <w:ind w:left="16" w:right="117"/>
              <w:rPr>
                <w:snapToGrid w:val="0"/>
              </w:rPr>
            </w:pPr>
            <w:r w:rsidRPr="006D76E5">
              <w:rPr>
                <w:snapToGrid w:val="0"/>
              </w:rPr>
              <w:t>AFL</w:t>
            </w:r>
          </w:p>
          <w:p w14:paraId="6D2C7BBE" w14:textId="77777777" w:rsidR="00853570" w:rsidRPr="006D76E5" w:rsidRDefault="00853570" w:rsidP="00662941">
            <w:pPr>
              <w:pStyle w:val="TableText0"/>
              <w:ind w:left="16" w:right="117"/>
              <w:rPr>
                <w:snapToGrid w:val="0"/>
              </w:rPr>
            </w:pPr>
            <w:r w:rsidRPr="006D76E5">
              <w:rPr>
                <w:snapToGrid w:val="0"/>
              </w:rPr>
              <w:t>(mean 22 months)</w:t>
            </w:r>
          </w:p>
        </w:tc>
        <w:tc>
          <w:tcPr>
            <w:tcW w:w="472" w:type="pct"/>
          </w:tcPr>
          <w:p w14:paraId="5E94254D" w14:textId="77777777" w:rsidR="00853570" w:rsidRPr="006D76E5" w:rsidRDefault="00853570" w:rsidP="00662941">
            <w:pPr>
              <w:pStyle w:val="TableText0"/>
              <w:ind w:left="111" w:right="117"/>
              <w:rPr>
                <w:snapToGrid w:val="0"/>
              </w:rPr>
            </w:pPr>
            <w:r w:rsidRPr="006D76E5">
              <w:rPr>
                <w:snapToGrid w:val="0"/>
              </w:rPr>
              <w:t>1 RCT</w:t>
            </w:r>
          </w:p>
        </w:tc>
        <w:tc>
          <w:tcPr>
            <w:tcW w:w="710" w:type="pct"/>
          </w:tcPr>
          <w:p w14:paraId="7467EFC8" w14:textId="77777777" w:rsidR="00853570" w:rsidRPr="006D76E5" w:rsidRDefault="00853570" w:rsidP="00662941">
            <w:pPr>
              <w:pStyle w:val="TableText0"/>
              <w:ind w:left="77" w:right="117"/>
              <w:rPr>
                <w:snapToGrid w:val="0"/>
              </w:rPr>
            </w:pPr>
            <w:r w:rsidRPr="006D76E5">
              <w:rPr>
                <w:snapToGrid w:val="0"/>
              </w:rPr>
              <w:t>7/31 (22.6%)</w:t>
            </w:r>
          </w:p>
        </w:tc>
        <w:tc>
          <w:tcPr>
            <w:tcW w:w="710" w:type="pct"/>
          </w:tcPr>
          <w:p w14:paraId="5266D2AD" w14:textId="77777777" w:rsidR="00853570" w:rsidRPr="006D76E5" w:rsidRDefault="00853570" w:rsidP="00662941">
            <w:pPr>
              <w:pStyle w:val="TableText0"/>
              <w:ind w:left="41" w:right="117"/>
              <w:rPr>
                <w:snapToGrid w:val="0"/>
              </w:rPr>
            </w:pPr>
            <w:r w:rsidRPr="006D76E5">
              <w:rPr>
                <w:snapToGrid w:val="0"/>
              </w:rPr>
              <w:t>19/30 (63.3%)</w:t>
            </w:r>
          </w:p>
        </w:tc>
        <w:tc>
          <w:tcPr>
            <w:tcW w:w="1026" w:type="pct"/>
          </w:tcPr>
          <w:p w14:paraId="4DAD1CF9" w14:textId="77777777" w:rsidR="00853570" w:rsidRPr="006D76E5" w:rsidRDefault="00853570" w:rsidP="00662941">
            <w:pPr>
              <w:pStyle w:val="TableText0"/>
              <w:ind w:right="117"/>
              <w:rPr>
                <w:b/>
                <w:snapToGrid w:val="0"/>
                <w:vertAlign w:val="superscript"/>
              </w:rPr>
            </w:pPr>
            <w:r w:rsidRPr="006D76E5">
              <w:rPr>
                <w:b/>
                <w:snapToGrid w:val="0"/>
              </w:rPr>
              <w:t>RR 0.36 (0.18, 0.72)</w:t>
            </w:r>
            <w:r w:rsidRPr="006D76E5">
              <w:rPr>
                <w:b/>
                <w:snapToGrid w:val="0"/>
                <w:vertAlign w:val="superscript"/>
              </w:rPr>
              <w:t>c</w:t>
            </w:r>
            <w:r>
              <w:rPr>
                <w:b/>
                <w:snapToGrid w:val="0"/>
                <w:vertAlign w:val="superscript"/>
              </w:rPr>
              <w:br/>
            </w:r>
            <w:r w:rsidRPr="006D76E5">
              <w:rPr>
                <w:b/>
                <w:snapToGrid w:val="0"/>
              </w:rPr>
              <w:t>p&lt;0.01</w:t>
            </w:r>
          </w:p>
        </w:tc>
        <w:tc>
          <w:tcPr>
            <w:tcW w:w="680" w:type="pct"/>
          </w:tcPr>
          <w:p w14:paraId="053D6C67" w14:textId="77777777" w:rsidR="00853570" w:rsidRPr="006D76E5" w:rsidRDefault="00853570" w:rsidP="00662941">
            <w:pPr>
              <w:pStyle w:val="TableText0"/>
              <w:ind w:right="117"/>
              <w:rPr>
                <w:snapToGrid w:val="0"/>
              </w:rPr>
            </w:pPr>
            <w:r>
              <w:rPr>
                <w:snapToGrid w:val="0"/>
              </w:rPr>
              <w:t>NA</w:t>
            </w:r>
          </w:p>
        </w:tc>
      </w:tr>
      <w:tr w:rsidR="00853570" w:rsidRPr="0024257B" w14:paraId="4AA59B67" w14:textId="77777777" w:rsidTr="00D55575">
        <w:tc>
          <w:tcPr>
            <w:tcW w:w="615" w:type="pct"/>
          </w:tcPr>
          <w:p w14:paraId="2D8B704B" w14:textId="77777777" w:rsidR="00853570" w:rsidRPr="00EF75C0" w:rsidRDefault="00853570" w:rsidP="00662941">
            <w:pPr>
              <w:pStyle w:val="TableText0"/>
              <w:rPr>
                <w:snapToGrid w:val="0"/>
              </w:rPr>
            </w:pPr>
            <w:r w:rsidRPr="00EF75C0">
              <w:rPr>
                <w:snapToGrid w:val="0"/>
              </w:rPr>
              <w:t>Katritsis 2017</w:t>
            </w:r>
          </w:p>
          <w:p w14:paraId="595FB6E6" w14:textId="77777777" w:rsidR="00853570" w:rsidRPr="00EF75C0" w:rsidRDefault="00853570" w:rsidP="00662941">
            <w:pPr>
              <w:pStyle w:val="TableText0"/>
              <w:rPr>
                <w:snapToGrid w:val="0"/>
                <w:vertAlign w:val="superscript"/>
              </w:rPr>
            </w:pPr>
            <w:r w:rsidRPr="00EF75C0">
              <w:rPr>
                <w:snapToGrid w:val="0"/>
              </w:rPr>
              <w:t>Satisfactory quality</w:t>
            </w:r>
            <w:r w:rsidRPr="00EF75C0">
              <w:rPr>
                <w:snapToGrid w:val="0"/>
                <w:vertAlign w:val="superscript"/>
              </w:rPr>
              <w:t>e</w:t>
            </w:r>
          </w:p>
        </w:tc>
        <w:tc>
          <w:tcPr>
            <w:tcW w:w="787" w:type="pct"/>
          </w:tcPr>
          <w:p w14:paraId="47F88499" w14:textId="77777777" w:rsidR="00853570" w:rsidRPr="00EF75C0" w:rsidRDefault="00853570" w:rsidP="00662941">
            <w:pPr>
              <w:pStyle w:val="TableText0"/>
              <w:ind w:left="16" w:right="117"/>
              <w:rPr>
                <w:snapToGrid w:val="0"/>
              </w:rPr>
            </w:pPr>
            <w:r w:rsidRPr="00EF75C0">
              <w:rPr>
                <w:snapToGrid w:val="0"/>
              </w:rPr>
              <w:t>AVNRT</w:t>
            </w:r>
          </w:p>
          <w:p w14:paraId="2403C2C4" w14:textId="77777777" w:rsidR="00853570" w:rsidRPr="00EF75C0" w:rsidRDefault="00853570" w:rsidP="00662941">
            <w:pPr>
              <w:pStyle w:val="TableText0"/>
              <w:ind w:left="16" w:right="117"/>
              <w:rPr>
                <w:snapToGrid w:val="0"/>
              </w:rPr>
            </w:pPr>
            <w:r w:rsidRPr="00EF75C0">
              <w:rPr>
                <w:snapToGrid w:val="0"/>
              </w:rPr>
              <w:t>(60 months)</w:t>
            </w:r>
          </w:p>
        </w:tc>
        <w:tc>
          <w:tcPr>
            <w:tcW w:w="472" w:type="pct"/>
          </w:tcPr>
          <w:p w14:paraId="3F53A33C" w14:textId="77777777" w:rsidR="00853570" w:rsidRPr="00EF75C0" w:rsidRDefault="00853570" w:rsidP="00662941">
            <w:pPr>
              <w:pStyle w:val="TableText0"/>
              <w:ind w:left="111" w:right="117"/>
              <w:rPr>
                <w:snapToGrid w:val="0"/>
              </w:rPr>
            </w:pPr>
            <w:r w:rsidRPr="00EF75C0">
              <w:rPr>
                <w:snapToGrid w:val="0"/>
              </w:rPr>
              <w:t>1 RCT</w:t>
            </w:r>
          </w:p>
        </w:tc>
        <w:tc>
          <w:tcPr>
            <w:tcW w:w="710" w:type="pct"/>
          </w:tcPr>
          <w:p w14:paraId="06A9F9F6" w14:textId="77777777" w:rsidR="00853570" w:rsidRPr="00EF75C0" w:rsidRDefault="00853570" w:rsidP="00662941">
            <w:pPr>
              <w:pStyle w:val="TableText0"/>
              <w:ind w:left="77" w:right="117"/>
              <w:rPr>
                <w:snapToGrid w:val="0"/>
              </w:rPr>
            </w:pPr>
            <w:r w:rsidRPr="00EF75C0">
              <w:rPr>
                <w:snapToGrid w:val="0"/>
              </w:rPr>
              <w:t>0/30 (0%)</w:t>
            </w:r>
          </w:p>
          <w:p w14:paraId="41E6F895" w14:textId="77777777" w:rsidR="00853570" w:rsidRPr="007F3F87" w:rsidRDefault="00853570" w:rsidP="00662941">
            <w:pPr>
              <w:pStyle w:val="TableText0"/>
              <w:ind w:left="77" w:right="117"/>
              <w:rPr>
                <w:i/>
                <w:iCs/>
                <w:snapToGrid w:val="0"/>
              </w:rPr>
            </w:pPr>
            <w:r w:rsidRPr="007F3F87">
              <w:rPr>
                <w:i/>
                <w:iCs/>
                <w:snapToGrid w:val="0"/>
                <w:color w:val="1F497D" w:themeColor="text2"/>
              </w:rPr>
              <w:t>0/29 (0%)</w:t>
            </w:r>
          </w:p>
        </w:tc>
        <w:tc>
          <w:tcPr>
            <w:tcW w:w="710" w:type="pct"/>
          </w:tcPr>
          <w:p w14:paraId="54DB3808" w14:textId="77777777" w:rsidR="00853570" w:rsidRPr="00EF75C0" w:rsidRDefault="00853570" w:rsidP="00662941">
            <w:pPr>
              <w:pStyle w:val="TableText0"/>
              <w:ind w:left="41" w:right="117"/>
              <w:rPr>
                <w:snapToGrid w:val="0"/>
              </w:rPr>
            </w:pPr>
            <w:r w:rsidRPr="00EF75C0">
              <w:rPr>
                <w:snapToGrid w:val="0"/>
              </w:rPr>
              <w:t>21/31 (67.7%)</w:t>
            </w:r>
          </w:p>
          <w:p w14:paraId="790164D1" w14:textId="77777777" w:rsidR="00853570" w:rsidRPr="00EF75C0" w:rsidRDefault="00853570" w:rsidP="00662941">
            <w:pPr>
              <w:pStyle w:val="TableText0"/>
              <w:ind w:left="77" w:right="117"/>
              <w:rPr>
                <w:snapToGrid w:val="0"/>
              </w:rPr>
            </w:pPr>
            <w:r w:rsidRPr="007F3F87">
              <w:rPr>
                <w:i/>
                <w:iCs/>
                <w:snapToGrid w:val="0"/>
                <w:color w:val="1F497D" w:themeColor="text2"/>
              </w:rPr>
              <w:t>21/28 (75%)</w:t>
            </w:r>
          </w:p>
        </w:tc>
        <w:tc>
          <w:tcPr>
            <w:tcW w:w="1026" w:type="pct"/>
          </w:tcPr>
          <w:p w14:paraId="4585A4EE" w14:textId="77777777" w:rsidR="00853570" w:rsidRPr="00EF75C0" w:rsidRDefault="00853570" w:rsidP="00662941">
            <w:pPr>
              <w:pStyle w:val="TableText0"/>
              <w:ind w:right="117"/>
              <w:rPr>
                <w:b/>
                <w:snapToGrid w:val="0"/>
              </w:rPr>
            </w:pPr>
            <w:r w:rsidRPr="00EF75C0">
              <w:rPr>
                <w:b/>
                <w:snapToGrid w:val="0"/>
              </w:rPr>
              <w:t>RD -67.7% (-84.2%, -</w:t>
            </w:r>
            <w:r>
              <w:rPr>
                <w:b/>
                <w:snapToGrid w:val="0"/>
              </w:rPr>
              <w:t> </w:t>
            </w:r>
            <w:r w:rsidRPr="00EF75C0">
              <w:rPr>
                <w:b/>
                <w:snapToGrid w:val="0"/>
              </w:rPr>
              <w:t>51.3%)</w:t>
            </w:r>
            <w:r>
              <w:rPr>
                <w:b/>
                <w:snapToGrid w:val="0"/>
              </w:rPr>
              <w:br/>
            </w:r>
            <w:r w:rsidRPr="00EF75C0">
              <w:rPr>
                <w:b/>
                <w:snapToGrid w:val="0"/>
              </w:rPr>
              <w:t>p&lt;0.01</w:t>
            </w:r>
            <w:r w:rsidRPr="00EF75C0">
              <w:rPr>
                <w:b/>
                <w:snapToGrid w:val="0"/>
                <w:vertAlign w:val="superscript"/>
              </w:rPr>
              <w:t>g</w:t>
            </w:r>
          </w:p>
        </w:tc>
        <w:tc>
          <w:tcPr>
            <w:tcW w:w="680" w:type="pct"/>
          </w:tcPr>
          <w:p w14:paraId="331513CE" w14:textId="77777777" w:rsidR="00853570" w:rsidRPr="00EF75C0" w:rsidRDefault="00853570" w:rsidP="00662941">
            <w:pPr>
              <w:pStyle w:val="TableText0"/>
              <w:ind w:right="117"/>
              <w:rPr>
                <w:snapToGrid w:val="0"/>
              </w:rPr>
            </w:pPr>
            <w:r>
              <w:rPr>
                <w:snapToGrid w:val="0"/>
              </w:rPr>
              <w:t>NA</w:t>
            </w:r>
          </w:p>
        </w:tc>
      </w:tr>
    </w:tbl>
    <w:p w14:paraId="4E47A8E4" w14:textId="77777777" w:rsidR="00853570" w:rsidRDefault="00853570" w:rsidP="00853570">
      <w:pPr>
        <w:pStyle w:val="TFAbbrevs0"/>
      </w:pPr>
      <w:r>
        <w:t xml:space="preserve">Source: Table 27 (p.60) of the ADAR. </w:t>
      </w:r>
      <w:r w:rsidRPr="00C1165B">
        <w:rPr>
          <w:i/>
          <w:color w:val="1F497D" w:themeColor="text2"/>
        </w:rPr>
        <w:t>Commentary changes in blue text.</w:t>
      </w:r>
    </w:p>
    <w:p w14:paraId="2E2710F1" w14:textId="77777777" w:rsidR="00853570" w:rsidRPr="0024257B" w:rsidRDefault="00853570" w:rsidP="00853570">
      <w:pPr>
        <w:pStyle w:val="TFAbbrevs0"/>
        <w:rPr>
          <w:snapToGrid w:val="0"/>
          <w:lang w:eastAsia="en-US"/>
        </w:rPr>
      </w:pPr>
      <w:r w:rsidRPr="0024257B">
        <w:rPr>
          <w:snapToGrid w:val="0"/>
          <w:lang w:eastAsia="en-US"/>
        </w:rPr>
        <w:t>AFL</w:t>
      </w:r>
      <w:r>
        <w:rPr>
          <w:snapToGrid w:val="0"/>
          <w:lang w:eastAsia="en-US"/>
        </w:rPr>
        <w:t>=</w:t>
      </w:r>
      <w:r w:rsidRPr="0024257B">
        <w:rPr>
          <w:snapToGrid w:val="0"/>
          <w:lang w:eastAsia="en-US"/>
        </w:rPr>
        <w:t>atrial flutter; AVNRT</w:t>
      </w:r>
      <w:r>
        <w:rPr>
          <w:snapToGrid w:val="0"/>
          <w:lang w:eastAsia="en-US"/>
        </w:rPr>
        <w:t>=</w:t>
      </w:r>
      <w:r w:rsidRPr="0024257B">
        <w:rPr>
          <w:snapToGrid w:val="0"/>
          <w:lang w:eastAsia="en-US"/>
        </w:rPr>
        <w:t>atrioventricular nodal re-entrant tachycardia; CI</w:t>
      </w:r>
      <w:r>
        <w:rPr>
          <w:snapToGrid w:val="0"/>
          <w:lang w:eastAsia="en-US"/>
        </w:rPr>
        <w:t>=</w:t>
      </w:r>
      <w:r w:rsidRPr="0024257B">
        <w:rPr>
          <w:snapToGrid w:val="0"/>
          <w:lang w:eastAsia="en-US"/>
        </w:rPr>
        <w:t>confidence interval; ICD</w:t>
      </w:r>
      <w:r>
        <w:rPr>
          <w:snapToGrid w:val="0"/>
          <w:lang w:eastAsia="en-US"/>
        </w:rPr>
        <w:t>=</w:t>
      </w:r>
      <w:r w:rsidRPr="0024257B">
        <w:rPr>
          <w:snapToGrid w:val="0"/>
          <w:lang w:eastAsia="en-US"/>
        </w:rPr>
        <w:t>implantable cardioverter defibrillator; IHD</w:t>
      </w:r>
      <w:r>
        <w:rPr>
          <w:snapToGrid w:val="0"/>
          <w:lang w:eastAsia="en-US"/>
        </w:rPr>
        <w:t>=</w:t>
      </w:r>
      <w:r w:rsidRPr="0024257B">
        <w:rPr>
          <w:snapToGrid w:val="0"/>
          <w:lang w:eastAsia="en-US"/>
        </w:rPr>
        <w:t>ischaemic heart disease;</w:t>
      </w:r>
      <w:r>
        <w:rPr>
          <w:snapToGrid w:val="0"/>
          <w:lang w:eastAsia="en-US"/>
        </w:rPr>
        <w:t xml:space="preserve"> NA = not applicable;</w:t>
      </w:r>
      <w:r w:rsidRPr="0024257B">
        <w:rPr>
          <w:snapToGrid w:val="0"/>
          <w:lang w:eastAsia="en-US"/>
        </w:rPr>
        <w:t xml:space="preserve"> NR</w:t>
      </w:r>
      <w:r>
        <w:rPr>
          <w:snapToGrid w:val="0"/>
          <w:lang w:eastAsia="en-US"/>
        </w:rPr>
        <w:t>=</w:t>
      </w:r>
      <w:r w:rsidRPr="0024257B">
        <w:rPr>
          <w:snapToGrid w:val="0"/>
          <w:lang w:eastAsia="en-US"/>
        </w:rPr>
        <w:t>not reported; OR</w:t>
      </w:r>
      <w:r>
        <w:rPr>
          <w:snapToGrid w:val="0"/>
          <w:lang w:eastAsia="en-US"/>
        </w:rPr>
        <w:t>=</w:t>
      </w:r>
      <w:r w:rsidRPr="0024257B">
        <w:rPr>
          <w:snapToGrid w:val="0"/>
          <w:lang w:eastAsia="en-US"/>
        </w:rPr>
        <w:t>odds ratio; RCT</w:t>
      </w:r>
      <w:r>
        <w:rPr>
          <w:snapToGrid w:val="0"/>
          <w:lang w:eastAsia="en-US"/>
        </w:rPr>
        <w:t>=</w:t>
      </w:r>
      <w:r w:rsidRPr="0024257B">
        <w:rPr>
          <w:snapToGrid w:val="0"/>
          <w:lang w:eastAsia="en-US"/>
        </w:rPr>
        <w:t>randomised controlled trial; VT</w:t>
      </w:r>
      <w:r>
        <w:rPr>
          <w:snapToGrid w:val="0"/>
          <w:lang w:eastAsia="en-US"/>
        </w:rPr>
        <w:t>=</w:t>
      </w:r>
      <w:r w:rsidRPr="0024257B">
        <w:rPr>
          <w:snapToGrid w:val="0"/>
          <w:lang w:eastAsia="en-US"/>
        </w:rPr>
        <w:t>ventricular tachycardia</w:t>
      </w:r>
      <w:r>
        <w:rPr>
          <w:snapToGrid w:val="0"/>
          <w:lang w:eastAsia="en-US"/>
        </w:rPr>
        <w:t>.</w:t>
      </w:r>
    </w:p>
    <w:p w14:paraId="2BC1A66C" w14:textId="77777777" w:rsidR="00853570" w:rsidRDefault="00853570" w:rsidP="00853570">
      <w:pPr>
        <w:pStyle w:val="TFAbbrevs0"/>
        <w:rPr>
          <w:snapToGrid w:val="0"/>
          <w:lang w:eastAsia="en-US"/>
        </w:rPr>
      </w:pPr>
      <w:r w:rsidRPr="0024257B">
        <w:rPr>
          <w:snapToGrid w:val="0"/>
          <w:lang w:eastAsia="en-US"/>
        </w:rPr>
        <w:t xml:space="preserve">a </w:t>
      </w:r>
      <w:r>
        <w:rPr>
          <w:snapToGrid w:val="0"/>
          <w:lang w:eastAsia="en-US"/>
        </w:rPr>
        <w:t>Calculated mean follow-up for 4</w:t>
      </w:r>
      <w:r w:rsidRPr="00617F97">
        <w:rPr>
          <w:snapToGrid w:val="0"/>
          <w:lang w:eastAsia="en-US"/>
        </w:rPr>
        <w:t xml:space="preserve"> RCTs by weighting mean follow-up period by each RCT by sample size</w:t>
      </w:r>
    </w:p>
    <w:p w14:paraId="3F1A51E7" w14:textId="77777777" w:rsidR="00853570" w:rsidRPr="0015135A" w:rsidRDefault="00853570" w:rsidP="00853570">
      <w:pPr>
        <w:pStyle w:val="TFAbbrevs0"/>
        <w:rPr>
          <w:snapToGrid w:val="0"/>
          <w:lang w:eastAsia="en-US"/>
        </w:rPr>
      </w:pPr>
      <w:r>
        <w:rPr>
          <w:snapToGrid w:val="0"/>
          <w:lang w:eastAsia="en-US"/>
        </w:rPr>
        <w:t xml:space="preserve">b </w:t>
      </w:r>
      <w:r w:rsidRPr="0015135A">
        <w:rPr>
          <w:snapToGrid w:val="0"/>
          <w:lang w:eastAsia="en-US"/>
        </w:rPr>
        <w:t>Al-Khatib 2015, Kuck 2010, Kuck 2017, Sapp 2016</w:t>
      </w:r>
    </w:p>
    <w:p w14:paraId="6FC4EE7F" w14:textId="77777777" w:rsidR="00853570" w:rsidRPr="009952CF" w:rsidRDefault="00853570" w:rsidP="00AC4639">
      <w:pPr>
        <w:pStyle w:val="TFAbbrevs18"/>
        <w:spacing w:after="240"/>
        <w:rPr>
          <w:snapToGrid w:val="0"/>
          <w:lang w:eastAsia="en-US"/>
        </w:rPr>
      </w:pPr>
      <w:r>
        <w:rPr>
          <w:snapToGrid w:val="0"/>
          <w:lang w:eastAsia="en-US"/>
        </w:rPr>
        <w:t>c</w:t>
      </w:r>
      <w:r w:rsidRPr="001C2E32">
        <w:rPr>
          <w:snapToGrid w:val="0"/>
          <w:lang w:eastAsia="en-US"/>
        </w:rPr>
        <w:t xml:space="preserve"> </w:t>
      </w:r>
      <w:r>
        <w:rPr>
          <w:snapToGrid w:val="0"/>
          <w:lang w:eastAsia="en-US"/>
        </w:rPr>
        <w:t>R</w:t>
      </w:r>
      <w:r w:rsidRPr="001C2E32">
        <w:rPr>
          <w:snapToGrid w:val="0"/>
          <w:lang w:eastAsia="en-US"/>
        </w:rPr>
        <w:t>elative risk</w:t>
      </w:r>
      <w:r>
        <w:rPr>
          <w:snapToGrid w:val="0"/>
          <w:lang w:eastAsia="en-US"/>
        </w:rPr>
        <w:t xml:space="preserve"> </w:t>
      </w:r>
      <w:r w:rsidRPr="001C2E32">
        <w:rPr>
          <w:snapToGrid w:val="0"/>
          <w:lang w:eastAsia="en-US"/>
        </w:rPr>
        <w:t xml:space="preserve">calculated for </w:t>
      </w:r>
      <w:r>
        <w:rPr>
          <w:snapToGrid w:val="0"/>
          <w:lang w:eastAsia="en-US"/>
        </w:rPr>
        <w:t>the ADAR</w:t>
      </w:r>
    </w:p>
    <w:p w14:paraId="70FE6755" w14:textId="19237B38" w:rsidR="00853570" w:rsidRDefault="006D1B35" w:rsidP="00853570">
      <w:r>
        <w:t>The rate of r</w:t>
      </w:r>
      <w:r w:rsidR="00853570">
        <w:t>epeat ablation were not reported in the SLRs</w:t>
      </w:r>
      <w:r>
        <w:t>,</w:t>
      </w:r>
      <w:r w:rsidR="00853570">
        <w:t xml:space="preserve"> but individual RCTs included in the ADAR reported rates ranging from </w:t>
      </w:r>
      <w:r w:rsidR="00853570" w:rsidRPr="0058342D">
        <w:t>6% to 15%</w:t>
      </w:r>
      <w:r w:rsidR="00853570" w:rsidRPr="00F24932">
        <w:t xml:space="preserve"> over two years from the index ablation procedure</w:t>
      </w:r>
      <w:r w:rsidR="00853570">
        <w:t>.</w:t>
      </w:r>
    </w:p>
    <w:p w14:paraId="2863FDD3" w14:textId="1B308DDE" w:rsidR="00853570" w:rsidRPr="00590704" w:rsidRDefault="00853570" w:rsidP="00853570">
      <w:pPr>
        <w:pStyle w:val="Heading2"/>
      </w:pPr>
      <w:r>
        <w:t>Supraventricular tachycardia</w:t>
      </w:r>
    </w:p>
    <w:p w14:paraId="5EB57834" w14:textId="109DB86B" w:rsidR="00853570" w:rsidRDefault="00853570" w:rsidP="00853570">
      <w:r>
        <w:t>Of the three RCTs in SVT populations, only one reported complication rates (</w:t>
      </w:r>
      <w:r w:rsidR="00AC4639">
        <w:fldChar w:fldCharType="begin"/>
      </w:r>
      <w:r w:rsidR="00AC4639">
        <w:instrText xml:space="preserve"> REF _Ref49781333 \h </w:instrText>
      </w:r>
      <w:r w:rsidR="00AC4639">
        <w:fldChar w:fldCharType="separate"/>
      </w:r>
      <w:r w:rsidR="00AC4639">
        <w:t xml:space="preserve">Table </w:t>
      </w:r>
      <w:r w:rsidR="00AC4639">
        <w:rPr>
          <w:noProof/>
        </w:rPr>
        <w:t>1</w:t>
      </w:r>
      <w:r w:rsidR="00AC4639">
        <w:fldChar w:fldCharType="end"/>
      </w:r>
      <w:r>
        <w:t>).</w:t>
      </w:r>
      <w:r w:rsidR="00DE60FB">
        <w:br/>
      </w:r>
      <w:r w:rsidRPr="0062014D">
        <w:t>Da Costa (2006</w:t>
      </w:r>
      <w:r>
        <w:rPr>
          <w:rStyle w:val="FootnoteReference"/>
        </w:rPr>
        <w:footnoteReference w:id="9"/>
      </w:r>
      <w:r w:rsidRPr="0062014D">
        <w:t xml:space="preserve">) </w:t>
      </w:r>
      <w:r>
        <w:t>found</w:t>
      </w:r>
      <w:r w:rsidRPr="0062014D">
        <w:t xml:space="preserve"> a statistically significantly lower rate of complications for patients with AFL undergoing cardiac ablation (0% vs</w:t>
      </w:r>
      <w:r>
        <w:t>.</w:t>
      </w:r>
      <w:r w:rsidRPr="0062014D">
        <w:t xml:space="preserve"> 9.6%, p=0.03). </w:t>
      </w:r>
      <w:r>
        <w:t>The rate of repeat ablations in an AFL population at mean</w:t>
      </w:r>
      <w:r w:rsidR="00A83518">
        <w:t xml:space="preserve"> 22 months’ follow-up was 6.4%.</w:t>
      </w:r>
    </w:p>
    <w:p w14:paraId="72D14D5C" w14:textId="21BD5BE8" w:rsidR="00853570" w:rsidRPr="00141033" w:rsidRDefault="00853570" w:rsidP="00A83518">
      <w:pPr>
        <w:spacing w:before="240"/>
      </w:pPr>
      <w:r>
        <w:t>The Commentary stated that t</w:t>
      </w:r>
      <w:r w:rsidRPr="00395932">
        <w:t>here is very limited evidence provided to assess safety in the SVT populations. Hospitalisations reported in the SVT population are arrhythmia</w:t>
      </w:r>
      <w:r>
        <w:t xml:space="preserve"> </w:t>
      </w:r>
      <w:r w:rsidRPr="00395932">
        <w:t>specific</w:t>
      </w:r>
      <w:r>
        <w:t xml:space="preserve"> and considered an effectiveness outcome rather than a safety outcome (</w:t>
      </w:r>
      <w:r w:rsidR="00A83518">
        <w:fldChar w:fldCharType="begin"/>
      </w:r>
      <w:r w:rsidR="00A83518">
        <w:instrText xml:space="preserve"> REF _Ref24970155 \h </w:instrText>
      </w:r>
      <w:r w:rsidR="00A83518">
        <w:fldChar w:fldCharType="separate"/>
      </w:r>
      <w:r w:rsidR="00A83518">
        <w:t xml:space="preserve">Table </w:t>
      </w:r>
      <w:r w:rsidR="00A83518">
        <w:rPr>
          <w:noProof/>
        </w:rPr>
        <w:t>2</w:t>
      </w:r>
      <w:r w:rsidR="00A83518">
        <w:fldChar w:fldCharType="end"/>
      </w:r>
      <w:r>
        <w:t>). Procedural complication rates reported in clinical practice guidelines are lower than for VA and, although they differed by population, support superior safety for catheter ablation compared to AADs.</w:t>
      </w:r>
    </w:p>
    <w:p w14:paraId="6291C6E5" w14:textId="77777777" w:rsidR="00BC1364" w:rsidRPr="00F715D1" w:rsidRDefault="00BC1364" w:rsidP="00F715D1">
      <w:pPr>
        <w:pStyle w:val="Heading1"/>
      </w:pPr>
      <w:r w:rsidRPr="00F715D1">
        <w:t>Comparative effectiveness</w:t>
      </w:r>
    </w:p>
    <w:p w14:paraId="0D881E6E" w14:textId="77777777" w:rsidR="00853570" w:rsidRPr="00590704" w:rsidRDefault="00853570" w:rsidP="00853570">
      <w:pPr>
        <w:pStyle w:val="Heading2"/>
      </w:pPr>
      <w:r>
        <w:t>Ventricular arrhythmia</w:t>
      </w:r>
    </w:p>
    <w:p w14:paraId="3A041044" w14:textId="3ACE46E5" w:rsidR="00853570" w:rsidRDefault="00853570" w:rsidP="00853570">
      <w:r>
        <w:t>The Commentary summarised c</w:t>
      </w:r>
      <w:r w:rsidRPr="00F84710">
        <w:t xml:space="preserve">omparative effectiveness using data from the Martinez (2019) SLR, as this is the highest quality </w:t>
      </w:r>
      <w:r>
        <w:t xml:space="preserve">SLR </w:t>
      </w:r>
      <w:r w:rsidRPr="00F84710">
        <w:t>and t</w:t>
      </w:r>
      <w:r>
        <w:t>he outcomes are clearly defined (</w:t>
      </w:r>
      <w:r w:rsidR="005B1477">
        <w:fldChar w:fldCharType="begin"/>
      </w:r>
      <w:r w:rsidR="005B1477">
        <w:instrText xml:space="preserve"> REF _Ref36801966 \h </w:instrText>
      </w:r>
      <w:r w:rsidR="005B1477">
        <w:fldChar w:fldCharType="separate"/>
      </w:r>
      <w:r w:rsidR="005B1477">
        <w:t xml:space="preserve">Table </w:t>
      </w:r>
      <w:r w:rsidR="005B1477">
        <w:rPr>
          <w:noProof/>
        </w:rPr>
        <w:t>3</w:t>
      </w:r>
      <w:r w:rsidR="005B1477">
        <w:fldChar w:fldCharType="end"/>
      </w:r>
      <w:r>
        <w:t xml:space="preserve">). </w:t>
      </w:r>
      <w:r w:rsidRPr="00D44916">
        <w:t xml:space="preserve">The Commentary </w:t>
      </w:r>
      <w:r>
        <w:t xml:space="preserve">considered </w:t>
      </w:r>
      <w:r w:rsidRPr="00D44916">
        <w:t>that</w:t>
      </w:r>
      <w:r>
        <w:t>:</w:t>
      </w:r>
    </w:p>
    <w:p w14:paraId="48F0E448" w14:textId="77777777" w:rsidR="00853570" w:rsidRDefault="00853570" w:rsidP="00853570">
      <w:pPr>
        <w:pStyle w:val="ListParagraph"/>
        <w:numPr>
          <w:ilvl w:val="0"/>
          <w:numId w:val="29"/>
        </w:numPr>
      </w:pPr>
      <w:r w:rsidRPr="00D44916">
        <w:t>there is not convincing evidence that cardiac ablation reduces all-cause mortality or recurrence of</w:t>
      </w:r>
      <w:r>
        <w:t xml:space="preserve"> VT/VF in patients with an ICD</w:t>
      </w:r>
    </w:p>
    <w:p w14:paraId="30BF88CC" w14:textId="682715DC" w:rsidR="00853570" w:rsidRPr="007613A4" w:rsidRDefault="00853570" w:rsidP="00853570">
      <w:pPr>
        <w:pStyle w:val="ListParagraph"/>
        <w:numPr>
          <w:ilvl w:val="0"/>
          <w:numId w:val="29"/>
        </w:numPr>
      </w:pPr>
      <w:r>
        <w:rPr>
          <w:bCs/>
        </w:rPr>
        <w:t>t</w:t>
      </w:r>
      <w:r w:rsidRPr="00CC48C6">
        <w:rPr>
          <w:bCs/>
        </w:rPr>
        <w:t>here is convincing evidence that cardiac ablation reduces appropriate ICD therapies and electrical storm.</w:t>
      </w:r>
      <w:r w:rsidRPr="00D44916">
        <w:t xml:space="preserve"> Although these outcomes were not specified in the PICO, they </w:t>
      </w:r>
      <w:r w:rsidRPr="00D44916">
        <w:lastRenderedPageBreak/>
        <w:t>are patient relevant and reflect (any) arrhythmia recurrence but at a lower threshold based on ICD programming.</w:t>
      </w:r>
    </w:p>
    <w:p w14:paraId="3EEFD2AD" w14:textId="5C0653A9" w:rsidR="00853570" w:rsidRPr="00D55575" w:rsidRDefault="005B1477" w:rsidP="00D55575">
      <w:pPr>
        <w:spacing w:before="240"/>
        <w:rPr>
          <w:rFonts w:ascii="Arial Narrow" w:hAnsi="Arial Narrow"/>
          <w:b/>
          <w:sz w:val="20"/>
        </w:rPr>
      </w:pPr>
      <w:bookmarkStart w:id="9" w:name="_Ref36801966"/>
      <w:bookmarkStart w:id="10" w:name="_Toc399251122"/>
      <w:r w:rsidRPr="00D55575">
        <w:rPr>
          <w:rFonts w:ascii="Arial Narrow" w:hAnsi="Arial Narrow"/>
          <w:b/>
          <w:sz w:val="20"/>
        </w:rPr>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3</w:t>
      </w:r>
      <w:r w:rsidR="00156907" w:rsidRPr="00D55575">
        <w:rPr>
          <w:rFonts w:ascii="Arial Narrow" w:hAnsi="Arial Narrow"/>
          <w:b/>
          <w:sz w:val="20"/>
        </w:rPr>
        <w:fldChar w:fldCharType="end"/>
      </w:r>
      <w:bookmarkEnd w:id="9"/>
      <w:r w:rsidR="00853570" w:rsidRPr="00D55575">
        <w:rPr>
          <w:rFonts w:ascii="Arial Narrow" w:hAnsi="Arial Narrow"/>
          <w:b/>
          <w:sz w:val="20"/>
        </w:rPr>
        <w:tab/>
        <w:t xml:space="preserve">Results of Martinez (2019) meta-analysis across the </w:t>
      </w:r>
      <w:bookmarkEnd w:id="10"/>
      <w:r w:rsidR="00853570" w:rsidRPr="00D55575">
        <w:rPr>
          <w:rFonts w:ascii="Arial Narrow" w:hAnsi="Arial Narrow"/>
          <w:b/>
          <w:sz w:val="20"/>
        </w:rPr>
        <w:t>key outcomes</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2116"/>
        <w:gridCol w:w="1402"/>
        <w:gridCol w:w="1552"/>
        <w:gridCol w:w="1418"/>
        <w:gridCol w:w="1701"/>
        <w:gridCol w:w="799"/>
      </w:tblGrid>
      <w:tr w:rsidR="00853570" w:rsidRPr="007613A4" w14:paraId="4615B924" w14:textId="77777777" w:rsidTr="00662941">
        <w:trPr>
          <w:tblHeader/>
        </w:trPr>
        <w:tc>
          <w:tcPr>
            <w:tcW w:w="2116" w:type="dxa"/>
            <w:tcBorders>
              <w:bottom w:val="single" w:sz="4" w:space="0" w:color="auto"/>
            </w:tcBorders>
            <w:shd w:val="clear" w:color="auto" w:fill="auto"/>
          </w:tcPr>
          <w:p w14:paraId="11720527" w14:textId="77777777" w:rsidR="00853570" w:rsidRPr="00D44916" w:rsidRDefault="00853570" w:rsidP="00662941">
            <w:pPr>
              <w:pStyle w:val="Tabletextcentred"/>
              <w:rPr>
                <w:b/>
                <w:snapToGrid w:val="0"/>
              </w:rPr>
            </w:pPr>
            <w:r w:rsidRPr="00D44916">
              <w:rPr>
                <w:b/>
                <w:snapToGrid w:val="0"/>
              </w:rPr>
              <w:t>Study ID</w:t>
            </w:r>
            <w:r w:rsidRPr="00D44916">
              <w:rPr>
                <w:b/>
                <w:snapToGrid w:val="0"/>
              </w:rPr>
              <w:br/>
              <w:t>No. of RCTs</w:t>
            </w:r>
          </w:p>
        </w:tc>
        <w:tc>
          <w:tcPr>
            <w:tcW w:w="1402" w:type="dxa"/>
            <w:tcBorders>
              <w:bottom w:val="single" w:sz="4" w:space="0" w:color="auto"/>
            </w:tcBorders>
          </w:tcPr>
          <w:p w14:paraId="5E3C5586" w14:textId="77777777" w:rsidR="00853570" w:rsidRPr="00D44916" w:rsidRDefault="00853570" w:rsidP="00662941">
            <w:pPr>
              <w:pStyle w:val="Tabletextcentred"/>
              <w:rPr>
                <w:b/>
                <w:snapToGrid w:val="0"/>
              </w:rPr>
            </w:pPr>
            <w:r w:rsidRPr="00D44916">
              <w:rPr>
                <w:b/>
                <w:snapToGrid w:val="0"/>
              </w:rPr>
              <w:t>Risk of bias</w:t>
            </w:r>
          </w:p>
        </w:tc>
        <w:tc>
          <w:tcPr>
            <w:tcW w:w="1552" w:type="dxa"/>
            <w:tcBorders>
              <w:bottom w:val="single" w:sz="4" w:space="0" w:color="auto"/>
            </w:tcBorders>
            <w:shd w:val="clear" w:color="auto" w:fill="auto"/>
          </w:tcPr>
          <w:p w14:paraId="4BA9E3E6" w14:textId="77777777" w:rsidR="00853570" w:rsidRPr="00D44916" w:rsidRDefault="00853570" w:rsidP="00662941">
            <w:pPr>
              <w:pStyle w:val="Tabletextcentred"/>
              <w:rPr>
                <w:b/>
                <w:snapToGrid w:val="0"/>
              </w:rPr>
            </w:pPr>
            <w:r w:rsidRPr="00D44916">
              <w:rPr>
                <w:b/>
                <w:snapToGrid w:val="0"/>
              </w:rPr>
              <w:t>Intervention</w:t>
            </w:r>
          </w:p>
          <w:p w14:paraId="4F98CFD0" w14:textId="77777777" w:rsidR="00853570" w:rsidRPr="00D44916" w:rsidRDefault="00853570" w:rsidP="00662941">
            <w:pPr>
              <w:pStyle w:val="Tabletextcentred"/>
              <w:rPr>
                <w:b/>
                <w:snapToGrid w:val="0"/>
              </w:rPr>
            </w:pPr>
            <w:r w:rsidRPr="00D44916">
              <w:rPr>
                <w:b/>
                <w:snapToGrid w:val="0"/>
              </w:rPr>
              <w:t>n with event/N (%)</w:t>
            </w:r>
          </w:p>
        </w:tc>
        <w:tc>
          <w:tcPr>
            <w:tcW w:w="1418" w:type="dxa"/>
            <w:tcBorders>
              <w:bottom w:val="single" w:sz="4" w:space="0" w:color="auto"/>
            </w:tcBorders>
            <w:shd w:val="clear" w:color="auto" w:fill="auto"/>
          </w:tcPr>
          <w:p w14:paraId="34692F90" w14:textId="77777777" w:rsidR="00853570" w:rsidRPr="00D44916" w:rsidRDefault="00853570" w:rsidP="00662941">
            <w:pPr>
              <w:pStyle w:val="Tabletextcentred"/>
              <w:rPr>
                <w:b/>
                <w:snapToGrid w:val="0"/>
              </w:rPr>
            </w:pPr>
            <w:r w:rsidRPr="00D44916">
              <w:rPr>
                <w:b/>
                <w:snapToGrid w:val="0"/>
              </w:rPr>
              <w:t>Comparator</w:t>
            </w:r>
          </w:p>
          <w:p w14:paraId="4252685A" w14:textId="77777777" w:rsidR="00853570" w:rsidRPr="00D44916" w:rsidRDefault="00853570" w:rsidP="00662941">
            <w:pPr>
              <w:pStyle w:val="Tabletextcentred"/>
              <w:rPr>
                <w:b/>
                <w:snapToGrid w:val="0"/>
              </w:rPr>
            </w:pPr>
            <w:r w:rsidRPr="00D44916">
              <w:rPr>
                <w:b/>
                <w:snapToGrid w:val="0"/>
              </w:rPr>
              <w:t>n with event/N (%)</w:t>
            </w:r>
          </w:p>
        </w:tc>
        <w:tc>
          <w:tcPr>
            <w:tcW w:w="1701" w:type="dxa"/>
            <w:tcBorders>
              <w:bottom w:val="single" w:sz="4" w:space="0" w:color="auto"/>
            </w:tcBorders>
            <w:shd w:val="clear" w:color="auto" w:fill="auto"/>
          </w:tcPr>
          <w:p w14:paraId="6E7A11A5" w14:textId="77777777" w:rsidR="00853570" w:rsidRPr="00D44916" w:rsidRDefault="00853570" w:rsidP="00662941">
            <w:pPr>
              <w:pStyle w:val="Tabletextcentred"/>
              <w:rPr>
                <w:b/>
                <w:snapToGrid w:val="0"/>
              </w:rPr>
            </w:pPr>
            <w:r w:rsidRPr="00D44916">
              <w:rPr>
                <w:b/>
                <w:snapToGrid w:val="0"/>
              </w:rPr>
              <w:t>Relative difference</w:t>
            </w:r>
          </w:p>
          <w:p w14:paraId="5C03D5AF" w14:textId="77777777" w:rsidR="00853570" w:rsidRPr="00D44916" w:rsidRDefault="00853570" w:rsidP="00662941">
            <w:pPr>
              <w:pStyle w:val="Tabletextcentred"/>
              <w:rPr>
                <w:b/>
                <w:snapToGrid w:val="0"/>
              </w:rPr>
            </w:pPr>
            <w:r w:rsidRPr="00D44916">
              <w:rPr>
                <w:b/>
                <w:snapToGrid w:val="0"/>
              </w:rPr>
              <w:t>OR (95% CI)</w:t>
            </w:r>
          </w:p>
        </w:tc>
        <w:tc>
          <w:tcPr>
            <w:tcW w:w="799" w:type="dxa"/>
            <w:tcBorders>
              <w:bottom w:val="single" w:sz="4" w:space="0" w:color="auto"/>
            </w:tcBorders>
          </w:tcPr>
          <w:p w14:paraId="1A298666" w14:textId="77777777" w:rsidR="00853570" w:rsidRPr="00D44916" w:rsidRDefault="00853570" w:rsidP="00662941">
            <w:pPr>
              <w:pStyle w:val="Tabletextcentred"/>
              <w:rPr>
                <w:b/>
                <w:snapToGrid w:val="0"/>
              </w:rPr>
            </w:pPr>
            <w:r w:rsidRPr="00D44916">
              <w:rPr>
                <w:b/>
                <w:i/>
                <w:snapToGrid w:val="0"/>
              </w:rPr>
              <w:t>I</w:t>
            </w:r>
            <w:r w:rsidRPr="00D44916">
              <w:rPr>
                <w:b/>
                <w:i/>
                <w:snapToGrid w:val="0"/>
                <w:vertAlign w:val="superscript"/>
              </w:rPr>
              <w:t>2</w:t>
            </w:r>
            <w:r w:rsidRPr="00D44916">
              <w:rPr>
                <w:b/>
                <w:i/>
                <w:snapToGrid w:val="0"/>
              </w:rPr>
              <w:t xml:space="preserve"> </w:t>
            </w:r>
            <w:r w:rsidRPr="00D44916">
              <w:rPr>
                <w:b/>
                <w:snapToGrid w:val="0"/>
              </w:rPr>
              <w:t>statistic</w:t>
            </w:r>
          </w:p>
        </w:tc>
      </w:tr>
      <w:tr w:rsidR="00853570" w:rsidRPr="007613A4" w14:paraId="024ABA71" w14:textId="77777777" w:rsidTr="00662941">
        <w:tc>
          <w:tcPr>
            <w:tcW w:w="0" w:type="auto"/>
            <w:tcBorders>
              <w:top w:val="single" w:sz="4" w:space="0" w:color="auto"/>
              <w:left w:val="single" w:sz="4" w:space="0" w:color="auto"/>
              <w:bottom w:val="single" w:sz="4" w:space="0" w:color="auto"/>
              <w:right w:val="nil"/>
            </w:tcBorders>
            <w:shd w:val="clear" w:color="auto" w:fill="auto"/>
          </w:tcPr>
          <w:p w14:paraId="4A6C7BDC" w14:textId="77777777" w:rsidR="00853570" w:rsidRPr="00E056A6" w:rsidRDefault="00853570" w:rsidP="00662941">
            <w:pPr>
              <w:pStyle w:val="TableText0"/>
              <w:keepNext w:val="0"/>
              <w:rPr>
                <w:b/>
                <w:bCs/>
                <w:snapToGrid w:val="0"/>
              </w:rPr>
            </w:pPr>
            <w:r w:rsidRPr="00E056A6">
              <w:rPr>
                <w:b/>
                <w:bCs/>
                <w:snapToGrid w:val="0"/>
              </w:rPr>
              <w:t>All-cause mortality</w:t>
            </w:r>
          </w:p>
        </w:tc>
        <w:tc>
          <w:tcPr>
            <w:tcW w:w="0" w:type="auto"/>
            <w:tcBorders>
              <w:top w:val="single" w:sz="4" w:space="0" w:color="auto"/>
              <w:left w:val="nil"/>
              <w:bottom w:val="single" w:sz="4" w:space="0" w:color="auto"/>
              <w:right w:val="nil"/>
            </w:tcBorders>
          </w:tcPr>
          <w:p w14:paraId="3ED88256" w14:textId="77777777" w:rsidR="00853570" w:rsidRPr="007613A4" w:rsidRDefault="00853570" w:rsidP="00662941">
            <w:pPr>
              <w:pStyle w:val="TableText0"/>
              <w:keepNext w:val="0"/>
              <w:rPr>
                <w:snapToGrid w:val="0"/>
              </w:rPr>
            </w:pPr>
          </w:p>
        </w:tc>
        <w:tc>
          <w:tcPr>
            <w:tcW w:w="1552" w:type="dxa"/>
            <w:tcBorders>
              <w:top w:val="single" w:sz="4" w:space="0" w:color="auto"/>
              <w:left w:val="nil"/>
              <w:bottom w:val="single" w:sz="4" w:space="0" w:color="auto"/>
              <w:right w:val="nil"/>
            </w:tcBorders>
            <w:shd w:val="clear" w:color="auto" w:fill="auto"/>
          </w:tcPr>
          <w:p w14:paraId="130CE7CD" w14:textId="77777777" w:rsidR="00853570" w:rsidRPr="007613A4" w:rsidRDefault="00853570" w:rsidP="00662941">
            <w:pPr>
              <w:pStyle w:val="TableText0"/>
              <w:keepNext w:val="0"/>
              <w:rPr>
                <w:snapToGrid w:val="0"/>
              </w:rPr>
            </w:pPr>
          </w:p>
        </w:tc>
        <w:tc>
          <w:tcPr>
            <w:tcW w:w="1418" w:type="dxa"/>
            <w:tcBorders>
              <w:top w:val="single" w:sz="4" w:space="0" w:color="auto"/>
              <w:left w:val="nil"/>
              <w:bottom w:val="single" w:sz="4" w:space="0" w:color="auto"/>
              <w:right w:val="nil"/>
            </w:tcBorders>
            <w:shd w:val="clear" w:color="auto" w:fill="auto"/>
          </w:tcPr>
          <w:p w14:paraId="71254CAE" w14:textId="77777777" w:rsidR="00853570" w:rsidRPr="007613A4" w:rsidRDefault="00853570" w:rsidP="00662941">
            <w:pPr>
              <w:pStyle w:val="TableText0"/>
              <w:keepNext w:val="0"/>
              <w:rPr>
                <w:snapToGrid w:val="0"/>
              </w:rPr>
            </w:pPr>
          </w:p>
        </w:tc>
        <w:tc>
          <w:tcPr>
            <w:tcW w:w="1701" w:type="dxa"/>
            <w:tcBorders>
              <w:top w:val="single" w:sz="4" w:space="0" w:color="auto"/>
              <w:left w:val="nil"/>
              <w:bottom w:val="single" w:sz="4" w:space="0" w:color="auto"/>
              <w:right w:val="nil"/>
            </w:tcBorders>
            <w:shd w:val="clear" w:color="auto" w:fill="auto"/>
          </w:tcPr>
          <w:p w14:paraId="3EFBABAB" w14:textId="77777777" w:rsidR="00853570" w:rsidRPr="007613A4" w:rsidRDefault="00853570" w:rsidP="00662941">
            <w:pPr>
              <w:pStyle w:val="TableText0"/>
              <w:keepNext w:val="0"/>
              <w:rPr>
                <w:snapToGrid w:val="0"/>
              </w:rPr>
            </w:pPr>
          </w:p>
        </w:tc>
        <w:tc>
          <w:tcPr>
            <w:tcW w:w="799" w:type="dxa"/>
            <w:tcBorders>
              <w:top w:val="single" w:sz="4" w:space="0" w:color="auto"/>
              <w:left w:val="nil"/>
              <w:bottom w:val="single" w:sz="4" w:space="0" w:color="auto"/>
              <w:right w:val="single" w:sz="4" w:space="0" w:color="auto"/>
            </w:tcBorders>
          </w:tcPr>
          <w:p w14:paraId="57F58DB8" w14:textId="77777777" w:rsidR="00853570" w:rsidRPr="007613A4" w:rsidRDefault="00853570" w:rsidP="00662941">
            <w:pPr>
              <w:pStyle w:val="TableText0"/>
              <w:keepNext w:val="0"/>
              <w:rPr>
                <w:i/>
                <w:snapToGrid w:val="0"/>
              </w:rPr>
            </w:pPr>
          </w:p>
        </w:tc>
      </w:tr>
      <w:tr w:rsidR="00853570" w:rsidRPr="007613A4" w14:paraId="0C1E96D0" w14:textId="77777777" w:rsidTr="00662941">
        <w:tc>
          <w:tcPr>
            <w:tcW w:w="0" w:type="auto"/>
            <w:tcBorders>
              <w:top w:val="single" w:sz="4" w:space="0" w:color="auto"/>
              <w:bottom w:val="single" w:sz="4" w:space="0" w:color="auto"/>
            </w:tcBorders>
            <w:shd w:val="clear" w:color="auto" w:fill="auto"/>
          </w:tcPr>
          <w:p w14:paraId="07DF386D" w14:textId="77777777" w:rsidR="00853570" w:rsidRPr="007613A4" w:rsidRDefault="00853570" w:rsidP="00662941">
            <w:pPr>
              <w:pStyle w:val="TableText0"/>
              <w:keepNext w:val="0"/>
              <w:rPr>
                <w:snapToGrid w:val="0"/>
              </w:rPr>
            </w:pPr>
            <w:r w:rsidRPr="0024257B">
              <w:rPr>
                <w:snapToGrid w:val="0"/>
              </w:rPr>
              <w:t>Martinez 2019</w:t>
            </w:r>
            <w:r>
              <w:rPr>
                <w:snapToGrid w:val="0"/>
              </w:rPr>
              <w:br/>
              <w:t>5 RCTs</w:t>
            </w:r>
          </w:p>
        </w:tc>
        <w:tc>
          <w:tcPr>
            <w:tcW w:w="0" w:type="auto"/>
            <w:tcBorders>
              <w:top w:val="single" w:sz="4" w:space="0" w:color="auto"/>
              <w:bottom w:val="single" w:sz="4" w:space="0" w:color="auto"/>
            </w:tcBorders>
          </w:tcPr>
          <w:p w14:paraId="198469FF" w14:textId="77777777" w:rsidR="00853570" w:rsidRPr="007613A4" w:rsidRDefault="00853570" w:rsidP="00662941">
            <w:pPr>
              <w:pStyle w:val="TableText0"/>
              <w:keepNext w:val="0"/>
              <w:ind w:left="16" w:right="117"/>
              <w:rPr>
                <w:snapToGrid w:val="0"/>
              </w:rPr>
            </w:pPr>
            <w:r>
              <w:rPr>
                <w:snapToGrid w:val="0"/>
              </w:rPr>
              <w:t>Moderate quality</w:t>
            </w:r>
          </w:p>
        </w:tc>
        <w:tc>
          <w:tcPr>
            <w:tcW w:w="1552" w:type="dxa"/>
            <w:tcBorders>
              <w:top w:val="single" w:sz="4" w:space="0" w:color="auto"/>
              <w:bottom w:val="single" w:sz="4" w:space="0" w:color="auto"/>
            </w:tcBorders>
            <w:shd w:val="clear" w:color="auto" w:fill="auto"/>
          </w:tcPr>
          <w:p w14:paraId="07E30F2F" w14:textId="77777777" w:rsidR="00853570" w:rsidRPr="007613A4" w:rsidRDefault="00853570" w:rsidP="00662941">
            <w:pPr>
              <w:pStyle w:val="TableText0"/>
              <w:keepNext w:val="0"/>
              <w:ind w:left="111" w:right="117"/>
              <w:rPr>
                <w:snapToGrid w:val="0"/>
              </w:rPr>
            </w:pPr>
            <w:r w:rsidRPr="0024257B">
              <w:rPr>
                <w:snapToGrid w:val="0"/>
              </w:rPr>
              <w:t>58/315 (18.4%)</w:t>
            </w:r>
          </w:p>
        </w:tc>
        <w:tc>
          <w:tcPr>
            <w:tcW w:w="1418" w:type="dxa"/>
            <w:tcBorders>
              <w:top w:val="single" w:sz="4" w:space="0" w:color="auto"/>
              <w:bottom w:val="single" w:sz="4" w:space="0" w:color="auto"/>
            </w:tcBorders>
            <w:shd w:val="clear" w:color="auto" w:fill="auto"/>
          </w:tcPr>
          <w:p w14:paraId="2CCA211B" w14:textId="77777777" w:rsidR="00853570" w:rsidRPr="007613A4" w:rsidRDefault="00853570" w:rsidP="00662941">
            <w:pPr>
              <w:pStyle w:val="TableText0"/>
              <w:keepNext w:val="0"/>
              <w:ind w:left="77" w:right="117"/>
              <w:rPr>
                <w:snapToGrid w:val="0"/>
              </w:rPr>
            </w:pPr>
            <w:r w:rsidRPr="0024257B">
              <w:rPr>
                <w:snapToGrid w:val="0"/>
              </w:rPr>
              <w:t>63/317 (19.9%)</w:t>
            </w:r>
          </w:p>
        </w:tc>
        <w:tc>
          <w:tcPr>
            <w:tcW w:w="1701" w:type="dxa"/>
            <w:tcBorders>
              <w:top w:val="single" w:sz="4" w:space="0" w:color="auto"/>
              <w:bottom w:val="single" w:sz="4" w:space="0" w:color="auto"/>
            </w:tcBorders>
            <w:shd w:val="clear" w:color="auto" w:fill="auto"/>
          </w:tcPr>
          <w:p w14:paraId="6164CC48" w14:textId="77777777" w:rsidR="00853570" w:rsidRPr="007613A4" w:rsidRDefault="00853570" w:rsidP="00662941">
            <w:pPr>
              <w:pStyle w:val="TableText0"/>
              <w:keepNext w:val="0"/>
              <w:ind w:right="117"/>
              <w:rPr>
                <w:snapToGrid w:val="0"/>
              </w:rPr>
            </w:pPr>
            <w:r w:rsidRPr="0024257B">
              <w:rPr>
                <w:snapToGrid w:val="0"/>
              </w:rPr>
              <w:t>OR 0.89 (0.60, 1.34)</w:t>
            </w:r>
          </w:p>
        </w:tc>
        <w:tc>
          <w:tcPr>
            <w:tcW w:w="799" w:type="dxa"/>
            <w:tcBorders>
              <w:top w:val="single" w:sz="4" w:space="0" w:color="auto"/>
              <w:bottom w:val="single" w:sz="4" w:space="0" w:color="auto"/>
            </w:tcBorders>
          </w:tcPr>
          <w:p w14:paraId="72FDC294" w14:textId="77777777" w:rsidR="00853570" w:rsidRPr="0024257B" w:rsidRDefault="00853570" w:rsidP="00662941">
            <w:pPr>
              <w:pStyle w:val="TableText0"/>
              <w:keepNext w:val="0"/>
              <w:ind w:right="117"/>
              <w:rPr>
                <w:snapToGrid w:val="0"/>
              </w:rPr>
            </w:pPr>
            <w:r w:rsidRPr="0024257B">
              <w:rPr>
                <w:snapToGrid w:val="0"/>
              </w:rPr>
              <w:t>I</w:t>
            </w:r>
            <w:r w:rsidRPr="0024257B">
              <w:rPr>
                <w:snapToGrid w:val="0"/>
                <w:vertAlign w:val="superscript"/>
              </w:rPr>
              <w:t>2</w:t>
            </w:r>
            <w:r w:rsidRPr="0024257B">
              <w:rPr>
                <w:snapToGrid w:val="0"/>
              </w:rPr>
              <w:t>=0%</w:t>
            </w:r>
            <w:r>
              <w:rPr>
                <w:snapToGrid w:val="0"/>
              </w:rPr>
              <w:t xml:space="preserve">, </w:t>
            </w:r>
            <w:r w:rsidRPr="0024257B">
              <w:rPr>
                <w:snapToGrid w:val="0"/>
              </w:rPr>
              <w:t>p=0.79</w:t>
            </w:r>
          </w:p>
        </w:tc>
      </w:tr>
      <w:tr w:rsidR="00853570" w:rsidRPr="007613A4" w14:paraId="6F335396" w14:textId="77777777" w:rsidTr="00662941">
        <w:tc>
          <w:tcPr>
            <w:tcW w:w="0" w:type="auto"/>
            <w:tcBorders>
              <w:top w:val="single" w:sz="4" w:space="0" w:color="auto"/>
              <w:left w:val="single" w:sz="4" w:space="0" w:color="auto"/>
              <w:bottom w:val="single" w:sz="4" w:space="0" w:color="auto"/>
              <w:right w:val="nil"/>
            </w:tcBorders>
            <w:shd w:val="clear" w:color="auto" w:fill="auto"/>
          </w:tcPr>
          <w:p w14:paraId="0C8C6489" w14:textId="77777777" w:rsidR="00853570" w:rsidRPr="00E056A6" w:rsidRDefault="00853570" w:rsidP="00662941">
            <w:pPr>
              <w:pStyle w:val="TableText0"/>
              <w:keepNext w:val="0"/>
              <w:rPr>
                <w:b/>
                <w:bCs/>
                <w:snapToGrid w:val="0"/>
              </w:rPr>
            </w:pPr>
            <w:r w:rsidRPr="00E056A6">
              <w:rPr>
                <w:b/>
                <w:bCs/>
                <w:snapToGrid w:val="0"/>
              </w:rPr>
              <w:t>Arrhythmia recurrence</w:t>
            </w:r>
          </w:p>
        </w:tc>
        <w:tc>
          <w:tcPr>
            <w:tcW w:w="0" w:type="auto"/>
            <w:tcBorders>
              <w:top w:val="single" w:sz="4" w:space="0" w:color="auto"/>
              <w:left w:val="nil"/>
              <w:bottom w:val="single" w:sz="4" w:space="0" w:color="auto"/>
              <w:right w:val="nil"/>
            </w:tcBorders>
          </w:tcPr>
          <w:p w14:paraId="00F98D60" w14:textId="77777777" w:rsidR="00853570" w:rsidRPr="00E056A6" w:rsidRDefault="00853570" w:rsidP="00662941">
            <w:pPr>
              <w:pStyle w:val="TableText0"/>
              <w:keepNext w:val="0"/>
            </w:pPr>
          </w:p>
        </w:tc>
        <w:tc>
          <w:tcPr>
            <w:tcW w:w="1552" w:type="dxa"/>
            <w:tcBorders>
              <w:top w:val="single" w:sz="4" w:space="0" w:color="auto"/>
              <w:left w:val="nil"/>
              <w:bottom w:val="single" w:sz="4" w:space="0" w:color="auto"/>
              <w:right w:val="nil"/>
            </w:tcBorders>
            <w:shd w:val="clear" w:color="auto" w:fill="auto"/>
          </w:tcPr>
          <w:p w14:paraId="00B158CC" w14:textId="77777777" w:rsidR="00853570" w:rsidRPr="00E056A6" w:rsidRDefault="00853570" w:rsidP="00662941">
            <w:pPr>
              <w:pStyle w:val="TableText0"/>
              <w:keepNext w:val="0"/>
            </w:pPr>
          </w:p>
        </w:tc>
        <w:tc>
          <w:tcPr>
            <w:tcW w:w="1418" w:type="dxa"/>
            <w:tcBorders>
              <w:top w:val="single" w:sz="4" w:space="0" w:color="auto"/>
              <w:left w:val="nil"/>
              <w:bottom w:val="single" w:sz="4" w:space="0" w:color="auto"/>
              <w:right w:val="nil"/>
            </w:tcBorders>
            <w:shd w:val="clear" w:color="auto" w:fill="auto"/>
          </w:tcPr>
          <w:p w14:paraId="2EA83113" w14:textId="77777777" w:rsidR="00853570" w:rsidRPr="00E056A6" w:rsidRDefault="00853570" w:rsidP="00662941">
            <w:pPr>
              <w:pStyle w:val="TableText0"/>
              <w:keepNext w:val="0"/>
            </w:pPr>
          </w:p>
        </w:tc>
        <w:tc>
          <w:tcPr>
            <w:tcW w:w="1701" w:type="dxa"/>
            <w:tcBorders>
              <w:top w:val="single" w:sz="4" w:space="0" w:color="auto"/>
              <w:left w:val="nil"/>
              <w:bottom w:val="single" w:sz="4" w:space="0" w:color="auto"/>
              <w:right w:val="nil"/>
            </w:tcBorders>
            <w:shd w:val="clear" w:color="auto" w:fill="auto"/>
          </w:tcPr>
          <w:p w14:paraId="056F7644" w14:textId="77777777" w:rsidR="00853570" w:rsidRPr="00E056A6" w:rsidRDefault="00853570" w:rsidP="00662941">
            <w:pPr>
              <w:pStyle w:val="TableText0"/>
              <w:keepNext w:val="0"/>
            </w:pPr>
          </w:p>
        </w:tc>
        <w:tc>
          <w:tcPr>
            <w:tcW w:w="799" w:type="dxa"/>
            <w:tcBorders>
              <w:top w:val="single" w:sz="4" w:space="0" w:color="auto"/>
              <w:left w:val="nil"/>
              <w:bottom w:val="single" w:sz="4" w:space="0" w:color="auto"/>
              <w:right w:val="single" w:sz="4" w:space="0" w:color="auto"/>
            </w:tcBorders>
          </w:tcPr>
          <w:p w14:paraId="2018B70E" w14:textId="77777777" w:rsidR="00853570" w:rsidRPr="00E056A6" w:rsidRDefault="00853570" w:rsidP="00662941">
            <w:pPr>
              <w:pStyle w:val="TableText0"/>
              <w:keepNext w:val="0"/>
            </w:pPr>
          </w:p>
        </w:tc>
      </w:tr>
      <w:tr w:rsidR="00853570" w:rsidRPr="007613A4" w14:paraId="6027CABC" w14:textId="77777777" w:rsidTr="00662941">
        <w:tc>
          <w:tcPr>
            <w:tcW w:w="0" w:type="auto"/>
            <w:tcBorders>
              <w:top w:val="single" w:sz="4" w:space="0" w:color="auto"/>
              <w:bottom w:val="single" w:sz="4" w:space="0" w:color="auto"/>
            </w:tcBorders>
            <w:shd w:val="clear" w:color="auto" w:fill="auto"/>
          </w:tcPr>
          <w:p w14:paraId="1F1A8C3B" w14:textId="77777777" w:rsidR="00853570" w:rsidRPr="007613A4" w:rsidRDefault="00853570" w:rsidP="00662941">
            <w:pPr>
              <w:pStyle w:val="TableText0"/>
              <w:keepNext w:val="0"/>
              <w:rPr>
                <w:snapToGrid w:val="0"/>
              </w:rPr>
            </w:pPr>
            <w:r w:rsidRPr="0024257B">
              <w:rPr>
                <w:snapToGrid w:val="0"/>
              </w:rPr>
              <w:t>Martinez 2019</w:t>
            </w:r>
            <w:r>
              <w:rPr>
                <w:snapToGrid w:val="0"/>
              </w:rPr>
              <w:br/>
              <w:t>3 RCTs</w:t>
            </w:r>
          </w:p>
        </w:tc>
        <w:tc>
          <w:tcPr>
            <w:tcW w:w="0" w:type="auto"/>
            <w:tcBorders>
              <w:top w:val="single" w:sz="4" w:space="0" w:color="auto"/>
              <w:bottom w:val="single" w:sz="4" w:space="0" w:color="auto"/>
            </w:tcBorders>
          </w:tcPr>
          <w:p w14:paraId="58827080" w14:textId="77777777" w:rsidR="00853570" w:rsidRPr="007613A4" w:rsidRDefault="00853570" w:rsidP="00662941">
            <w:pPr>
              <w:pStyle w:val="TableText0"/>
              <w:keepNext w:val="0"/>
              <w:ind w:left="16" w:right="117"/>
              <w:rPr>
                <w:snapToGrid w:val="0"/>
              </w:rPr>
            </w:pPr>
            <w:r>
              <w:rPr>
                <w:snapToGrid w:val="0"/>
              </w:rPr>
              <w:t>Moderate quality</w:t>
            </w:r>
          </w:p>
        </w:tc>
        <w:tc>
          <w:tcPr>
            <w:tcW w:w="1552" w:type="dxa"/>
            <w:tcBorders>
              <w:top w:val="single" w:sz="4" w:space="0" w:color="auto"/>
              <w:bottom w:val="single" w:sz="4" w:space="0" w:color="auto"/>
            </w:tcBorders>
            <w:shd w:val="clear" w:color="auto" w:fill="auto"/>
          </w:tcPr>
          <w:p w14:paraId="1F22B9C4" w14:textId="77777777" w:rsidR="00853570" w:rsidRPr="007613A4" w:rsidRDefault="00853570" w:rsidP="00662941">
            <w:pPr>
              <w:pStyle w:val="TableText0"/>
              <w:keepNext w:val="0"/>
              <w:ind w:left="111" w:right="117"/>
              <w:rPr>
                <w:snapToGrid w:val="0"/>
              </w:rPr>
            </w:pPr>
            <w:r w:rsidRPr="0024257B">
              <w:rPr>
                <w:snapToGrid w:val="0"/>
              </w:rPr>
              <w:t>61/119 (51.3%)</w:t>
            </w:r>
          </w:p>
        </w:tc>
        <w:tc>
          <w:tcPr>
            <w:tcW w:w="1418" w:type="dxa"/>
            <w:tcBorders>
              <w:top w:val="single" w:sz="4" w:space="0" w:color="auto"/>
              <w:bottom w:val="single" w:sz="4" w:space="0" w:color="auto"/>
            </w:tcBorders>
            <w:shd w:val="clear" w:color="auto" w:fill="auto"/>
          </w:tcPr>
          <w:p w14:paraId="123D50D3" w14:textId="77777777" w:rsidR="00853570" w:rsidRPr="007613A4" w:rsidRDefault="00853570" w:rsidP="00662941">
            <w:pPr>
              <w:pStyle w:val="TableText0"/>
              <w:keepNext w:val="0"/>
              <w:ind w:left="77" w:right="117"/>
              <w:rPr>
                <w:snapToGrid w:val="0"/>
              </w:rPr>
            </w:pPr>
            <w:r w:rsidRPr="0024257B">
              <w:rPr>
                <w:snapToGrid w:val="0"/>
              </w:rPr>
              <w:t>71/126 (56.3%)</w:t>
            </w:r>
          </w:p>
        </w:tc>
        <w:tc>
          <w:tcPr>
            <w:tcW w:w="1701" w:type="dxa"/>
            <w:tcBorders>
              <w:top w:val="single" w:sz="4" w:space="0" w:color="auto"/>
              <w:bottom w:val="single" w:sz="4" w:space="0" w:color="auto"/>
            </w:tcBorders>
            <w:shd w:val="clear" w:color="auto" w:fill="auto"/>
          </w:tcPr>
          <w:p w14:paraId="5552601B" w14:textId="77777777" w:rsidR="00853570" w:rsidRPr="007613A4" w:rsidRDefault="00853570" w:rsidP="00662941">
            <w:pPr>
              <w:pStyle w:val="TableText0"/>
              <w:keepNext w:val="0"/>
              <w:ind w:right="117"/>
              <w:rPr>
                <w:snapToGrid w:val="0"/>
              </w:rPr>
            </w:pPr>
            <w:r w:rsidRPr="0024257B">
              <w:rPr>
                <w:snapToGrid w:val="0"/>
              </w:rPr>
              <w:t>OR 0.87 (0.41, 1.85)</w:t>
            </w:r>
          </w:p>
        </w:tc>
        <w:tc>
          <w:tcPr>
            <w:tcW w:w="799" w:type="dxa"/>
            <w:tcBorders>
              <w:top w:val="single" w:sz="4" w:space="0" w:color="auto"/>
              <w:bottom w:val="single" w:sz="4" w:space="0" w:color="auto"/>
            </w:tcBorders>
          </w:tcPr>
          <w:p w14:paraId="543DC127" w14:textId="77777777" w:rsidR="00853570" w:rsidRPr="007613A4" w:rsidRDefault="00853570" w:rsidP="00662941">
            <w:pPr>
              <w:pStyle w:val="TableText0"/>
              <w:keepNext w:val="0"/>
              <w:ind w:right="117"/>
              <w:rPr>
                <w:snapToGrid w:val="0"/>
              </w:rPr>
            </w:pPr>
            <w:r w:rsidRPr="0024257B">
              <w:rPr>
                <w:snapToGrid w:val="0"/>
              </w:rPr>
              <w:t>I</w:t>
            </w:r>
            <w:r w:rsidRPr="0024257B">
              <w:rPr>
                <w:snapToGrid w:val="0"/>
                <w:vertAlign w:val="superscript"/>
              </w:rPr>
              <w:t>2</w:t>
            </w:r>
            <w:r w:rsidRPr="0024257B">
              <w:rPr>
                <w:snapToGrid w:val="0"/>
              </w:rPr>
              <w:t>=44%</w:t>
            </w:r>
            <w:r>
              <w:rPr>
                <w:snapToGrid w:val="0"/>
              </w:rPr>
              <w:t>,</w:t>
            </w:r>
            <w:r w:rsidRPr="0024257B">
              <w:rPr>
                <w:snapToGrid w:val="0"/>
              </w:rPr>
              <w:t xml:space="preserve"> p=0.17</w:t>
            </w:r>
          </w:p>
        </w:tc>
      </w:tr>
      <w:tr w:rsidR="00853570" w:rsidRPr="007613A4" w14:paraId="229845F5" w14:textId="77777777" w:rsidTr="00662941">
        <w:tc>
          <w:tcPr>
            <w:tcW w:w="0" w:type="auto"/>
            <w:tcBorders>
              <w:top w:val="single" w:sz="4" w:space="0" w:color="auto"/>
              <w:left w:val="single" w:sz="4" w:space="0" w:color="auto"/>
              <w:bottom w:val="single" w:sz="4" w:space="0" w:color="auto"/>
              <w:right w:val="nil"/>
            </w:tcBorders>
            <w:shd w:val="clear" w:color="auto" w:fill="auto"/>
          </w:tcPr>
          <w:p w14:paraId="719978C4" w14:textId="77777777" w:rsidR="00853570" w:rsidRPr="00E056A6" w:rsidRDefault="00853570" w:rsidP="00662941">
            <w:pPr>
              <w:pStyle w:val="TableText0"/>
              <w:keepNext w:val="0"/>
              <w:rPr>
                <w:b/>
                <w:bCs/>
                <w:snapToGrid w:val="0"/>
              </w:rPr>
            </w:pPr>
            <w:r w:rsidRPr="00E056A6">
              <w:rPr>
                <w:b/>
                <w:bCs/>
                <w:snapToGrid w:val="0"/>
              </w:rPr>
              <w:t>Appropriate ICD therapies</w:t>
            </w:r>
          </w:p>
        </w:tc>
        <w:tc>
          <w:tcPr>
            <w:tcW w:w="0" w:type="auto"/>
            <w:tcBorders>
              <w:top w:val="single" w:sz="4" w:space="0" w:color="auto"/>
              <w:left w:val="nil"/>
              <w:bottom w:val="single" w:sz="4" w:space="0" w:color="auto"/>
              <w:right w:val="nil"/>
            </w:tcBorders>
          </w:tcPr>
          <w:p w14:paraId="27BAFBAE" w14:textId="77777777" w:rsidR="00853570" w:rsidRPr="00E056A6" w:rsidRDefault="00853570" w:rsidP="00662941">
            <w:pPr>
              <w:pStyle w:val="TableText0"/>
              <w:keepNext w:val="0"/>
            </w:pPr>
          </w:p>
        </w:tc>
        <w:tc>
          <w:tcPr>
            <w:tcW w:w="1552" w:type="dxa"/>
            <w:tcBorders>
              <w:top w:val="single" w:sz="4" w:space="0" w:color="auto"/>
              <w:left w:val="nil"/>
              <w:bottom w:val="single" w:sz="4" w:space="0" w:color="auto"/>
              <w:right w:val="nil"/>
            </w:tcBorders>
            <w:shd w:val="clear" w:color="auto" w:fill="auto"/>
          </w:tcPr>
          <w:p w14:paraId="4B55FB15" w14:textId="77777777" w:rsidR="00853570" w:rsidRPr="00E056A6" w:rsidRDefault="00853570" w:rsidP="00662941">
            <w:pPr>
              <w:pStyle w:val="TableText0"/>
              <w:keepNext w:val="0"/>
            </w:pPr>
          </w:p>
        </w:tc>
        <w:tc>
          <w:tcPr>
            <w:tcW w:w="1418" w:type="dxa"/>
            <w:tcBorders>
              <w:top w:val="single" w:sz="4" w:space="0" w:color="auto"/>
              <w:left w:val="nil"/>
              <w:bottom w:val="single" w:sz="4" w:space="0" w:color="auto"/>
              <w:right w:val="nil"/>
            </w:tcBorders>
            <w:shd w:val="clear" w:color="auto" w:fill="auto"/>
          </w:tcPr>
          <w:p w14:paraId="3C8E294C" w14:textId="77777777" w:rsidR="00853570" w:rsidRPr="00E056A6" w:rsidRDefault="00853570" w:rsidP="00662941">
            <w:pPr>
              <w:pStyle w:val="TableText0"/>
              <w:keepNext w:val="0"/>
            </w:pPr>
          </w:p>
        </w:tc>
        <w:tc>
          <w:tcPr>
            <w:tcW w:w="1701" w:type="dxa"/>
            <w:tcBorders>
              <w:top w:val="single" w:sz="4" w:space="0" w:color="auto"/>
              <w:left w:val="nil"/>
              <w:bottom w:val="single" w:sz="4" w:space="0" w:color="auto"/>
              <w:right w:val="nil"/>
            </w:tcBorders>
            <w:shd w:val="clear" w:color="auto" w:fill="auto"/>
          </w:tcPr>
          <w:p w14:paraId="34D32C31" w14:textId="77777777" w:rsidR="00853570" w:rsidRPr="00E056A6" w:rsidRDefault="00853570" w:rsidP="00662941">
            <w:pPr>
              <w:pStyle w:val="TableText0"/>
              <w:keepNext w:val="0"/>
            </w:pPr>
          </w:p>
        </w:tc>
        <w:tc>
          <w:tcPr>
            <w:tcW w:w="799" w:type="dxa"/>
            <w:tcBorders>
              <w:top w:val="single" w:sz="4" w:space="0" w:color="auto"/>
              <w:left w:val="nil"/>
              <w:bottom w:val="single" w:sz="4" w:space="0" w:color="auto"/>
              <w:right w:val="single" w:sz="4" w:space="0" w:color="auto"/>
            </w:tcBorders>
          </w:tcPr>
          <w:p w14:paraId="245316A4" w14:textId="77777777" w:rsidR="00853570" w:rsidRPr="00E056A6" w:rsidRDefault="00853570" w:rsidP="00662941">
            <w:pPr>
              <w:pStyle w:val="TableText0"/>
              <w:keepNext w:val="0"/>
            </w:pPr>
          </w:p>
        </w:tc>
      </w:tr>
      <w:tr w:rsidR="00853570" w:rsidRPr="00E16061" w14:paraId="777944A1" w14:textId="77777777" w:rsidTr="00662941">
        <w:tc>
          <w:tcPr>
            <w:tcW w:w="0" w:type="auto"/>
            <w:tcBorders>
              <w:top w:val="single" w:sz="4" w:space="0" w:color="auto"/>
              <w:bottom w:val="single" w:sz="4" w:space="0" w:color="auto"/>
            </w:tcBorders>
            <w:shd w:val="clear" w:color="auto" w:fill="auto"/>
          </w:tcPr>
          <w:p w14:paraId="46C07A35" w14:textId="77777777" w:rsidR="00853570" w:rsidRPr="00AB6A5C" w:rsidRDefault="00853570" w:rsidP="00662941">
            <w:pPr>
              <w:pStyle w:val="TableText0"/>
              <w:keepNext w:val="0"/>
              <w:rPr>
                <w:snapToGrid w:val="0"/>
              </w:rPr>
            </w:pPr>
            <w:r w:rsidRPr="0024257B">
              <w:rPr>
                <w:snapToGrid w:val="0"/>
              </w:rPr>
              <w:t>Martinez 2019</w:t>
            </w:r>
            <w:r>
              <w:rPr>
                <w:snapToGrid w:val="0"/>
              </w:rPr>
              <w:br/>
              <w:t>3 RCTs</w:t>
            </w:r>
          </w:p>
        </w:tc>
        <w:tc>
          <w:tcPr>
            <w:tcW w:w="0" w:type="auto"/>
            <w:tcBorders>
              <w:top w:val="single" w:sz="4" w:space="0" w:color="auto"/>
              <w:bottom w:val="single" w:sz="4" w:space="0" w:color="auto"/>
            </w:tcBorders>
          </w:tcPr>
          <w:p w14:paraId="611D118D" w14:textId="77777777" w:rsidR="00853570" w:rsidRPr="00E16061" w:rsidRDefault="00853570" w:rsidP="00662941">
            <w:pPr>
              <w:pStyle w:val="TableText0"/>
              <w:keepNext w:val="0"/>
            </w:pPr>
            <w:r>
              <w:rPr>
                <w:snapToGrid w:val="0"/>
              </w:rPr>
              <w:t>Moderate quality</w:t>
            </w:r>
          </w:p>
        </w:tc>
        <w:tc>
          <w:tcPr>
            <w:tcW w:w="1552" w:type="dxa"/>
            <w:tcBorders>
              <w:top w:val="single" w:sz="4" w:space="0" w:color="auto"/>
              <w:bottom w:val="single" w:sz="4" w:space="0" w:color="auto"/>
            </w:tcBorders>
            <w:shd w:val="clear" w:color="auto" w:fill="auto"/>
          </w:tcPr>
          <w:p w14:paraId="3337474F" w14:textId="77777777" w:rsidR="00853570" w:rsidRPr="00E16061" w:rsidRDefault="00853570" w:rsidP="00662941">
            <w:pPr>
              <w:pStyle w:val="TableText0"/>
              <w:keepNext w:val="0"/>
            </w:pPr>
            <w:r w:rsidRPr="0024257B">
              <w:rPr>
                <w:snapToGrid w:val="0"/>
              </w:rPr>
              <w:t>54/170 (31.8%</w:t>
            </w:r>
            <w:r>
              <w:rPr>
                <w:snapToGrid w:val="0"/>
              </w:rPr>
              <w:t>)</w:t>
            </w:r>
          </w:p>
        </w:tc>
        <w:tc>
          <w:tcPr>
            <w:tcW w:w="1418" w:type="dxa"/>
            <w:tcBorders>
              <w:top w:val="single" w:sz="4" w:space="0" w:color="auto"/>
              <w:bottom w:val="single" w:sz="4" w:space="0" w:color="auto"/>
            </w:tcBorders>
            <w:shd w:val="clear" w:color="auto" w:fill="auto"/>
          </w:tcPr>
          <w:p w14:paraId="6AB7698E" w14:textId="77777777" w:rsidR="00853570" w:rsidRPr="00E16061" w:rsidRDefault="00853570" w:rsidP="00662941">
            <w:pPr>
              <w:pStyle w:val="TableText0"/>
              <w:keepNext w:val="0"/>
            </w:pPr>
            <w:r w:rsidRPr="0024257B">
              <w:rPr>
                <w:snapToGrid w:val="0"/>
              </w:rPr>
              <w:t>83/176 (47.2%)</w:t>
            </w:r>
          </w:p>
        </w:tc>
        <w:tc>
          <w:tcPr>
            <w:tcW w:w="1701" w:type="dxa"/>
            <w:tcBorders>
              <w:top w:val="single" w:sz="4" w:space="0" w:color="auto"/>
              <w:bottom w:val="single" w:sz="4" w:space="0" w:color="auto"/>
            </w:tcBorders>
            <w:shd w:val="clear" w:color="auto" w:fill="auto"/>
          </w:tcPr>
          <w:p w14:paraId="19594DD8" w14:textId="77777777" w:rsidR="00853570" w:rsidRPr="00E16061" w:rsidRDefault="00853570" w:rsidP="00662941">
            <w:pPr>
              <w:pStyle w:val="TableText0"/>
              <w:keepNext w:val="0"/>
            </w:pPr>
            <w:r w:rsidRPr="00A325E9">
              <w:rPr>
                <w:b/>
                <w:snapToGrid w:val="0"/>
              </w:rPr>
              <w:t>OR 0.49 (0.28, 0.87)</w:t>
            </w:r>
          </w:p>
        </w:tc>
        <w:tc>
          <w:tcPr>
            <w:tcW w:w="799" w:type="dxa"/>
            <w:tcBorders>
              <w:top w:val="single" w:sz="4" w:space="0" w:color="auto"/>
              <w:bottom w:val="single" w:sz="4" w:space="0" w:color="auto"/>
            </w:tcBorders>
          </w:tcPr>
          <w:p w14:paraId="120C2878" w14:textId="77777777" w:rsidR="00853570" w:rsidRPr="00E16061" w:rsidRDefault="00853570" w:rsidP="00662941">
            <w:pPr>
              <w:pStyle w:val="TableText0"/>
              <w:keepNext w:val="0"/>
            </w:pPr>
            <w:r w:rsidRPr="0024257B">
              <w:rPr>
                <w:snapToGrid w:val="0"/>
              </w:rPr>
              <w:t>I</w:t>
            </w:r>
            <w:r w:rsidRPr="0024257B">
              <w:rPr>
                <w:snapToGrid w:val="0"/>
                <w:vertAlign w:val="superscript"/>
              </w:rPr>
              <w:t>2</w:t>
            </w:r>
            <w:r w:rsidRPr="0024257B">
              <w:rPr>
                <w:snapToGrid w:val="0"/>
              </w:rPr>
              <w:t>=32%</w:t>
            </w:r>
            <w:r>
              <w:rPr>
                <w:snapToGrid w:val="0"/>
              </w:rPr>
              <w:t>, p=0.23</w:t>
            </w:r>
          </w:p>
        </w:tc>
      </w:tr>
      <w:tr w:rsidR="00853570" w:rsidRPr="00E16061" w14:paraId="2BA8D62B" w14:textId="77777777" w:rsidTr="00662941">
        <w:tc>
          <w:tcPr>
            <w:tcW w:w="0" w:type="auto"/>
            <w:tcBorders>
              <w:top w:val="single" w:sz="4" w:space="0" w:color="auto"/>
              <w:left w:val="single" w:sz="4" w:space="0" w:color="auto"/>
              <w:bottom w:val="single" w:sz="4" w:space="0" w:color="auto"/>
              <w:right w:val="nil"/>
            </w:tcBorders>
            <w:shd w:val="clear" w:color="auto" w:fill="auto"/>
          </w:tcPr>
          <w:p w14:paraId="024AC7CF" w14:textId="77777777" w:rsidR="00853570" w:rsidRPr="00E056A6" w:rsidRDefault="00853570" w:rsidP="00662941">
            <w:pPr>
              <w:pStyle w:val="TableText0"/>
              <w:keepNext w:val="0"/>
              <w:rPr>
                <w:b/>
                <w:bCs/>
              </w:rPr>
            </w:pPr>
            <w:r w:rsidRPr="00E056A6">
              <w:rPr>
                <w:b/>
                <w:bCs/>
              </w:rPr>
              <w:t>Electrical storm</w:t>
            </w:r>
          </w:p>
        </w:tc>
        <w:tc>
          <w:tcPr>
            <w:tcW w:w="0" w:type="auto"/>
            <w:tcBorders>
              <w:top w:val="single" w:sz="4" w:space="0" w:color="auto"/>
              <w:left w:val="nil"/>
              <w:bottom w:val="single" w:sz="4" w:space="0" w:color="auto"/>
              <w:right w:val="nil"/>
            </w:tcBorders>
          </w:tcPr>
          <w:p w14:paraId="09DFF24C" w14:textId="77777777" w:rsidR="00853570" w:rsidRPr="00E056A6" w:rsidRDefault="00853570" w:rsidP="00662941">
            <w:pPr>
              <w:pStyle w:val="TableText0"/>
              <w:keepNext w:val="0"/>
            </w:pPr>
          </w:p>
        </w:tc>
        <w:tc>
          <w:tcPr>
            <w:tcW w:w="1552" w:type="dxa"/>
            <w:tcBorders>
              <w:top w:val="single" w:sz="4" w:space="0" w:color="auto"/>
              <w:left w:val="nil"/>
              <w:bottom w:val="single" w:sz="4" w:space="0" w:color="auto"/>
              <w:right w:val="nil"/>
            </w:tcBorders>
            <w:shd w:val="clear" w:color="auto" w:fill="auto"/>
          </w:tcPr>
          <w:p w14:paraId="6F5EF386" w14:textId="77777777" w:rsidR="00853570" w:rsidRPr="00E056A6" w:rsidRDefault="00853570" w:rsidP="00662941">
            <w:pPr>
              <w:pStyle w:val="TableText0"/>
              <w:keepNext w:val="0"/>
            </w:pPr>
          </w:p>
        </w:tc>
        <w:tc>
          <w:tcPr>
            <w:tcW w:w="1418" w:type="dxa"/>
            <w:tcBorders>
              <w:top w:val="single" w:sz="4" w:space="0" w:color="auto"/>
              <w:left w:val="nil"/>
              <w:bottom w:val="single" w:sz="4" w:space="0" w:color="auto"/>
              <w:right w:val="nil"/>
            </w:tcBorders>
            <w:shd w:val="clear" w:color="auto" w:fill="auto"/>
          </w:tcPr>
          <w:p w14:paraId="28B14911" w14:textId="77777777" w:rsidR="00853570" w:rsidRPr="00E056A6" w:rsidRDefault="00853570" w:rsidP="00662941">
            <w:pPr>
              <w:pStyle w:val="TableText0"/>
              <w:keepNext w:val="0"/>
            </w:pPr>
          </w:p>
        </w:tc>
        <w:tc>
          <w:tcPr>
            <w:tcW w:w="1701" w:type="dxa"/>
            <w:tcBorders>
              <w:top w:val="single" w:sz="4" w:space="0" w:color="auto"/>
              <w:left w:val="nil"/>
              <w:bottom w:val="single" w:sz="4" w:space="0" w:color="auto"/>
              <w:right w:val="nil"/>
            </w:tcBorders>
            <w:shd w:val="clear" w:color="auto" w:fill="auto"/>
          </w:tcPr>
          <w:p w14:paraId="344CE360" w14:textId="77777777" w:rsidR="00853570" w:rsidRPr="00E056A6" w:rsidRDefault="00853570" w:rsidP="00662941">
            <w:pPr>
              <w:pStyle w:val="TableText0"/>
              <w:keepNext w:val="0"/>
            </w:pPr>
          </w:p>
        </w:tc>
        <w:tc>
          <w:tcPr>
            <w:tcW w:w="799" w:type="dxa"/>
            <w:tcBorders>
              <w:top w:val="single" w:sz="4" w:space="0" w:color="auto"/>
              <w:left w:val="nil"/>
              <w:bottom w:val="single" w:sz="4" w:space="0" w:color="auto"/>
              <w:right w:val="single" w:sz="4" w:space="0" w:color="auto"/>
            </w:tcBorders>
          </w:tcPr>
          <w:p w14:paraId="04BB9752" w14:textId="77777777" w:rsidR="00853570" w:rsidRPr="00E056A6" w:rsidRDefault="00853570" w:rsidP="00662941">
            <w:pPr>
              <w:pStyle w:val="TableText0"/>
              <w:keepNext w:val="0"/>
            </w:pPr>
          </w:p>
        </w:tc>
      </w:tr>
      <w:tr w:rsidR="00853570" w:rsidRPr="00E16061" w14:paraId="59CFFD23" w14:textId="77777777" w:rsidTr="00662941">
        <w:tc>
          <w:tcPr>
            <w:tcW w:w="0" w:type="auto"/>
            <w:tcBorders>
              <w:top w:val="single" w:sz="4" w:space="0" w:color="auto"/>
            </w:tcBorders>
            <w:shd w:val="clear" w:color="auto" w:fill="auto"/>
          </w:tcPr>
          <w:p w14:paraId="072CFE00" w14:textId="77777777" w:rsidR="00853570" w:rsidRPr="00AB6A5C" w:rsidRDefault="00853570" w:rsidP="00662941">
            <w:pPr>
              <w:pStyle w:val="TableText0"/>
              <w:keepNext w:val="0"/>
              <w:rPr>
                <w:snapToGrid w:val="0"/>
              </w:rPr>
            </w:pPr>
            <w:r w:rsidRPr="0024257B">
              <w:rPr>
                <w:snapToGrid w:val="0"/>
              </w:rPr>
              <w:t>Martinez 2019</w:t>
            </w:r>
            <w:r>
              <w:rPr>
                <w:snapToGrid w:val="0"/>
              </w:rPr>
              <w:br/>
              <w:t>4 RCTs</w:t>
            </w:r>
          </w:p>
        </w:tc>
        <w:tc>
          <w:tcPr>
            <w:tcW w:w="0" w:type="auto"/>
            <w:tcBorders>
              <w:top w:val="single" w:sz="4" w:space="0" w:color="auto"/>
            </w:tcBorders>
          </w:tcPr>
          <w:p w14:paraId="6418F953" w14:textId="77777777" w:rsidR="00853570" w:rsidRPr="00E16061" w:rsidRDefault="00853570" w:rsidP="00662941">
            <w:pPr>
              <w:pStyle w:val="TableText0"/>
              <w:keepNext w:val="0"/>
            </w:pPr>
            <w:r>
              <w:rPr>
                <w:snapToGrid w:val="0"/>
              </w:rPr>
              <w:t>Moderate quality</w:t>
            </w:r>
          </w:p>
        </w:tc>
        <w:tc>
          <w:tcPr>
            <w:tcW w:w="1552" w:type="dxa"/>
            <w:tcBorders>
              <w:top w:val="single" w:sz="4" w:space="0" w:color="auto"/>
            </w:tcBorders>
            <w:shd w:val="clear" w:color="auto" w:fill="auto"/>
          </w:tcPr>
          <w:p w14:paraId="2D21CF41" w14:textId="77777777" w:rsidR="00853570" w:rsidRPr="00E16061" w:rsidRDefault="00853570" w:rsidP="00662941">
            <w:pPr>
              <w:pStyle w:val="TableText0"/>
              <w:keepNext w:val="0"/>
            </w:pPr>
            <w:r w:rsidRPr="0024257B">
              <w:rPr>
                <w:snapToGrid w:val="0"/>
              </w:rPr>
              <w:t>59/302 (19.5%)</w:t>
            </w:r>
          </w:p>
        </w:tc>
        <w:tc>
          <w:tcPr>
            <w:tcW w:w="1418" w:type="dxa"/>
            <w:tcBorders>
              <w:top w:val="single" w:sz="4" w:space="0" w:color="auto"/>
            </w:tcBorders>
            <w:shd w:val="clear" w:color="auto" w:fill="auto"/>
          </w:tcPr>
          <w:p w14:paraId="0518ABE3" w14:textId="77777777" w:rsidR="00853570" w:rsidRPr="00E16061" w:rsidRDefault="00853570" w:rsidP="00662941">
            <w:pPr>
              <w:pStyle w:val="TableText0"/>
              <w:keepNext w:val="0"/>
            </w:pPr>
            <w:r w:rsidRPr="0024257B">
              <w:rPr>
                <w:snapToGrid w:val="0"/>
              </w:rPr>
              <w:t>82/303 (27.1%)</w:t>
            </w:r>
          </w:p>
        </w:tc>
        <w:tc>
          <w:tcPr>
            <w:tcW w:w="1701" w:type="dxa"/>
            <w:tcBorders>
              <w:top w:val="single" w:sz="4" w:space="0" w:color="auto"/>
            </w:tcBorders>
            <w:shd w:val="clear" w:color="auto" w:fill="auto"/>
          </w:tcPr>
          <w:p w14:paraId="1E86CA94" w14:textId="77777777" w:rsidR="00853570" w:rsidRPr="00E16061" w:rsidRDefault="00853570" w:rsidP="00662941">
            <w:pPr>
              <w:pStyle w:val="TableText0"/>
              <w:keepNext w:val="0"/>
            </w:pPr>
            <w:r w:rsidRPr="00A325E9">
              <w:rPr>
                <w:b/>
                <w:snapToGrid w:val="0"/>
              </w:rPr>
              <w:t>OR 0.64 (0.43, 0.95)</w:t>
            </w:r>
          </w:p>
        </w:tc>
        <w:tc>
          <w:tcPr>
            <w:tcW w:w="799" w:type="dxa"/>
            <w:tcBorders>
              <w:top w:val="single" w:sz="4" w:space="0" w:color="auto"/>
            </w:tcBorders>
          </w:tcPr>
          <w:p w14:paraId="34166290" w14:textId="77777777" w:rsidR="00853570" w:rsidRPr="00E16061" w:rsidRDefault="00853570" w:rsidP="00662941">
            <w:pPr>
              <w:pStyle w:val="TableText0"/>
              <w:keepNext w:val="0"/>
            </w:pPr>
            <w:r w:rsidRPr="0024257B">
              <w:rPr>
                <w:snapToGrid w:val="0"/>
              </w:rPr>
              <w:t>I</w:t>
            </w:r>
            <w:r w:rsidRPr="0024257B">
              <w:rPr>
                <w:snapToGrid w:val="0"/>
                <w:vertAlign w:val="superscript"/>
              </w:rPr>
              <w:t>2</w:t>
            </w:r>
            <w:r w:rsidRPr="0024257B">
              <w:rPr>
                <w:snapToGrid w:val="0"/>
              </w:rPr>
              <w:t>=0%</w:t>
            </w:r>
            <w:r>
              <w:rPr>
                <w:snapToGrid w:val="0"/>
              </w:rPr>
              <w:t>,</w:t>
            </w:r>
            <w:r w:rsidRPr="0024257B">
              <w:rPr>
                <w:snapToGrid w:val="0"/>
              </w:rPr>
              <w:t xml:space="preserve"> p=0.57</w:t>
            </w:r>
          </w:p>
        </w:tc>
      </w:tr>
    </w:tbl>
    <w:p w14:paraId="1B2F04DA" w14:textId="77777777" w:rsidR="00853570" w:rsidRPr="00C240B1" w:rsidRDefault="00853570" w:rsidP="00853570">
      <w:pPr>
        <w:pStyle w:val="TFAbbrevs0"/>
        <w:keepNext w:val="0"/>
        <w:keepLines w:val="0"/>
      </w:pPr>
      <w:r>
        <w:t>Source: Table 1, pxiv of the Commentary</w:t>
      </w:r>
    </w:p>
    <w:p w14:paraId="75D9F091" w14:textId="77777777" w:rsidR="00853570" w:rsidRDefault="00853570" w:rsidP="00853570">
      <w:pPr>
        <w:pStyle w:val="TFAbbrevs0"/>
        <w:keepNext w:val="0"/>
        <w:keepLines w:val="0"/>
        <w:rPr>
          <w:snapToGrid w:val="0"/>
        </w:rPr>
      </w:pPr>
      <w:r>
        <w:rPr>
          <w:snapToGrid w:val="0"/>
        </w:rPr>
        <w:t>CI=confidence interval; ICD=implantable cardioverter defibrillator; OR</w:t>
      </w:r>
      <w:r w:rsidRPr="000A77C8">
        <w:rPr>
          <w:snapToGrid w:val="0"/>
        </w:rPr>
        <w:t>=odds ratio</w:t>
      </w:r>
      <w:r>
        <w:rPr>
          <w:snapToGrid w:val="0"/>
        </w:rPr>
        <w:t>; RCT=randomised controlled trial.</w:t>
      </w:r>
    </w:p>
    <w:p w14:paraId="44EECE8E" w14:textId="77777777" w:rsidR="00853570" w:rsidRDefault="00853570" w:rsidP="00853570">
      <w:pPr>
        <w:pStyle w:val="TFAbbrevs0"/>
        <w:keepNext w:val="0"/>
        <w:keepLines w:val="0"/>
        <w:spacing w:after="240"/>
      </w:pPr>
      <w:r w:rsidRPr="00F71AD9">
        <w:t xml:space="preserve">Statistically significant results are in </w:t>
      </w:r>
      <w:r w:rsidRPr="00F71AD9">
        <w:rPr>
          <w:b/>
        </w:rPr>
        <w:t>bold</w:t>
      </w:r>
      <w:r>
        <w:t xml:space="preserve"> text (p-value &lt;0.05)</w:t>
      </w:r>
    </w:p>
    <w:p w14:paraId="1876FC5F" w14:textId="57608149" w:rsidR="00853570" w:rsidRDefault="00853570" w:rsidP="00853570">
      <w:r>
        <w:t>However, in the pre-E</w:t>
      </w:r>
      <w:r w:rsidR="00D96C00">
        <w:t xml:space="preserve">valuation </w:t>
      </w:r>
      <w:r>
        <w:t>S</w:t>
      </w:r>
      <w:r w:rsidR="00D96C00">
        <w:t>ub-</w:t>
      </w:r>
      <w:r>
        <w:t>C</w:t>
      </w:r>
      <w:r w:rsidR="00D96C00">
        <w:t>ommittee</w:t>
      </w:r>
      <w:r>
        <w:t xml:space="preserve"> response the applicant considered Anderson</w:t>
      </w:r>
      <w:r w:rsidR="00567F97">
        <w:t> </w:t>
      </w:r>
      <w:r>
        <w:t>(2019)</w:t>
      </w:r>
      <w:r w:rsidRPr="003D7BC8">
        <w:t xml:space="preserve"> to provide a more accurate assessment of the overall efficacy of cardiac ablation in preventing future recurrences of VT compared with no ablation</w:t>
      </w:r>
      <w:r>
        <w:t>:</w:t>
      </w:r>
    </w:p>
    <w:p w14:paraId="27BC99BC" w14:textId="77777777" w:rsidR="00853570" w:rsidRDefault="00853570" w:rsidP="00853570">
      <w:pPr>
        <w:pStyle w:val="ListParagraph"/>
        <w:numPr>
          <w:ilvl w:val="0"/>
          <w:numId w:val="28"/>
        </w:numPr>
      </w:pPr>
      <w:r w:rsidRPr="003D7BC8">
        <w:t>Anderson (2019) includes 787 patients across 8 studies, whereas Martinez (2019) includes only 632 patients over 5 studies</w:t>
      </w:r>
    </w:p>
    <w:p w14:paraId="0962973E" w14:textId="77777777" w:rsidR="00853570" w:rsidRDefault="00853570" w:rsidP="00853570">
      <w:pPr>
        <w:pStyle w:val="ListParagraph"/>
        <w:numPr>
          <w:ilvl w:val="0"/>
          <w:numId w:val="28"/>
        </w:numPr>
      </w:pPr>
      <w:r w:rsidRPr="003D7BC8">
        <w:t>Anderson (2019) uses a broader definition of VT recurrence</w:t>
      </w:r>
      <w:r>
        <w:rPr>
          <w:rStyle w:val="FootnoteReference"/>
        </w:rPr>
        <w:footnoteReference w:id="10"/>
      </w:r>
      <w:r w:rsidRPr="003D7BC8">
        <w:t xml:space="preserve">, including appropriate ICD shocks and therapies </w:t>
      </w:r>
      <w:r>
        <w:t xml:space="preserve">As noted in the Commentary, </w:t>
      </w:r>
      <w:r w:rsidRPr="003D7BC8">
        <w:t>ICD shocks and therapies “are likely to be relevant (to patients with VT) and to impact on quality of life”. On the basis of this pooled clinical e</w:t>
      </w:r>
      <w:r>
        <w:t>vidence, Anderson (2019) reported</w:t>
      </w:r>
      <w:r w:rsidRPr="003D7BC8">
        <w:t xml:space="preserve"> a statistically significant reduction in VT recurrence with cardiac ablation vs no ablation (relative risk [RR] 0.78, 95% confid</w:t>
      </w:r>
      <w:r>
        <w:t>ence interval [CI]: 0.64, 0.95)</w:t>
      </w:r>
    </w:p>
    <w:p w14:paraId="2650E61D" w14:textId="77777777" w:rsidR="00853570" w:rsidRDefault="00853570" w:rsidP="00853570">
      <w:pPr>
        <w:pStyle w:val="ListParagraph"/>
        <w:numPr>
          <w:ilvl w:val="0"/>
          <w:numId w:val="28"/>
        </w:numPr>
      </w:pPr>
      <w:r w:rsidRPr="00A673BD">
        <w:t>ICD therapies are a subset of all VT recurrences, and the use of ICD therapies as a proxy for VT recurrences by Anderson (2019) will likely under-estimate the rates of all VT recurrences and therefore the relative efficacy of cardiac ablation. Despi</w:t>
      </w:r>
      <w:r>
        <w:t>te this, Anderson (2019) reported</w:t>
      </w:r>
      <w:r w:rsidRPr="00A673BD">
        <w:t xml:space="preserve"> a statistically significant 22% reduction in VT recurrence with cardiac ablation</w:t>
      </w:r>
      <w:r>
        <w:t xml:space="preserve"> as noted above</w:t>
      </w:r>
    </w:p>
    <w:p w14:paraId="0898B00B" w14:textId="77777777" w:rsidR="00853570" w:rsidRDefault="00853570" w:rsidP="00853570">
      <w:pPr>
        <w:pStyle w:val="ListParagraph"/>
        <w:numPr>
          <w:ilvl w:val="0"/>
          <w:numId w:val="28"/>
        </w:numPr>
      </w:pPr>
      <w:r w:rsidRPr="00A673BD">
        <w:t>VT storm is a distinct arrhythmic emergency and highly malignant condition experienced by up to 40% of ICD recipients during their lifetime (Looi 2015</w:t>
      </w:r>
      <w:r>
        <w:rPr>
          <w:rStyle w:val="FootnoteReference"/>
        </w:rPr>
        <w:footnoteReference w:id="11"/>
      </w:r>
      <w:r w:rsidRPr="00A673BD">
        <w:t>). Recurrent ICD shocks increase mortality (Poole 2008</w:t>
      </w:r>
      <w:r>
        <w:rPr>
          <w:rStyle w:val="FootnoteReference"/>
        </w:rPr>
        <w:footnoteReference w:id="12"/>
      </w:r>
      <w:r w:rsidRPr="00A673BD">
        <w:t xml:space="preserve">), most commonly due to rapid and progressive deterioration in ventricular function and consequent heart failure (Looi 2015), and VT storm is associated with an 18-fold increase increased risk of </w:t>
      </w:r>
      <w:r w:rsidRPr="00A673BD">
        <w:lastRenderedPageBreak/>
        <w:t>death (Sesselberg 2007</w:t>
      </w:r>
      <w:r>
        <w:rPr>
          <w:rStyle w:val="FootnoteReference"/>
        </w:rPr>
        <w:footnoteReference w:id="13"/>
      </w:r>
      <w:r w:rsidRPr="00A673BD">
        <w:t>). Moreover, after an initial episode, recurrent VT storm occurs in 50-81% of patients over the next year. Multiple ICD shocks cause substantial psychological morbidity and markedly impaired quality of life (Passman 2007</w:t>
      </w:r>
      <w:r>
        <w:rPr>
          <w:rStyle w:val="FootnoteReference"/>
        </w:rPr>
        <w:footnoteReference w:id="14"/>
      </w:r>
      <w:r w:rsidRPr="00A673BD">
        <w:t>), and have long-lasting adverse effects on physical activity, quality of life and anxiety (Sears 2018</w:t>
      </w:r>
      <w:r>
        <w:rPr>
          <w:rStyle w:val="FootnoteReference"/>
        </w:rPr>
        <w:footnoteReference w:id="15"/>
      </w:r>
      <w:r w:rsidRPr="00A673BD">
        <w:t>). As a consequence, VT storm often results in exponential healthcare resource use from prolonged hospital stays and repeat clinic visits (Looi 2015, Winterfield 2018</w:t>
      </w:r>
      <w:r>
        <w:rPr>
          <w:rStyle w:val="FootnoteReference"/>
        </w:rPr>
        <w:footnoteReference w:id="16"/>
      </w:r>
      <w:r>
        <w:t>)</w:t>
      </w:r>
    </w:p>
    <w:p w14:paraId="64A650BD" w14:textId="77777777" w:rsidR="00853570" w:rsidRDefault="00853570" w:rsidP="00853570">
      <w:pPr>
        <w:pStyle w:val="ListParagraph"/>
        <w:numPr>
          <w:ilvl w:val="0"/>
          <w:numId w:val="28"/>
        </w:numPr>
      </w:pPr>
      <w:r w:rsidRPr="00CC48C6">
        <w:t>Observational data show cardiac ablation results in acute suppression of VT storm and long-term freedom from recurrent VT in 72% of patients (Nayyar 2013</w:t>
      </w:r>
      <w:r>
        <w:rPr>
          <w:rStyle w:val="FootnoteReference"/>
        </w:rPr>
        <w:footnoteReference w:id="17"/>
      </w:r>
      <w:r w:rsidRPr="00CC48C6">
        <w:t>).</w:t>
      </w:r>
    </w:p>
    <w:p w14:paraId="5B744C15" w14:textId="77777777" w:rsidR="00853570" w:rsidRDefault="00853570" w:rsidP="0025034B">
      <w:pPr>
        <w:spacing w:before="240"/>
      </w:pPr>
      <w:r>
        <w:t xml:space="preserve">Therefore, the applicant considered </w:t>
      </w:r>
      <w:r w:rsidRPr="00CC48C6">
        <w:t>there is clear evidence demonstrating significant reductions in the components of VT recurrence (risks of ICD shocks/therapies and VT storm) with cardiac ablation.</w:t>
      </w:r>
    </w:p>
    <w:p w14:paraId="1797B146" w14:textId="77777777" w:rsidR="00853570" w:rsidRDefault="00853570" w:rsidP="00853570">
      <w:pPr>
        <w:pStyle w:val="Heading2"/>
      </w:pPr>
      <w:r w:rsidRPr="005F2953">
        <w:t>Supraventricular tachycardia</w:t>
      </w:r>
    </w:p>
    <w:p w14:paraId="317896A2" w14:textId="77777777" w:rsidR="00853570" w:rsidRPr="00082F8A" w:rsidRDefault="00853570" w:rsidP="00853570">
      <w:pPr>
        <w:pStyle w:val="Heading3"/>
      </w:pPr>
      <w:r>
        <w:t>AFL</w:t>
      </w:r>
    </w:p>
    <w:p w14:paraId="7A379446" w14:textId="758B8C09" w:rsidR="00853570" w:rsidRDefault="00853570" w:rsidP="003B487D">
      <w:pPr>
        <w:spacing w:after="240"/>
      </w:pPr>
      <w:r>
        <w:t xml:space="preserve">The key outcome reported in the ADAR was AFL recurrence, which was statistically significantly lower in the catheter ablation arms in both RCTs. The key outcome summarised in </w:t>
      </w:r>
      <w:r w:rsidR="00567F97">
        <w:fldChar w:fldCharType="begin"/>
      </w:r>
      <w:r w:rsidR="00567F97">
        <w:instrText xml:space="preserve"> REF _Ref36802946 \h </w:instrText>
      </w:r>
      <w:r w:rsidR="00567F97">
        <w:fldChar w:fldCharType="separate"/>
      </w:r>
      <w:r w:rsidR="00567F97">
        <w:t xml:space="preserve">Table </w:t>
      </w:r>
      <w:r w:rsidR="00567F97">
        <w:rPr>
          <w:noProof/>
        </w:rPr>
        <w:t>4</w:t>
      </w:r>
      <w:r w:rsidR="00567F97">
        <w:fldChar w:fldCharType="end"/>
      </w:r>
      <w:r>
        <w:t xml:space="preserve"> is recurrence of any arrhythmia. T</w:t>
      </w:r>
      <w:r w:rsidR="006D1B35">
        <w:t>he commentary suggested t</w:t>
      </w:r>
      <w:r>
        <w:t xml:space="preserve">his outcome because AFL </w:t>
      </w:r>
      <w:r w:rsidR="006D1B35">
        <w:t xml:space="preserve">can coexist </w:t>
      </w:r>
      <w:r>
        <w:t xml:space="preserve">with AF. The Commentary considered that </w:t>
      </w:r>
      <w:r w:rsidRPr="00082F8A">
        <w:rPr>
          <w:bCs/>
        </w:rPr>
        <w:t>there is convincing evidence that catheter ablation reduces arrhythmia recurrence.</w:t>
      </w:r>
      <w:r>
        <w:t xml:space="preserve"> All-cause mortality favoured catheter ablation but was not statistically significant (and is underpowered).</w:t>
      </w:r>
    </w:p>
    <w:p w14:paraId="567C541E" w14:textId="56E8D8A0" w:rsidR="00853570" w:rsidRPr="00D55575" w:rsidRDefault="00567F97" w:rsidP="00D55575">
      <w:pPr>
        <w:rPr>
          <w:rFonts w:ascii="Arial Narrow" w:hAnsi="Arial Narrow"/>
          <w:b/>
          <w:sz w:val="20"/>
        </w:rPr>
      </w:pPr>
      <w:bookmarkStart w:id="11" w:name="_Ref36802946"/>
      <w:r w:rsidRPr="00D55575">
        <w:rPr>
          <w:rFonts w:ascii="Arial Narrow" w:hAnsi="Arial Narrow"/>
          <w:b/>
          <w:sz w:val="20"/>
        </w:rPr>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4</w:t>
      </w:r>
      <w:r w:rsidR="00156907" w:rsidRPr="00D55575">
        <w:rPr>
          <w:rFonts w:ascii="Arial Narrow" w:hAnsi="Arial Narrow"/>
          <w:b/>
          <w:sz w:val="20"/>
        </w:rPr>
        <w:fldChar w:fldCharType="end"/>
      </w:r>
      <w:bookmarkEnd w:id="11"/>
      <w:r w:rsidR="00853570" w:rsidRPr="00D55575">
        <w:rPr>
          <w:rFonts w:ascii="Arial Narrow" w:hAnsi="Arial Narrow"/>
          <w:b/>
          <w:sz w:val="20"/>
        </w:rPr>
        <w:tab/>
        <w:t>Key outcomes for AFL from the included RCTs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Key outcome for AFL from the included RCTs"/>
        <w:tblDescription w:val="Presents the key outcomes for the included studies in the AFL population"/>
      </w:tblPr>
      <w:tblGrid>
        <w:gridCol w:w="2403"/>
        <w:gridCol w:w="1664"/>
        <w:gridCol w:w="1562"/>
        <w:gridCol w:w="1562"/>
        <w:gridCol w:w="1825"/>
      </w:tblGrid>
      <w:tr w:rsidR="00853570" w:rsidRPr="007613A4" w14:paraId="6361CBBD" w14:textId="77777777" w:rsidTr="00662941">
        <w:trPr>
          <w:tblHeader/>
        </w:trPr>
        <w:tc>
          <w:tcPr>
            <w:tcW w:w="1333" w:type="pct"/>
            <w:tcBorders>
              <w:bottom w:val="single" w:sz="4" w:space="0" w:color="auto"/>
            </w:tcBorders>
            <w:shd w:val="clear" w:color="auto" w:fill="auto"/>
          </w:tcPr>
          <w:p w14:paraId="7AB3F0BD" w14:textId="77777777" w:rsidR="00853570" w:rsidRPr="00082F8A" w:rsidRDefault="00853570" w:rsidP="00662941">
            <w:pPr>
              <w:pStyle w:val="Tabletextcentred"/>
              <w:rPr>
                <w:b/>
                <w:snapToGrid w:val="0"/>
              </w:rPr>
            </w:pPr>
            <w:r w:rsidRPr="00082F8A">
              <w:rPr>
                <w:b/>
                <w:snapToGrid w:val="0"/>
              </w:rPr>
              <w:t>Study ID</w:t>
            </w:r>
          </w:p>
        </w:tc>
        <w:tc>
          <w:tcPr>
            <w:tcW w:w="923" w:type="pct"/>
            <w:tcBorders>
              <w:bottom w:val="single" w:sz="4" w:space="0" w:color="auto"/>
            </w:tcBorders>
          </w:tcPr>
          <w:p w14:paraId="64278DCD" w14:textId="77777777" w:rsidR="00853570" w:rsidRPr="00082F8A" w:rsidRDefault="00853570" w:rsidP="00662941">
            <w:pPr>
              <w:pStyle w:val="Tabletextcentred"/>
              <w:rPr>
                <w:b/>
                <w:snapToGrid w:val="0"/>
              </w:rPr>
            </w:pPr>
            <w:r w:rsidRPr="00082F8A">
              <w:rPr>
                <w:b/>
                <w:snapToGrid w:val="0"/>
              </w:rPr>
              <w:t>Risk of bias</w:t>
            </w:r>
          </w:p>
        </w:tc>
        <w:tc>
          <w:tcPr>
            <w:tcW w:w="866" w:type="pct"/>
            <w:tcBorders>
              <w:bottom w:val="single" w:sz="4" w:space="0" w:color="auto"/>
            </w:tcBorders>
            <w:shd w:val="clear" w:color="auto" w:fill="auto"/>
          </w:tcPr>
          <w:p w14:paraId="5C77D726" w14:textId="77777777" w:rsidR="00853570" w:rsidRPr="00082F8A" w:rsidRDefault="00853570" w:rsidP="00662941">
            <w:pPr>
              <w:pStyle w:val="Tabletextcentred"/>
              <w:rPr>
                <w:b/>
                <w:snapToGrid w:val="0"/>
              </w:rPr>
            </w:pPr>
            <w:r w:rsidRPr="00082F8A">
              <w:rPr>
                <w:b/>
                <w:snapToGrid w:val="0"/>
              </w:rPr>
              <w:t>Intervention</w:t>
            </w:r>
          </w:p>
          <w:p w14:paraId="7C85B94C" w14:textId="77777777" w:rsidR="00853570" w:rsidRPr="00082F8A" w:rsidRDefault="00853570" w:rsidP="00662941">
            <w:pPr>
              <w:pStyle w:val="Tabletextcentred"/>
              <w:rPr>
                <w:b/>
                <w:snapToGrid w:val="0"/>
              </w:rPr>
            </w:pPr>
            <w:r w:rsidRPr="00082F8A">
              <w:rPr>
                <w:b/>
                <w:snapToGrid w:val="0"/>
              </w:rPr>
              <w:t>n with event/N (%)</w:t>
            </w:r>
          </w:p>
        </w:tc>
        <w:tc>
          <w:tcPr>
            <w:tcW w:w="866" w:type="pct"/>
            <w:tcBorders>
              <w:bottom w:val="single" w:sz="4" w:space="0" w:color="auto"/>
            </w:tcBorders>
            <w:shd w:val="clear" w:color="auto" w:fill="auto"/>
          </w:tcPr>
          <w:p w14:paraId="3122996A" w14:textId="77777777" w:rsidR="00853570" w:rsidRPr="00082F8A" w:rsidRDefault="00853570" w:rsidP="00662941">
            <w:pPr>
              <w:pStyle w:val="Tabletextcentred"/>
              <w:rPr>
                <w:b/>
                <w:snapToGrid w:val="0"/>
              </w:rPr>
            </w:pPr>
            <w:r w:rsidRPr="00082F8A">
              <w:rPr>
                <w:b/>
                <w:snapToGrid w:val="0"/>
              </w:rPr>
              <w:t>Comparator</w:t>
            </w:r>
          </w:p>
          <w:p w14:paraId="17643447" w14:textId="77777777" w:rsidR="00853570" w:rsidRPr="00082F8A" w:rsidRDefault="00853570" w:rsidP="00662941">
            <w:pPr>
              <w:pStyle w:val="Tabletextcentred"/>
              <w:rPr>
                <w:b/>
                <w:snapToGrid w:val="0"/>
              </w:rPr>
            </w:pPr>
            <w:r w:rsidRPr="00082F8A">
              <w:rPr>
                <w:b/>
                <w:snapToGrid w:val="0"/>
              </w:rPr>
              <w:t>n with event/N (%)</w:t>
            </w:r>
          </w:p>
        </w:tc>
        <w:tc>
          <w:tcPr>
            <w:tcW w:w="1012" w:type="pct"/>
            <w:tcBorders>
              <w:bottom w:val="single" w:sz="4" w:space="0" w:color="auto"/>
            </w:tcBorders>
            <w:shd w:val="clear" w:color="auto" w:fill="auto"/>
          </w:tcPr>
          <w:p w14:paraId="7A36472E" w14:textId="77777777" w:rsidR="00853570" w:rsidRPr="00082F8A" w:rsidRDefault="00853570" w:rsidP="00662941">
            <w:pPr>
              <w:pStyle w:val="Tabletextcentred"/>
              <w:rPr>
                <w:b/>
                <w:snapToGrid w:val="0"/>
              </w:rPr>
            </w:pPr>
            <w:r w:rsidRPr="00082F8A">
              <w:rPr>
                <w:b/>
                <w:snapToGrid w:val="0"/>
              </w:rPr>
              <w:t>Relative difference</w:t>
            </w:r>
          </w:p>
          <w:p w14:paraId="0F55A32E" w14:textId="77777777" w:rsidR="00853570" w:rsidRPr="00082F8A" w:rsidRDefault="00853570" w:rsidP="00662941">
            <w:pPr>
              <w:pStyle w:val="Tabletextcentred"/>
              <w:rPr>
                <w:b/>
                <w:snapToGrid w:val="0"/>
              </w:rPr>
            </w:pPr>
            <w:r w:rsidRPr="00082F8A">
              <w:rPr>
                <w:b/>
                <w:snapToGrid w:val="0"/>
              </w:rPr>
              <w:t>RR (95% CI)</w:t>
            </w:r>
          </w:p>
        </w:tc>
      </w:tr>
      <w:tr w:rsidR="00853570" w:rsidRPr="007613A4" w14:paraId="1EECBCD5" w14:textId="77777777" w:rsidTr="00662941">
        <w:tc>
          <w:tcPr>
            <w:tcW w:w="1333" w:type="pct"/>
            <w:tcBorders>
              <w:top w:val="single" w:sz="4" w:space="0" w:color="auto"/>
              <w:left w:val="single" w:sz="4" w:space="0" w:color="auto"/>
              <w:bottom w:val="single" w:sz="4" w:space="0" w:color="auto"/>
              <w:right w:val="nil"/>
            </w:tcBorders>
            <w:shd w:val="clear" w:color="auto" w:fill="auto"/>
          </w:tcPr>
          <w:p w14:paraId="39D1FC0F" w14:textId="77777777" w:rsidR="00853570" w:rsidRPr="00E056A6" w:rsidRDefault="00853570" w:rsidP="00662941">
            <w:pPr>
              <w:pStyle w:val="TableText0"/>
              <w:rPr>
                <w:b/>
                <w:bCs/>
                <w:snapToGrid w:val="0"/>
              </w:rPr>
            </w:pPr>
            <w:r w:rsidRPr="00E056A6">
              <w:rPr>
                <w:b/>
                <w:bCs/>
                <w:snapToGrid w:val="0"/>
              </w:rPr>
              <w:t>All-cause mortality</w:t>
            </w:r>
          </w:p>
        </w:tc>
        <w:tc>
          <w:tcPr>
            <w:tcW w:w="923" w:type="pct"/>
            <w:tcBorders>
              <w:top w:val="single" w:sz="4" w:space="0" w:color="auto"/>
              <w:left w:val="nil"/>
              <w:bottom w:val="single" w:sz="4" w:space="0" w:color="auto"/>
              <w:right w:val="nil"/>
            </w:tcBorders>
          </w:tcPr>
          <w:p w14:paraId="47BFA297" w14:textId="77777777" w:rsidR="00853570" w:rsidRPr="007613A4" w:rsidRDefault="00853570" w:rsidP="00662941">
            <w:pPr>
              <w:pStyle w:val="TableText0"/>
              <w:rPr>
                <w:snapToGrid w:val="0"/>
              </w:rPr>
            </w:pPr>
          </w:p>
        </w:tc>
        <w:tc>
          <w:tcPr>
            <w:tcW w:w="866" w:type="pct"/>
            <w:tcBorders>
              <w:top w:val="single" w:sz="4" w:space="0" w:color="auto"/>
              <w:left w:val="nil"/>
              <w:bottom w:val="single" w:sz="4" w:space="0" w:color="auto"/>
              <w:right w:val="nil"/>
            </w:tcBorders>
            <w:shd w:val="clear" w:color="auto" w:fill="auto"/>
          </w:tcPr>
          <w:p w14:paraId="1DCD5E36" w14:textId="77777777" w:rsidR="00853570" w:rsidRPr="007613A4" w:rsidRDefault="00853570" w:rsidP="00662941">
            <w:pPr>
              <w:pStyle w:val="TableText0"/>
              <w:rPr>
                <w:snapToGrid w:val="0"/>
              </w:rPr>
            </w:pPr>
          </w:p>
        </w:tc>
        <w:tc>
          <w:tcPr>
            <w:tcW w:w="866" w:type="pct"/>
            <w:tcBorders>
              <w:top w:val="single" w:sz="4" w:space="0" w:color="auto"/>
              <w:left w:val="nil"/>
              <w:bottom w:val="single" w:sz="4" w:space="0" w:color="auto"/>
              <w:right w:val="nil"/>
            </w:tcBorders>
            <w:shd w:val="clear" w:color="auto" w:fill="auto"/>
          </w:tcPr>
          <w:p w14:paraId="6AA411E9" w14:textId="77777777" w:rsidR="00853570" w:rsidRPr="007613A4" w:rsidRDefault="00853570" w:rsidP="00662941">
            <w:pPr>
              <w:pStyle w:val="TableText0"/>
              <w:rPr>
                <w:snapToGrid w:val="0"/>
              </w:rPr>
            </w:pPr>
          </w:p>
        </w:tc>
        <w:tc>
          <w:tcPr>
            <w:tcW w:w="1012" w:type="pct"/>
            <w:tcBorders>
              <w:top w:val="single" w:sz="4" w:space="0" w:color="auto"/>
              <w:left w:val="nil"/>
              <w:bottom w:val="single" w:sz="4" w:space="0" w:color="auto"/>
              <w:right w:val="single" w:sz="4" w:space="0" w:color="auto"/>
            </w:tcBorders>
            <w:shd w:val="clear" w:color="auto" w:fill="auto"/>
          </w:tcPr>
          <w:p w14:paraId="334FFEBF" w14:textId="77777777" w:rsidR="00853570" w:rsidRPr="007613A4" w:rsidRDefault="00853570" w:rsidP="00662941">
            <w:pPr>
              <w:pStyle w:val="TableText0"/>
              <w:rPr>
                <w:snapToGrid w:val="0"/>
              </w:rPr>
            </w:pPr>
          </w:p>
        </w:tc>
      </w:tr>
      <w:tr w:rsidR="00853570" w:rsidRPr="007613A4" w14:paraId="2C6D8A10" w14:textId="77777777" w:rsidTr="00662941">
        <w:tc>
          <w:tcPr>
            <w:tcW w:w="1333" w:type="pct"/>
            <w:tcBorders>
              <w:top w:val="single" w:sz="4" w:space="0" w:color="auto"/>
              <w:bottom w:val="single" w:sz="4" w:space="0" w:color="auto"/>
            </w:tcBorders>
            <w:shd w:val="clear" w:color="auto" w:fill="auto"/>
          </w:tcPr>
          <w:p w14:paraId="7B14E9E1" w14:textId="77777777" w:rsidR="00853570" w:rsidRPr="007613A4" w:rsidRDefault="00853570" w:rsidP="00662941">
            <w:pPr>
              <w:pStyle w:val="TableText0"/>
              <w:rPr>
                <w:snapToGrid w:val="0"/>
              </w:rPr>
            </w:pPr>
            <w:r w:rsidRPr="00484235">
              <w:rPr>
                <w:snapToGrid w:val="0"/>
              </w:rPr>
              <w:t>Da Costa 2006</w:t>
            </w:r>
          </w:p>
        </w:tc>
        <w:tc>
          <w:tcPr>
            <w:tcW w:w="923" w:type="pct"/>
            <w:tcBorders>
              <w:top w:val="single" w:sz="4" w:space="0" w:color="auto"/>
              <w:bottom w:val="single" w:sz="4" w:space="0" w:color="auto"/>
            </w:tcBorders>
          </w:tcPr>
          <w:p w14:paraId="6C5D46E9" w14:textId="77777777" w:rsidR="00853570" w:rsidRPr="007613A4" w:rsidRDefault="00853570" w:rsidP="00662941">
            <w:pPr>
              <w:pStyle w:val="TableText0"/>
              <w:ind w:left="16" w:right="117"/>
              <w:rPr>
                <w:snapToGrid w:val="0"/>
              </w:rPr>
            </w:pPr>
            <w:r w:rsidRPr="00484235">
              <w:rPr>
                <w:snapToGrid w:val="0"/>
              </w:rPr>
              <w:t>Satisfactory quality</w:t>
            </w:r>
          </w:p>
        </w:tc>
        <w:tc>
          <w:tcPr>
            <w:tcW w:w="866" w:type="pct"/>
            <w:tcBorders>
              <w:top w:val="single" w:sz="4" w:space="0" w:color="auto"/>
              <w:bottom w:val="single" w:sz="4" w:space="0" w:color="auto"/>
            </w:tcBorders>
            <w:shd w:val="clear" w:color="auto" w:fill="auto"/>
          </w:tcPr>
          <w:p w14:paraId="51764152" w14:textId="77777777" w:rsidR="00853570" w:rsidRPr="007613A4" w:rsidRDefault="00853570" w:rsidP="00662941">
            <w:pPr>
              <w:pStyle w:val="TableText0"/>
              <w:ind w:left="111" w:right="117"/>
              <w:rPr>
                <w:snapToGrid w:val="0"/>
              </w:rPr>
            </w:pPr>
            <w:r w:rsidRPr="00484235">
              <w:rPr>
                <w:snapToGrid w:val="0"/>
              </w:rPr>
              <w:t>6/52 (11.5%)</w:t>
            </w:r>
          </w:p>
        </w:tc>
        <w:tc>
          <w:tcPr>
            <w:tcW w:w="866" w:type="pct"/>
            <w:tcBorders>
              <w:top w:val="single" w:sz="4" w:space="0" w:color="auto"/>
              <w:bottom w:val="single" w:sz="4" w:space="0" w:color="auto"/>
            </w:tcBorders>
            <w:shd w:val="clear" w:color="auto" w:fill="auto"/>
          </w:tcPr>
          <w:p w14:paraId="40B4B730" w14:textId="77777777" w:rsidR="00853570" w:rsidRPr="007613A4" w:rsidRDefault="00853570" w:rsidP="00662941">
            <w:pPr>
              <w:pStyle w:val="TableText0"/>
              <w:ind w:left="77" w:right="117"/>
              <w:rPr>
                <w:snapToGrid w:val="0"/>
              </w:rPr>
            </w:pPr>
            <w:r w:rsidRPr="00484235">
              <w:rPr>
                <w:snapToGrid w:val="0"/>
              </w:rPr>
              <w:t>8/51 (15.7%)</w:t>
            </w:r>
          </w:p>
        </w:tc>
        <w:tc>
          <w:tcPr>
            <w:tcW w:w="1012" w:type="pct"/>
            <w:tcBorders>
              <w:top w:val="single" w:sz="4" w:space="0" w:color="auto"/>
              <w:bottom w:val="single" w:sz="4" w:space="0" w:color="auto"/>
            </w:tcBorders>
            <w:shd w:val="clear" w:color="auto" w:fill="auto"/>
          </w:tcPr>
          <w:p w14:paraId="6FE48274" w14:textId="77777777" w:rsidR="00853570" w:rsidRPr="007613A4" w:rsidRDefault="00853570" w:rsidP="00662941">
            <w:pPr>
              <w:pStyle w:val="TableText0"/>
              <w:ind w:right="117"/>
              <w:rPr>
                <w:snapToGrid w:val="0"/>
              </w:rPr>
            </w:pPr>
            <w:r w:rsidRPr="00484235">
              <w:rPr>
                <w:snapToGrid w:val="0"/>
              </w:rPr>
              <w:t>RR 0.74 (0.27, 1.97)</w:t>
            </w:r>
            <w:r w:rsidRPr="00F84710">
              <w:rPr>
                <w:snapToGrid w:val="0"/>
                <w:vertAlign w:val="superscript"/>
              </w:rPr>
              <w:t>a</w:t>
            </w:r>
            <w:r>
              <w:rPr>
                <w:snapToGrid w:val="0"/>
                <w:vertAlign w:val="superscript"/>
              </w:rPr>
              <w:br/>
            </w:r>
            <w:r w:rsidRPr="00484235">
              <w:rPr>
                <w:snapToGrid w:val="0"/>
              </w:rPr>
              <w:t>p=0.7</w:t>
            </w:r>
          </w:p>
        </w:tc>
      </w:tr>
      <w:tr w:rsidR="00853570" w:rsidRPr="007613A4" w14:paraId="4BFB3354" w14:textId="77777777" w:rsidTr="00662941">
        <w:tc>
          <w:tcPr>
            <w:tcW w:w="1333" w:type="pct"/>
            <w:tcBorders>
              <w:top w:val="single" w:sz="4" w:space="0" w:color="auto"/>
              <w:left w:val="single" w:sz="4" w:space="0" w:color="auto"/>
              <w:bottom w:val="single" w:sz="4" w:space="0" w:color="auto"/>
              <w:right w:val="nil"/>
            </w:tcBorders>
            <w:shd w:val="clear" w:color="auto" w:fill="auto"/>
            <w:vAlign w:val="center"/>
          </w:tcPr>
          <w:p w14:paraId="01564D46" w14:textId="77777777" w:rsidR="00853570" w:rsidRPr="00E056A6" w:rsidRDefault="00853570" w:rsidP="00662941">
            <w:pPr>
              <w:pStyle w:val="TableText0"/>
              <w:rPr>
                <w:b/>
                <w:bCs/>
                <w:snapToGrid w:val="0"/>
              </w:rPr>
            </w:pPr>
            <w:r w:rsidRPr="00E056A6">
              <w:rPr>
                <w:b/>
                <w:bCs/>
                <w:snapToGrid w:val="0"/>
              </w:rPr>
              <w:t>(any) Arrhythmia recurrence</w:t>
            </w:r>
          </w:p>
        </w:tc>
        <w:tc>
          <w:tcPr>
            <w:tcW w:w="923" w:type="pct"/>
            <w:tcBorders>
              <w:top w:val="single" w:sz="4" w:space="0" w:color="auto"/>
              <w:left w:val="nil"/>
              <w:bottom w:val="single" w:sz="4" w:space="0" w:color="auto"/>
              <w:right w:val="nil"/>
            </w:tcBorders>
          </w:tcPr>
          <w:p w14:paraId="66DF3884" w14:textId="77777777" w:rsidR="00853570" w:rsidRPr="00E056A6" w:rsidRDefault="00853570" w:rsidP="00662941">
            <w:pPr>
              <w:pStyle w:val="TableText0"/>
            </w:pPr>
          </w:p>
        </w:tc>
        <w:tc>
          <w:tcPr>
            <w:tcW w:w="866" w:type="pct"/>
            <w:tcBorders>
              <w:top w:val="single" w:sz="4" w:space="0" w:color="auto"/>
              <w:left w:val="nil"/>
              <w:bottom w:val="single" w:sz="4" w:space="0" w:color="auto"/>
              <w:right w:val="nil"/>
            </w:tcBorders>
            <w:shd w:val="clear" w:color="auto" w:fill="auto"/>
          </w:tcPr>
          <w:p w14:paraId="1C8801BD" w14:textId="77777777" w:rsidR="00853570" w:rsidRPr="00E056A6" w:rsidRDefault="00853570" w:rsidP="00662941">
            <w:pPr>
              <w:pStyle w:val="TableText0"/>
            </w:pPr>
          </w:p>
        </w:tc>
        <w:tc>
          <w:tcPr>
            <w:tcW w:w="866" w:type="pct"/>
            <w:tcBorders>
              <w:top w:val="single" w:sz="4" w:space="0" w:color="auto"/>
              <w:left w:val="nil"/>
              <w:bottom w:val="single" w:sz="4" w:space="0" w:color="auto"/>
              <w:right w:val="nil"/>
            </w:tcBorders>
            <w:shd w:val="clear" w:color="auto" w:fill="auto"/>
          </w:tcPr>
          <w:p w14:paraId="28B7702D" w14:textId="77777777" w:rsidR="00853570" w:rsidRPr="00E056A6" w:rsidRDefault="00853570" w:rsidP="00662941">
            <w:pPr>
              <w:pStyle w:val="TableText0"/>
            </w:pPr>
          </w:p>
        </w:tc>
        <w:tc>
          <w:tcPr>
            <w:tcW w:w="1012" w:type="pct"/>
            <w:tcBorders>
              <w:top w:val="single" w:sz="4" w:space="0" w:color="auto"/>
              <w:left w:val="nil"/>
              <w:bottom w:val="single" w:sz="4" w:space="0" w:color="auto"/>
              <w:right w:val="single" w:sz="4" w:space="0" w:color="auto"/>
            </w:tcBorders>
            <w:shd w:val="clear" w:color="auto" w:fill="auto"/>
          </w:tcPr>
          <w:p w14:paraId="205730E3" w14:textId="77777777" w:rsidR="00853570" w:rsidRPr="00E056A6" w:rsidRDefault="00853570" w:rsidP="00662941">
            <w:pPr>
              <w:pStyle w:val="TableText0"/>
            </w:pPr>
          </w:p>
        </w:tc>
      </w:tr>
      <w:tr w:rsidR="00853570" w:rsidRPr="007613A4" w14:paraId="0BA12677" w14:textId="77777777" w:rsidTr="00662941">
        <w:tc>
          <w:tcPr>
            <w:tcW w:w="1333" w:type="pct"/>
            <w:tcBorders>
              <w:top w:val="single" w:sz="4" w:space="0" w:color="auto"/>
            </w:tcBorders>
            <w:shd w:val="clear" w:color="auto" w:fill="auto"/>
          </w:tcPr>
          <w:p w14:paraId="7EED0690" w14:textId="77777777" w:rsidR="00853570" w:rsidRPr="00484235" w:rsidRDefault="00853570" w:rsidP="00662941">
            <w:pPr>
              <w:pStyle w:val="TableText0"/>
              <w:rPr>
                <w:snapToGrid w:val="0"/>
              </w:rPr>
            </w:pPr>
            <w:r>
              <w:rPr>
                <w:snapToGrid w:val="0"/>
              </w:rPr>
              <w:t>Natale 2000</w:t>
            </w:r>
          </w:p>
        </w:tc>
        <w:tc>
          <w:tcPr>
            <w:tcW w:w="923" w:type="pct"/>
            <w:tcBorders>
              <w:top w:val="single" w:sz="4" w:space="0" w:color="auto"/>
            </w:tcBorders>
          </w:tcPr>
          <w:p w14:paraId="6621B57A" w14:textId="77777777" w:rsidR="00853570" w:rsidRPr="00484235" w:rsidRDefault="00853570" w:rsidP="00662941">
            <w:pPr>
              <w:pStyle w:val="TableText0"/>
              <w:ind w:left="16" w:right="117"/>
              <w:rPr>
                <w:snapToGrid w:val="0"/>
              </w:rPr>
            </w:pPr>
            <w:r w:rsidRPr="00484235">
              <w:rPr>
                <w:snapToGrid w:val="0"/>
              </w:rPr>
              <w:t>Satisfactory quality</w:t>
            </w:r>
          </w:p>
        </w:tc>
        <w:tc>
          <w:tcPr>
            <w:tcW w:w="866" w:type="pct"/>
            <w:tcBorders>
              <w:top w:val="single" w:sz="4" w:space="0" w:color="auto"/>
            </w:tcBorders>
            <w:shd w:val="clear" w:color="auto" w:fill="auto"/>
          </w:tcPr>
          <w:p w14:paraId="363BEA34" w14:textId="77777777" w:rsidR="00853570" w:rsidRPr="00F44C07" w:rsidRDefault="00853570" w:rsidP="00662941">
            <w:pPr>
              <w:pStyle w:val="TableText0"/>
              <w:ind w:left="111" w:right="117"/>
              <w:rPr>
                <w:snapToGrid w:val="0"/>
              </w:rPr>
            </w:pPr>
            <w:r w:rsidRPr="00F44C07">
              <w:rPr>
                <w:snapToGrid w:val="0"/>
              </w:rPr>
              <w:t>6/31 (19.4%)</w:t>
            </w:r>
          </w:p>
        </w:tc>
        <w:tc>
          <w:tcPr>
            <w:tcW w:w="866" w:type="pct"/>
            <w:tcBorders>
              <w:top w:val="single" w:sz="4" w:space="0" w:color="auto"/>
            </w:tcBorders>
            <w:shd w:val="clear" w:color="auto" w:fill="auto"/>
          </w:tcPr>
          <w:p w14:paraId="3394A169" w14:textId="77777777" w:rsidR="00853570" w:rsidRPr="00F44C07" w:rsidRDefault="00853570" w:rsidP="00662941">
            <w:pPr>
              <w:pStyle w:val="TableText0"/>
              <w:ind w:left="77" w:right="117"/>
              <w:rPr>
                <w:snapToGrid w:val="0"/>
              </w:rPr>
            </w:pPr>
            <w:r w:rsidRPr="00F44C07">
              <w:rPr>
                <w:snapToGrid w:val="0"/>
              </w:rPr>
              <w:t>19/30 (63.3%)</w:t>
            </w:r>
          </w:p>
        </w:tc>
        <w:tc>
          <w:tcPr>
            <w:tcW w:w="1012" w:type="pct"/>
            <w:tcBorders>
              <w:top w:val="single" w:sz="4" w:space="0" w:color="auto"/>
            </w:tcBorders>
            <w:shd w:val="clear" w:color="auto" w:fill="auto"/>
          </w:tcPr>
          <w:p w14:paraId="68010EC9" w14:textId="77777777" w:rsidR="00853570" w:rsidRPr="00F44C07" w:rsidRDefault="00853570" w:rsidP="00662941">
            <w:pPr>
              <w:pStyle w:val="TableText0"/>
              <w:ind w:right="117"/>
              <w:rPr>
                <w:snapToGrid w:val="0"/>
              </w:rPr>
            </w:pPr>
            <w:r w:rsidRPr="00F44C07">
              <w:rPr>
                <w:b/>
                <w:snapToGrid w:val="0"/>
              </w:rPr>
              <w:t>RR 0.31 (0.14-0.66)</w:t>
            </w:r>
            <w:r w:rsidRPr="00F44C07">
              <w:rPr>
                <w:b/>
                <w:snapToGrid w:val="0"/>
              </w:rPr>
              <w:br/>
              <w:t>p&lt;0.001</w:t>
            </w:r>
          </w:p>
        </w:tc>
      </w:tr>
    </w:tbl>
    <w:p w14:paraId="404D56DB" w14:textId="77777777" w:rsidR="00853570" w:rsidRPr="00082F8A" w:rsidRDefault="00853570" w:rsidP="00853570">
      <w:pPr>
        <w:pStyle w:val="Tablenotes1"/>
        <w:spacing w:after="0"/>
      </w:pPr>
      <w:r>
        <w:t>Source: Table 2, pxiv of the Commentary</w:t>
      </w:r>
    </w:p>
    <w:p w14:paraId="7209EF2A" w14:textId="77777777" w:rsidR="00853570" w:rsidRDefault="00853570" w:rsidP="00853570">
      <w:pPr>
        <w:pStyle w:val="TFAbbrevs0"/>
        <w:rPr>
          <w:snapToGrid w:val="0"/>
        </w:rPr>
      </w:pPr>
      <w:r>
        <w:rPr>
          <w:snapToGrid w:val="0"/>
        </w:rPr>
        <w:t>AFL=atrial flutter; CI=confidence interval; RCT=randomised controlled trial; RR</w:t>
      </w:r>
      <w:r w:rsidRPr="000A77C8">
        <w:rPr>
          <w:snapToGrid w:val="0"/>
        </w:rPr>
        <w:t>=</w:t>
      </w:r>
      <w:r>
        <w:rPr>
          <w:snapToGrid w:val="0"/>
        </w:rPr>
        <w:t>risk</w:t>
      </w:r>
      <w:r w:rsidRPr="000A77C8">
        <w:rPr>
          <w:snapToGrid w:val="0"/>
        </w:rPr>
        <w:t xml:space="preserve"> ratio</w:t>
      </w:r>
      <w:r>
        <w:rPr>
          <w:snapToGrid w:val="0"/>
        </w:rPr>
        <w:t>.</w:t>
      </w:r>
    </w:p>
    <w:p w14:paraId="022915C6" w14:textId="77777777" w:rsidR="00853570" w:rsidRDefault="00853570" w:rsidP="00853570">
      <w:pPr>
        <w:pStyle w:val="TFAbbrevs0"/>
        <w:rPr>
          <w:snapToGrid w:val="0"/>
        </w:rPr>
      </w:pPr>
      <w:r>
        <w:rPr>
          <w:snapToGrid w:val="0"/>
        </w:rPr>
        <w:t>a Relative risk calculated for the ADAR.</w:t>
      </w:r>
    </w:p>
    <w:p w14:paraId="7D34F59D" w14:textId="77777777" w:rsidR="00853570" w:rsidRDefault="00853570" w:rsidP="00853570">
      <w:pPr>
        <w:pStyle w:val="Tablenotes1"/>
      </w:pPr>
      <w:r w:rsidRPr="00F71AD9">
        <w:t xml:space="preserve">Statistically significant results are in </w:t>
      </w:r>
      <w:r w:rsidRPr="00F71AD9">
        <w:rPr>
          <w:b/>
        </w:rPr>
        <w:t>bold</w:t>
      </w:r>
      <w:r>
        <w:t xml:space="preserve"> text (p-value &lt;0.05)</w:t>
      </w:r>
    </w:p>
    <w:p w14:paraId="73BF7A13" w14:textId="77777777" w:rsidR="00853570" w:rsidRDefault="00853570" w:rsidP="00853570">
      <w:pPr>
        <w:pStyle w:val="Heading3"/>
      </w:pPr>
      <w:r>
        <w:t>AVNRT</w:t>
      </w:r>
    </w:p>
    <w:p w14:paraId="0EC7B8AE" w14:textId="49BCA686" w:rsidR="00853570" w:rsidRPr="003B487D" w:rsidRDefault="00853570" w:rsidP="00853570">
      <w:pPr>
        <w:rPr>
          <w:bCs/>
        </w:rPr>
      </w:pPr>
      <w:r>
        <w:t xml:space="preserve">The Commentary stated that the primary endpoint of the Katritsis (2017) RCT was </w:t>
      </w:r>
      <w:r w:rsidRPr="0045260E">
        <w:t>hospital admission for persistent tachycardia cardioversion</w:t>
      </w:r>
      <w:r>
        <w:t xml:space="preserve">, during a follow-up period of 5 years. The </w:t>
      </w:r>
      <w:r>
        <w:lastRenderedPageBreak/>
        <w:t xml:space="preserve">outcome is presented in </w:t>
      </w:r>
      <w:r w:rsidR="003B487D">
        <w:fldChar w:fldCharType="begin"/>
      </w:r>
      <w:r w:rsidR="003B487D">
        <w:instrText xml:space="preserve"> REF _Ref36803440 \h </w:instrText>
      </w:r>
      <w:r w:rsidR="003B487D">
        <w:fldChar w:fldCharType="separate"/>
      </w:r>
      <w:r w:rsidR="003B487D">
        <w:t xml:space="preserve">Table </w:t>
      </w:r>
      <w:r w:rsidR="003B487D">
        <w:rPr>
          <w:noProof/>
        </w:rPr>
        <w:t>5</w:t>
      </w:r>
      <w:r w:rsidR="003B487D">
        <w:fldChar w:fldCharType="end"/>
      </w:r>
      <w:r>
        <w:t xml:space="preserve">. The Commentary considered that </w:t>
      </w:r>
      <w:r>
        <w:rPr>
          <w:bCs/>
        </w:rPr>
        <w:t>t</w:t>
      </w:r>
      <w:r w:rsidRPr="00E07E26">
        <w:rPr>
          <w:bCs/>
        </w:rPr>
        <w:t>here is convincing evidence that cardiac ablation reduces arrhythmia recurrence in AVNRT.</w:t>
      </w:r>
    </w:p>
    <w:p w14:paraId="1F049CAA" w14:textId="65740C9A" w:rsidR="00853570" w:rsidRPr="00D55575" w:rsidRDefault="003B487D" w:rsidP="00D55575">
      <w:pPr>
        <w:keepNext/>
        <w:keepLines/>
        <w:spacing w:before="240"/>
        <w:rPr>
          <w:rFonts w:ascii="Arial Narrow" w:hAnsi="Arial Narrow"/>
          <w:b/>
          <w:sz w:val="20"/>
        </w:rPr>
      </w:pPr>
      <w:bookmarkStart w:id="12" w:name="_Ref36803440"/>
      <w:r w:rsidRPr="00D55575">
        <w:rPr>
          <w:rFonts w:ascii="Arial Narrow" w:hAnsi="Arial Narrow"/>
          <w:b/>
          <w:sz w:val="20"/>
        </w:rPr>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5</w:t>
      </w:r>
      <w:r w:rsidR="00156907" w:rsidRPr="00D55575">
        <w:rPr>
          <w:rFonts w:ascii="Arial Narrow" w:hAnsi="Arial Narrow"/>
          <w:b/>
          <w:sz w:val="20"/>
        </w:rPr>
        <w:fldChar w:fldCharType="end"/>
      </w:r>
      <w:bookmarkEnd w:id="12"/>
      <w:r w:rsidR="00853570" w:rsidRPr="00D55575">
        <w:rPr>
          <w:rFonts w:ascii="Arial Narrow" w:hAnsi="Arial Narrow"/>
          <w:b/>
          <w:sz w:val="20"/>
        </w:rPr>
        <w:tab/>
        <w:t>Key outcomes for AVNRT from the included RCT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Key outcomes for AVNRT from the included RCT"/>
        <w:tblDescription w:val="Key outcomes for AVNRT from the included RCT"/>
      </w:tblPr>
      <w:tblGrid>
        <w:gridCol w:w="1865"/>
        <w:gridCol w:w="1706"/>
        <w:gridCol w:w="1731"/>
        <w:gridCol w:w="1729"/>
        <w:gridCol w:w="1985"/>
      </w:tblGrid>
      <w:tr w:rsidR="00853570" w:rsidRPr="007613A4" w14:paraId="4EF9BFC7" w14:textId="77777777" w:rsidTr="00662941">
        <w:trPr>
          <w:tblHeader/>
        </w:trPr>
        <w:tc>
          <w:tcPr>
            <w:tcW w:w="1034" w:type="pct"/>
            <w:tcBorders>
              <w:bottom w:val="single" w:sz="4" w:space="0" w:color="auto"/>
            </w:tcBorders>
            <w:shd w:val="clear" w:color="auto" w:fill="auto"/>
          </w:tcPr>
          <w:p w14:paraId="0EFAFB1B" w14:textId="77777777" w:rsidR="00853570" w:rsidRPr="00BF204E" w:rsidRDefault="00853570" w:rsidP="00D55575">
            <w:pPr>
              <w:pStyle w:val="Tabletextcentred"/>
              <w:keepNext/>
              <w:keepLines/>
              <w:rPr>
                <w:b/>
                <w:snapToGrid w:val="0"/>
              </w:rPr>
            </w:pPr>
            <w:r w:rsidRPr="00BF204E">
              <w:rPr>
                <w:b/>
                <w:snapToGrid w:val="0"/>
              </w:rPr>
              <w:t>Study ID</w:t>
            </w:r>
          </w:p>
        </w:tc>
        <w:tc>
          <w:tcPr>
            <w:tcW w:w="946" w:type="pct"/>
            <w:tcBorders>
              <w:bottom w:val="single" w:sz="4" w:space="0" w:color="auto"/>
            </w:tcBorders>
          </w:tcPr>
          <w:p w14:paraId="4D7FEA03" w14:textId="77777777" w:rsidR="00853570" w:rsidRPr="00BF204E" w:rsidRDefault="00853570" w:rsidP="00D55575">
            <w:pPr>
              <w:pStyle w:val="Tabletextcentred"/>
              <w:keepNext/>
              <w:keepLines/>
              <w:rPr>
                <w:b/>
                <w:snapToGrid w:val="0"/>
              </w:rPr>
            </w:pPr>
            <w:r w:rsidRPr="00BF204E">
              <w:rPr>
                <w:b/>
                <w:snapToGrid w:val="0"/>
              </w:rPr>
              <w:t>Risk of bias</w:t>
            </w:r>
          </w:p>
        </w:tc>
        <w:tc>
          <w:tcPr>
            <w:tcW w:w="960" w:type="pct"/>
            <w:tcBorders>
              <w:bottom w:val="single" w:sz="4" w:space="0" w:color="auto"/>
            </w:tcBorders>
            <w:shd w:val="clear" w:color="auto" w:fill="auto"/>
          </w:tcPr>
          <w:p w14:paraId="3F415F90" w14:textId="77777777" w:rsidR="00853570" w:rsidRPr="00BF204E" w:rsidRDefault="00853570" w:rsidP="00D55575">
            <w:pPr>
              <w:pStyle w:val="Tabletextcentred"/>
              <w:keepNext/>
              <w:keepLines/>
              <w:rPr>
                <w:b/>
                <w:snapToGrid w:val="0"/>
              </w:rPr>
            </w:pPr>
            <w:r w:rsidRPr="00BF204E">
              <w:rPr>
                <w:b/>
                <w:snapToGrid w:val="0"/>
              </w:rPr>
              <w:t>Intervention</w:t>
            </w:r>
          </w:p>
          <w:p w14:paraId="49FBF56C" w14:textId="77777777" w:rsidR="00853570" w:rsidRPr="00BF204E" w:rsidRDefault="00853570" w:rsidP="00D55575">
            <w:pPr>
              <w:pStyle w:val="Tabletextcentred"/>
              <w:keepNext/>
              <w:keepLines/>
              <w:rPr>
                <w:b/>
                <w:snapToGrid w:val="0"/>
              </w:rPr>
            </w:pPr>
            <w:r w:rsidRPr="00BF204E">
              <w:rPr>
                <w:b/>
                <w:snapToGrid w:val="0"/>
              </w:rPr>
              <w:t>n with event/N (%)</w:t>
            </w:r>
          </w:p>
        </w:tc>
        <w:tc>
          <w:tcPr>
            <w:tcW w:w="959" w:type="pct"/>
            <w:tcBorders>
              <w:bottom w:val="single" w:sz="4" w:space="0" w:color="auto"/>
            </w:tcBorders>
            <w:shd w:val="clear" w:color="auto" w:fill="auto"/>
          </w:tcPr>
          <w:p w14:paraId="62030F77" w14:textId="77777777" w:rsidR="00853570" w:rsidRPr="00BF204E" w:rsidRDefault="00853570" w:rsidP="00D55575">
            <w:pPr>
              <w:pStyle w:val="Tabletextcentred"/>
              <w:keepNext/>
              <w:keepLines/>
              <w:rPr>
                <w:b/>
                <w:snapToGrid w:val="0"/>
              </w:rPr>
            </w:pPr>
            <w:r w:rsidRPr="00BF204E">
              <w:rPr>
                <w:b/>
                <w:snapToGrid w:val="0"/>
              </w:rPr>
              <w:t>Comparator</w:t>
            </w:r>
          </w:p>
          <w:p w14:paraId="2A754344" w14:textId="77777777" w:rsidR="00853570" w:rsidRPr="00BF204E" w:rsidRDefault="00853570" w:rsidP="00D55575">
            <w:pPr>
              <w:pStyle w:val="Tabletextcentred"/>
              <w:keepNext/>
              <w:keepLines/>
              <w:rPr>
                <w:b/>
                <w:snapToGrid w:val="0"/>
              </w:rPr>
            </w:pPr>
            <w:r w:rsidRPr="00BF204E">
              <w:rPr>
                <w:b/>
                <w:snapToGrid w:val="0"/>
              </w:rPr>
              <w:t>n with event/N (%)</w:t>
            </w:r>
          </w:p>
        </w:tc>
        <w:tc>
          <w:tcPr>
            <w:tcW w:w="1101" w:type="pct"/>
            <w:tcBorders>
              <w:bottom w:val="single" w:sz="4" w:space="0" w:color="auto"/>
            </w:tcBorders>
            <w:shd w:val="clear" w:color="auto" w:fill="auto"/>
          </w:tcPr>
          <w:p w14:paraId="6FA244EB" w14:textId="77777777" w:rsidR="00853570" w:rsidRPr="00BF204E" w:rsidRDefault="00853570" w:rsidP="00D55575">
            <w:pPr>
              <w:pStyle w:val="Tabletextcentred"/>
              <w:keepNext/>
              <w:keepLines/>
              <w:rPr>
                <w:b/>
                <w:snapToGrid w:val="0"/>
              </w:rPr>
            </w:pPr>
            <w:r w:rsidRPr="00BF204E">
              <w:rPr>
                <w:b/>
                <w:snapToGrid w:val="0"/>
              </w:rPr>
              <w:t>Relative difference</w:t>
            </w:r>
          </w:p>
          <w:p w14:paraId="3F3AD492" w14:textId="77777777" w:rsidR="00853570" w:rsidRPr="00BF204E" w:rsidRDefault="00853570" w:rsidP="00D55575">
            <w:pPr>
              <w:pStyle w:val="Tabletextcentred"/>
              <w:keepNext/>
              <w:keepLines/>
              <w:rPr>
                <w:b/>
                <w:snapToGrid w:val="0"/>
              </w:rPr>
            </w:pPr>
            <w:r w:rsidRPr="00BF204E">
              <w:rPr>
                <w:b/>
                <w:snapToGrid w:val="0"/>
              </w:rPr>
              <w:t>RD (95% CI)</w:t>
            </w:r>
          </w:p>
        </w:tc>
      </w:tr>
      <w:tr w:rsidR="00853570" w:rsidRPr="007613A4" w14:paraId="092B7E13" w14:textId="77777777" w:rsidTr="00662941">
        <w:tc>
          <w:tcPr>
            <w:tcW w:w="1034" w:type="pct"/>
            <w:tcBorders>
              <w:top w:val="single" w:sz="4" w:space="0" w:color="auto"/>
              <w:left w:val="single" w:sz="4" w:space="0" w:color="auto"/>
              <w:bottom w:val="single" w:sz="4" w:space="0" w:color="auto"/>
              <w:right w:val="nil"/>
            </w:tcBorders>
            <w:shd w:val="clear" w:color="auto" w:fill="auto"/>
          </w:tcPr>
          <w:p w14:paraId="5E3F0DDB" w14:textId="77777777" w:rsidR="00853570" w:rsidRPr="00E056A6" w:rsidRDefault="00853570" w:rsidP="00662941">
            <w:pPr>
              <w:pStyle w:val="TableText0"/>
              <w:rPr>
                <w:b/>
                <w:bCs/>
                <w:snapToGrid w:val="0"/>
              </w:rPr>
            </w:pPr>
            <w:r w:rsidRPr="00E056A6">
              <w:rPr>
                <w:b/>
                <w:bCs/>
                <w:snapToGrid w:val="0"/>
              </w:rPr>
              <w:t xml:space="preserve">Arrhythmia recurrence </w:t>
            </w:r>
          </w:p>
        </w:tc>
        <w:tc>
          <w:tcPr>
            <w:tcW w:w="946" w:type="pct"/>
            <w:tcBorders>
              <w:top w:val="single" w:sz="4" w:space="0" w:color="auto"/>
              <w:left w:val="nil"/>
              <w:bottom w:val="single" w:sz="4" w:space="0" w:color="auto"/>
              <w:right w:val="nil"/>
            </w:tcBorders>
          </w:tcPr>
          <w:p w14:paraId="34037F39" w14:textId="77777777" w:rsidR="00853570" w:rsidRPr="007613A4" w:rsidRDefault="00853570" w:rsidP="00662941">
            <w:pPr>
              <w:pStyle w:val="Tabletextcentred"/>
              <w:jc w:val="left"/>
              <w:rPr>
                <w:snapToGrid w:val="0"/>
              </w:rPr>
            </w:pPr>
            <w:r w:rsidRPr="00E056A6">
              <w:rPr>
                <w:b/>
                <w:bCs/>
                <w:snapToGrid w:val="0"/>
              </w:rPr>
              <w:t xml:space="preserve">– hospitalisation for </w:t>
            </w:r>
          </w:p>
        </w:tc>
        <w:tc>
          <w:tcPr>
            <w:tcW w:w="960" w:type="pct"/>
            <w:tcBorders>
              <w:top w:val="single" w:sz="4" w:space="0" w:color="auto"/>
              <w:left w:val="nil"/>
              <w:bottom w:val="single" w:sz="4" w:space="0" w:color="auto"/>
              <w:right w:val="nil"/>
            </w:tcBorders>
            <w:shd w:val="clear" w:color="auto" w:fill="auto"/>
          </w:tcPr>
          <w:p w14:paraId="0534806F" w14:textId="77777777" w:rsidR="00853570" w:rsidRPr="007613A4" w:rsidRDefault="00853570" w:rsidP="00662941">
            <w:pPr>
              <w:pStyle w:val="Tabletextcentred"/>
              <w:jc w:val="left"/>
              <w:rPr>
                <w:snapToGrid w:val="0"/>
              </w:rPr>
            </w:pPr>
            <w:r w:rsidRPr="00E056A6">
              <w:rPr>
                <w:b/>
                <w:bCs/>
                <w:snapToGrid w:val="0"/>
              </w:rPr>
              <w:t>cardioversion</w:t>
            </w:r>
          </w:p>
        </w:tc>
        <w:tc>
          <w:tcPr>
            <w:tcW w:w="959" w:type="pct"/>
            <w:tcBorders>
              <w:top w:val="single" w:sz="4" w:space="0" w:color="auto"/>
              <w:left w:val="nil"/>
              <w:bottom w:val="single" w:sz="4" w:space="0" w:color="auto"/>
              <w:right w:val="nil"/>
            </w:tcBorders>
            <w:shd w:val="clear" w:color="auto" w:fill="auto"/>
          </w:tcPr>
          <w:p w14:paraId="4A2FC3D1" w14:textId="77777777" w:rsidR="00853570" w:rsidRPr="007613A4" w:rsidRDefault="00853570" w:rsidP="00662941">
            <w:pPr>
              <w:pStyle w:val="TableHeading"/>
              <w:ind w:left="77" w:right="117"/>
              <w:rPr>
                <w:snapToGrid w:val="0"/>
                <w:lang w:eastAsia="en-US"/>
              </w:rPr>
            </w:pPr>
          </w:p>
        </w:tc>
        <w:tc>
          <w:tcPr>
            <w:tcW w:w="1101" w:type="pct"/>
            <w:tcBorders>
              <w:top w:val="single" w:sz="4" w:space="0" w:color="auto"/>
              <w:left w:val="nil"/>
              <w:bottom w:val="single" w:sz="4" w:space="0" w:color="auto"/>
              <w:right w:val="single" w:sz="4" w:space="0" w:color="auto"/>
            </w:tcBorders>
            <w:shd w:val="clear" w:color="auto" w:fill="auto"/>
          </w:tcPr>
          <w:p w14:paraId="25780A2F" w14:textId="77777777" w:rsidR="00853570" w:rsidRPr="007613A4" w:rsidRDefault="00853570" w:rsidP="00662941">
            <w:pPr>
              <w:pStyle w:val="TableHeading"/>
              <w:ind w:right="117"/>
              <w:rPr>
                <w:snapToGrid w:val="0"/>
                <w:lang w:eastAsia="en-US"/>
              </w:rPr>
            </w:pPr>
          </w:p>
        </w:tc>
      </w:tr>
      <w:tr w:rsidR="00853570" w:rsidRPr="007613A4" w14:paraId="6EC82171" w14:textId="77777777" w:rsidTr="00662941">
        <w:tc>
          <w:tcPr>
            <w:tcW w:w="1034" w:type="pct"/>
            <w:tcBorders>
              <w:top w:val="single" w:sz="4" w:space="0" w:color="auto"/>
            </w:tcBorders>
            <w:shd w:val="clear" w:color="auto" w:fill="auto"/>
          </w:tcPr>
          <w:p w14:paraId="64905FF0" w14:textId="77777777" w:rsidR="00853570" w:rsidRPr="007613A4" w:rsidRDefault="00853570" w:rsidP="00662941">
            <w:pPr>
              <w:pStyle w:val="TableText0"/>
              <w:rPr>
                <w:snapToGrid w:val="0"/>
              </w:rPr>
            </w:pPr>
            <w:r>
              <w:t>Katritsis 2017</w:t>
            </w:r>
          </w:p>
        </w:tc>
        <w:tc>
          <w:tcPr>
            <w:tcW w:w="946" w:type="pct"/>
            <w:tcBorders>
              <w:top w:val="single" w:sz="4" w:space="0" w:color="auto"/>
            </w:tcBorders>
          </w:tcPr>
          <w:p w14:paraId="11BD6D81" w14:textId="77777777" w:rsidR="00853570" w:rsidRPr="007613A4" w:rsidRDefault="00853570" w:rsidP="00662941">
            <w:pPr>
              <w:pStyle w:val="TableText0"/>
              <w:ind w:left="16" w:right="117"/>
              <w:rPr>
                <w:snapToGrid w:val="0"/>
              </w:rPr>
            </w:pPr>
            <w:r w:rsidRPr="00484235">
              <w:rPr>
                <w:snapToGrid w:val="0"/>
              </w:rPr>
              <w:t>Satisfactory quality</w:t>
            </w:r>
          </w:p>
        </w:tc>
        <w:tc>
          <w:tcPr>
            <w:tcW w:w="960" w:type="pct"/>
            <w:tcBorders>
              <w:top w:val="single" w:sz="4" w:space="0" w:color="auto"/>
            </w:tcBorders>
            <w:shd w:val="clear" w:color="auto" w:fill="auto"/>
          </w:tcPr>
          <w:p w14:paraId="2B1EB63F" w14:textId="77777777" w:rsidR="00853570" w:rsidRPr="00EF75C0" w:rsidRDefault="00853570" w:rsidP="00662941">
            <w:pPr>
              <w:pStyle w:val="TableText0"/>
              <w:ind w:left="77" w:right="117"/>
              <w:rPr>
                <w:snapToGrid w:val="0"/>
              </w:rPr>
            </w:pPr>
            <w:r w:rsidRPr="00EF75C0">
              <w:rPr>
                <w:snapToGrid w:val="0"/>
              </w:rPr>
              <w:t>0/30 (0%)</w:t>
            </w:r>
          </w:p>
          <w:p w14:paraId="54425432" w14:textId="77777777" w:rsidR="00853570" w:rsidRPr="0045260E" w:rsidRDefault="00853570" w:rsidP="00662941">
            <w:pPr>
              <w:pStyle w:val="TableText0"/>
              <w:ind w:left="111" w:right="117"/>
              <w:rPr>
                <w:i/>
                <w:iCs/>
                <w:snapToGrid w:val="0"/>
              </w:rPr>
            </w:pPr>
            <w:r w:rsidRPr="0045260E">
              <w:rPr>
                <w:i/>
                <w:iCs/>
                <w:snapToGrid w:val="0"/>
                <w:color w:val="1F497D" w:themeColor="text2"/>
              </w:rPr>
              <w:t>0/29 (0%)</w:t>
            </w:r>
            <w:r w:rsidRPr="00F84710">
              <w:rPr>
                <w:i/>
                <w:iCs/>
                <w:snapToGrid w:val="0"/>
                <w:color w:val="1F497D" w:themeColor="text2"/>
                <w:vertAlign w:val="superscript"/>
              </w:rPr>
              <w:t>a</w:t>
            </w:r>
          </w:p>
        </w:tc>
        <w:tc>
          <w:tcPr>
            <w:tcW w:w="959" w:type="pct"/>
            <w:tcBorders>
              <w:top w:val="single" w:sz="4" w:space="0" w:color="auto"/>
            </w:tcBorders>
            <w:shd w:val="clear" w:color="auto" w:fill="auto"/>
          </w:tcPr>
          <w:p w14:paraId="0FA4DCAE" w14:textId="77777777" w:rsidR="00853570" w:rsidRPr="00EF75C0" w:rsidRDefault="00853570" w:rsidP="00662941">
            <w:pPr>
              <w:pStyle w:val="TableText0"/>
              <w:ind w:left="41" w:right="117"/>
              <w:rPr>
                <w:snapToGrid w:val="0"/>
              </w:rPr>
            </w:pPr>
            <w:r w:rsidRPr="00EF75C0">
              <w:rPr>
                <w:snapToGrid w:val="0"/>
              </w:rPr>
              <w:t>21/31 (67.7%)</w:t>
            </w:r>
          </w:p>
          <w:p w14:paraId="42B2C2DF" w14:textId="77777777" w:rsidR="00853570" w:rsidRPr="0045260E" w:rsidRDefault="00853570" w:rsidP="00662941">
            <w:pPr>
              <w:pStyle w:val="TableText0"/>
              <w:ind w:left="77" w:right="117"/>
              <w:rPr>
                <w:i/>
                <w:iCs/>
                <w:snapToGrid w:val="0"/>
              </w:rPr>
            </w:pPr>
            <w:r w:rsidRPr="0045260E">
              <w:rPr>
                <w:i/>
                <w:iCs/>
                <w:snapToGrid w:val="0"/>
                <w:color w:val="1F497D" w:themeColor="text2"/>
              </w:rPr>
              <w:t>21/28 (75%)</w:t>
            </w:r>
            <w:r w:rsidRPr="00F84710">
              <w:rPr>
                <w:i/>
                <w:iCs/>
                <w:snapToGrid w:val="0"/>
                <w:color w:val="1F497D" w:themeColor="text2"/>
                <w:vertAlign w:val="superscript"/>
              </w:rPr>
              <w:t>a</w:t>
            </w:r>
          </w:p>
        </w:tc>
        <w:tc>
          <w:tcPr>
            <w:tcW w:w="1101" w:type="pct"/>
            <w:tcBorders>
              <w:top w:val="single" w:sz="4" w:space="0" w:color="auto"/>
            </w:tcBorders>
            <w:shd w:val="clear" w:color="auto" w:fill="auto"/>
          </w:tcPr>
          <w:p w14:paraId="5EEABFAC" w14:textId="77777777" w:rsidR="00853570" w:rsidRPr="007613A4" w:rsidRDefault="00853570" w:rsidP="00662941">
            <w:pPr>
              <w:pStyle w:val="TableText0"/>
              <w:ind w:right="117"/>
              <w:rPr>
                <w:snapToGrid w:val="0"/>
              </w:rPr>
            </w:pPr>
            <w:r w:rsidRPr="00EF75C0">
              <w:rPr>
                <w:b/>
                <w:snapToGrid w:val="0"/>
              </w:rPr>
              <w:t>RD -67.7 (-84.2, -51.3)</w:t>
            </w:r>
            <w:r>
              <w:rPr>
                <w:b/>
                <w:snapToGrid w:val="0"/>
              </w:rPr>
              <w:br/>
            </w:r>
            <w:r w:rsidRPr="00EF75C0">
              <w:rPr>
                <w:b/>
                <w:snapToGrid w:val="0"/>
              </w:rPr>
              <w:t>p&lt;0.01</w:t>
            </w:r>
          </w:p>
        </w:tc>
      </w:tr>
    </w:tbl>
    <w:p w14:paraId="0EB7E4D7" w14:textId="77777777" w:rsidR="00853570" w:rsidRPr="00E07E26" w:rsidRDefault="00853570" w:rsidP="00853570">
      <w:pPr>
        <w:pStyle w:val="Tablenotes1"/>
        <w:spacing w:after="0"/>
      </w:pPr>
      <w:r>
        <w:t>Source: Table 3, pxv of the Commentary</w:t>
      </w:r>
    </w:p>
    <w:p w14:paraId="3FD2B817" w14:textId="77777777" w:rsidR="00853570" w:rsidRDefault="00853570" w:rsidP="00853570">
      <w:pPr>
        <w:pStyle w:val="TFAbbrevs0"/>
        <w:rPr>
          <w:snapToGrid w:val="0"/>
        </w:rPr>
      </w:pPr>
      <w:r>
        <w:rPr>
          <w:snapToGrid w:val="0"/>
        </w:rPr>
        <w:t>CI=confidence interval; RCT=randomised controlled trial; RD</w:t>
      </w:r>
      <w:r w:rsidRPr="000A77C8">
        <w:rPr>
          <w:snapToGrid w:val="0"/>
        </w:rPr>
        <w:t>=</w:t>
      </w:r>
      <w:r>
        <w:rPr>
          <w:snapToGrid w:val="0"/>
        </w:rPr>
        <w:t>risk</w:t>
      </w:r>
      <w:r w:rsidRPr="000A77C8">
        <w:rPr>
          <w:snapToGrid w:val="0"/>
        </w:rPr>
        <w:t xml:space="preserve"> </w:t>
      </w:r>
      <w:r>
        <w:rPr>
          <w:snapToGrid w:val="0"/>
        </w:rPr>
        <w:t xml:space="preserve">difference. </w:t>
      </w:r>
      <w:r w:rsidRPr="00C1165B">
        <w:rPr>
          <w:i/>
          <w:color w:val="1F497D" w:themeColor="text2"/>
        </w:rPr>
        <w:t>Commentary changes in blue text.</w:t>
      </w:r>
    </w:p>
    <w:p w14:paraId="11ED15BD" w14:textId="77777777" w:rsidR="00853570" w:rsidRDefault="00853570" w:rsidP="00853570">
      <w:pPr>
        <w:pStyle w:val="TFAbbrevs0"/>
        <w:rPr>
          <w:snapToGrid w:val="0"/>
        </w:rPr>
      </w:pPr>
      <w:r>
        <w:rPr>
          <w:snapToGrid w:val="0"/>
        </w:rPr>
        <w:t>a Analysed population excluding patients lost to follow-up.</w:t>
      </w:r>
    </w:p>
    <w:p w14:paraId="4F679CCC" w14:textId="77777777" w:rsidR="00853570" w:rsidRDefault="00853570" w:rsidP="00853570">
      <w:pPr>
        <w:pStyle w:val="TFAbbrevs0"/>
        <w:spacing w:after="240"/>
      </w:pPr>
      <w:r w:rsidRPr="00F71AD9">
        <w:t xml:space="preserve">Statistically significant results are in </w:t>
      </w:r>
      <w:r w:rsidRPr="00F71AD9">
        <w:rPr>
          <w:b/>
        </w:rPr>
        <w:t>bold</w:t>
      </w:r>
      <w:r w:rsidRPr="00F71AD9">
        <w:t xml:space="preserve"> text (p-valu</w:t>
      </w:r>
      <w:r>
        <w:t>e &lt;0.05)</w:t>
      </w:r>
    </w:p>
    <w:p w14:paraId="54F70D3C" w14:textId="77777777" w:rsidR="00F37B9C" w:rsidRDefault="00C06B0B" w:rsidP="00C06B0B">
      <w:pPr>
        <w:tabs>
          <w:tab w:val="left" w:pos="720"/>
          <w:tab w:val="left" w:pos="1140"/>
        </w:tabs>
        <w:spacing w:after="120"/>
        <w:rPr>
          <w:b/>
          <w:szCs w:val="24"/>
        </w:rPr>
      </w:pPr>
      <w:r>
        <w:rPr>
          <w:b/>
          <w:szCs w:val="24"/>
        </w:rPr>
        <w:t>Clinical c</w:t>
      </w:r>
      <w:r w:rsidR="00F37B9C" w:rsidRPr="00F37B9C">
        <w:rPr>
          <w:b/>
          <w:szCs w:val="24"/>
        </w:rPr>
        <w:t>laim</w:t>
      </w:r>
    </w:p>
    <w:p w14:paraId="24C38972" w14:textId="77777777" w:rsidR="00853570" w:rsidRDefault="00853570" w:rsidP="00853570">
      <w:pPr>
        <w:jc w:val="both"/>
      </w:pPr>
      <w:r>
        <w:t xml:space="preserve">On the basis of the benefits and harms reported in Section B, the ADAR </w:t>
      </w:r>
      <w:r w:rsidRPr="007613A4">
        <w:t xml:space="preserve">proposes that, relative to </w:t>
      </w:r>
      <w:r>
        <w:t>no ablation</w:t>
      </w:r>
      <w:r w:rsidRPr="007613A4">
        <w:t xml:space="preserve">, </w:t>
      </w:r>
      <w:r>
        <w:t>catheter ablation</w:t>
      </w:r>
      <w:r w:rsidRPr="007613A4">
        <w:t xml:space="preserve"> has superior safety and superior effectiveness.</w:t>
      </w:r>
    </w:p>
    <w:p w14:paraId="7C7C9B4C" w14:textId="77777777" w:rsidR="00853570" w:rsidRDefault="00853570" w:rsidP="00750C14">
      <w:pPr>
        <w:spacing w:before="240"/>
      </w:pPr>
      <w:r>
        <w:t>The Commentary considered that the clinical claim is reasonable:</w:t>
      </w:r>
    </w:p>
    <w:p w14:paraId="535EBE5A" w14:textId="77777777" w:rsidR="00853570" w:rsidRDefault="00853570" w:rsidP="00853570">
      <w:pPr>
        <w:pStyle w:val="ListParagraph"/>
        <w:numPr>
          <w:ilvl w:val="0"/>
          <w:numId w:val="30"/>
        </w:numPr>
      </w:pPr>
      <w:r>
        <w:t>For the VA population: the claim is due to differences in ICD therapies, rather than ventricular arrhythmia recurrence per se. No evidence was presented for patients without an ICD</w:t>
      </w:r>
    </w:p>
    <w:p w14:paraId="04C11539" w14:textId="5DF20A3C" w:rsidR="00853570" w:rsidRDefault="00853570" w:rsidP="00853570">
      <w:pPr>
        <w:pStyle w:val="ListParagraph"/>
        <w:numPr>
          <w:ilvl w:val="0"/>
          <w:numId w:val="30"/>
        </w:numPr>
      </w:pPr>
      <w:r>
        <w:t>For SVT populations, only three small RCTs were presented; however, due to the large magnitude of the effect, the evidence was judged convincing.</w:t>
      </w:r>
    </w:p>
    <w:p w14:paraId="0CA3D98B" w14:textId="12A1E566" w:rsidR="00853570" w:rsidRDefault="00853570" w:rsidP="00750C14">
      <w:pPr>
        <w:spacing w:before="240"/>
      </w:pPr>
      <w:r>
        <w:t>The Commentary noted no evidence was presented for non-AF SVT populations other than AFL and AVNRT. This means that catheter ablation for 30% of non-AF SVT (reportedly for accessory pathways or atrial tachycardia) is not represented within the evidence base informing the economic evaluation. However, an overview of studies informing clinical practice guidelines suggests effectiven</w:t>
      </w:r>
      <w:r w:rsidR="00750C14">
        <w:t>ess across all SVT populations.</w:t>
      </w:r>
    </w:p>
    <w:p w14:paraId="04DD56AF" w14:textId="77777777" w:rsidR="00853570" w:rsidRDefault="00853570" w:rsidP="00750C14">
      <w:pPr>
        <w:spacing w:before="240"/>
      </w:pPr>
      <w:r>
        <w:t>In the pre-E</w:t>
      </w:r>
      <w:r w:rsidR="00D96C00">
        <w:t xml:space="preserve">valuation </w:t>
      </w:r>
      <w:r>
        <w:t>S</w:t>
      </w:r>
      <w:r w:rsidR="00D96C00">
        <w:t>ub-</w:t>
      </w:r>
      <w:r>
        <w:t>C</w:t>
      </w:r>
      <w:r w:rsidR="00D96C00">
        <w:t>ommittee</w:t>
      </w:r>
      <w:r>
        <w:t xml:space="preserve"> response, the applicant highlighted that:</w:t>
      </w:r>
    </w:p>
    <w:p w14:paraId="3A5318FE" w14:textId="77777777" w:rsidR="00853570" w:rsidRDefault="00853570" w:rsidP="00853570">
      <w:pPr>
        <w:pStyle w:val="ListParagraph"/>
        <w:numPr>
          <w:ilvl w:val="0"/>
          <w:numId w:val="31"/>
        </w:numPr>
      </w:pPr>
      <w:r>
        <w:t>a</w:t>
      </w:r>
      <w:r w:rsidRPr="00FF4369">
        <w:t>dditional studies of cardiac ablation for other types of SVT presented in the Commentary Report “suggest similar rates of effectiveness” to those presented in the ADAR for AFL and AVNRT. In particular, an RCT reported by Pappone (2003</w:t>
      </w:r>
      <w:r>
        <w:rPr>
          <w:rStyle w:val="FootnoteReference"/>
        </w:rPr>
        <w:footnoteReference w:id="18"/>
      </w:r>
      <w:r w:rsidRPr="00FF4369">
        <w:t>) found a statistically significantly lower rate of arrhythmic events at 5 years with cardiac ablation vs no ablation in patients with Wolff-Parkinson-White syndrome (WPWS) (RR 0.08</w:t>
      </w:r>
      <w:r>
        <w:t>; 95% CI: 0.02, 0.33; p &lt;0.001)</w:t>
      </w:r>
    </w:p>
    <w:p w14:paraId="20F2A290" w14:textId="77777777" w:rsidR="00853570" w:rsidRDefault="00853570" w:rsidP="00853570">
      <w:pPr>
        <w:pStyle w:val="ListParagraph"/>
        <w:numPr>
          <w:ilvl w:val="0"/>
          <w:numId w:val="31"/>
        </w:numPr>
      </w:pPr>
      <w:r>
        <w:t>a</w:t>
      </w:r>
      <w:r w:rsidRPr="00FF4369">
        <w:t xml:space="preserve">s per the </w:t>
      </w:r>
      <w:r>
        <w:t xml:space="preserve">KOL </w:t>
      </w:r>
      <w:r w:rsidRPr="00FF4369">
        <w:t>advice for this ADAR, idiopathic VT in the absence of structural heart disease represents approximately 30% of all cardiac ablation procedure</w:t>
      </w:r>
      <w:r>
        <w:t xml:space="preserve">s performed for VA in Australia. </w:t>
      </w:r>
      <w:r w:rsidRPr="00FF4369">
        <w:t>No SLRs of RCTs for cardiac ablation in idiopathic VT were identified during the development of the ADAR. However, a prospective, randomised trial of 330 patients with frequent ventricular premature beats (VPBs) originating from the right ventricular outflow tract found significantly lower VPB recurrence at one year with cardiac ablation (19.4% vs</w:t>
      </w:r>
      <w:r>
        <w:t>.</w:t>
      </w:r>
      <w:r w:rsidRPr="00FF4369">
        <w:t xml:space="preserve"> 88.6%; p &lt; 0.001) and concluded that cardiac ablation is more efficacious than AADs for preventing VPB recurrence in these patients (Ling 2014</w:t>
      </w:r>
      <w:r>
        <w:rPr>
          <w:rStyle w:val="FootnoteReference"/>
        </w:rPr>
        <w:footnoteReference w:id="19"/>
      </w:r>
      <w:r w:rsidRPr="00FF4369">
        <w:t xml:space="preserve">). The associated RR of 0.22 is substantially </w:t>
      </w:r>
      <w:r w:rsidRPr="00FF4369">
        <w:lastRenderedPageBreak/>
        <w:t xml:space="preserve">lower than estimated for patients with VT+IHD+ICD (0.78), which suggests that the efficacy of cardiac ablation may be even greater </w:t>
      </w:r>
      <w:r>
        <w:t>for patients with idiopathic VT</w:t>
      </w:r>
    </w:p>
    <w:p w14:paraId="1753436F" w14:textId="16F4D1E7" w:rsidR="00853570" w:rsidRDefault="00853570" w:rsidP="00853570">
      <w:pPr>
        <w:pStyle w:val="ListParagraph"/>
        <w:numPr>
          <w:ilvl w:val="0"/>
          <w:numId w:val="31"/>
        </w:numPr>
      </w:pPr>
      <w:r w:rsidRPr="00FF4369">
        <w:t>a meta-analysis of six studies (including five uncontrolled studies) of cardiac ablation</w:t>
      </w:r>
      <w:r w:rsidR="007340BE">
        <w:t>,</w:t>
      </w:r>
      <w:r w:rsidRPr="00FF4369">
        <w:t xml:space="preserve"> including 70 patients with idiopathic VA</w:t>
      </w:r>
      <w:r w:rsidR="007340BE">
        <w:t>,</w:t>
      </w:r>
      <w:r w:rsidRPr="00FF4369">
        <w:t xml:space="preserve"> reports </w:t>
      </w:r>
      <w:r w:rsidR="007340BE">
        <w:t xml:space="preserve">both </w:t>
      </w:r>
      <w:r w:rsidRPr="00FF4369">
        <w:t>a significant reduction in premature ventricular contractions (PVCs) in the 24 hours after cardiac ablation (mean reduction 30,089; p &lt; 0.00001)</w:t>
      </w:r>
      <w:r w:rsidR="007340BE">
        <w:t>,</w:t>
      </w:r>
      <w:r w:rsidRPr="00FF4369">
        <w:t xml:space="preserve"> and a significant improvement in left ventricular ejection fraction (mean improvement 10.36%; p &lt; 0.00001), concluding that cardiac ablation improves cardiac function in these patients (Lamba 2014</w:t>
      </w:r>
      <w:r>
        <w:rPr>
          <w:rStyle w:val="FootnoteReference"/>
        </w:rPr>
        <w:footnoteReference w:id="20"/>
      </w:r>
      <w:r w:rsidRPr="00FF4369">
        <w:t>). This evidence strongly supports cardiac ablation being more effective than medical therapy for idiopathic VA.</w:t>
      </w:r>
    </w:p>
    <w:p w14:paraId="704EB9FC" w14:textId="77777777" w:rsidR="00853570" w:rsidRDefault="00853570" w:rsidP="00853570">
      <w:pPr>
        <w:pStyle w:val="Heading2"/>
      </w:pPr>
      <w:r>
        <w:t>Translation issues</w:t>
      </w:r>
    </w:p>
    <w:p w14:paraId="4F1B6DF3" w14:textId="725DB942" w:rsidR="00750C14" w:rsidRPr="00D55575" w:rsidRDefault="00853570" w:rsidP="00D55575">
      <w:r w:rsidRPr="00D55575">
        <w:t>The ADAR identified applicability, extrapolation and transformation issues, which were summaris</w:t>
      </w:r>
      <w:r w:rsidR="00750C14" w:rsidRPr="00D55575">
        <w:t>ed by the Commentary (</w:t>
      </w:r>
      <w:r w:rsidR="00750C14" w:rsidRPr="00D55575">
        <w:fldChar w:fldCharType="begin"/>
      </w:r>
      <w:r w:rsidR="00750C14" w:rsidRPr="00D55575">
        <w:instrText xml:space="preserve"> REF _Ref49781828 \h  \* MERGEFORMAT </w:instrText>
      </w:r>
      <w:r w:rsidR="00750C14" w:rsidRPr="00D55575">
        <w:fldChar w:fldCharType="separate"/>
      </w:r>
      <w:r w:rsidR="00750C14" w:rsidRPr="00D55575">
        <w:t>Table 6</w:t>
      </w:r>
      <w:r w:rsidR="00750C14" w:rsidRPr="00D55575">
        <w:fldChar w:fldCharType="end"/>
      </w:r>
      <w:r w:rsidR="00750C14" w:rsidRPr="00D55575">
        <w:t>).</w:t>
      </w:r>
    </w:p>
    <w:p w14:paraId="4C2AA708" w14:textId="44D5D9DF" w:rsidR="00853570" w:rsidRPr="00D55575" w:rsidRDefault="00750C14" w:rsidP="00D55575">
      <w:pPr>
        <w:spacing w:before="240"/>
        <w:rPr>
          <w:rFonts w:ascii="Arial Narrow" w:hAnsi="Arial Narrow"/>
          <w:b/>
          <w:sz w:val="20"/>
        </w:rPr>
      </w:pPr>
      <w:bookmarkStart w:id="13" w:name="_Ref49781828"/>
      <w:r w:rsidRPr="00D55575">
        <w:rPr>
          <w:rFonts w:ascii="Arial Narrow" w:hAnsi="Arial Narrow"/>
          <w:b/>
          <w:sz w:val="20"/>
        </w:rPr>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6</w:t>
      </w:r>
      <w:r w:rsidR="00156907" w:rsidRPr="00D55575">
        <w:rPr>
          <w:rFonts w:ascii="Arial Narrow" w:hAnsi="Arial Narrow"/>
          <w:b/>
          <w:sz w:val="20"/>
        </w:rPr>
        <w:fldChar w:fldCharType="end"/>
      </w:r>
      <w:bookmarkEnd w:id="13"/>
      <w:r w:rsidR="00853570" w:rsidRPr="00D55575">
        <w:rPr>
          <w:rFonts w:ascii="Arial Narrow" w:hAnsi="Arial Narrow"/>
          <w:b/>
          <w:sz w:val="20"/>
        </w:rPr>
        <w:tab/>
        <w:t>Translation issues identified in the ADAR</w:t>
      </w:r>
    </w:p>
    <w:tbl>
      <w:tblPr>
        <w:tblStyle w:val="TableGrid2"/>
        <w:tblW w:w="5000" w:type="pct"/>
        <w:tblLook w:val="0000" w:firstRow="0" w:lastRow="0" w:firstColumn="0" w:lastColumn="0" w:noHBand="0" w:noVBand="0"/>
        <w:tblCaption w:val="Translation issues identified in the ADAR "/>
        <w:tblDescription w:val="Translation issues identified in the ADAR "/>
      </w:tblPr>
      <w:tblGrid>
        <w:gridCol w:w="1319"/>
        <w:gridCol w:w="7697"/>
      </w:tblGrid>
      <w:tr w:rsidR="00853570" w:rsidRPr="008550B9" w14:paraId="5DEF4230" w14:textId="77777777" w:rsidTr="00D55575">
        <w:trPr>
          <w:tblHeader/>
        </w:trPr>
        <w:tc>
          <w:tcPr>
            <w:tcW w:w="731" w:type="pct"/>
          </w:tcPr>
          <w:p w14:paraId="1B56C1CA" w14:textId="77777777" w:rsidR="00853570" w:rsidRPr="008550B9" w:rsidRDefault="00853570" w:rsidP="00662941">
            <w:pPr>
              <w:pStyle w:val="TableHeading"/>
              <w:keepNext w:val="0"/>
            </w:pPr>
            <w:r w:rsidRPr="008550B9">
              <w:t>Type</w:t>
            </w:r>
          </w:p>
        </w:tc>
        <w:tc>
          <w:tcPr>
            <w:tcW w:w="4269" w:type="pct"/>
          </w:tcPr>
          <w:p w14:paraId="6A551ABA" w14:textId="77777777" w:rsidR="00853570" w:rsidRPr="008550B9" w:rsidRDefault="00853570" w:rsidP="00662941">
            <w:pPr>
              <w:pStyle w:val="TableHeading"/>
              <w:keepNext w:val="0"/>
            </w:pPr>
            <w:r w:rsidRPr="008550B9">
              <w:t>Issue</w:t>
            </w:r>
          </w:p>
        </w:tc>
      </w:tr>
      <w:tr w:rsidR="00853570" w:rsidRPr="008550B9" w14:paraId="1B75B4C6" w14:textId="77777777" w:rsidTr="00D55575">
        <w:tc>
          <w:tcPr>
            <w:tcW w:w="731" w:type="pct"/>
          </w:tcPr>
          <w:p w14:paraId="3ECB0580" w14:textId="77777777" w:rsidR="00853570" w:rsidRDefault="00853570" w:rsidP="00662941">
            <w:pPr>
              <w:pStyle w:val="TableText0"/>
              <w:keepNext w:val="0"/>
            </w:pPr>
            <w:r w:rsidRPr="008550B9">
              <w:t>Applicability</w:t>
            </w:r>
          </w:p>
          <w:p w14:paraId="0D9EE615" w14:textId="77777777" w:rsidR="00853570" w:rsidRPr="005A37D5" w:rsidRDefault="00853570" w:rsidP="00662941">
            <w:pPr>
              <w:pStyle w:val="TableText0"/>
              <w:keepNext w:val="0"/>
            </w:pPr>
            <w:r w:rsidRPr="008550B9">
              <w:t>(Section C.2)</w:t>
            </w:r>
          </w:p>
        </w:tc>
        <w:tc>
          <w:tcPr>
            <w:tcW w:w="4269" w:type="pct"/>
          </w:tcPr>
          <w:p w14:paraId="23ED5A4B" w14:textId="77777777" w:rsidR="00853570" w:rsidRPr="008550B9" w:rsidRDefault="00853570" w:rsidP="00662941">
            <w:pPr>
              <w:pStyle w:val="TableText0"/>
              <w:keepNext w:val="0"/>
              <w:rPr>
                <w:snapToGrid w:val="0"/>
              </w:rPr>
            </w:pPr>
            <w:r>
              <w:t>A</w:t>
            </w:r>
            <w:r w:rsidRPr="008550B9">
              <w:t>pplicability of the published SLRs/RCTs in Section B to the Australian patient population</w:t>
            </w:r>
            <w:r>
              <w:t>.</w:t>
            </w:r>
          </w:p>
          <w:p w14:paraId="63ADBE98" w14:textId="77777777" w:rsidR="00853570" w:rsidRPr="008550B9" w:rsidRDefault="00853570" w:rsidP="00662941">
            <w:pPr>
              <w:pStyle w:val="CommentTabletext"/>
              <w:tabs>
                <w:tab w:val="clear" w:pos="720"/>
                <w:tab w:val="num" w:pos="0"/>
              </w:tabs>
              <w:ind w:left="0"/>
              <w:jc w:val="left"/>
              <w:rPr>
                <w:snapToGrid w:val="0"/>
              </w:rPr>
            </w:pPr>
            <w:r w:rsidRPr="003537F6">
              <w:rPr>
                <w:snapToGrid w:val="0"/>
              </w:rPr>
              <w:t xml:space="preserve">The evidence for VA </w:t>
            </w:r>
            <w:r>
              <w:rPr>
                <w:snapToGrid w:val="0"/>
              </w:rPr>
              <w:t>is from SLRs</w:t>
            </w:r>
            <w:r w:rsidRPr="003537F6">
              <w:rPr>
                <w:snapToGrid w:val="0"/>
              </w:rPr>
              <w:t xml:space="preserve"> of RCTs for VT conducted in Europe and North America, among patients predominantly with IHD and an ICD. The evidence for AFL is from two RCTs conducted in France and </w:t>
            </w:r>
            <w:r>
              <w:rPr>
                <w:snapToGrid w:val="0"/>
              </w:rPr>
              <w:t>US/</w:t>
            </w:r>
            <w:r w:rsidRPr="003537F6">
              <w:rPr>
                <w:snapToGrid w:val="0"/>
              </w:rPr>
              <w:t>Italy. The evidence for AVNRT is from a single-centre RCT conducted in Greece</w:t>
            </w:r>
            <w:r>
              <w:rPr>
                <w:snapToGrid w:val="0"/>
              </w:rPr>
              <w:t xml:space="preserve"> that </w:t>
            </w:r>
            <w:r w:rsidRPr="003537F6">
              <w:rPr>
                <w:snapToGrid w:val="0"/>
              </w:rPr>
              <w:t xml:space="preserve">reported no recurrence among those undergoing cardiac ablation. </w:t>
            </w:r>
            <w:r w:rsidRPr="00753E31">
              <w:rPr>
                <w:snapToGrid w:val="0"/>
              </w:rPr>
              <w:t>The ADAR assesses the applicability of these results to an Australian setting.</w:t>
            </w:r>
            <w:r w:rsidRPr="008550B9">
              <w:rPr>
                <w:snapToGrid w:val="0"/>
              </w:rPr>
              <w:t xml:space="preserve"> </w:t>
            </w:r>
          </w:p>
        </w:tc>
      </w:tr>
      <w:tr w:rsidR="00853570" w:rsidRPr="008550B9" w14:paraId="4C4275C5" w14:textId="77777777" w:rsidTr="00D55575">
        <w:tc>
          <w:tcPr>
            <w:tcW w:w="731" w:type="pct"/>
          </w:tcPr>
          <w:p w14:paraId="0DA4C475" w14:textId="77777777" w:rsidR="00853570" w:rsidRDefault="00853570" w:rsidP="00662941">
            <w:pPr>
              <w:pStyle w:val="TableText0"/>
              <w:keepNext w:val="0"/>
            </w:pPr>
            <w:r w:rsidRPr="008550B9">
              <w:t>Extrapolation</w:t>
            </w:r>
          </w:p>
          <w:p w14:paraId="05117CA5" w14:textId="77777777" w:rsidR="00853570" w:rsidRPr="008550B9" w:rsidRDefault="00853570" w:rsidP="00662941">
            <w:pPr>
              <w:pStyle w:val="TableText0"/>
              <w:keepNext w:val="0"/>
            </w:pPr>
            <w:r w:rsidRPr="008550B9">
              <w:t>(Section C.3)</w:t>
            </w:r>
          </w:p>
        </w:tc>
        <w:tc>
          <w:tcPr>
            <w:tcW w:w="4269" w:type="pct"/>
          </w:tcPr>
          <w:p w14:paraId="0AE78C01" w14:textId="77777777" w:rsidR="00853570" w:rsidRPr="008550B9" w:rsidRDefault="00853570" w:rsidP="00662941">
            <w:pPr>
              <w:pStyle w:val="TableText0"/>
              <w:keepNext w:val="0"/>
            </w:pPr>
            <w:r>
              <w:t>E</w:t>
            </w:r>
            <w:r w:rsidRPr="008550B9">
              <w:t>xtrapolation of the clinical evidence from the SLRs/RCTs over 10 years</w:t>
            </w:r>
            <w:r>
              <w:t>.</w:t>
            </w:r>
          </w:p>
          <w:p w14:paraId="6FF2AF78" w14:textId="77777777" w:rsidR="00853570" w:rsidRPr="008550B9" w:rsidRDefault="00853570" w:rsidP="00662941">
            <w:pPr>
              <w:pStyle w:val="CommentTabletext"/>
              <w:tabs>
                <w:tab w:val="clear" w:pos="720"/>
                <w:tab w:val="num" w:pos="0"/>
              </w:tabs>
              <w:ind w:left="0"/>
              <w:jc w:val="left"/>
            </w:pPr>
            <w:r w:rsidRPr="00C53952">
              <w:rPr>
                <w:snapToGrid w:val="0"/>
              </w:rPr>
              <w:t>The time horizon of 10 years was selected primarily to align with the</w:t>
            </w:r>
            <w:r>
              <w:rPr>
                <w:snapToGrid w:val="0"/>
              </w:rPr>
              <w:t xml:space="preserve"> extended economic analysis in the</w:t>
            </w:r>
            <w:r w:rsidRPr="00C53952">
              <w:rPr>
                <w:snapToGrid w:val="0"/>
              </w:rPr>
              <w:t xml:space="preserve"> AF </w:t>
            </w:r>
            <w:r>
              <w:rPr>
                <w:snapToGrid w:val="0"/>
              </w:rPr>
              <w:t>Review, which was</w:t>
            </w:r>
            <w:r w:rsidRPr="00C53952">
              <w:rPr>
                <w:snapToGrid w:val="0"/>
              </w:rPr>
              <w:t xml:space="preserve"> requested</w:t>
            </w:r>
            <w:r>
              <w:rPr>
                <w:snapToGrid w:val="0"/>
              </w:rPr>
              <w:t xml:space="preserve"> by MSAC</w:t>
            </w:r>
            <w:r w:rsidRPr="00C53952">
              <w:rPr>
                <w:snapToGrid w:val="0"/>
              </w:rPr>
              <w:t xml:space="preserve"> following a </w:t>
            </w:r>
            <w:r>
              <w:rPr>
                <w:snapToGrid w:val="0"/>
              </w:rPr>
              <w:t xml:space="preserve">focused economic analysis </w:t>
            </w:r>
            <w:r w:rsidRPr="00C53952">
              <w:rPr>
                <w:snapToGrid w:val="0"/>
              </w:rPr>
              <w:t>with a 1-year time horizon (</w:t>
            </w:r>
            <w:r>
              <w:rPr>
                <w:snapToGrid w:val="0"/>
              </w:rPr>
              <w:t>consistent with</w:t>
            </w:r>
            <w:r w:rsidRPr="00C53952">
              <w:rPr>
                <w:snapToGrid w:val="0"/>
              </w:rPr>
              <w:t xml:space="preserve"> the available RCT evidence for AF). Because the major costs for cardiac ablation are up-front, a shorter time horizon led to an increased ICER, which may unfairly underestimate the cost-utility in the longer-term. The trial evidence </w:t>
            </w:r>
            <w:r>
              <w:rPr>
                <w:snapToGrid w:val="0"/>
              </w:rPr>
              <w:t xml:space="preserve">in the ADAR </w:t>
            </w:r>
            <w:r w:rsidRPr="00C53952">
              <w:rPr>
                <w:snapToGrid w:val="0"/>
              </w:rPr>
              <w:t>reported outcomes for VT+IHD</w:t>
            </w:r>
            <w:r w:rsidRPr="00070334">
              <w:rPr>
                <w:snapToGrid w:val="0"/>
              </w:rPr>
              <w:t>+</w:t>
            </w:r>
            <w:r w:rsidRPr="00C53952">
              <w:rPr>
                <w:snapToGrid w:val="0"/>
              </w:rPr>
              <w:t>ICD to a maximum of 48 months follow-up, with a mean follow-up to 2 years. For SVT</w:t>
            </w:r>
            <w:r>
              <w:rPr>
                <w:snapToGrid w:val="0"/>
              </w:rPr>
              <w:t>,</w:t>
            </w:r>
            <w:r w:rsidRPr="00C53952">
              <w:rPr>
                <w:snapToGrid w:val="0"/>
              </w:rPr>
              <w:t xml:space="preserve"> follow-up was up to 22 months for AFL</w:t>
            </w:r>
            <w:r>
              <w:rPr>
                <w:snapToGrid w:val="0"/>
              </w:rPr>
              <w:t xml:space="preserve"> (</w:t>
            </w:r>
            <w:r w:rsidRPr="00C53952">
              <w:rPr>
                <w:snapToGrid w:val="0"/>
              </w:rPr>
              <w:t xml:space="preserve">though the trial used for the outcome of AFL recurrence had </w:t>
            </w:r>
            <w:r>
              <w:rPr>
                <w:snapToGrid w:val="0"/>
              </w:rPr>
              <w:t xml:space="preserve">a mean </w:t>
            </w:r>
            <w:r w:rsidRPr="00C53952">
              <w:rPr>
                <w:snapToGrid w:val="0"/>
              </w:rPr>
              <w:t xml:space="preserve">follow-up </w:t>
            </w:r>
            <w:r>
              <w:rPr>
                <w:snapToGrid w:val="0"/>
              </w:rPr>
              <w:t>of</w:t>
            </w:r>
            <w:r w:rsidRPr="00C53952">
              <w:rPr>
                <w:snapToGrid w:val="0"/>
              </w:rPr>
              <w:t xml:space="preserve"> 13 months</w:t>
            </w:r>
            <w:r>
              <w:rPr>
                <w:snapToGrid w:val="0"/>
              </w:rPr>
              <w:t>)</w:t>
            </w:r>
            <w:r w:rsidRPr="00C53952">
              <w:rPr>
                <w:snapToGrid w:val="0"/>
              </w:rPr>
              <w:t xml:space="preserve">, and up to 5 years for AVNRT. </w:t>
            </w:r>
            <w:r w:rsidRPr="00753E31">
              <w:rPr>
                <w:snapToGrid w:val="0"/>
              </w:rPr>
              <w:t>Extrapolation of the trial evidence was required, and the ADAR has assumed recurrence continues at the same rate to 10 years for each of the three modelled non-AF conditions. For cardiac hospitalisation, the probability was considered to be equal for each arm beyond the trial data.</w:t>
            </w:r>
            <w:r w:rsidRPr="008550B9">
              <w:rPr>
                <w:b/>
                <w:bCs/>
              </w:rPr>
              <w:t xml:space="preserve"> </w:t>
            </w:r>
          </w:p>
        </w:tc>
      </w:tr>
      <w:tr w:rsidR="00853570" w:rsidRPr="008550B9" w14:paraId="43B8645A" w14:textId="77777777" w:rsidTr="00D55575">
        <w:tc>
          <w:tcPr>
            <w:tcW w:w="731" w:type="pct"/>
          </w:tcPr>
          <w:p w14:paraId="2CACE50D" w14:textId="77777777" w:rsidR="00853570" w:rsidRDefault="00853570" w:rsidP="00662941">
            <w:pPr>
              <w:pStyle w:val="TableText0"/>
              <w:keepNext w:val="0"/>
            </w:pPr>
            <w:r w:rsidRPr="008550B9">
              <w:t>Transformation</w:t>
            </w:r>
          </w:p>
          <w:p w14:paraId="7FDBFF6E" w14:textId="77777777" w:rsidR="00853570" w:rsidRPr="008550B9" w:rsidRDefault="00853570" w:rsidP="00662941">
            <w:pPr>
              <w:pStyle w:val="TableText0"/>
              <w:keepNext w:val="0"/>
            </w:pPr>
            <w:r w:rsidRPr="00C53952">
              <w:t>(Section C.4</w:t>
            </w:r>
            <w:r>
              <w:t>)</w:t>
            </w:r>
          </w:p>
        </w:tc>
        <w:tc>
          <w:tcPr>
            <w:tcW w:w="4269" w:type="pct"/>
          </w:tcPr>
          <w:p w14:paraId="35E32BC1" w14:textId="77777777" w:rsidR="00853570" w:rsidRPr="00C53952" w:rsidRDefault="00853570" w:rsidP="00662941">
            <w:pPr>
              <w:pStyle w:val="TableText0"/>
              <w:keepNext w:val="0"/>
            </w:pPr>
            <w:r>
              <w:t>T</w:t>
            </w:r>
            <w:r w:rsidRPr="008550B9">
              <w:t xml:space="preserve">ransformation </w:t>
            </w:r>
            <w:r w:rsidRPr="008550B9">
              <w:rPr>
                <w:color w:val="000000" w:themeColor="text1"/>
              </w:rPr>
              <w:t xml:space="preserve">of arrhythmia recurrence and cardiac hospitalisation to utility </w:t>
            </w:r>
            <w:r w:rsidRPr="00C53952">
              <w:t>values</w:t>
            </w:r>
            <w:r>
              <w:t>.</w:t>
            </w:r>
          </w:p>
          <w:p w14:paraId="67124A47" w14:textId="77777777" w:rsidR="00853570" w:rsidRPr="008550B9" w:rsidRDefault="00853570" w:rsidP="00662941">
            <w:pPr>
              <w:pStyle w:val="CommentTabletext"/>
              <w:tabs>
                <w:tab w:val="clear" w:pos="720"/>
                <w:tab w:val="num" w:pos="0"/>
              </w:tabs>
              <w:ind w:left="0"/>
              <w:jc w:val="left"/>
            </w:pPr>
            <w:r w:rsidRPr="00C53952">
              <w:rPr>
                <w:snapToGrid w:val="0"/>
              </w:rPr>
              <w:t>The utility values assigned determine the incremental QALYs over the 10-year time horizon. The chosen health states needed to have disutility values assigned, with no relevant data reported in any of the assessed RCTs. Alternate sources were required for these values.</w:t>
            </w:r>
            <w:r w:rsidRPr="008550B9">
              <w:t xml:space="preserve"> </w:t>
            </w:r>
          </w:p>
        </w:tc>
      </w:tr>
    </w:tbl>
    <w:p w14:paraId="13EEB361" w14:textId="77777777" w:rsidR="00853570" w:rsidRPr="00590704" w:rsidRDefault="00853570" w:rsidP="00853570">
      <w:pPr>
        <w:pStyle w:val="TFAbbrevs0"/>
      </w:pPr>
      <w:r>
        <w:t>Source: Table 21, p56 of the Commentary</w:t>
      </w:r>
    </w:p>
    <w:p w14:paraId="6DCB6689" w14:textId="0E68CFB6" w:rsidR="00853570" w:rsidRPr="00853570" w:rsidRDefault="00853570" w:rsidP="0025034B">
      <w:pPr>
        <w:pStyle w:val="TFAbbrevs0"/>
      </w:pPr>
      <w:r>
        <w:t>ADAR=applicant developed assessment report; AFL=atrial flutter; AVNRT=</w:t>
      </w:r>
      <w:r w:rsidRPr="00070334">
        <w:t>atrioventricular nodal re-entrant tachycardia</w:t>
      </w:r>
      <w:r>
        <w:t>; ICD=implantable cardioverter defibrillator; ICER=incremental cost-effectiveness ratio; IHD=ischaemic heart disease; MSAC=Medical Services Advisory Committee; QALY, quality-adjusted life year; RCT=randomised controlled trial; SLR=systematic literature review; SVT=supraventricular tachycardia; US=United States; VA=ventricular arrhythm</w:t>
      </w:r>
      <w:r w:rsidR="0025034B">
        <w:t>ia; VT=ventricular tachycardia.</w:t>
      </w:r>
    </w:p>
    <w:p w14:paraId="2F299034" w14:textId="77777777" w:rsidR="00BC1364" w:rsidRPr="00F715D1" w:rsidRDefault="00BC1364" w:rsidP="00F715D1">
      <w:pPr>
        <w:pStyle w:val="Heading1"/>
      </w:pPr>
      <w:r w:rsidRPr="00F715D1">
        <w:t>Economic evaluation</w:t>
      </w:r>
    </w:p>
    <w:p w14:paraId="58ABF358" w14:textId="458560DF" w:rsidR="0025034B" w:rsidRPr="00E44A06" w:rsidRDefault="00853570">
      <w:r w:rsidRPr="00DA4F79">
        <w:t>The</w:t>
      </w:r>
      <w:r>
        <w:t xml:space="preserve"> ADAR stated that the</w:t>
      </w:r>
      <w:r w:rsidRPr="00DA4F79">
        <w:t xml:space="preserve"> structure of the economic evaluation </w:t>
      </w:r>
      <w:r>
        <w:t>and model are</w:t>
      </w:r>
      <w:r w:rsidRPr="00DA4F79">
        <w:t xml:space="preserve"> consistent with the</w:t>
      </w:r>
      <w:r>
        <w:t xml:space="preserve"> AF Review (</w:t>
      </w:r>
      <w:r w:rsidR="00E44A06">
        <w:fldChar w:fldCharType="begin"/>
      </w:r>
      <w:r w:rsidR="00E44A06">
        <w:instrText xml:space="preserve"> REF _Ref49781880 \h </w:instrText>
      </w:r>
      <w:r w:rsidR="00E44A06">
        <w:fldChar w:fldCharType="separate"/>
      </w:r>
      <w:r w:rsidR="00E44A06">
        <w:t xml:space="preserve">Table </w:t>
      </w:r>
      <w:r w:rsidR="00E44A06">
        <w:rPr>
          <w:noProof/>
        </w:rPr>
        <w:t>7</w:t>
      </w:r>
      <w:r w:rsidR="00E44A06">
        <w:fldChar w:fldCharType="end"/>
      </w:r>
      <w:r>
        <w:t>)</w:t>
      </w:r>
      <w:r w:rsidRPr="00DA4F79">
        <w:t>.</w:t>
      </w:r>
      <w:bookmarkStart w:id="14" w:name="_Ref379483368"/>
      <w:bookmarkStart w:id="15" w:name="_Ref394419656"/>
      <w:bookmarkStart w:id="16" w:name="_Toc29370334"/>
      <w:r w:rsidR="0025034B">
        <w:br w:type="page"/>
      </w:r>
    </w:p>
    <w:p w14:paraId="65FB65A1" w14:textId="6AD04598" w:rsidR="00853570" w:rsidRPr="00D55575" w:rsidRDefault="00E44A06" w:rsidP="00D55575">
      <w:pPr>
        <w:rPr>
          <w:rFonts w:ascii="Arial Narrow" w:hAnsi="Arial Narrow"/>
          <w:b/>
          <w:sz w:val="20"/>
        </w:rPr>
      </w:pPr>
      <w:bookmarkStart w:id="17" w:name="_Ref49781880"/>
      <w:r w:rsidRPr="00D55575">
        <w:rPr>
          <w:rFonts w:ascii="Arial Narrow" w:hAnsi="Arial Narrow"/>
          <w:b/>
          <w:sz w:val="20"/>
        </w:rPr>
        <w:lastRenderedPageBreak/>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7</w:t>
      </w:r>
      <w:r w:rsidR="00156907" w:rsidRPr="00D55575">
        <w:rPr>
          <w:rFonts w:ascii="Arial Narrow" w:hAnsi="Arial Narrow"/>
          <w:b/>
          <w:sz w:val="20"/>
        </w:rPr>
        <w:fldChar w:fldCharType="end"/>
      </w:r>
      <w:bookmarkEnd w:id="14"/>
      <w:bookmarkEnd w:id="17"/>
      <w:r w:rsidR="00853570" w:rsidRPr="00D55575">
        <w:rPr>
          <w:rFonts w:ascii="Arial Narrow" w:hAnsi="Arial Narrow"/>
          <w:b/>
          <w:sz w:val="20"/>
        </w:rPr>
        <w:tab/>
        <w:t>Summary of the economic evaluation</w:t>
      </w:r>
      <w:bookmarkEnd w:id="15"/>
      <w:bookmarkEnd w:id="16"/>
      <w:r w:rsidR="00853570" w:rsidRPr="00D55575">
        <w:rPr>
          <w:rFonts w:ascii="Arial Narrow" w:hAnsi="Arial Narrow"/>
          <w:b/>
          <w:sz w:val="20"/>
        </w:rPr>
        <w:t xml:space="preserve"> </w:t>
      </w:r>
    </w:p>
    <w:tbl>
      <w:tblPr>
        <w:tblStyle w:val="TableGrid2"/>
        <w:tblW w:w="5000" w:type="pct"/>
        <w:tblLook w:val="01E0" w:firstRow="1" w:lastRow="1" w:firstColumn="1" w:lastColumn="1" w:noHBand="0" w:noVBand="0"/>
        <w:tblCaption w:val="Summary of the economic evaluation"/>
        <w:tblDescription w:val="This table describes the key constructs of the economic evaluation that is provided in the assessment report."/>
      </w:tblPr>
      <w:tblGrid>
        <w:gridCol w:w="1751"/>
        <w:gridCol w:w="7265"/>
      </w:tblGrid>
      <w:tr w:rsidR="00853570" w:rsidRPr="00183E4D" w14:paraId="72A8B78E" w14:textId="77777777" w:rsidTr="00D55575">
        <w:trPr>
          <w:cnfStyle w:val="100000000000" w:firstRow="1" w:lastRow="0" w:firstColumn="0" w:lastColumn="0" w:oddVBand="0" w:evenVBand="0" w:oddHBand="0" w:evenHBand="0" w:firstRowFirstColumn="0" w:firstRowLastColumn="0" w:lastRowFirstColumn="0" w:lastRowLastColumn="0"/>
          <w:trHeight w:val="20"/>
          <w:tblHeader/>
        </w:trPr>
        <w:tc>
          <w:tcPr>
            <w:tcW w:w="971" w:type="pct"/>
          </w:tcPr>
          <w:p w14:paraId="7876C6F9" w14:textId="77777777" w:rsidR="00853570" w:rsidRPr="00183E4D" w:rsidRDefault="00853570" w:rsidP="00662941">
            <w:pPr>
              <w:pStyle w:val="Tabletext"/>
              <w:rPr>
                <w:b/>
              </w:rPr>
            </w:pPr>
            <w:r w:rsidRPr="00183E4D">
              <w:rPr>
                <w:b/>
              </w:rPr>
              <w:t>Perspective</w:t>
            </w:r>
          </w:p>
        </w:tc>
        <w:tc>
          <w:tcPr>
            <w:tcW w:w="4029" w:type="pct"/>
          </w:tcPr>
          <w:p w14:paraId="7FBC3776" w14:textId="77777777" w:rsidR="00853570" w:rsidRPr="00574589" w:rsidRDefault="00853570" w:rsidP="00662941">
            <w:pPr>
              <w:pStyle w:val="Tabletext"/>
            </w:pPr>
            <w:r w:rsidRPr="00574589">
              <w:t>Health care payer</w:t>
            </w:r>
          </w:p>
        </w:tc>
      </w:tr>
      <w:tr w:rsidR="00853570" w:rsidRPr="00183E4D" w14:paraId="1D1E4C37" w14:textId="77777777" w:rsidTr="00D55575">
        <w:trPr>
          <w:trHeight w:val="20"/>
        </w:trPr>
        <w:tc>
          <w:tcPr>
            <w:tcW w:w="971" w:type="pct"/>
          </w:tcPr>
          <w:p w14:paraId="4D96AF02" w14:textId="77777777" w:rsidR="00853570" w:rsidRPr="00183E4D" w:rsidRDefault="00853570" w:rsidP="00662941">
            <w:pPr>
              <w:pStyle w:val="Tabletext"/>
              <w:rPr>
                <w:b/>
              </w:rPr>
            </w:pPr>
            <w:r w:rsidRPr="00183E4D">
              <w:rPr>
                <w:b/>
              </w:rPr>
              <w:t>Comparator</w:t>
            </w:r>
          </w:p>
        </w:tc>
        <w:tc>
          <w:tcPr>
            <w:tcW w:w="4029" w:type="pct"/>
          </w:tcPr>
          <w:p w14:paraId="28C4B346" w14:textId="77777777" w:rsidR="00853570" w:rsidRPr="00574589" w:rsidRDefault="00853570" w:rsidP="00662941">
            <w:pPr>
              <w:pStyle w:val="Tabletext"/>
            </w:pPr>
            <w:r>
              <w:t>No ablation, defined as AADs only (plus ICD implantation for VT+ICD+IHD patients)</w:t>
            </w:r>
          </w:p>
        </w:tc>
      </w:tr>
      <w:tr w:rsidR="00853570" w:rsidRPr="00183E4D" w14:paraId="75727A14" w14:textId="77777777" w:rsidTr="00D55575">
        <w:trPr>
          <w:trHeight w:val="20"/>
        </w:trPr>
        <w:tc>
          <w:tcPr>
            <w:tcW w:w="971" w:type="pct"/>
          </w:tcPr>
          <w:p w14:paraId="2E5E8DE8" w14:textId="77777777" w:rsidR="00853570" w:rsidRPr="00183E4D" w:rsidRDefault="00853570" w:rsidP="00662941">
            <w:pPr>
              <w:pStyle w:val="Tabletext"/>
              <w:rPr>
                <w:b/>
              </w:rPr>
            </w:pPr>
            <w:r w:rsidRPr="00183E4D">
              <w:rPr>
                <w:b/>
              </w:rPr>
              <w:t>Type of economic evaluation</w:t>
            </w:r>
          </w:p>
        </w:tc>
        <w:tc>
          <w:tcPr>
            <w:tcW w:w="4029" w:type="pct"/>
          </w:tcPr>
          <w:p w14:paraId="7C76D265" w14:textId="77777777" w:rsidR="00853570" w:rsidRPr="00574589" w:rsidRDefault="00853570" w:rsidP="00662941">
            <w:pPr>
              <w:pStyle w:val="Tabletext"/>
            </w:pPr>
            <w:r>
              <w:t>Cost-utility analysis</w:t>
            </w:r>
          </w:p>
        </w:tc>
      </w:tr>
      <w:tr w:rsidR="00853570" w:rsidRPr="00183E4D" w14:paraId="13D623B2" w14:textId="77777777" w:rsidTr="00D55575">
        <w:trPr>
          <w:trHeight w:val="20"/>
        </w:trPr>
        <w:tc>
          <w:tcPr>
            <w:tcW w:w="971" w:type="pct"/>
          </w:tcPr>
          <w:p w14:paraId="43C2482D" w14:textId="77777777" w:rsidR="00853570" w:rsidRPr="00183E4D" w:rsidRDefault="00853570" w:rsidP="00662941">
            <w:pPr>
              <w:pStyle w:val="Tabletext"/>
              <w:rPr>
                <w:b/>
              </w:rPr>
            </w:pPr>
            <w:r w:rsidRPr="00183E4D">
              <w:rPr>
                <w:b/>
              </w:rPr>
              <w:t>Sources of evidence</w:t>
            </w:r>
          </w:p>
        </w:tc>
        <w:tc>
          <w:tcPr>
            <w:tcW w:w="4029" w:type="pct"/>
          </w:tcPr>
          <w:p w14:paraId="0F57CA61" w14:textId="77777777" w:rsidR="00853570" w:rsidRDefault="00853570" w:rsidP="00662941">
            <w:pPr>
              <w:pStyle w:val="Tabletext"/>
            </w:pPr>
            <w:r>
              <w:t>VT+IHD+ICD patients: s</w:t>
            </w:r>
            <w:r w:rsidRPr="00574589">
              <w:t>ystematic review</w:t>
            </w:r>
            <w:r>
              <w:t xml:space="preserve"> and meta-analysis of RCTs</w:t>
            </w:r>
          </w:p>
          <w:p w14:paraId="35FBB186" w14:textId="77777777" w:rsidR="00853570" w:rsidRPr="00574589" w:rsidRDefault="00853570" w:rsidP="00662941">
            <w:pPr>
              <w:pStyle w:val="Tabletext"/>
            </w:pPr>
            <w:r>
              <w:t>AFL and AVNRT patients: individual RCTs</w:t>
            </w:r>
          </w:p>
        </w:tc>
      </w:tr>
      <w:tr w:rsidR="00853570" w:rsidRPr="00183E4D" w14:paraId="49AFACB8" w14:textId="77777777" w:rsidTr="00D55575">
        <w:trPr>
          <w:trHeight w:val="20"/>
        </w:trPr>
        <w:tc>
          <w:tcPr>
            <w:tcW w:w="971" w:type="pct"/>
            <w:hideMark/>
          </w:tcPr>
          <w:p w14:paraId="1924181E" w14:textId="77777777" w:rsidR="00853570" w:rsidRPr="00183E4D" w:rsidRDefault="00853570" w:rsidP="00662941">
            <w:pPr>
              <w:pStyle w:val="Tabletext"/>
              <w:rPr>
                <w:b/>
              </w:rPr>
            </w:pPr>
            <w:r w:rsidRPr="00183E4D">
              <w:rPr>
                <w:b/>
              </w:rPr>
              <w:t>Time horizon</w:t>
            </w:r>
          </w:p>
        </w:tc>
        <w:tc>
          <w:tcPr>
            <w:tcW w:w="4029" w:type="pct"/>
          </w:tcPr>
          <w:p w14:paraId="18BDF012" w14:textId="77777777" w:rsidR="00853570" w:rsidRPr="00574589" w:rsidRDefault="00853570" w:rsidP="00662941">
            <w:pPr>
              <w:pStyle w:val="Tabletext"/>
            </w:pPr>
            <w:r>
              <w:t>10 years</w:t>
            </w:r>
          </w:p>
        </w:tc>
      </w:tr>
      <w:tr w:rsidR="00853570" w:rsidRPr="00183E4D" w14:paraId="306D371E" w14:textId="77777777" w:rsidTr="00D55575">
        <w:trPr>
          <w:trHeight w:val="20"/>
        </w:trPr>
        <w:tc>
          <w:tcPr>
            <w:tcW w:w="971" w:type="pct"/>
            <w:hideMark/>
          </w:tcPr>
          <w:p w14:paraId="7381E1F0" w14:textId="77777777" w:rsidR="00853570" w:rsidRPr="00183E4D" w:rsidRDefault="00853570" w:rsidP="00662941">
            <w:pPr>
              <w:pStyle w:val="Tabletext"/>
              <w:rPr>
                <w:b/>
              </w:rPr>
            </w:pPr>
            <w:r w:rsidRPr="00183E4D">
              <w:rPr>
                <w:b/>
              </w:rPr>
              <w:t>Outcomes</w:t>
            </w:r>
          </w:p>
        </w:tc>
        <w:tc>
          <w:tcPr>
            <w:tcW w:w="4029" w:type="pct"/>
          </w:tcPr>
          <w:p w14:paraId="58C59EE2" w14:textId="77777777" w:rsidR="00853570" w:rsidRPr="00183E4D" w:rsidRDefault="00853570" w:rsidP="00662941">
            <w:pPr>
              <w:pStyle w:val="Tabletext"/>
            </w:pPr>
            <w:r>
              <w:t>QALYs</w:t>
            </w:r>
          </w:p>
        </w:tc>
      </w:tr>
      <w:tr w:rsidR="00853570" w:rsidRPr="00183E4D" w14:paraId="557F5D70" w14:textId="77777777" w:rsidTr="00D55575">
        <w:trPr>
          <w:trHeight w:val="20"/>
        </w:trPr>
        <w:tc>
          <w:tcPr>
            <w:tcW w:w="971" w:type="pct"/>
            <w:hideMark/>
          </w:tcPr>
          <w:p w14:paraId="68E84CC4" w14:textId="77777777" w:rsidR="00853570" w:rsidRPr="00183E4D" w:rsidRDefault="00853570" w:rsidP="00662941">
            <w:pPr>
              <w:pStyle w:val="Tabletext"/>
              <w:rPr>
                <w:b/>
              </w:rPr>
            </w:pPr>
            <w:r w:rsidRPr="00183E4D">
              <w:rPr>
                <w:b/>
              </w:rPr>
              <w:t>Methods used to generate results</w:t>
            </w:r>
          </w:p>
        </w:tc>
        <w:tc>
          <w:tcPr>
            <w:tcW w:w="4029" w:type="pct"/>
          </w:tcPr>
          <w:p w14:paraId="32D5F75C" w14:textId="77777777" w:rsidR="00853570" w:rsidRPr="00183E4D" w:rsidRDefault="00853570" w:rsidP="00662941">
            <w:pPr>
              <w:pStyle w:val="Tabletext"/>
            </w:pPr>
            <w:r w:rsidRPr="00660B75">
              <w:t>Hypothetical cohort of 1,000 people aged 61-70</w:t>
            </w:r>
            <w:r>
              <w:t xml:space="preserve"> years</w:t>
            </w:r>
            <w:r w:rsidRPr="00660B75">
              <w:t xml:space="preserve"> </w:t>
            </w:r>
            <w:r>
              <w:t>(VT+IHD+ICD patients; AFL patients) or 41-50 years (AVNRT patients)</w:t>
            </w:r>
            <w:r w:rsidRPr="00660B75">
              <w:t xml:space="preserve"> for each arm</w:t>
            </w:r>
            <w:r>
              <w:t xml:space="preserve"> based on the mean ages of trial patients and mean ages estimated by the KOL</w:t>
            </w:r>
            <w:r w:rsidRPr="00660B75">
              <w:t xml:space="preserve">. </w:t>
            </w:r>
            <w:r>
              <w:t xml:space="preserve"> </w:t>
            </w:r>
            <w:r w:rsidRPr="00660B75">
              <w:t>The cohort remains in this age bracket</w:t>
            </w:r>
            <w:r>
              <w:t xml:space="preserve"> for the duration of the model.  A Markov model </w:t>
            </w:r>
            <w:r w:rsidRPr="00660B75">
              <w:t xml:space="preserve">was </w:t>
            </w:r>
            <w:r>
              <w:t xml:space="preserve">used (with no half cycle correction in the base case as per the </w:t>
            </w:r>
            <w:r w:rsidRPr="00660B75">
              <w:t>.</w:t>
            </w:r>
            <w:r>
              <w:t>AF model).</w:t>
            </w:r>
          </w:p>
        </w:tc>
      </w:tr>
      <w:tr w:rsidR="00853570" w:rsidRPr="00183E4D" w14:paraId="343FF8AE" w14:textId="77777777" w:rsidTr="00D55575">
        <w:trPr>
          <w:trHeight w:val="20"/>
        </w:trPr>
        <w:tc>
          <w:tcPr>
            <w:tcW w:w="971" w:type="pct"/>
          </w:tcPr>
          <w:p w14:paraId="12306370" w14:textId="77777777" w:rsidR="00853570" w:rsidRPr="00183E4D" w:rsidRDefault="00853570" w:rsidP="00662941">
            <w:pPr>
              <w:pStyle w:val="Tabletext"/>
              <w:rPr>
                <w:b/>
              </w:rPr>
            </w:pPr>
            <w:r w:rsidRPr="00183E4D">
              <w:rPr>
                <w:b/>
              </w:rPr>
              <w:t>Heal</w:t>
            </w:r>
            <w:r>
              <w:rPr>
                <w:b/>
              </w:rPr>
              <w:t>th states</w:t>
            </w:r>
          </w:p>
        </w:tc>
        <w:tc>
          <w:tcPr>
            <w:tcW w:w="4029" w:type="pct"/>
          </w:tcPr>
          <w:p w14:paraId="656379AE" w14:textId="77777777" w:rsidR="00853570" w:rsidRPr="00574589" w:rsidRDefault="00853570" w:rsidP="00662941">
            <w:pPr>
              <w:pStyle w:val="Tabletext"/>
            </w:pPr>
            <w:r>
              <w:t>For both model arms the health states are:1) Arrhythmia free; 2) Arrhythmia recurrence; 3) Cardiac hospitalisation, mutually exclusive of States 1 and 2; 4) Re-ablation (ablation arm only, once only and within 12 months only), a subset of State 2; 5) Dead.  ‘Arrhythmia free’ and ‘arrhythmia recurrence’ refer to the arrhythmia being treated by ablation (VT, AFL or AVNRT)</w:t>
            </w:r>
          </w:p>
        </w:tc>
      </w:tr>
      <w:tr w:rsidR="00853570" w:rsidRPr="00183E4D" w14:paraId="14C46B18" w14:textId="77777777" w:rsidTr="00D55575">
        <w:trPr>
          <w:trHeight w:val="20"/>
        </w:trPr>
        <w:tc>
          <w:tcPr>
            <w:tcW w:w="971" w:type="pct"/>
            <w:hideMark/>
          </w:tcPr>
          <w:p w14:paraId="1533F757" w14:textId="77777777" w:rsidR="00853570" w:rsidRPr="00183E4D" w:rsidRDefault="00853570" w:rsidP="00662941">
            <w:pPr>
              <w:pStyle w:val="Tabletext"/>
              <w:rPr>
                <w:b/>
              </w:rPr>
            </w:pPr>
            <w:r w:rsidRPr="00183E4D">
              <w:rPr>
                <w:b/>
              </w:rPr>
              <w:t>Cycle length</w:t>
            </w:r>
          </w:p>
        </w:tc>
        <w:tc>
          <w:tcPr>
            <w:tcW w:w="4029" w:type="pct"/>
          </w:tcPr>
          <w:p w14:paraId="05A48D11" w14:textId="77777777" w:rsidR="00853570" w:rsidRPr="00574589" w:rsidRDefault="00853570" w:rsidP="00662941">
            <w:pPr>
              <w:pStyle w:val="Tabletext"/>
            </w:pPr>
            <w:r>
              <w:t>Monthly</w:t>
            </w:r>
          </w:p>
        </w:tc>
      </w:tr>
      <w:tr w:rsidR="00853570" w:rsidRPr="00183E4D" w14:paraId="2CF65A2A" w14:textId="77777777" w:rsidTr="00D55575">
        <w:trPr>
          <w:trHeight w:val="20"/>
        </w:trPr>
        <w:tc>
          <w:tcPr>
            <w:tcW w:w="971" w:type="pct"/>
            <w:hideMark/>
          </w:tcPr>
          <w:p w14:paraId="4E4D27BF" w14:textId="77777777" w:rsidR="00853570" w:rsidRPr="00183E4D" w:rsidRDefault="00853570" w:rsidP="00662941">
            <w:pPr>
              <w:pStyle w:val="Tabletext"/>
              <w:rPr>
                <w:b/>
              </w:rPr>
            </w:pPr>
            <w:r w:rsidRPr="00183E4D">
              <w:rPr>
                <w:b/>
              </w:rPr>
              <w:t>Discount rate</w:t>
            </w:r>
          </w:p>
        </w:tc>
        <w:tc>
          <w:tcPr>
            <w:tcW w:w="4029" w:type="pct"/>
          </w:tcPr>
          <w:p w14:paraId="00FAB4CA" w14:textId="77777777" w:rsidR="00853570" w:rsidRPr="00183E4D" w:rsidRDefault="00853570" w:rsidP="00662941">
            <w:pPr>
              <w:pStyle w:val="Tabletext"/>
            </w:pPr>
            <w:r>
              <w:t>5%</w:t>
            </w:r>
          </w:p>
        </w:tc>
      </w:tr>
      <w:tr w:rsidR="00853570" w:rsidRPr="00183E4D" w14:paraId="13DAE0C0" w14:textId="77777777" w:rsidTr="00D55575">
        <w:trPr>
          <w:trHeight w:val="20"/>
        </w:trPr>
        <w:tc>
          <w:tcPr>
            <w:tcW w:w="971" w:type="pct"/>
            <w:hideMark/>
          </w:tcPr>
          <w:p w14:paraId="01EDBA41" w14:textId="77777777" w:rsidR="00853570" w:rsidRPr="00183E4D" w:rsidRDefault="00853570" w:rsidP="00662941">
            <w:pPr>
              <w:pStyle w:val="Tabletext"/>
              <w:rPr>
                <w:b/>
              </w:rPr>
            </w:pPr>
            <w:r w:rsidRPr="00183E4D">
              <w:rPr>
                <w:b/>
              </w:rPr>
              <w:t>Software used</w:t>
            </w:r>
          </w:p>
        </w:tc>
        <w:tc>
          <w:tcPr>
            <w:tcW w:w="4029" w:type="pct"/>
          </w:tcPr>
          <w:p w14:paraId="180F090C" w14:textId="77777777" w:rsidR="00853570" w:rsidRPr="00183E4D" w:rsidRDefault="00853570" w:rsidP="00662941">
            <w:pPr>
              <w:pStyle w:val="Tabletext"/>
            </w:pPr>
            <w:r>
              <w:t>Microsoft Excel 2016 (Redmond, Washington, United States)</w:t>
            </w:r>
          </w:p>
        </w:tc>
      </w:tr>
    </w:tbl>
    <w:p w14:paraId="4EECEE3E" w14:textId="77777777" w:rsidR="00853570" w:rsidRDefault="00853570" w:rsidP="00853570">
      <w:pPr>
        <w:pStyle w:val="Tablenotes"/>
      </w:pPr>
      <w:r>
        <w:t>Source: Table 4, p16 of the ADAR</w:t>
      </w:r>
    </w:p>
    <w:p w14:paraId="727CA377" w14:textId="77777777" w:rsidR="00853570" w:rsidRDefault="00853570" w:rsidP="00853570">
      <w:pPr>
        <w:pStyle w:val="Tablenotes"/>
      </w:pPr>
      <w:r>
        <w:t xml:space="preserve">AFL, atrial flutter; AVNRT, </w:t>
      </w:r>
      <w:r w:rsidRPr="009003CB">
        <w:t>atrioventricular nodal re-entrant tachycardia</w:t>
      </w:r>
      <w:r>
        <w:t xml:space="preserve">; ICD, </w:t>
      </w:r>
      <w:r w:rsidRPr="004905B4">
        <w:t>implantable cardioverter defibrillator</w:t>
      </w:r>
      <w:r>
        <w:t>; KOL, Key Opinion Leader; QALY, quality-adjusted life year; RCT, randomised controlled trial; VA, ventricular arrhythmia; VT, v</w:t>
      </w:r>
      <w:r w:rsidRPr="00AD44C0">
        <w:t>entricular tachycardia</w:t>
      </w:r>
    </w:p>
    <w:p w14:paraId="0A701AB3" w14:textId="2D758CE8" w:rsidR="00853570" w:rsidRDefault="00853570" w:rsidP="00956E37">
      <w:pPr>
        <w:tabs>
          <w:tab w:val="left" w:pos="720"/>
          <w:tab w:val="left" w:pos="1140"/>
        </w:tabs>
      </w:pPr>
      <w:r>
        <w:t>In addition to the translation issue assumptions above, the ADAR assumed (consistent with the AF Review) that 5% of cardiac hospitalisations are serious (major complexity) fo</w:t>
      </w:r>
      <w:r w:rsidR="00A30646">
        <w:t xml:space="preserve">r patients with AFL and AVNRT. </w:t>
      </w:r>
      <w:r>
        <w:t>For VT+IHD+ICD patients, trial data reported by Sapp (2016)</w:t>
      </w:r>
      <w:r>
        <w:rPr>
          <w:rStyle w:val="FootnoteReference"/>
        </w:rPr>
        <w:footnoteReference w:id="21"/>
      </w:r>
      <w:r>
        <w:t xml:space="preserve"> were used to estimate this proportion (79%) based on the proportion of patients having recurrent electrical storms, who often have prolonged hospitalisations a</w:t>
      </w:r>
      <w:r w:rsidR="00956E37">
        <w:t>nd/or experience heart failure.</w:t>
      </w:r>
    </w:p>
    <w:p w14:paraId="2FD2F2D7" w14:textId="4BDC488A" w:rsidR="00853570" w:rsidRDefault="00853570" w:rsidP="00956E37">
      <w:pPr>
        <w:spacing w:before="240"/>
      </w:pPr>
      <w:r w:rsidRPr="00FF1C96">
        <w:t xml:space="preserve">The </w:t>
      </w:r>
      <w:r>
        <w:t xml:space="preserve">Commentary considered that the </w:t>
      </w:r>
      <w:r w:rsidRPr="00FF1C96">
        <w:t>model structure seems appropriate to the intervention, though if cardiac ablation is considered first-line, the comparator may have less clinical relevance. In some cases, the data available were not appropriate to populate the model. As the authors of the ADAR mention, the mutually exclusive nature of the intervention in not allowing cross-over between arms is different to what m</w:t>
      </w:r>
      <w:r w:rsidR="00956E37">
        <w:t>ight occur in a real situation.</w:t>
      </w:r>
    </w:p>
    <w:p w14:paraId="0188AE4A" w14:textId="6370444E" w:rsidR="00853570" w:rsidRPr="00FF1C96" w:rsidRDefault="00853570" w:rsidP="00956E37">
      <w:pPr>
        <w:spacing w:before="240" w:after="240"/>
      </w:pPr>
      <w:r>
        <w:t>The Commentary also considered that t</w:t>
      </w:r>
      <w:r w:rsidRPr="00FF1C96">
        <w:t xml:space="preserve">he model structure </w:t>
      </w:r>
      <w:r>
        <w:t xml:space="preserve">was </w:t>
      </w:r>
      <w:r w:rsidRPr="00FF1C96">
        <w:t xml:space="preserve">based purely on the structure of the AF model, rather than providing justification for VA and </w:t>
      </w:r>
      <w:r w:rsidR="003F129F">
        <w:t xml:space="preserve">non-AF </w:t>
      </w:r>
      <w:r w:rsidRPr="00FF1C96">
        <w:t xml:space="preserve">SVT specifically. </w:t>
      </w:r>
      <w:r>
        <w:t>The Commentary noted that a</w:t>
      </w:r>
      <w:r w:rsidRPr="00FF1C96">
        <w:t>rrhythmia recurrence is extrapolated at the same rate beyond the trial mean/total follow-up of 1 to 5 years. Over the 10-year time horizon of the model</w:t>
      </w:r>
      <w:r>
        <w:t>, the Commentary considered</w:t>
      </w:r>
      <w:r w:rsidRPr="00FF1C96">
        <w:t xml:space="preserve"> this could understate the </w:t>
      </w:r>
      <w:r>
        <w:t>incremental cost-effectiveness ratio (</w:t>
      </w:r>
      <w:r w:rsidRPr="00FF1C96">
        <w:t>ICER</w:t>
      </w:r>
      <w:r>
        <w:t>)</w:t>
      </w:r>
      <w:r w:rsidRPr="00FF1C96">
        <w:t xml:space="preserve">, compared with an assumption of no difference between arms beyond trial follow-up, as the ablation costs are largely up-front, whereas comparator costs continue indefinitely. </w:t>
      </w:r>
      <w:r>
        <w:t>In addition, the Commentary considered that t</w:t>
      </w:r>
      <w:r w:rsidRPr="00FF1C96">
        <w:t>he one-month cycle length may overestimate the time spent in some health states (e.g. a VT recurrence reverted by an ICD would last much less than one month). The health states have been applied for the full cycle, except for complications, which are considered to last for one week.</w:t>
      </w:r>
    </w:p>
    <w:p w14:paraId="69C3B81E" w14:textId="042709C3" w:rsidR="00853570" w:rsidRPr="00FF1C96" w:rsidRDefault="00853570" w:rsidP="00853570">
      <w:r w:rsidRPr="00FF1C96">
        <w:lastRenderedPageBreak/>
        <w:t xml:space="preserve">The </w:t>
      </w:r>
      <w:r>
        <w:t xml:space="preserve">Commentary noted the ADARs </w:t>
      </w:r>
      <w:r w:rsidRPr="00FF1C96">
        <w:t xml:space="preserve">model assumes that patients in the cardiac ablation arm do not continue </w:t>
      </w:r>
      <w:r>
        <w:t>AADs or commence AADs. The ADAR</w:t>
      </w:r>
      <w:r w:rsidRPr="00FF1C96">
        <w:t>s KOL provides some support for this assumption in AVNRT patients but acknowledges that AFL patients with concurrent AF may continue AADs, and only 50% of patients with VT+IHD+ICD will stop AADs after cardiac abl</w:t>
      </w:r>
      <w:r>
        <w:t>ation</w:t>
      </w:r>
      <w:r w:rsidRPr="00FF1C96">
        <w:t>. The applicant claims there are no reliable Australian data available to support this. Continuing AADs following ablation has resource implications and would increase costs over time, potentially leading to a higher ICER.</w:t>
      </w:r>
    </w:p>
    <w:p w14:paraId="147B5036" w14:textId="7AC88CBD" w:rsidR="00853570" w:rsidRDefault="00853570" w:rsidP="00956E37">
      <w:pPr>
        <w:spacing w:before="240" w:after="240"/>
      </w:pPr>
      <w:r w:rsidRPr="00FF1C96">
        <w:t xml:space="preserve">The overall costs and outcomes, and incremental costs and outcomes, as calculated for the intervention and comparator in the model, using the base case assumptions, are shown in </w:t>
      </w:r>
      <w:r w:rsidR="00956E37">
        <w:fldChar w:fldCharType="begin"/>
      </w:r>
      <w:r w:rsidR="00956E37">
        <w:instrText xml:space="preserve"> REF _Ref37032645 \h </w:instrText>
      </w:r>
      <w:r w:rsidR="00956E37">
        <w:fldChar w:fldCharType="separate"/>
      </w:r>
      <w:r w:rsidR="00956E37">
        <w:t xml:space="preserve">Table </w:t>
      </w:r>
      <w:r w:rsidR="00956E37">
        <w:rPr>
          <w:noProof/>
        </w:rPr>
        <w:t>8</w:t>
      </w:r>
      <w:r w:rsidR="00956E37">
        <w:fldChar w:fldCharType="end"/>
      </w:r>
      <w:r>
        <w:t>.</w:t>
      </w:r>
    </w:p>
    <w:p w14:paraId="59C0DE04" w14:textId="114F64CD" w:rsidR="00853570" w:rsidRPr="00D55575" w:rsidRDefault="00956E37" w:rsidP="00D55575">
      <w:pPr>
        <w:rPr>
          <w:rFonts w:ascii="Arial Narrow" w:hAnsi="Arial Narrow"/>
          <w:b/>
          <w:sz w:val="20"/>
        </w:rPr>
      </w:pPr>
      <w:bookmarkStart w:id="18" w:name="_Ref37032645"/>
      <w:bookmarkStart w:id="19" w:name="_Toc399251124"/>
      <w:r w:rsidRPr="00D55575">
        <w:rPr>
          <w:rFonts w:ascii="Arial Narrow" w:hAnsi="Arial Narrow"/>
          <w:b/>
          <w:sz w:val="20"/>
        </w:rPr>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8</w:t>
      </w:r>
      <w:r w:rsidR="00156907" w:rsidRPr="00D55575">
        <w:rPr>
          <w:rFonts w:ascii="Arial Narrow" w:hAnsi="Arial Narrow"/>
          <w:b/>
          <w:sz w:val="20"/>
        </w:rPr>
        <w:fldChar w:fldCharType="end"/>
      </w:r>
      <w:bookmarkEnd w:id="18"/>
      <w:r w:rsidR="00853570" w:rsidRPr="00D55575">
        <w:rPr>
          <w:rFonts w:ascii="Arial Narrow" w:hAnsi="Arial Narrow"/>
          <w:b/>
          <w:sz w:val="20"/>
        </w:rPr>
        <w:tab/>
      </w:r>
      <w:bookmarkEnd w:id="19"/>
      <w:r w:rsidR="00853570" w:rsidRPr="00D55575">
        <w:rPr>
          <w:rFonts w:ascii="Arial Narrow" w:hAnsi="Arial Narrow"/>
          <w:b/>
          <w:sz w:val="20"/>
        </w:rPr>
        <w:t>Cost-effectiveness of cardiac ablation versus no ablation in the VA and SVT populations</w:t>
      </w:r>
    </w:p>
    <w:tbl>
      <w:tblPr>
        <w:tblStyle w:val="TableGrid2"/>
        <w:tblW w:w="0" w:type="auto"/>
        <w:tblLook w:val="04A0" w:firstRow="1" w:lastRow="0" w:firstColumn="1" w:lastColumn="0" w:noHBand="0" w:noVBand="1"/>
        <w:tblCaption w:val="Cost-effectiveness of cardiac ablation versus no ablation in the VA and SVT populations"/>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1241"/>
        <w:gridCol w:w="899"/>
        <w:gridCol w:w="866"/>
        <w:gridCol w:w="1170"/>
        <w:gridCol w:w="1346"/>
        <w:gridCol w:w="1346"/>
        <w:gridCol w:w="1339"/>
        <w:gridCol w:w="809"/>
      </w:tblGrid>
      <w:tr w:rsidR="00853570" w:rsidRPr="00183E4D" w14:paraId="5CEAD036" w14:textId="77777777" w:rsidTr="00662941">
        <w:trPr>
          <w:cnfStyle w:val="100000000000" w:firstRow="1" w:lastRow="0" w:firstColumn="0" w:lastColumn="0" w:oddVBand="0" w:evenVBand="0" w:oddHBand="0" w:evenHBand="0" w:firstRowFirstColumn="0" w:firstRowLastColumn="0" w:lastRowFirstColumn="0" w:lastRowLastColumn="0"/>
          <w:tblHeader/>
        </w:trPr>
        <w:tc>
          <w:tcPr>
            <w:tcW w:w="0" w:type="auto"/>
          </w:tcPr>
          <w:p w14:paraId="57121459" w14:textId="77777777" w:rsidR="00853570" w:rsidRPr="00E27448" w:rsidRDefault="00853570" w:rsidP="00662941">
            <w:pPr>
              <w:pStyle w:val="Tabletextcentred"/>
              <w:rPr>
                <w:b/>
                <w:lang w:val="en-US"/>
              </w:rPr>
            </w:pPr>
            <w:r w:rsidRPr="00E27448">
              <w:rPr>
                <w:b/>
                <w:lang w:val="en-US"/>
              </w:rPr>
              <w:t>Population</w:t>
            </w:r>
          </w:p>
        </w:tc>
        <w:tc>
          <w:tcPr>
            <w:tcW w:w="0" w:type="auto"/>
          </w:tcPr>
          <w:p w14:paraId="6BA36C73" w14:textId="77777777" w:rsidR="00853570" w:rsidRPr="00E27448" w:rsidRDefault="00853570" w:rsidP="00662941">
            <w:pPr>
              <w:pStyle w:val="Tabletextcentred"/>
              <w:rPr>
                <w:b/>
                <w:lang w:val="en-US"/>
              </w:rPr>
            </w:pPr>
            <w:r w:rsidRPr="00E27448">
              <w:rPr>
                <w:b/>
                <w:lang w:val="en-US"/>
              </w:rPr>
              <w:t>Cost –</w:t>
            </w:r>
            <w:r w:rsidRPr="00E27448">
              <w:rPr>
                <w:b/>
                <w:lang w:val="en-US"/>
              </w:rPr>
              <w:br/>
              <w:t>cardiac ablation</w:t>
            </w:r>
          </w:p>
        </w:tc>
        <w:tc>
          <w:tcPr>
            <w:tcW w:w="0" w:type="auto"/>
          </w:tcPr>
          <w:p w14:paraId="77847AF9" w14:textId="77777777" w:rsidR="00853570" w:rsidRPr="00E27448" w:rsidRDefault="00853570" w:rsidP="00662941">
            <w:pPr>
              <w:pStyle w:val="Tabletextcentred"/>
              <w:rPr>
                <w:b/>
                <w:lang w:val="en-US"/>
              </w:rPr>
            </w:pPr>
            <w:r w:rsidRPr="00E27448">
              <w:rPr>
                <w:b/>
                <w:lang w:val="en-US"/>
              </w:rPr>
              <w:t>Cost –</w:t>
            </w:r>
            <w:r w:rsidRPr="00E27448">
              <w:rPr>
                <w:b/>
                <w:lang w:val="en-US"/>
              </w:rPr>
              <w:br/>
              <w:t>no ablation</w:t>
            </w:r>
          </w:p>
        </w:tc>
        <w:tc>
          <w:tcPr>
            <w:tcW w:w="0" w:type="auto"/>
          </w:tcPr>
          <w:p w14:paraId="306EA4C2" w14:textId="77777777" w:rsidR="00853570" w:rsidRPr="00E27448" w:rsidRDefault="00853570" w:rsidP="00662941">
            <w:pPr>
              <w:pStyle w:val="Tabletextcentred"/>
              <w:rPr>
                <w:b/>
                <w:lang w:val="en-US"/>
              </w:rPr>
            </w:pPr>
            <w:r w:rsidRPr="00E27448">
              <w:rPr>
                <w:b/>
                <w:lang w:val="en-US"/>
              </w:rPr>
              <w:t>Incremental cost</w:t>
            </w:r>
          </w:p>
        </w:tc>
        <w:tc>
          <w:tcPr>
            <w:tcW w:w="0" w:type="auto"/>
          </w:tcPr>
          <w:p w14:paraId="1FB37B86" w14:textId="77777777" w:rsidR="00853570" w:rsidRPr="00E27448" w:rsidRDefault="00853570" w:rsidP="00662941">
            <w:pPr>
              <w:pStyle w:val="Tabletextcentred"/>
              <w:rPr>
                <w:b/>
                <w:lang w:val="en-US"/>
              </w:rPr>
            </w:pPr>
            <w:r w:rsidRPr="00E27448">
              <w:rPr>
                <w:b/>
                <w:lang w:val="en-US"/>
              </w:rPr>
              <w:t>Effectiveness (QALYs) –</w:t>
            </w:r>
            <w:r w:rsidRPr="00E27448">
              <w:rPr>
                <w:b/>
                <w:lang w:val="en-US"/>
              </w:rPr>
              <w:br/>
              <w:t>cardiac ablation</w:t>
            </w:r>
          </w:p>
        </w:tc>
        <w:tc>
          <w:tcPr>
            <w:tcW w:w="0" w:type="auto"/>
          </w:tcPr>
          <w:p w14:paraId="43967D60" w14:textId="77777777" w:rsidR="00853570" w:rsidRPr="00E27448" w:rsidRDefault="00853570" w:rsidP="00662941">
            <w:pPr>
              <w:pStyle w:val="Tabletextcentred"/>
              <w:rPr>
                <w:b/>
                <w:lang w:val="en-US"/>
              </w:rPr>
            </w:pPr>
            <w:r w:rsidRPr="00E27448">
              <w:rPr>
                <w:b/>
                <w:lang w:val="en-US"/>
              </w:rPr>
              <w:t>Effectiveness (QALYs) –</w:t>
            </w:r>
            <w:r w:rsidRPr="00E27448">
              <w:rPr>
                <w:b/>
                <w:lang w:val="en-US"/>
              </w:rPr>
              <w:br/>
              <w:t>no ablation</w:t>
            </w:r>
          </w:p>
        </w:tc>
        <w:tc>
          <w:tcPr>
            <w:tcW w:w="0" w:type="auto"/>
          </w:tcPr>
          <w:p w14:paraId="7F54A077" w14:textId="77777777" w:rsidR="00853570" w:rsidRPr="00E27448" w:rsidRDefault="00853570" w:rsidP="00662941">
            <w:pPr>
              <w:pStyle w:val="Tabletextcentred"/>
              <w:rPr>
                <w:b/>
                <w:lang w:val="en-US"/>
              </w:rPr>
            </w:pPr>
            <w:r w:rsidRPr="00E27448">
              <w:rPr>
                <w:b/>
                <w:lang w:val="en-US"/>
              </w:rPr>
              <w:t>Incremental effectiveness</w:t>
            </w:r>
          </w:p>
        </w:tc>
        <w:tc>
          <w:tcPr>
            <w:tcW w:w="0" w:type="auto"/>
          </w:tcPr>
          <w:p w14:paraId="6C9CF834" w14:textId="77777777" w:rsidR="00853570" w:rsidRPr="00E27448" w:rsidRDefault="00853570" w:rsidP="00662941">
            <w:pPr>
              <w:pStyle w:val="Tabletextcentred"/>
              <w:rPr>
                <w:b/>
                <w:lang w:val="en-US"/>
              </w:rPr>
            </w:pPr>
            <w:r w:rsidRPr="00E27448">
              <w:rPr>
                <w:b/>
                <w:lang w:val="en-US"/>
              </w:rPr>
              <w:t>ICER</w:t>
            </w:r>
          </w:p>
        </w:tc>
      </w:tr>
      <w:tr w:rsidR="00853570" w:rsidRPr="00183E4D" w14:paraId="495DCA80" w14:textId="77777777" w:rsidTr="00662941">
        <w:tc>
          <w:tcPr>
            <w:tcW w:w="0" w:type="auto"/>
          </w:tcPr>
          <w:p w14:paraId="3742820E" w14:textId="77777777" w:rsidR="00853570" w:rsidRPr="00A209E9" w:rsidRDefault="00853570" w:rsidP="00662941">
            <w:pPr>
              <w:pStyle w:val="Tabletextboldleft"/>
            </w:pPr>
            <w:r w:rsidRPr="003B6A9C">
              <w:t>VT+IHD+ICD patients</w:t>
            </w:r>
          </w:p>
        </w:tc>
        <w:tc>
          <w:tcPr>
            <w:tcW w:w="0" w:type="auto"/>
          </w:tcPr>
          <w:p w14:paraId="0D843625" w14:textId="77777777" w:rsidR="00853570" w:rsidRDefault="00853570" w:rsidP="00662941">
            <w:pPr>
              <w:pStyle w:val="TableText0"/>
              <w:jc w:val="right"/>
              <w:rPr>
                <w:lang w:val="en-US"/>
              </w:rPr>
            </w:pPr>
            <w:r>
              <w:rPr>
                <w:lang w:val="en-US"/>
              </w:rPr>
              <w:t>$24,112</w:t>
            </w:r>
          </w:p>
          <w:p w14:paraId="241DE1DD" w14:textId="77777777" w:rsidR="00853570" w:rsidRPr="00D82D17" w:rsidRDefault="00853570" w:rsidP="00662941">
            <w:pPr>
              <w:pStyle w:val="CommentTabletext"/>
              <w:tabs>
                <w:tab w:val="clear" w:pos="720"/>
              </w:tabs>
              <w:ind w:left="0"/>
              <w:jc w:val="right"/>
              <w:rPr>
                <w:lang w:val="en-US"/>
              </w:rPr>
            </w:pPr>
            <w:r>
              <w:rPr>
                <w:lang w:val="en-US"/>
              </w:rPr>
              <w:t>$22,927</w:t>
            </w:r>
          </w:p>
        </w:tc>
        <w:tc>
          <w:tcPr>
            <w:tcW w:w="0" w:type="auto"/>
          </w:tcPr>
          <w:p w14:paraId="296EAC82" w14:textId="77777777" w:rsidR="00853570" w:rsidRDefault="00853570" w:rsidP="00662941">
            <w:pPr>
              <w:pStyle w:val="TableText0"/>
              <w:jc w:val="right"/>
              <w:rPr>
                <w:lang w:val="en-US"/>
              </w:rPr>
            </w:pPr>
            <w:r w:rsidRPr="00D82D17">
              <w:rPr>
                <w:lang w:val="en-US"/>
              </w:rPr>
              <w:t>$1</w:t>
            </w:r>
            <w:r>
              <w:rPr>
                <w:lang w:val="en-US"/>
              </w:rPr>
              <w:t>5,102</w:t>
            </w:r>
          </w:p>
          <w:p w14:paraId="15DCCD2C" w14:textId="77777777" w:rsidR="00853570" w:rsidRPr="003B6A9C" w:rsidRDefault="00853570" w:rsidP="00662941">
            <w:pPr>
              <w:pStyle w:val="TableText0"/>
              <w:jc w:val="right"/>
              <w:rPr>
                <w:i/>
                <w:iCs/>
              </w:rPr>
            </w:pPr>
            <w:r w:rsidRPr="003B6A9C">
              <w:rPr>
                <w:i/>
                <w:iCs/>
                <w:color w:val="1F497D" w:themeColor="text2"/>
                <w:lang w:val="en-US"/>
              </w:rPr>
              <w:t>$13,378</w:t>
            </w:r>
          </w:p>
        </w:tc>
        <w:tc>
          <w:tcPr>
            <w:tcW w:w="0" w:type="auto"/>
          </w:tcPr>
          <w:p w14:paraId="52B7D192" w14:textId="77777777" w:rsidR="00853570" w:rsidRDefault="00853570" w:rsidP="00662941">
            <w:pPr>
              <w:pStyle w:val="TableText0"/>
              <w:jc w:val="right"/>
            </w:pPr>
            <w:r w:rsidRPr="00DF02CC">
              <w:t>$9,011</w:t>
            </w:r>
          </w:p>
          <w:p w14:paraId="70EFBDE8" w14:textId="77777777" w:rsidR="00853570" w:rsidRPr="003B6A9C" w:rsidRDefault="00853570" w:rsidP="00662941">
            <w:pPr>
              <w:pStyle w:val="TableText0"/>
              <w:jc w:val="right"/>
              <w:rPr>
                <w:i/>
                <w:iCs/>
              </w:rPr>
            </w:pPr>
            <w:r w:rsidRPr="003B6A9C">
              <w:rPr>
                <w:i/>
                <w:iCs/>
                <w:color w:val="1F497D" w:themeColor="text2"/>
              </w:rPr>
              <w:t>$9,549</w:t>
            </w:r>
          </w:p>
        </w:tc>
        <w:tc>
          <w:tcPr>
            <w:tcW w:w="0" w:type="auto"/>
          </w:tcPr>
          <w:p w14:paraId="38554E64" w14:textId="77777777" w:rsidR="00853570" w:rsidRPr="00D82D17" w:rsidRDefault="00853570" w:rsidP="00662941">
            <w:pPr>
              <w:pStyle w:val="TableText0"/>
              <w:jc w:val="right"/>
              <w:rPr>
                <w:lang w:val="en-US"/>
              </w:rPr>
            </w:pPr>
            <w:r>
              <w:rPr>
                <w:lang w:val="en-US"/>
              </w:rPr>
              <w:t>5.19</w:t>
            </w:r>
          </w:p>
        </w:tc>
        <w:tc>
          <w:tcPr>
            <w:tcW w:w="0" w:type="auto"/>
          </w:tcPr>
          <w:p w14:paraId="3BAD1564" w14:textId="77777777" w:rsidR="00853570" w:rsidRDefault="00853570" w:rsidP="00662941">
            <w:pPr>
              <w:pStyle w:val="TableText0"/>
              <w:jc w:val="right"/>
              <w:rPr>
                <w:lang w:val="en-US"/>
              </w:rPr>
            </w:pPr>
            <w:r>
              <w:rPr>
                <w:lang w:val="en-US"/>
              </w:rPr>
              <w:t>5.05</w:t>
            </w:r>
          </w:p>
        </w:tc>
        <w:tc>
          <w:tcPr>
            <w:tcW w:w="0" w:type="auto"/>
          </w:tcPr>
          <w:p w14:paraId="7A1A669B" w14:textId="77777777" w:rsidR="00853570" w:rsidRPr="00D82D17" w:rsidRDefault="00853570" w:rsidP="00662941">
            <w:pPr>
              <w:pStyle w:val="TableText0"/>
              <w:jc w:val="right"/>
              <w:rPr>
                <w:lang w:val="en-US"/>
              </w:rPr>
            </w:pPr>
            <w:r>
              <w:rPr>
                <w:lang w:val="en-US"/>
              </w:rPr>
              <w:t>0.15</w:t>
            </w:r>
          </w:p>
        </w:tc>
        <w:tc>
          <w:tcPr>
            <w:tcW w:w="0" w:type="auto"/>
          </w:tcPr>
          <w:p w14:paraId="61DF3ADF" w14:textId="77777777" w:rsidR="00853570" w:rsidRDefault="00853570" w:rsidP="00662941">
            <w:pPr>
              <w:pStyle w:val="TableText0"/>
              <w:jc w:val="right"/>
              <w:rPr>
                <w:lang w:val="en-US"/>
              </w:rPr>
            </w:pPr>
            <w:r>
              <w:rPr>
                <w:lang w:val="en-US"/>
              </w:rPr>
              <w:t>$61,932</w:t>
            </w:r>
          </w:p>
          <w:p w14:paraId="4BE272E0" w14:textId="77777777" w:rsidR="00853570" w:rsidRPr="003B6A9C" w:rsidRDefault="00853570" w:rsidP="00662941">
            <w:pPr>
              <w:pStyle w:val="TableText0"/>
              <w:jc w:val="right"/>
              <w:rPr>
                <w:i/>
                <w:iCs/>
                <w:lang w:val="en-US"/>
              </w:rPr>
            </w:pPr>
            <w:r w:rsidRPr="003B6A9C">
              <w:rPr>
                <w:i/>
                <w:iCs/>
                <w:color w:val="1F497D" w:themeColor="text2"/>
                <w:lang w:val="en-US"/>
              </w:rPr>
              <w:t>$65,629</w:t>
            </w:r>
          </w:p>
        </w:tc>
      </w:tr>
      <w:tr w:rsidR="00853570" w:rsidRPr="00183E4D" w14:paraId="6A4BD048" w14:textId="77777777" w:rsidTr="00662941">
        <w:tc>
          <w:tcPr>
            <w:tcW w:w="0" w:type="auto"/>
            <w:tcBorders>
              <w:bottom w:val="single" w:sz="4" w:space="0" w:color="auto"/>
            </w:tcBorders>
          </w:tcPr>
          <w:p w14:paraId="2E2E6326" w14:textId="77777777" w:rsidR="00853570" w:rsidRPr="00A209E9" w:rsidRDefault="00853570" w:rsidP="00662941">
            <w:pPr>
              <w:pStyle w:val="Tabletextboldleft"/>
            </w:pPr>
            <w:r>
              <w:t>AFL patients</w:t>
            </w:r>
          </w:p>
        </w:tc>
        <w:tc>
          <w:tcPr>
            <w:tcW w:w="0" w:type="auto"/>
            <w:tcBorders>
              <w:bottom w:val="single" w:sz="4" w:space="0" w:color="auto"/>
            </w:tcBorders>
          </w:tcPr>
          <w:p w14:paraId="449E69B1" w14:textId="77777777" w:rsidR="00853570" w:rsidRDefault="00853570" w:rsidP="00662941">
            <w:pPr>
              <w:pStyle w:val="TableText0"/>
              <w:jc w:val="right"/>
              <w:rPr>
                <w:lang w:val="en-US"/>
              </w:rPr>
            </w:pPr>
            <w:r w:rsidRPr="00D82D17">
              <w:rPr>
                <w:lang w:val="en-US"/>
              </w:rPr>
              <w:t>$18</w:t>
            </w:r>
            <w:r>
              <w:rPr>
                <w:lang w:val="en-US"/>
              </w:rPr>
              <w:t>,865</w:t>
            </w:r>
          </w:p>
          <w:p w14:paraId="0C4990AF" w14:textId="77777777" w:rsidR="00853570" w:rsidRPr="00D82D17" w:rsidRDefault="00853570" w:rsidP="00662941">
            <w:pPr>
              <w:pStyle w:val="CommentTabletext"/>
              <w:tabs>
                <w:tab w:val="clear" w:pos="720"/>
              </w:tabs>
              <w:ind w:left="0"/>
              <w:jc w:val="right"/>
              <w:rPr>
                <w:lang w:val="en-US"/>
              </w:rPr>
            </w:pPr>
            <w:r>
              <w:rPr>
                <w:lang w:val="en-US"/>
              </w:rPr>
              <w:t>$18,122</w:t>
            </w:r>
          </w:p>
        </w:tc>
        <w:tc>
          <w:tcPr>
            <w:tcW w:w="0" w:type="auto"/>
            <w:tcBorders>
              <w:bottom w:val="single" w:sz="4" w:space="0" w:color="auto"/>
            </w:tcBorders>
          </w:tcPr>
          <w:p w14:paraId="7D4033D5" w14:textId="77777777" w:rsidR="00853570" w:rsidRDefault="00853570" w:rsidP="00662941">
            <w:pPr>
              <w:pStyle w:val="TableText0"/>
              <w:jc w:val="right"/>
              <w:rPr>
                <w:lang w:val="en-US"/>
              </w:rPr>
            </w:pPr>
            <w:r>
              <w:rPr>
                <w:lang w:val="en-US"/>
              </w:rPr>
              <w:t>$12,388</w:t>
            </w:r>
          </w:p>
          <w:p w14:paraId="23115D4E" w14:textId="77777777" w:rsidR="00853570" w:rsidRPr="003B6A9C" w:rsidRDefault="00853570" w:rsidP="00662941">
            <w:pPr>
              <w:pStyle w:val="TableText0"/>
              <w:jc w:val="right"/>
              <w:rPr>
                <w:i/>
                <w:iCs/>
                <w:lang w:val="en-US"/>
              </w:rPr>
            </w:pPr>
            <w:r w:rsidRPr="003B6A9C">
              <w:rPr>
                <w:i/>
                <w:iCs/>
                <w:color w:val="1F497D" w:themeColor="text2"/>
                <w:lang w:val="en-US"/>
              </w:rPr>
              <w:t>$11,026</w:t>
            </w:r>
          </w:p>
        </w:tc>
        <w:tc>
          <w:tcPr>
            <w:tcW w:w="0" w:type="auto"/>
            <w:tcBorders>
              <w:bottom w:val="single" w:sz="4" w:space="0" w:color="auto"/>
            </w:tcBorders>
          </w:tcPr>
          <w:p w14:paraId="6C35349A" w14:textId="77777777" w:rsidR="00853570" w:rsidRDefault="00853570" w:rsidP="00662941">
            <w:pPr>
              <w:pStyle w:val="TableText0"/>
              <w:jc w:val="right"/>
              <w:rPr>
                <w:lang w:val="en-US"/>
              </w:rPr>
            </w:pPr>
            <w:r>
              <w:rPr>
                <w:lang w:val="en-US"/>
              </w:rPr>
              <w:t>$6,477</w:t>
            </w:r>
          </w:p>
          <w:p w14:paraId="502FEBC9" w14:textId="77777777" w:rsidR="00853570" w:rsidRPr="003B6A9C" w:rsidRDefault="00853570" w:rsidP="00662941">
            <w:pPr>
              <w:pStyle w:val="TableText0"/>
              <w:jc w:val="right"/>
              <w:rPr>
                <w:i/>
                <w:iCs/>
                <w:lang w:val="en-US"/>
              </w:rPr>
            </w:pPr>
            <w:r w:rsidRPr="003B6A9C">
              <w:rPr>
                <w:i/>
                <w:iCs/>
                <w:color w:val="1F497D" w:themeColor="text2"/>
                <w:lang w:val="en-US"/>
              </w:rPr>
              <w:t>$7,096</w:t>
            </w:r>
          </w:p>
        </w:tc>
        <w:tc>
          <w:tcPr>
            <w:tcW w:w="0" w:type="auto"/>
            <w:tcBorders>
              <w:bottom w:val="single" w:sz="4" w:space="0" w:color="auto"/>
            </w:tcBorders>
          </w:tcPr>
          <w:p w14:paraId="597550F7" w14:textId="77777777" w:rsidR="00853570" w:rsidRPr="00D82D17" w:rsidRDefault="00853570" w:rsidP="00662941">
            <w:pPr>
              <w:pStyle w:val="TableText0"/>
              <w:jc w:val="right"/>
              <w:rPr>
                <w:lang w:val="en-US"/>
              </w:rPr>
            </w:pPr>
            <w:r>
              <w:rPr>
                <w:lang w:val="en-US"/>
              </w:rPr>
              <w:t>5.72</w:t>
            </w:r>
          </w:p>
        </w:tc>
        <w:tc>
          <w:tcPr>
            <w:tcW w:w="0" w:type="auto"/>
            <w:tcBorders>
              <w:bottom w:val="single" w:sz="4" w:space="0" w:color="auto"/>
            </w:tcBorders>
          </w:tcPr>
          <w:p w14:paraId="04AFF07F" w14:textId="77777777" w:rsidR="00853570" w:rsidRDefault="00853570" w:rsidP="00662941">
            <w:pPr>
              <w:pStyle w:val="TableText0"/>
              <w:jc w:val="right"/>
              <w:rPr>
                <w:lang w:val="en-US"/>
              </w:rPr>
            </w:pPr>
            <w:r>
              <w:rPr>
                <w:lang w:val="en-US"/>
              </w:rPr>
              <w:t>5.54</w:t>
            </w:r>
          </w:p>
        </w:tc>
        <w:tc>
          <w:tcPr>
            <w:tcW w:w="0" w:type="auto"/>
            <w:tcBorders>
              <w:bottom w:val="single" w:sz="4" w:space="0" w:color="auto"/>
            </w:tcBorders>
          </w:tcPr>
          <w:p w14:paraId="6CA9E6AA" w14:textId="77777777" w:rsidR="00853570" w:rsidRPr="00D82D17" w:rsidRDefault="00853570" w:rsidP="00662941">
            <w:pPr>
              <w:pStyle w:val="TableText0"/>
              <w:jc w:val="right"/>
              <w:rPr>
                <w:lang w:val="en-US"/>
              </w:rPr>
            </w:pPr>
            <w:r>
              <w:rPr>
                <w:lang w:val="en-US"/>
              </w:rPr>
              <w:t>0.18</w:t>
            </w:r>
          </w:p>
        </w:tc>
        <w:tc>
          <w:tcPr>
            <w:tcW w:w="0" w:type="auto"/>
            <w:tcBorders>
              <w:bottom w:val="single" w:sz="4" w:space="0" w:color="auto"/>
            </w:tcBorders>
          </w:tcPr>
          <w:p w14:paraId="4D03003E" w14:textId="77777777" w:rsidR="00853570" w:rsidRDefault="00853570" w:rsidP="00662941">
            <w:pPr>
              <w:pStyle w:val="TableText0"/>
              <w:jc w:val="right"/>
              <w:rPr>
                <w:lang w:val="en-US"/>
              </w:rPr>
            </w:pPr>
            <w:r>
              <w:rPr>
                <w:lang w:val="en-US"/>
              </w:rPr>
              <w:t>$35,672</w:t>
            </w:r>
          </w:p>
          <w:p w14:paraId="072D275D" w14:textId="77777777" w:rsidR="00853570" w:rsidRPr="003B6A9C" w:rsidRDefault="00853570" w:rsidP="00662941">
            <w:pPr>
              <w:pStyle w:val="TableText0"/>
              <w:jc w:val="right"/>
              <w:rPr>
                <w:i/>
                <w:iCs/>
                <w:lang w:val="en-US"/>
              </w:rPr>
            </w:pPr>
            <w:r w:rsidRPr="003B6A9C">
              <w:rPr>
                <w:i/>
                <w:iCs/>
                <w:color w:val="1F497D" w:themeColor="text2"/>
                <w:lang w:val="en-US"/>
              </w:rPr>
              <w:t>$39,077</w:t>
            </w:r>
          </w:p>
        </w:tc>
      </w:tr>
      <w:tr w:rsidR="00853570" w:rsidRPr="00183E4D" w14:paraId="231CEBC0" w14:textId="77777777" w:rsidTr="00662941">
        <w:tc>
          <w:tcPr>
            <w:tcW w:w="0" w:type="auto"/>
            <w:tcBorders>
              <w:bottom w:val="single" w:sz="4" w:space="0" w:color="auto"/>
            </w:tcBorders>
          </w:tcPr>
          <w:p w14:paraId="79824E84" w14:textId="77777777" w:rsidR="00853570" w:rsidRPr="00A209E9" w:rsidRDefault="00853570" w:rsidP="00662941">
            <w:pPr>
              <w:pStyle w:val="Tabletextboldleft"/>
            </w:pPr>
            <w:r>
              <w:t>AVNRT patients</w:t>
            </w:r>
          </w:p>
        </w:tc>
        <w:tc>
          <w:tcPr>
            <w:tcW w:w="0" w:type="auto"/>
            <w:tcBorders>
              <w:bottom w:val="single" w:sz="4" w:space="0" w:color="auto"/>
            </w:tcBorders>
          </w:tcPr>
          <w:p w14:paraId="170B2188" w14:textId="77777777" w:rsidR="00853570" w:rsidRDefault="00853570" w:rsidP="00662941">
            <w:pPr>
              <w:pStyle w:val="TableText0"/>
              <w:jc w:val="right"/>
              <w:rPr>
                <w:lang w:val="en-US"/>
              </w:rPr>
            </w:pPr>
            <w:r>
              <w:rPr>
                <w:lang w:val="en-US"/>
              </w:rPr>
              <w:t>$14,677</w:t>
            </w:r>
          </w:p>
          <w:p w14:paraId="21121063" w14:textId="77777777" w:rsidR="00853570" w:rsidRPr="00D82D17" w:rsidRDefault="00853570" w:rsidP="00662941">
            <w:pPr>
              <w:pStyle w:val="CommentTabletext"/>
              <w:tabs>
                <w:tab w:val="clear" w:pos="720"/>
              </w:tabs>
              <w:ind w:left="0"/>
              <w:jc w:val="right"/>
              <w:rPr>
                <w:lang w:val="en-US"/>
              </w:rPr>
            </w:pPr>
            <w:r>
              <w:rPr>
                <w:lang w:val="en-US"/>
              </w:rPr>
              <w:t>$14,337</w:t>
            </w:r>
          </w:p>
        </w:tc>
        <w:tc>
          <w:tcPr>
            <w:tcW w:w="0" w:type="auto"/>
            <w:tcBorders>
              <w:bottom w:val="single" w:sz="4" w:space="0" w:color="auto"/>
            </w:tcBorders>
          </w:tcPr>
          <w:p w14:paraId="4D0B5F5C" w14:textId="77777777" w:rsidR="00853570" w:rsidRDefault="00853570" w:rsidP="00662941">
            <w:pPr>
              <w:pStyle w:val="TableText0"/>
              <w:jc w:val="right"/>
              <w:rPr>
                <w:lang w:val="en-US"/>
              </w:rPr>
            </w:pPr>
            <w:r>
              <w:rPr>
                <w:lang w:val="en-US"/>
              </w:rPr>
              <w:t>$9,259</w:t>
            </w:r>
          </w:p>
          <w:p w14:paraId="48562B81" w14:textId="77777777" w:rsidR="00853570" w:rsidRPr="003B6A9C" w:rsidRDefault="00853570" w:rsidP="00662941">
            <w:pPr>
              <w:pStyle w:val="TableText0"/>
              <w:jc w:val="right"/>
              <w:rPr>
                <w:i/>
                <w:iCs/>
                <w:lang w:val="en-US"/>
              </w:rPr>
            </w:pPr>
            <w:r w:rsidRPr="003B6A9C">
              <w:rPr>
                <w:i/>
                <w:iCs/>
                <w:color w:val="1F497D" w:themeColor="text2"/>
                <w:lang w:val="en-US"/>
              </w:rPr>
              <w:t>$6,785</w:t>
            </w:r>
          </w:p>
        </w:tc>
        <w:tc>
          <w:tcPr>
            <w:tcW w:w="0" w:type="auto"/>
            <w:tcBorders>
              <w:bottom w:val="single" w:sz="4" w:space="0" w:color="auto"/>
            </w:tcBorders>
          </w:tcPr>
          <w:p w14:paraId="2CCFE0F6" w14:textId="77777777" w:rsidR="00853570" w:rsidRDefault="00853570" w:rsidP="00662941">
            <w:pPr>
              <w:pStyle w:val="TableText0"/>
              <w:jc w:val="right"/>
              <w:rPr>
                <w:lang w:val="en-US"/>
              </w:rPr>
            </w:pPr>
            <w:r>
              <w:rPr>
                <w:lang w:val="en-US"/>
              </w:rPr>
              <w:t>$5,419</w:t>
            </w:r>
          </w:p>
          <w:p w14:paraId="3DF602D3" w14:textId="77777777" w:rsidR="00853570" w:rsidRPr="003B6A9C" w:rsidRDefault="00853570" w:rsidP="00662941">
            <w:pPr>
              <w:pStyle w:val="TableText0"/>
              <w:jc w:val="right"/>
              <w:rPr>
                <w:i/>
                <w:iCs/>
                <w:lang w:val="en-US"/>
              </w:rPr>
            </w:pPr>
            <w:r w:rsidRPr="003B6A9C">
              <w:rPr>
                <w:i/>
                <w:iCs/>
                <w:color w:val="1F497D" w:themeColor="text2"/>
                <w:lang w:val="en-US"/>
              </w:rPr>
              <w:t>$7,552</w:t>
            </w:r>
          </w:p>
        </w:tc>
        <w:tc>
          <w:tcPr>
            <w:tcW w:w="0" w:type="auto"/>
            <w:tcBorders>
              <w:bottom w:val="single" w:sz="4" w:space="0" w:color="auto"/>
            </w:tcBorders>
          </w:tcPr>
          <w:p w14:paraId="21D7411B" w14:textId="77777777" w:rsidR="00853570" w:rsidRPr="00D82D17" w:rsidRDefault="00853570" w:rsidP="00662941">
            <w:pPr>
              <w:pStyle w:val="TableText0"/>
              <w:jc w:val="right"/>
              <w:rPr>
                <w:lang w:val="en-US"/>
              </w:rPr>
            </w:pPr>
            <w:r>
              <w:rPr>
                <w:lang w:val="en-US"/>
              </w:rPr>
              <w:t>6.22</w:t>
            </w:r>
          </w:p>
        </w:tc>
        <w:tc>
          <w:tcPr>
            <w:tcW w:w="0" w:type="auto"/>
            <w:tcBorders>
              <w:bottom w:val="single" w:sz="4" w:space="0" w:color="auto"/>
            </w:tcBorders>
          </w:tcPr>
          <w:p w14:paraId="59E9643A" w14:textId="77777777" w:rsidR="00853570" w:rsidRDefault="00853570" w:rsidP="00662941">
            <w:pPr>
              <w:pStyle w:val="TableText0"/>
              <w:jc w:val="right"/>
              <w:rPr>
                <w:lang w:val="en-US"/>
              </w:rPr>
            </w:pPr>
            <w:r>
              <w:rPr>
                <w:lang w:val="en-US"/>
              </w:rPr>
              <w:t>5.62</w:t>
            </w:r>
          </w:p>
          <w:p w14:paraId="69B6E07B" w14:textId="77777777" w:rsidR="00853570" w:rsidRPr="003B6A9C" w:rsidRDefault="00853570" w:rsidP="00662941">
            <w:pPr>
              <w:pStyle w:val="TableText0"/>
              <w:jc w:val="right"/>
              <w:rPr>
                <w:i/>
                <w:iCs/>
                <w:lang w:val="en-US"/>
              </w:rPr>
            </w:pPr>
            <w:r w:rsidRPr="003B6A9C">
              <w:rPr>
                <w:i/>
                <w:iCs/>
                <w:color w:val="1F497D" w:themeColor="text2"/>
                <w:lang w:val="en-US"/>
              </w:rPr>
              <w:t>5.89</w:t>
            </w:r>
          </w:p>
        </w:tc>
        <w:tc>
          <w:tcPr>
            <w:tcW w:w="0" w:type="auto"/>
            <w:tcBorders>
              <w:bottom w:val="single" w:sz="4" w:space="0" w:color="auto"/>
            </w:tcBorders>
          </w:tcPr>
          <w:p w14:paraId="27CEBF9A" w14:textId="77777777" w:rsidR="00853570" w:rsidRDefault="00853570" w:rsidP="00662941">
            <w:pPr>
              <w:pStyle w:val="TableText0"/>
              <w:jc w:val="right"/>
              <w:rPr>
                <w:lang w:val="en-US"/>
              </w:rPr>
            </w:pPr>
            <w:r>
              <w:rPr>
                <w:lang w:val="en-US"/>
              </w:rPr>
              <w:t>0.60</w:t>
            </w:r>
          </w:p>
          <w:p w14:paraId="41994685" w14:textId="77777777" w:rsidR="00853570" w:rsidRPr="003B6A9C" w:rsidRDefault="00853570" w:rsidP="00662941">
            <w:pPr>
              <w:pStyle w:val="TableText0"/>
              <w:jc w:val="right"/>
              <w:rPr>
                <w:i/>
                <w:iCs/>
                <w:lang w:val="en-US"/>
              </w:rPr>
            </w:pPr>
            <w:r w:rsidRPr="003B6A9C">
              <w:rPr>
                <w:i/>
                <w:iCs/>
                <w:color w:val="1F497D" w:themeColor="text2"/>
                <w:lang w:val="en-US"/>
              </w:rPr>
              <w:t>0.33</w:t>
            </w:r>
          </w:p>
        </w:tc>
        <w:tc>
          <w:tcPr>
            <w:tcW w:w="0" w:type="auto"/>
            <w:tcBorders>
              <w:bottom w:val="single" w:sz="4" w:space="0" w:color="auto"/>
            </w:tcBorders>
          </w:tcPr>
          <w:p w14:paraId="30333269" w14:textId="77777777" w:rsidR="00853570" w:rsidRDefault="00853570" w:rsidP="00662941">
            <w:pPr>
              <w:pStyle w:val="TableText0"/>
              <w:jc w:val="right"/>
              <w:rPr>
                <w:lang w:val="en-US"/>
              </w:rPr>
            </w:pPr>
            <w:r>
              <w:rPr>
                <w:lang w:val="en-US"/>
              </w:rPr>
              <w:t>$9,029</w:t>
            </w:r>
          </w:p>
          <w:p w14:paraId="3721B4AC" w14:textId="77777777" w:rsidR="00853570" w:rsidRPr="003B6A9C" w:rsidRDefault="00853570" w:rsidP="00662941">
            <w:pPr>
              <w:pStyle w:val="TableText0"/>
              <w:jc w:val="right"/>
              <w:rPr>
                <w:i/>
                <w:iCs/>
                <w:lang w:val="en-US"/>
              </w:rPr>
            </w:pPr>
            <w:r w:rsidRPr="003B6A9C">
              <w:rPr>
                <w:i/>
                <w:iCs/>
                <w:color w:val="1F497D" w:themeColor="text2"/>
                <w:lang w:val="en-US"/>
              </w:rPr>
              <w:t>$14,022</w:t>
            </w:r>
          </w:p>
        </w:tc>
      </w:tr>
    </w:tbl>
    <w:p w14:paraId="278CE03F" w14:textId="77777777" w:rsidR="00853570" w:rsidRDefault="00853570" w:rsidP="00853570">
      <w:pPr>
        <w:pStyle w:val="TFAbbrevs0"/>
      </w:pPr>
      <w:r>
        <w:t xml:space="preserve">Source: Table 49 (p.96-97) of ADAR, </w:t>
      </w:r>
      <w:r>
        <w:rPr>
          <w:i/>
          <w:color w:val="1F497D" w:themeColor="text2"/>
        </w:rPr>
        <w:t>with Commentary amendments (changed some costs and outcome data for AVNRT)</w:t>
      </w:r>
    </w:p>
    <w:p w14:paraId="62838CE7" w14:textId="77777777" w:rsidR="00853570" w:rsidRDefault="00853570" w:rsidP="0025034B">
      <w:pPr>
        <w:pStyle w:val="TFAbbrevs18"/>
        <w:spacing w:after="240"/>
      </w:pPr>
      <w:r>
        <w:t xml:space="preserve">AFL=atrial flutter; AVNRT=atrioventricular nodal re-entrant tachycardia; ICD=implantable cardioverter defibrillator; </w:t>
      </w:r>
      <w:r w:rsidRPr="00546631">
        <w:t>ICER</w:t>
      </w:r>
      <w:r>
        <w:t>=i</w:t>
      </w:r>
      <w:r w:rsidRPr="00546631">
        <w:t xml:space="preserve">ncremental </w:t>
      </w:r>
      <w:r>
        <w:t>c</w:t>
      </w:r>
      <w:r w:rsidRPr="00546631">
        <w:t>ost</w:t>
      </w:r>
      <w:r>
        <w:t>-e</w:t>
      </w:r>
      <w:r w:rsidRPr="00546631">
        <w:t xml:space="preserve">ffectiveness </w:t>
      </w:r>
      <w:r>
        <w:t>r</w:t>
      </w:r>
      <w:r w:rsidRPr="00546631">
        <w:t>atio</w:t>
      </w:r>
      <w:r>
        <w:t>; IHD=ischaemic heart disease; VA=ventricular arrhythmia; VT=ventricular tachycardia; QALY=quality-adjusted life year.</w:t>
      </w:r>
    </w:p>
    <w:p w14:paraId="758E4A6D" w14:textId="1DD69F88" w:rsidR="00853570" w:rsidRDefault="00853570" w:rsidP="00853570">
      <w:r>
        <w:t>The Commentary considered t</w:t>
      </w:r>
      <w:r w:rsidRPr="00E27448">
        <w:t>here is a concern that the ICER for patients undergoing cardiac ablation for VT who have IHD and an ICD (VT+IHD+ICD patients) does not accurately represent the cost-utility of ablation, due to inclu</w:t>
      </w:r>
      <w:r w:rsidR="007340BE">
        <w:t>sion of</w:t>
      </w:r>
      <w:r w:rsidRPr="00E27448">
        <w:t xml:space="preserve"> </w:t>
      </w:r>
      <w:r w:rsidR="007340BE">
        <w:t xml:space="preserve">both </w:t>
      </w:r>
      <w:r w:rsidRPr="00E27448">
        <w:t>an SLR pooled relative risk that included RCT evidence from conference abstracts, and because of the need for extrapolation for eight of the ten-year time horizon. These issues are addressed in sensitivity analyses.</w:t>
      </w:r>
    </w:p>
    <w:p w14:paraId="6ECA309B" w14:textId="7D03E947" w:rsidR="00853570" w:rsidRDefault="00853570" w:rsidP="00956E37">
      <w:pPr>
        <w:spacing w:before="240"/>
      </w:pPr>
      <w:r>
        <w:t xml:space="preserve">The overall ICER for cardiac ablation extended to all arrhythmias is summarised in </w:t>
      </w:r>
      <w:r w:rsidR="00956E37">
        <w:fldChar w:fldCharType="begin"/>
      </w:r>
      <w:r w:rsidR="00956E37">
        <w:instrText xml:space="preserve"> REF _Ref25652078 \h </w:instrText>
      </w:r>
      <w:r w:rsidR="00956E37">
        <w:fldChar w:fldCharType="separate"/>
      </w:r>
      <w:r w:rsidR="00956E37">
        <w:t xml:space="preserve">Table </w:t>
      </w:r>
      <w:r w:rsidR="00956E37">
        <w:rPr>
          <w:noProof/>
        </w:rPr>
        <w:t>9</w:t>
      </w:r>
      <w:r w:rsidR="00956E37">
        <w:fldChar w:fldCharType="end"/>
      </w:r>
      <w:r>
        <w:t>. The Commentary considered there were several issues with the weighted ICER:</w:t>
      </w:r>
    </w:p>
    <w:p w14:paraId="5DB791A2" w14:textId="67CDEEB1" w:rsidR="00853570" w:rsidRDefault="00853570" w:rsidP="00853570">
      <w:pPr>
        <w:pStyle w:val="ListParagraph"/>
        <w:numPr>
          <w:ilvl w:val="0"/>
          <w:numId w:val="32"/>
        </w:numPr>
      </w:pPr>
      <w:bookmarkStart w:id="20" w:name="_Ref37032910"/>
      <w:r>
        <w:t xml:space="preserve">The weighting in the </w:t>
      </w:r>
      <w:r w:rsidR="00F72E15">
        <w:t xml:space="preserve">non-AF </w:t>
      </w:r>
      <w:r>
        <w:t>SVT group is based on expert opinion only</w:t>
      </w:r>
    </w:p>
    <w:p w14:paraId="475AB0E6" w14:textId="0262D7E5" w:rsidR="00853570" w:rsidRDefault="00853570" w:rsidP="00853570">
      <w:pPr>
        <w:pStyle w:val="ListParagraph"/>
        <w:numPr>
          <w:ilvl w:val="0"/>
          <w:numId w:val="32"/>
        </w:numPr>
      </w:pPr>
      <w:r>
        <w:t xml:space="preserve">The 30% (100% - 20% - 50%) of cardiac ablation for </w:t>
      </w:r>
      <w:r w:rsidR="00F72E15">
        <w:t xml:space="preserve">non-AF </w:t>
      </w:r>
      <w:r>
        <w:t>SVT is presumably for other indications that have not been considered in the economic evaluation.</w:t>
      </w:r>
      <w:bookmarkEnd w:id="20"/>
    </w:p>
    <w:p w14:paraId="7D414EBA" w14:textId="77F01EB7" w:rsidR="00853570" w:rsidRPr="00D55575" w:rsidRDefault="00956E37" w:rsidP="00A30646">
      <w:pPr>
        <w:spacing w:before="240"/>
        <w:rPr>
          <w:rFonts w:ascii="Arial Narrow" w:hAnsi="Arial Narrow"/>
          <w:b/>
          <w:sz w:val="20"/>
        </w:rPr>
      </w:pPr>
      <w:bookmarkStart w:id="21" w:name="_Ref25652078"/>
      <w:bookmarkStart w:id="22" w:name="_Toc29370336"/>
      <w:r w:rsidRPr="00D55575">
        <w:rPr>
          <w:rFonts w:ascii="Arial Narrow" w:hAnsi="Arial Narrow"/>
          <w:b/>
          <w:sz w:val="20"/>
        </w:rPr>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9</w:t>
      </w:r>
      <w:r w:rsidR="00156907" w:rsidRPr="00D55575">
        <w:rPr>
          <w:rFonts w:ascii="Arial Narrow" w:hAnsi="Arial Narrow"/>
          <w:b/>
          <w:sz w:val="20"/>
        </w:rPr>
        <w:fldChar w:fldCharType="end"/>
      </w:r>
      <w:bookmarkEnd w:id="21"/>
      <w:r w:rsidR="00853570" w:rsidRPr="00D55575">
        <w:rPr>
          <w:rFonts w:ascii="Arial Narrow" w:hAnsi="Arial Narrow"/>
          <w:b/>
          <w:sz w:val="20"/>
        </w:rPr>
        <w:tab/>
        <w:t>Weighted incremental cost-effectiveness ratio calculation</w:t>
      </w:r>
      <w:bookmarkEnd w:id="22"/>
    </w:p>
    <w:tbl>
      <w:tblPr>
        <w:tblStyle w:val="TableGrid2"/>
        <w:tblW w:w="5000" w:type="pct"/>
        <w:tblLook w:val="0000" w:firstRow="0" w:lastRow="0" w:firstColumn="0" w:lastColumn="0" w:noHBand="0" w:noVBand="0"/>
        <w:tblDescription w:val="This table contains Weighted incremental cost effectiveness ratio (ICER) calculation."/>
      </w:tblPr>
      <w:tblGrid>
        <w:gridCol w:w="3113"/>
        <w:gridCol w:w="2552"/>
        <w:gridCol w:w="1432"/>
        <w:gridCol w:w="1919"/>
      </w:tblGrid>
      <w:tr w:rsidR="00853570" w:rsidRPr="00F85D4D" w14:paraId="763B1699" w14:textId="77777777" w:rsidTr="00D55575">
        <w:trPr>
          <w:trHeight w:val="182"/>
          <w:tblHeader/>
        </w:trPr>
        <w:tc>
          <w:tcPr>
            <w:tcW w:w="1726" w:type="pct"/>
          </w:tcPr>
          <w:p w14:paraId="4D763A58" w14:textId="77777777" w:rsidR="00853570" w:rsidRPr="00F85D4D" w:rsidRDefault="00853570" w:rsidP="0025034B">
            <w:pPr>
              <w:autoSpaceDE w:val="0"/>
              <w:autoSpaceDN w:val="0"/>
              <w:adjustRightInd w:val="0"/>
              <w:rPr>
                <w:rFonts w:cs="Calibri"/>
                <w:b/>
                <w:color w:val="000000"/>
                <w:sz w:val="20"/>
                <w:lang w:val="en-US"/>
              </w:rPr>
            </w:pPr>
            <w:r>
              <w:rPr>
                <w:rFonts w:cs="Calibri"/>
                <w:b/>
                <w:color w:val="000000"/>
                <w:sz w:val="20"/>
                <w:lang w:val="en-US"/>
              </w:rPr>
              <w:t>Population</w:t>
            </w:r>
          </w:p>
        </w:tc>
        <w:tc>
          <w:tcPr>
            <w:tcW w:w="1415" w:type="pct"/>
          </w:tcPr>
          <w:p w14:paraId="4BA916B6" w14:textId="77777777" w:rsidR="00853570" w:rsidRDefault="00853570" w:rsidP="0025034B">
            <w:pPr>
              <w:autoSpaceDE w:val="0"/>
              <w:autoSpaceDN w:val="0"/>
              <w:adjustRightInd w:val="0"/>
              <w:jc w:val="center"/>
              <w:rPr>
                <w:rFonts w:cs="Calibri"/>
                <w:b/>
                <w:color w:val="000000"/>
                <w:sz w:val="20"/>
                <w:lang w:val="en-US"/>
              </w:rPr>
            </w:pPr>
            <w:r>
              <w:rPr>
                <w:rFonts w:cs="Calibri"/>
                <w:b/>
                <w:color w:val="000000"/>
                <w:sz w:val="20"/>
                <w:lang w:val="en-US"/>
              </w:rPr>
              <w:t xml:space="preserve">MBS service </w:t>
            </w:r>
            <w:r w:rsidRPr="00F85D4D">
              <w:rPr>
                <w:rFonts w:cs="Calibri"/>
                <w:b/>
                <w:color w:val="000000"/>
                <w:sz w:val="20"/>
                <w:lang w:val="en-US"/>
              </w:rPr>
              <w:t>volume</w:t>
            </w:r>
          </w:p>
          <w:p w14:paraId="30D92EAB" w14:textId="77777777" w:rsidR="00853570" w:rsidRPr="00F85D4D" w:rsidRDefault="00853570" w:rsidP="0025034B">
            <w:pPr>
              <w:autoSpaceDE w:val="0"/>
              <w:autoSpaceDN w:val="0"/>
              <w:adjustRightInd w:val="0"/>
              <w:jc w:val="center"/>
              <w:rPr>
                <w:rFonts w:cs="Calibri"/>
                <w:b/>
                <w:color w:val="000000"/>
                <w:sz w:val="20"/>
                <w:lang w:val="en-US"/>
              </w:rPr>
            </w:pPr>
            <w:r>
              <w:rPr>
                <w:rFonts w:cs="Calibri"/>
                <w:b/>
                <w:color w:val="000000"/>
                <w:sz w:val="20"/>
                <w:lang w:val="en-US"/>
              </w:rPr>
              <w:t>(calendar year = 2018)</w:t>
            </w:r>
          </w:p>
        </w:tc>
        <w:tc>
          <w:tcPr>
            <w:tcW w:w="794" w:type="pct"/>
          </w:tcPr>
          <w:p w14:paraId="16E014D7" w14:textId="77777777" w:rsidR="00853570" w:rsidRPr="00F85D4D" w:rsidRDefault="00853570" w:rsidP="0025034B">
            <w:pPr>
              <w:autoSpaceDE w:val="0"/>
              <w:autoSpaceDN w:val="0"/>
              <w:adjustRightInd w:val="0"/>
              <w:jc w:val="center"/>
              <w:rPr>
                <w:rFonts w:cs="Calibri"/>
                <w:b/>
                <w:color w:val="000000"/>
                <w:sz w:val="20"/>
                <w:lang w:val="en-US"/>
              </w:rPr>
            </w:pPr>
            <w:r w:rsidRPr="00F85D4D">
              <w:rPr>
                <w:rFonts w:cs="Calibri"/>
                <w:b/>
                <w:color w:val="000000"/>
                <w:sz w:val="20"/>
                <w:lang w:val="en-US"/>
              </w:rPr>
              <w:t>Weig</w:t>
            </w:r>
            <w:r>
              <w:rPr>
                <w:rFonts w:cs="Calibri"/>
                <w:b/>
                <w:color w:val="000000"/>
                <w:sz w:val="20"/>
                <w:lang w:val="en-US"/>
              </w:rPr>
              <w:t>ht</w:t>
            </w:r>
          </w:p>
        </w:tc>
        <w:tc>
          <w:tcPr>
            <w:tcW w:w="1064" w:type="pct"/>
          </w:tcPr>
          <w:p w14:paraId="2D8C30DB" w14:textId="77777777" w:rsidR="00853570" w:rsidRPr="00F85D4D" w:rsidRDefault="00853570" w:rsidP="0025034B">
            <w:pPr>
              <w:autoSpaceDE w:val="0"/>
              <w:autoSpaceDN w:val="0"/>
              <w:adjustRightInd w:val="0"/>
              <w:jc w:val="center"/>
              <w:rPr>
                <w:rFonts w:cs="Calibri"/>
                <w:b/>
                <w:color w:val="000000"/>
                <w:sz w:val="20"/>
                <w:lang w:val="en-US"/>
              </w:rPr>
            </w:pPr>
            <w:r w:rsidRPr="00F85D4D">
              <w:rPr>
                <w:rFonts w:cs="Calibri"/>
                <w:b/>
                <w:color w:val="000000"/>
                <w:sz w:val="20"/>
                <w:lang w:val="en-US"/>
              </w:rPr>
              <w:t>ICER</w:t>
            </w:r>
          </w:p>
        </w:tc>
      </w:tr>
      <w:tr w:rsidR="00853570" w:rsidRPr="00301B0E" w14:paraId="2C8F20D4" w14:textId="77777777" w:rsidTr="00D55575">
        <w:trPr>
          <w:trHeight w:val="58"/>
        </w:trPr>
        <w:tc>
          <w:tcPr>
            <w:tcW w:w="1726" w:type="pct"/>
          </w:tcPr>
          <w:p w14:paraId="53DEF201" w14:textId="77777777" w:rsidR="00853570" w:rsidRPr="000C5987" w:rsidRDefault="00853570" w:rsidP="0025034B">
            <w:pPr>
              <w:autoSpaceDE w:val="0"/>
              <w:autoSpaceDN w:val="0"/>
              <w:adjustRightInd w:val="0"/>
              <w:rPr>
                <w:rFonts w:cs="Calibri"/>
                <w:color w:val="000000"/>
                <w:sz w:val="20"/>
                <w:lang w:val="en-US"/>
              </w:rPr>
            </w:pPr>
            <w:r w:rsidRPr="000C5987">
              <w:rPr>
                <w:rFonts w:cs="Calibri"/>
                <w:color w:val="000000"/>
                <w:sz w:val="20"/>
                <w:lang w:val="en-US"/>
              </w:rPr>
              <w:t>Atrial fibrillation</w:t>
            </w:r>
          </w:p>
        </w:tc>
        <w:tc>
          <w:tcPr>
            <w:tcW w:w="1415" w:type="pct"/>
          </w:tcPr>
          <w:p w14:paraId="2AF6E51C" w14:textId="77777777" w:rsidR="00853570" w:rsidRPr="000C5987" w:rsidRDefault="00853570" w:rsidP="0025034B">
            <w:pPr>
              <w:autoSpaceDE w:val="0"/>
              <w:autoSpaceDN w:val="0"/>
              <w:adjustRightInd w:val="0"/>
              <w:jc w:val="right"/>
              <w:rPr>
                <w:rFonts w:cs="Calibri"/>
                <w:color w:val="000000"/>
                <w:sz w:val="20"/>
                <w:lang w:val="en-US"/>
              </w:rPr>
            </w:pPr>
            <w:r w:rsidRPr="000C5987">
              <w:rPr>
                <w:rFonts w:cs="Calibri"/>
                <w:color w:val="000000"/>
                <w:sz w:val="20"/>
                <w:lang w:val="en-US"/>
              </w:rPr>
              <w:t>5,466</w:t>
            </w:r>
          </w:p>
        </w:tc>
        <w:tc>
          <w:tcPr>
            <w:tcW w:w="794" w:type="pct"/>
          </w:tcPr>
          <w:p w14:paraId="5CC0275B" w14:textId="77777777" w:rsidR="00853570" w:rsidRPr="000C5987" w:rsidRDefault="00853570" w:rsidP="0025034B">
            <w:pPr>
              <w:autoSpaceDE w:val="0"/>
              <w:autoSpaceDN w:val="0"/>
              <w:adjustRightInd w:val="0"/>
              <w:jc w:val="right"/>
              <w:rPr>
                <w:rFonts w:cs="Calibri"/>
                <w:color w:val="000000"/>
                <w:sz w:val="20"/>
                <w:lang w:val="en-US"/>
              </w:rPr>
            </w:pPr>
            <w:r w:rsidRPr="000C5987">
              <w:rPr>
                <w:rFonts w:cs="Calibri"/>
                <w:color w:val="000000"/>
                <w:sz w:val="20"/>
                <w:lang w:val="en-US"/>
              </w:rPr>
              <w:t>58.3%</w:t>
            </w:r>
          </w:p>
        </w:tc>
        <w:tc>
          <w:tcPr>
            <w:tcW w:w="1064" w:type="pct"/>
          </w:tcPr>
          <w:p w14:paraId="52B2B323" w14:textId="77777777" w:rsidR="00853570" w:rsidRPr="0066595B" w:rsidRDefault="00853570" w:rsidP="0025034B">
            <w:pPr>
              <w:autoSpaceDE w:val="0"/>
              <w:autoSpaceDN w:val="0"/>
              <w:adjustRightInd w:val="0"/>
              <w:jc w:val="right"/>
              <w:rPr>
                <w:rFonts w:cs="Calibri"/>
                <w:color w:val="000000"/>
                <w:sz w:val="20"/>
                <w:lang w:val="en-US"/>
              </w:rPr>
            </w:pPr>
            <w:r w:rsidRPr="0066595B">
              <w:rPr>
                <w:sz w:val="20"/>
                <w:lang w:val="en-US"/>
              </w:rPr>
              <w:t>$50,000</w:t>
            </w:r>
          </w:p>
        </w:tc>
      </w:tr>
      <w:tr w:rsidR="00853570" w:rsidRPr="00301B0E" w14:paraId="0856E4E1" w14:textId="77777777" w:rsidTr="00D55575">
        <w:trPr>
          <w:trHeight w:val="68"/>
        </w:trPr>
        <w:tc>
          <w:tcPr>
            <w:tcW w:w="1726" w:type="pct"/>
          </w:tcPr>
          <w:p w14:paraId="09EB3A10" w14:textId="77777777" w:rsidR="00853570" w:rsidRPr="000C5987" w:rsidRDefault="00853570" w:rsidP="0025034B">
            <w:pPr>
              <w:autoSpaceDE w:val="0"/>
              <w:autoSpaceDN w:val="0"/>
              <w:adjustRightInd w:val="0"/>
              <w:rPr>
                <w:rFonts w:cs="Calibri"/>
                <w:color w:val="000000"/>
                <w:sz w:val="20"/>
                <w:lang w:val="en-US"/>
              </w:rPr>
            </w:pPr>
            <w:r w:rsidRPr="000C5987">
              <w:rPr>
                <w:rFonts w:cs="Calibri"/>
                <w:color w:val="000000"/>
                <w:sz w:val="20"/>
                <w:lang w:val="en-US"/>
              </w:rPr>
              <w:t>Ventricular arrhythmia</w:t>
            </w:r>
          </w:p>
        </w:tc>
        <w:tc>
          <w:tcPr>
            <w:tcW w:w="1415" w:type="pct"/>
          </w:tcPr>
          <w:p w14:paraId="201F3182" w14:textId="77777777" w:rsidR="00853570" w:rsidRPr="000C5987" w:rsidRDefault="00853570" w:rsidP="0025034B">
            <w:pPr>
              <w:autoSpaceDE w:val="0"/>
              <w:autoSpaceDN w:val="0"/>
              <w:adjustRightInd w:val="0"/>
              <w:jc w:val="right"/>
              <w:rPr>
                <w:rFonts w:cs="Calibri"/>
                <w:color w:val="000000"/>
                <w:sz w:val="20"/>
                <w:lang w:val="en-US"/>
              </w:rPr>
            </w:pPr>
            <w:r w:rsidRPr="000C5987">
              <w:rPr>
                <w:rFonts w:cs="Calibri"/>
                <w:color w:val="000000"/>
                <w:sz w:val="20"/>
                <w:lang w:val="en-US"/>
              </w:rPr>
              <w:t>644</w:t>
            </w:r>
          </w:p>
        </w:tc>
        <w:tc>
          <w:tcPr>
            <w:tcW w:w="794" w:type="pct"/>
          </w:tcPr>
          <w:p w14:paraId="67BB1CD2" w14:textId="77777777" w:rsidR="00853570" w:rsidRPr="000C5987" w:rsidRDefault="00853570" w:rsidP="0025034B">
            <w:pPr>
              <w:autoSpaceDE w:val="0"/>
              <w:autoSpaceDN w:val="0"/>
              <w:adjustRightInd w:val="0"/>
              <w:jc w:val="right"/>
              <w:rPr>
                <w:rFonts w:cs="Calibri"/>
                <w:color w:val="000000"/>
                <w:sz w:val="20"/>
                <w:lang w:val="en-US"/>
              </w:rPr>
            </w:pPr>
            <w:r w:rsidRPr="000C5987">
              <w:rPr>
                <w:rFonts w:cs="Calibri"/>
                <w:color w:val="000000"/>
                <w:sz w:val="20"/>
                <w:lang w:val="en-US"/>
              </w:rPr>
              <w:t>6.9%</w:t>
            </w:r>
          </w:p>
        </w:tc>
        <w:tc>
          <w:tcPr>
            <w:tcW w:w="1064" w:type="pct"/>
          </w:tcPr>
          <w:p w14:paraId="104D80E7" w14:textId="77777777" w:rsidR="00853570" w:rsidRPr="0066595B" w:rsidRDefault="00853570" w:rsidP="0025034B">
            <w:pPr>
              <w:autoSpaceDE w:val="0"/>
              <w:autoSpaceDN w:val="0"/>
              <w:adjustRightInd w:val="0"/>
              <w:jc w:val="right"/>
              <w:rPr>
                <w:rFonts w:cs="Calibri"/>
                <w:color w:val="000000"/>
                <w:sz w:val="20"/>
                <w:lang w:val="en-US"/>
              </w:rPr>
            </w:pPr>
            <w:r w:rsidRPr="0066595B">
              <w:rPr>
                <w:sz w:val="20"/>
                <w:lang w:val="en-US"/>
              </w:rPr>
              <w:t>$61,932</w:t>
            </w:r>
            <w:r w:rsidRPr="0066595B">
              <w:rPr>
                <w:sz w:val="20"/>
                <w:lang w:val="en-US"/>
              </w:rPr>
              <w:br/>
            </w:r>
            <w:r w:rsidRPr="0066595B">
              <w:rPr>
                <w:i/>
                <w:iCs/>
                <w:color w:val="1F497D" w:themeColor="text2"/>
                <w:sz w:val="20"/>
                <w:lang w:val="en-US"/>
              </w:rPr>
              <w:t>$65,629</w:t>
            </w:r>
          </w:p>
        </w:tc>
      </w:tr>
      <w:tr w:rsidR="00853570" w:rsidRPr="00301B0E" w14:paraId="5703EF42" w14:textId="77777777" w:rsidTr="00D55575">
        <w:trPr>
          <w:trHeight w:val="58"/>
        </w:trPr>
        <w:tc>
          <w:tcPr>
            <w:tcW w:w="1726" w:type="pct"/>
          </w:tcPr>
          <w:p w14:paraId="08973FBE" w14:textId="77777777" w:rsidR="00853570" w:rsidRPr="000C5987" w:rsidRDefault="00853570" w:rsidP="0025034B">
            <w:pPr>
              <w:autoSpaceDE w:val="0"/>
              <w:autoSpaceDN w:val="0"/>
              <w:adjustRightInd w:val="0"/>
              <w:rPr>
                <w:rFonts w:cs="Calibri"/>
                <w:color w:val="000000"/>
                <w:sz w:val="20"/>
                <w:lang w:val="en-US"/>
              </w:rPr>
            </w:pPr>
            <w:r w:rsidRPr="000C5987">
              <w:rPr>
                <w:rFonts w:cs="Calibri"/>
                <w:color w:val="000000"/>
                <w:sz w:val="20"/>
                <w:lang w:val="en-US"/>
              </w:rPr>
              <w:t>S</w:t>
            </w:r>
            <w:r>
              <w:rPr>
                <w:rFonts w:cs="Calibri"/>
                <w:color w:val="000000"/>
                <w:sz w:val="20"/>
                <w:lang w:val="en-US"/>
              </w:rPr>
              <w:t>upraventricular tachycardia (non-</w:t>
            </w:r>
            <w:r w:rsidRPr="000C5987">
              <w:rPr>
                <w:rFonts w:cs="Calibri"/>
                <w:color w:val="000000"/>
                <w:sz w:val="20"/>
                <w:lang w:val="en-US"/>
              </w:rPr>
              <w:t>AF)</w:t>
            </w:r>
          </w:p>
        </w:tc>
        <w:tc>
          <w:tcPr>
            <w:tcW w:w="1415" w:type="pct"/>
          </w:tcPr>
          <w:p w14:paraId="2D7511C0" w14:textId="77777777" w:rsidR="00853570" w:rsidRPr="000C5987" w:rsidRDefault="00853570" w:rsidP="0025034B">
            <w:pPr>
              <w:autoSpaceDE w:val="0"/>
              <w:autoSpaceDN w:val="0"/>
              <w:adjustRightInd w:val="0"/>
              <w:jc w:val="right"/>
              <w:rPr>
                <w:rFonts w:cs="Calibri"/>
                <w:color w:val="000000"/>
                <w:sz w:val="20"/>
                <w:lang w:val="en-US"/>
              </w:rPr>
            </w:pPr>
            <w:r w:rsidRPr="000C5987">
              <w:rPr>
                <w:rFonts w:cs="Calibri"/>
                <w:color w:val="000000"/>
                <w:sz w:val="20"/>
                <w:lang w:val="en-US"/>
              </w:rPr>
              <w:t>3,270</w:t>
            </w:r>
          </w:p>
        </w:tc>
        <w:tc>
          <w:tcPr>
            <w:tcW w:w="794" w:type="pct"/>
          </w:tcPr>
          <w:p w14:paraId="7F36AF4A" w14:textId="77777777" w:rsidR="00853570" w:rsidRPr="000C5987" w:rsidRDefault="00853570" w:rsidP="0025034B">
            <w:pPr>
              <w:autoSpaceDE w:val="0"/>
              <w:autoSpaceDN w:val="0"/>
              <w:adjustRightInd w:val="0"/>
              <w:jc w:val="right"/>
              <w:rPr>
                <w:rFonts w:cs="Calibri"/>
                <w:color w:val="000000"/>
                <w:sz w:val="20"/>
                <w:lang w:val="en-US"/>
              </w:rPr>
            </w:pPr>
            <w:r w:rsidRPr="000C5987">
              <w:rPr>
                <w:rFonts w:cs="Calibri"/>
                <w:color w:val="000000"/>
                <w:sz w:val="20"/>
                <w:lang w:val="en-US"/>
              </w:rPr>
              <w:t>34.9%</w:t>
            </w:r>
          </w:p>
        </w:tc>
        <w:tc>
          <w:tcPr>
            <w:tcW w:w="1064" w:type="pct"/>
          </w:tcPr>
          <w:p w14:paraId="6FEFA117" w14:textId="77777777" w:rsidR="00853570" w:rsidRPr="0066595B" w:rsidRDefault="00853570" w:rsidP="0025034B">
            <w:pPr>
              <w:autoSpaceDE w:val="0"/>
              <w:autoSpaceDN w:val="0"/>
              <w:adjustRightInd w:val="0"/>
              <w:jc w:val="right"/>
              <w:rPr>
                <w:rFonts w:cs="Calibri"/>
                <w:color w:val="000000"/>
                <w:sz w:val="20"/>
                <w:lang w:val="en-US"/>
              </w:rPr>
            </w:pPr>
            <w:r w:rsidRPr="0066595B">
              <w:rPr>
                <w:sz w:val="20"/>
                <w:lang w:val="en-US"/>
              </w:rPr>
              <w:t>$16,641</w:t>
            </w:r>
            <w:r w:rsidRPr="0066595B">
              <w:rPr>
                <w:sz w:val="20"/>
                <w:vertAlign w:val="superscript"/>
                <w:lang w:val="en-US"/>
              </w:rPr>
              <w:t xml:space="preserve">b </w:t>
            </w:r>
            <w:r w:rsidRPr="0066595B">
              <w:rPr>
                <w:sz w:val="20"/>
                <w:vertAlign w:val="superscript"/>
                <w:lang w:val="en-US"/>
              </w:rPr>
              <w:br/>
            </w:r>
            <w:r w:rsidRPr="0066595B">
              <w:rPr>
                <w:i/>
                <w:iCs/>
                <w:color w:val="1F497D" w:themeColor="text2"/>
                <w:sz w:val="20"/>
                <w:lang w:val="en-US"/>
              </w:rPr>
              <w:t>$21,181</w:t>
            </w:r>
          </w:p>
        </w:tc>
      </w:tr>
      <w:tr w:rsidR="00853570" w:rsidRPr="00301B0E" w14:paraId="57278C22" w14:textId="77777777" w:rsidTr="00D55575">
        <w:trPr>
          <w:trHeight w:val="145"/>
        </w:trPr>
        <w:tc>
          <w:tcPr>
            <w:tcW w:w="1726" w:type="pct"/>
          </w:tcPr>
          <w:p w14:paraId="4CFE9336" w14:textId="77777777" w:rsidR="00853570" w:rsidRPr="00174A6D" w:rsidRDefault="00853570" w:rsidP="0025034B">
            <w:pPr>
              <w:autoSpaceDE w:val="0"/>
              <w:autoSpaceDN w:val="0"/>
              <w:adjustRightInd w:val="0"/>
              <w:rPr>
                <w:rFonts w:cs="Calibri"/>
                <w:b/>
                <w:color w:val="000000"/>
                <w:sz w:val="20"/>
                <w:lang w:val="en-US"/>
              </w:rPr>
            </w:pPr>
            <w:r w:rsidRPr="00174A6D">
              <w:rPr>
                <w:rFonts w:cs="Calibri"/>
                <w:b/>
                <w:color w:val="000000"/>
                <w:sz w:val="20"/>
                <w:lang w:val="en-US"/>
              </w:rPr>
              <w:t>All cardiac ablation</w:t>
            </w:r>
          </w:p>
        </w:tc>
        <w:tc>
          <w:tcPr>
            <w:tcW w:w="1415" w:type="pct"/>
          </w:tcPr>
          <w:p w14:paraId="5D626F75" w14:textId="77777777" w:rsidR="00853570" w:rsidRPr="00174A6D" w:rsidRDefault="00853570" w:rsidP="0025034B">
            <w:pPr>
              <w:autoSpaceDE w:val="0"/>
              <w:autoSpaceDN w:val="0"/>
              <w:adjustRightInd w:val="0"/>
              <w:jc w:val="right"/>
              <w:rPr>
                <w:rFonts w:cs="Calibri"/>
                <w:b/>
                <w:color w:val="000000"/>
                <w:sz w:val="20"/>
                <w:lang w:val="en-US"/>
              </w:rPr>
            </w:pPr>
            <w:r w:rsidRPr="00174A6D">
              <w:rPr>
                <w:rFonts w:cs="Calibri"/>
                <w:b/>
                <w:color w:val="000000"/>
                <w:sz w:val="20"/>
                <w:lang w:val="en-US"/>
              </w:rPr>
              <w:t>9,380</w:t>
            </w:r>
          </w:p>
        </w:tc>
        <w:tc>
          <w:tcPr>
            <w:tcW w:w="794" w:type="pct"/>
          </w:tcPr>
          <w:p w14:paraId="245ACA7A" w14:textId="77777777" w:rsidR="00853570" w:rsidRPr="00174A6D" w:rsidRDefault="00853570" w:rsidP="0025034B">
            <w:pPr>
              <w:autoSpaceDE w:val="0"/>
              <w:autoSpaceDN w:val="0"/>
              <w:adjustRightInd w:val="0"/>
              <w:jc w:val="right"/>
              <w:rPr>
                <w:rFonts w:cs="Calibri"/>
                <w:b/>
                <w:color w:val="000000"/>
                <w:sz w:val="20"/>
                <w:lang w:val="en-US"/>
              </w:rPr>
            </w:pPr>
            <w:r w:rsidRPr="00174A6D">
              <w:rPr>
                <w:rFonts w:cs="Calibri"/>
                <w:b/>
                <w:color w:val="000000"/>
                <w:sz w:val="20"/>
                <w:lang w:val="en-US"/>
              </w:rPr>
              <w:t>100.0%</w:t>
            </w:r>
          </w:p>
        </w:tc>
        <w:tc>
          <w:tcPr>
            <w:tcW w:w="1064" w:type="pct"/>
          </w:tcPr>
          <w:p w14:paraId="4A165E2C" w14:textId="77777777" w:rsidR="00853570" w:rsidRPr="0066595B" w:rsidRDefault="00853570" w:rsidP="0025034B">
            <w:pPr>
              <w:autoSpaceDE w:val="0"/>
              <w:autoSpaceDN w:val="0"/>
              <w:adjustRightInd w:val="0"/>
              <w:jc w:val="right"/>
              <w:rPr>
                <w:rFonts w:cs="Calibri"/>
                <w:b/>
                <w:color w:val="000000"/>
                <w:sz w:val="20"/>
                <w:lang w:val="en-US"/>
              </w:rPr>
            </w:pPr>
            <w:r w:rsidRPr="0066595B">
              <w:rPr>
                <w:b/>
                <w:bCs/>
                <w:sz w:val="20"/>
                <w:lang w:val="en-US"/>
              </w:rPr>
              <w:t xml:space="preserve">$39,190 </w:t>
            </w:r>
            <w:r w:rsidRPr="0066595B">
              <w:rPr>
                <w:b/>
                <w:bCs/>
                <w:sz w:val="20"/>
                <w:lang w:val="en-US"/>
              </w:rPr>
              <w:br/>
            </w:r>
            <w:r w:rsidRPr="0066595B">
              <w:rPr>
                <w:b/>
                <w:bCs/>
                <w:i/>
                <w:iCs/>
                <w:color w:val="1F497D" w:themeColor="text2"/>
                <w:sz w:val="20"/>
                <w:lang w:val="en-US"/>
              </w:rPr>
              <w:t>$41,026</w:t>
            </w:r>
          </w:p>
        </w:tc>
      </w:tr>
    </w:tbl>
    <w:p w14:paraId="2337DF80" w14:textId="77777777" w:rsidR="00853570" w:rsidRPr="0066595B" w:rsidRDefault="00853570" w:rsidP="00853570">
      <w:pPr>
        <w:contextualSpacing/>
        <w:jc w:val="both"/>
        <w:rPr>
          <w:rFonts w:ascii="Arial Narrow" w:hAnsi="Arial Narrow"/>
          <w:i/>
          <w:color w:val="1F497D" w:themeColor="text2"/>
          <w:sz w:val="18"/>
          <w:szCs w:val="18"/>
        </w:rPr>
      </w:pPr>
      <w:r>
        <w:rPr>
          <w:rFonts w:ascii="Arial Narrow" w:hAnsi="Arial Narrow"/>
          <w:sz w:val="18"/>
          <w:szCs w:val="18"/>
        </w:rPr>
        <w:t xml:space="preserve">Source: Table 6, p17 of ADAR </w:t>
      </w:r>
      <w:r w:rsidRPr="0066595B">
        <w:rPr>
          <w:rFonts w:ascii="Arial Narrow" w:hAnsi="Arial Narrow"/>
          <w:i/>
          <w:color w:val="1F497D" w:themeColor="text2"/>
          <w:sz w:val="18"/>
          <w:szCs w:val="18"/>
        </w:rPr>
        <w:t>with Commentary amendments (changed some costs and outcome data for AVNRT)</w:t>
      </w:r>
    </w:p>
    <w:p w14:paraId="31860199" w14:textId="77777777" w:rsidR="00853570" w:rsidRDefault="00853570" w:rsidP="00853570">
      <w:pPr>
        <w:contextualSpacing/>
        <w:jc w:val="both"/>
        <w:rPr>
          <w:rFonts w:ascii="Arial Narrow" w:hAnsi="Arial Narrow"/>
          <w:sz w:val="18"/>
          <w:szCs w:val="18"/>
        </w:rPr>
      </w:pPr>
      <w:r>
        <w:rPr>
          <w:rFonts w:ascii="Arial Narrow" w:hAnsi="Arial Narrow"/>
          <w:sz w:val="18"/>
          <w:szCs w:val="18"/>
        </w:rPr>
        <w:t>AF, atrial fibrillation; AFL, atrial flutter; AVNRT, atrioventricular nodal re-entrant tachycardia; ICER, incremental cost-effectiveness ratio; SVT, supraventricular tachycardia</w:t>
      </w:r>
    </w:p>
    <w:p w14:paraId="7CF82B16" w14:textId="77777777" w:rsidR="00853570" w:rsidRDefault="00853570" w:rsidP="00853570">
      <w:pPr>
        <w:pStyle w:val="TableorfigureAbbreviationsandSource"/>
      </w:pPr>
      <w:r>
        <w:t>a Obtained from online MBS services data</w:t>
      </w:r>
    </w:p>
    <w:p w14:paraId="5799E965" w14:textId="77777777" w:rsidR="00853570" w:rsidRPr="00E27448" w:rsidRDefault="00853570" w:rsidP="00853570">
      <w:pPr>
        <w:pStyle w:val="TableorfigureAbbreviationsandSource"/>
      </w:pPr>
      <w:r>
        <w:t>b KOL advice suggests</w:t>
      </w:r>
      <w:r w:rsidRPr="00206857">
        <w:t xml:space="preserve"> </w:t>
      </w:r>
      <w:r>
        <w:t xml:space="preserve">that </w:t>
      </w:r>
      <w:r w:rsidRPr="00206857">
        <w:t xml:space="preserve">of patients </w:t>
      </w:r>
      <w:r>
        <w:t xml:space="preserve">undergoing </w:t>
      </w:r>
      <w:r w:rsidRPr="00206857">
        <w:t xml:space="preserve">cardiac ablation for </w:t>
      </w:r>
      <w:r>
        <w:t>SVT</w:t>
      </w:r>
      <w:r w:rsidRPr="00206857">
        <w:t xml:space="preserve"> (that is not </w:t>
      </w:r>
      <w:r>
        <w:t>AF</w:t>
      </w:r>
      <w:r w:rsidRPr="00206857">
        <w:t>)</w:t>
      </w:r>
      <w:r>
        <w:t xml:space="preserve"> 20% of procedures are for AFL and 50% are for AVNRT.  Therefore, the ICER for SVT is a weighted average of the ICERs for AFL (29%) and AVNRT (71%).</w:t>
      </w:r>
    </w:p>
    <w:p w14:paraId="5E0913A0" w14:textId="2DFF4455" w:rsidR="00853570" w:rsidRDefault="00853570" w:rsidP="00853570">
      <w:r w:rsidRPr="0066595B">
        <w:rPr>
          <w:szCs w:val="24"/>
        </w:rPr>
        <w:lastRenderedPageBreak/>
        <w:t xml:space="preserve">The ADAR considered that </w:t>
      </w:r>
      <w:r>
        <w:t>t</w:t>
      </w:r>
      <w:r w:rsidRPr="0066595B">
        <w:t>he modelled results were most sensitive to the time horizon and discount rate, and (in VT+IHD+ICD patients) the extrapolation of the arrhythmia recurrence probabilities.</w:t>
      </w:r>
    </w:p>
    <w:p w14:paraId="1D42C89A" w14:textId="77777777" w:rsidR="00853570" w:rsidRDefault="00853570" w:rsidP="00956E37">
      <w:pPr>
        <w:spacing w:before="240"/>
      </w:pPr>
      <w:r>
        <w:t>In the pre-E</w:t>
      </w:r>
      <w:r w:rsidR="00D96C00">
        <w:t xml:space="preserve">valuation </w:t>
      </w:r>
      <w:r>
        <w:t>S</w:t>
      </w:r>
      <w:r w:rsidR="00D96C00">
        <w:t>ub-</w:t>
      </w:r>
      <w:r>
        <w:t>C</w:t>
      </w:r>
      <w:r w:rsidR="00D96C00">
        <w:t>ommittee</w:t>
      </w:r>
      <w:r>
        <w:t xml:space="preserve"> response, the applicant considered that the model structure under-estimates the cost-effectiveness of cardiac ablation for patients with VT+IHD+ICD. In particular, electrical storm (which is omitted from the model as a specific event) significantly increases mortality:</w:t>
      </w:r>
    </w:p>
    <w:p w14:paraId="26168FDE" w14:textId="77777777" w:rsidR="00853570" w:rsidRDefault="00853570" w:rsidP="00853570">
      <w:pPr>
        <w:pStyle w:val="ListParagraph"/>
        <w:numPr>
          <w:ilvl w:val="0"/>
          <w:numId w:val="27"/>
        </w:numPr>
      </w:pPr>
      <w:r>
        <w:t>A retrospective study of 106 consecutive patients with dilated cardiomyopathy (DCM) and ICDs (Bansch 2000</w:t>
      </w:r>
      <w:r>
        <w:rPr>
          <w:rStyle w:val="FootnoteReference"/>
        </w:rPr>
        <w:footnoteReference w:id="22"/>
      </w:r>
      <w:r>
        <w:t>) found that among patients with single VT events, 85.4% survived four years after implantation, in contrast to 45.8% of those with ‘clusters’ of VT events (p &lt; 0.004). This represents a significant relative risk of mortality of 1.865 (0.854/0.458) following electrical storm compared with a single VT recurrence</w:t>
      </w:r>
    </w:p>
    <w:p w14:paraId="4A99FBE8" w14:textId="77777777" w:rsidR="00853570" w:rsidRDefault="00853570" w:rsidP="00853570">
      <w:pPr>
        <w:pStyle w:val="ListParagraph"/>
        <w:numPr>
          <w:ilvl w:val="0"/>
          <w:numId w:val="27"/>
        </w:numPr>
      </w:pPr>
      <w:r>
        <w:t>An RCT of ICD implantation vs. conventional medical therapy (Sesselberg 2007) found that amongst the ICD group (n=719) patients who experienced electrical storm had a significantly higher risk of death compared with those with no VT/VF, which persisted after 3 months (hazard ratio [HR] 3.5; 95% CI: 1.5, 4.0; p=0.02).</w:t>
      </w:r>
    </w:p>
    <w:p w14:paraId="1061DF55" w14:textId="77777777" w:rsidR="00853570" w:rsidRDefault="00853570" w:rsidP="0025034B">
      <w:pPr>
        <w:spacing w:before="240"/>
      </w:pPr>
      <w:r>
        <w:t>For this response, these data were applied in the data in the economic model to the proportions of patients in each arm reported by Anderson (2019) to have either VT recurrence (39.4% [165/419] vs. 48.9% [185/378]) or electrical storm (17.5% [53/302] vs. 25.7% [78/303]) at a mean follow-up of 2 years. This reduces the ICER for cardiac ablation vs. no ablation from $61,932 per quality-adjusted life year (QALY) gained to either:</w:t>
      </w:r>
    </w:p>
    <w:p w14:paraId="15C17083" w14:textId="77777777" w:rsidR="00853570" w:rsidRDefault="00853570" w:rsidP="00853570">
      <w:pPr>
        <w:pStyle w:val="ListParagraph"/>
        <w:numPr>
          <w:ilvl w:val="0"/>
          <w:numId w:val="33"/>
        </w:numPr>
      </w:pPr>
      <w:r>
        <w:t>$58,926/QALY, applying the RR reported by Bansch (2000); or</w:t>
      </w:r>
    </w:p>
    <w:p w14:paraId="3653967B" w14:textId="78028046" w:rsidR="00D20736" w:rsidRDefault="00853570" w:rsidP="00D20736">
      <w:pPr>
        <w:pStyle w:val="ListParagraph"/>
        <w:numPr>
          <w:ilvl w:val="0"/>
          <w:numId w:val="33"/>
        </w:numPr>
      </w:pPr>
      <w:r>
        <w:t>$56,617/QALY, applying the HR reported by Sesselburg (2007).</w:t>
      </w:r>
    </w:p>
    <w:p w14:paraId="3FC0ACAC" w14:textId="77777777" w:rsidR="00D20736" w:rsidRDefault="00D20736" w:rsidP="00D20736">
      <w:pPr>
        <w:pStyle w:val="Heading2"/>
      </w:pPr>
      <w:r>
        <w:t>Post E</w:t>
      </w:r>
      <w:r w:rsidR="00D96C00">
        <w:t xml:space="preserve">valuation </w:t>
      </w:r>
      <w:r>
        <w:t>S</w:t>
      </w:r>
      <w:r w:rsidR="00D96C00">
        <w:t>ub-</w:t>
      </w:r>
      <w:r>
        <w:t>C</w:t>
      </w:r>
      <w:r w:rsidR="00D96C00">
        <w:t>ommittee</w:t>
      </w:r>
      <w:r>
        <w:t xml:space="preserve"> Addendum</w:t>
      </w:r>
    </w:p>
    <w:p w14:paraId="55D6A5CE" w14:textId="2979768F" w:rsidR="00D20736" w:rsidRDefault="00D20736" w:rsidP="00956E37">
      <w:pPr>
        <w:spacing w:after="240"/>
      </w:pPr>
      <w:r>
        <w:t>As per E</w:t>
      </w:r>
      <w:r w:rsidR="00D96C00">
        <w:t xml:space="preserve">valuation </w:t>
      </w:r>
      <w:r>
        <w:t>S</w:t>
      </w:r>
      <w:r w:rsidR="00D96C00">
        <w:t>ub-</w:t>
      </w:r>
      <w:r>
        <w:t>C</w:t>
      </w:r>
      <w:r w:rsidR="00D96C00">
        <w:t>ommittee</w:t>
      </w:r>
      <w:r>
        <w:t xml:space="preserve"> advice, the Commentary presented</w:t>
      </w:r>
      <w:r w:rsidR="006E517B">
        <w:t xml:space="preserve"> the ICERs separately for each subpopulation and reporting the ICERs for 2,5 and 10 years (</w:t>
      </w:r>
      <w:r w:rsidR="00956E37">
        <w:fldChar w:fldCharType="begin"/>
      </w:r>
      <w:r w:rsidR="00956E37">
        <w:instrText xml:space="preserve"> REF _Ref49782450 \h </w:instrText>
      </w:r>
      <w:r w:rsidR="00956E37">
        <w:fldChar w:fldCharType="separate"/>
      </w:r>
      <w:r w:rsidR="00956E37">
        <w:t xml:space="preserve">Table </w:t>
      </w:r>
      <w:r w:rsidR="00956E37">
        <w:rPr>
          <w:noProof/>
        </w:rPr>
        <w:t>10</w:t>
      </w:r>
      <w:r w:rsidR="00956E37">
        <w:fldChar w:fldCharType="end"/>
      </w:r>
      <w:r w:rsidR="006E517B">
        <w:t>).</w:t>
      </w:r>
    </w:p>
    <w:p w14:paraId="26A3B644" w14:textId="0974D40E" w:rsidR="00D20736" w:rsidRPr="00D55575" w:rsidRDefault="00956E37" w:rsidP="00D55575">
      <w:pPr>
        <w:rPr>
          <w:rFonts w:ascii="Arial Narrow" w:hAnsi="Arial Narrow"/>
          <w:b/>
          <w:sz w:val="20"/>
        </w:rPr>
      </w:pPr>
      <w:bookmarkStart w:id="23" w:name="_Ref49782450"/>
      <w:r w:rsidRPr="00D55575">
        <w:rPr>
          <w:rFonts w:ascii="Arial Narrow" w:hAnsi="Arial Narrow"/>
          <w:b/>
          <w:sz w:val="20"/>
        </w:rPr>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10</w:t>
      </w:r>
      <w:r w:rsidR="00156907" w:rsidRPr="00D55575">
        <w:rPr>
          <w:rFonts w:ascii="Arial Narrow" w:hAnsi="Arial Narrow"/>
          <w:b/>
          <w:sz w:val="20"/>
        </w:rPr>
        <w:fldChar w:fldCharType="end"/>
      </w:r>
      <w:bookmarkEnd w:id="23"/>
      <w:r w:rsidR="00D20736" w:rsidRPr="00D55575">
        <w:rPr>
          <w:rFonts w:ascii="Arial Narrow" w:hAnsi="Arial Narrow"/>
          <w:b/>
          <w:sz w:val="20"/>
        </w:rPr>
        <w:tab/>
        <w:t>Incremental cost-effectiveness ratios for non-AF cardiac catheter ablation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cremental cost-effectiveness ratios for non-AF cardiac catheter ablation"/>
      </w:tblPr>
      <w:tblGrid>
        <w:gridCol w:w="2261"/>
        <w:gridCol w:w="1908"/>
        <w:gridCol w:w="1940"/>
        <w:gridCol w:w="1497"/>
        <w:gridCol w:w="1410"/>
      </w:tblGrid>
      <w:tr w:rsidR="00D20736" w:rsidRPr="00A1052E" w14:paraId="05736857" w14:textId="77777777" w:rsidTr="00662941">
        <w:trPr>
          <w:trHeight w:val="320"/>
        </w:trPr>
        <w:tc>
          <w:tcPr>
            <w:tcW w:w="1254" w:type="pct"/>
            <w:vMerge w:val="restart"/>
            <w:shd w:val="clear" w:color="auto" w:fill="auto"/>
            <w:noWrap/>
          </w:tcPr>
          <w:p w14:paraId="71940DCA" w14:textId="77777777" w:rsidR="00D20736" w:rsidRPr="00B10957" w:rsidRDefault="00D20736" w:rsidP="00662941">
            <w:pPr>
              <w:spacing w:before="40" w:after="40"/>
              <w:rPr>
                <w:rFonts w:ascii="Arial Narrow" w:hAnsi="Arial Narrow"/>
                <w:sz w:val="20"/>
                <w:lang w:eastAsia="en-GB"/>
              </w:rPr>
            </w:pPr>
          </w:p>
        </w:tc>
        <w:tc>
          <w:tcPr>
            <w:tcW w:w="2134" w:type="pct"/>
            <w:gridSpan w:val="2"/>
          </w:tcPr>
          <w:p w14:paraId="57E1FC56" w14:textId="77777777" w:rsidR="00D20736" w:rsidRPr="00E12BEE" w:rsidRDefault="00D20736" w:rsidP="00662941">
            <w:pPr>
              <w:spacing w:before="40" w:after="40"/>
              <w:jc w:val="center"/>
              <w:rPr>
                <w:rFonts w:ascii="Arial Narrow" w:hAnsi="Arial Narrow"/>
                <w:b/>
                <w:bCs/>
                <w:color w:val="000000"/>
                <w:sz w:val="20"/>
                <w:lang w:eastAsia="en-GB"/>
              </w:rPr>
            </w:pPr>
            <w:r w:rsidRPr="00E12BEE">
              <w:rPr>
                <w:rFonts w:ascii="Arial Narrow" w:hAnsi="Arial Narrow"/>
                <w:b/>
                <w:bCs/>
                <w:color w:val="000000"/>
                <w:sz w:val="20"/>
                <w:lang w:eastAsia="en-GB"/>
              </w:rPr>
              <w:t>VA+IHD+ICD</w:t>
            </w:r>
          </w:p>
        </w:tc>
        <w:tc>
          <w:tcPr>
            <w:tcW w:w="830" w:type="pct"/>
            <w:vMerge w:val="restart"/>
            <w:shd w:val="clear" w:color="auto" w:fill="auto"/>
            <w:noWrap/>
          </w:tcPr>
          <w:p w14:paraId="139A561F" w14:textId="77777777" w:rsidR="00D20736" w:rsidRPr="00B10957" w:rsidRDefault="00D20736" w:rsidP="00662941">
            <w:pPr>
              <w:spacing w:before="40" w:after="40"/>
              <w:jc w:val="center"/>
              <w:rPr>
                <w:rFonts w:ascii="Arial Narrow" w:hAnsi="Arial Narrow"/>
                <w:b/>
                <w:bCs/>
                <w:color w:val="000000"/>
                <w:sz w:val="20"/>
                <w:lang w:eastAsia="en-GB"/>
              </w:rPr>
            </w:pPr>
            <w:r w:rsidRPr="00B10957">
              <w:rPr>
                <w:rFonts w:ascii="Arial Narrow" w:hAnsi="Arial Narrow"/>
                <w:b/>
                <w:bCs/>
                <w:color w:val="000000"/>
                <w:sz w:val="20"/>
                <w:lang w:eastAsia="en-GB"/>
              </w:rPr>
              <w:t>AFL</w:t>
            </w:r>
            <w:r>
              <w:rPr>
                <w:rFonts w:ascii="Arial Narrow" w:hAnsi="Arial Narrow"/>
                <w:b/>
                <w:bCs/>
                <w:color w:val="000000"/>
                <w:sz w:val="20"/>
                <w:vertAlign w:val="superscript"/>
                <w:lang w:eastAsia="en-GB"/>
              </w:rPr>
              <w:t>^</w:t>
            </w:r>
          </w:p>
        </w:tc>
        <w:tc>
          <w:tcPr>
            <w:tcW w:w="782" w:type="pct"/>
            <w:vMerge w:val="restart"/>
            <w:shd w:val="clear" w:color="auto" w:fill="auto"/>
            <w:noWrap/>
          </w:tcPr>
          <w:p w14:paraId="22E6A5CD" w14:textId="77777777" w:rsidR="00D20736" w:rsidRPr="00B10957" w:rsidRDefault="00D20736" w:rsidP="00662941">
            <w:pPr>
              <w:spacing w:before="40" w:after="40"/>
              <w:jc w:val="center"/>
              <w:rPr>
                <w:rFonts w:ascii="Arial Narrow" w:hAnsi="Arial Narrow"/>
                <w:b/>
                <w:bCs/>
                <w:color w:val="000000"/>
                <w:sz w:val="20"/>
                <w:lang w:eastAsia="en-GB"/>
              </w:rPr>
            </w:pPr>
            <w:r w:rsidRPr="00B10957">
              <w:rPr>
                <w:rFonts w:ascii="Arial Narrow" w:hAnsi="Arial Narrow"/>
                <w:b/>
                <w:bCs/>
                <w:color w:val="000000"/>
                <w:sz w:val="20"/>
                <w:lang w:eastAsia="en-GB"/>
              </w:rPr>
              <w:t>AVNRT</w:t>
            </w:r>
            <w:r>
              <w:rPr>
                <w:rFonts w:ascii="Arial Narrow" w:hAnsi="Arial Narrow"/>
                <w:b/>
                <w:bCs/>
                <w:color w:val="000000"/>
                <w:sz w:val="20"/>
                <w:vertAlign w:val="superscript"/>
                <w:lang w:eastAsia="en-GB"/>
              </w:rPr>
              <w:t>^</w:t>
            </w:r>
          </w:p>
        </w:tc>
      </w:tr>
      <w:tr w:rsidR="00D20736" w:rsidRPr="00A1052E" w14:paraId="722DA373" w14:textId="77777777" w:rsidTr="00662941">
        <w:trPr>
          <w:trHeight w:val="320"/>
        </w:trPr>
        <w:tc>
          <w:tcPr>
            <w:tcW w:w="1254" w:type="pct"/>
            <w:vMerge/>
            <w:shd w:val="clear" w:color="auto" w:fill="auto"/>
            <w:noWrap/>
            <w:vAlign w:val="bottom"/>
            <w:hideMark/>
          </w:tcPr>
          <w:p w14:paraId="3776944B" w14:textId="77777777" w:rsidR="00D20736" w:rsidRPr="00B10957" w:rsidRDefault="00D20736" w:rsidP="00662941">
            <w:pPr>
              <w:spacing w:before="40" w:after="40"/>
              <w:jc w:val="center"/>
              <w:rPr>
                <w:rFonts w:ascii="Arial Narrow" w:hAnsi="Arial Narrow"/>
                <w:sz w:val="20"/>
                <w:lang w:eastAsia="en-GB"/>
              </w:rPr>
            </w:pPr>
          </w:p>
        </w:tc>
        <w:tc>
          <w:tcPr>
            <w:tcW w:w="1058" w:type="pct"/>
          </w:tcPr>
          <w:p w14:paraId="5B23CE0C" w14:textId="77777777" w:rsidR="00D20736" w:rsidRPr="00B10957" w:rsidRDefault="00D20736" w:rsidP="00662941">
            <w:pPr>
              <w:spacing w:before="40" w:after="40"/>
              <w:jc w:val="center"/>
              <w:rPr>
                <w:rFonts w:ascii="Arial Narrow" w:hAnsi="Arial Narrow"/>
                <w:b/>
                <w:bCs/>
                <w:color w:val="000000"/>
                <w:sz w:val="20"/>
                <w:lang w:eastAsia="en-GB"/>
              </w:rPr>
            </w:pPr>
            <w:r>
              <w:rPr>
                <w:rFonts w:ascii="Arial Narrow" w:hAnsi="Arial Narrow"/>
                <w:b/>
                <w:bCs/>
                <w:color w:val="000000"/>
                <w:sz w:val="20"/>
                <w:lang w:eastAsia="en-GB"/>
              </w:rPr>
              <w:t xml:space="preserve">Appropriate </w:t>
            </w:r>
            <w:r w:rsidRPr="00E12BEE">
              <w:rPr>
                <w:rFonts w:ascii="Arial Narrow" w:hAnsi="Arial Narrow"/>
                <w:b/>
                <w:bCs/>
                <w:color w:val="000000"/>
                <w:sz w:val="20"/>
                <w:lang w:eastAsia="en-GB"/>
              </w:rPr>
              <w:t>ICD therapies</w:t>
            </w:r>
            <w:r w:rsidRPr="00D14481">
              <w:rPr>
                <w:rFonts w:ascii="Arial Narrow" w:hAnsi="Arial Narrow"/>
                <w:color w:val="000000"/>
                <w:sz w:val="20"/>
                <w:vertAlign w:val="superscript"/>
                <w:lang w:eastAsia="en-GB"/>
              </w:rPr>
              <w:t>#</w:t>
            </w:r>
          </w:p>
        </w:tc>
        <w:tc>
          <w:tcPr>
            <w:tcW w:w="1076" w:type="pct"/>
          </w:tcPr>
          <w:p w14:paraId="07A4832C" w14:textId="77777777" w:rsidR="00D20736" w:rsidRPr="00B10957" w:rsidRDefault="00D20736" w:rsidP="00662941">
            <w:pPr>
              <w:spacing w:before="40" w:after="40"/>
              <w:jc w:val="center"/>
              <w:rPr>
                <w:rFonts w:ascii="Arial Narrow" w:hAnsi="Arial Narrow"/>
                <w:b/>
                <w:bCs/>
                <w:color w:val="000000"/>
                <w:sz w:val="20"/>
                <w:lang w:eastAsia="en-GB"/>
              </w:rPr>
            </w:pPr>
            <w:r>
              <w:rPr>
                <w:rFonts w:ascii="Arial Narrow" w:hAnsi="Arial Narrow"/>
                <w:b/>
                <w:bCs/>
                <w:color w:val="000000"/>
                <w:sz w:val="20"/>
                <w:lang w:eastAsia="en-GB"/>
              </w:rPr>
              <w:t xml:space="preserve">Appropriate </w:t>
            </w:r>
            <w:r w:rsidRPr="00E12BEE">
              <w:rPr>
                <w:rFonts w:ascii="Arial Narrow" w:hAnsi="Arial Narrow"/>
                <w:b/>
                <w:bCs/>
                <w:color w:val="000000"/>
                <w:sz w:val="20"/>
                <w:lang w:eastAsia="en-GB"/>
              </w:rPr>
              <w:t xml:space="preserve">ICD </w:t>
            </w:r>
            <w:r>
              <w:rPr>
                <w:rFonts w:ascii="Arial Narrow" w:hAnsi="Arial Narrow"/>
                <w:b/>
                <w:bCs/>
                <w:color w:val="000000"/>
                <w:sz w:val="20"/>
                <w:lang w:eastAsia="en-GB"/>
              </w:rPr>
              <w:t>shocks</w:t>
            </w:r>
            <w:r w:rsidRPr="00D14481">
              <w:rPr>
                <w:rFonts w:ascii="Arial Narrow" w:hAnsi="Arial Narrow"/>
                <w:color w:val="000000"/>
                <w:sz w:val="20"/>
                <w:vertAlign w:val="superscript"/>
                <w:lang w:eastAsia="en-GB"/>
              </w:rPr>
              <w:t>#</w:t>
            </w:r>
          </w:p>
        </w:tc>
        <w:tc>
          <w:tcPr>
            <w:tcW w:w="830" w:type="pct"/>
            <w:vMerge/>
            <w:shd w:val="clear" w:color="auto" w:fill="auto"/>
            <w:noWrap/>
            <w:vAlign w:val="bottom"/>
            <w:hideMark/>
          </w:tcPr>
          <w:p w14:paraId="4D48D62C" w14:textId="77777777" w:rsidR="00D20736" w:rsidRPr="00E12BEE" w:rsidRDefault="00D20736" w:rsidP="00662941">
            <w:pPr>
              <w:spacing w:before="40" w:after="40"/>
              <w:jc w:val="center"/>
              <w:rPr>
                <w:rFonts w:ascii="Arial Narrow" w:hAnsi="Arial Narrow"/>
                <w:b/>
                <w:bCs/>
                <w:color w:val="000000"/>
                <w:sz w:val="20"/>
                <w:vertAlign w:val="superscript"/>
                <w:lang w:eastAsia="en-GB"/>
              </w:rPr>
            </w:pPr>
          </w:p>
        </w:tc>
        <w:tc>
          <w:tcPr>
            <w:tcW w:w="782" w:type="pct"/>
            <w:vMerge/>
            <w:shd w:val="clear" w:color="auto" w:fill="auto"/>
            <w:noWrap/>
            <w:vAlign w:val="bottom"/>
            <w:hideMark/>
          </w:tcPr>
          <w:p w14:paraId="7E4D2FBF" w14:textId="77777777" w:rsidR="00D20736" w:rsidRPr="00E12BEE" w:rsidRDefault="00D20736" w:rsidP="00662941">
            <w:pPr>
              <w:spacing w:before="40" w:after="40"/>
              <w:jc w:val="center"/>
              <w:rPr>
                <w:rFonts w:ascii="Arial Narrow" w:hAnsi="Arial Narrow"/>
                <w:b/>
                <w:bCs/>
                <w:color w:val="000000"/>
                <w:sz w:val="20"/>
                <w:vertAlign w:val="superscript"/>
                <w:lang w:eastAsia="en-GB"/>
              </w:rPr>
            </w:pPr>
          </w:p>
        </w:tc>
      </w:tr>
      <w:tr w:rsidR="00D20736" w:rsidRPr="00A1052E" w14:paraId="407EA411" w14:textId="77777777" w:rsidTr="00662941">
        <w:trPr>
          <w:trHeight w:val="320"/>
        </w:trPr>
        <w:tc>
          <w:tcPr>
            <w:tcW w:w="1254" w:type="pct"/>
            <w:shd w:val="clear" w:color="auto" w:fill="auto"/>
            <w:noWrap/>
            <w:vAlign w:val="bottom"/>
            <w:hideMark/>
          </w:tcPr>
          <w:p w14:paraId="5BE476BA" w14:textId="77777777" w:rsidR="00D20736" w:rsidRPr="00B10957" w:rsidRDefault="00D20736" w:rsidP="00662941">
            <w:pPr>
              <w:spacing w:before="40" w:after="40"/>
              <w:rPr>
                <w:rFonts w:ascii="Arial Narrow" w:hAnsi="Arial Narrow"/>
                <w:b/>
                <w:bCs/>
                <w:color w:val="000000"/>
                <w:sz w:val="20"/>
                <w:lang w:eastAsia="en-GB"/>
              </w:rPr>
            </w:pPr>
            <w:r w:rsidRPr="00B10957">
              <w:rPr>
                <w:rFonts w:ascii="Arial Narrow" w:hAnsi="Arial Narrow"/>
                <w:b/>
                <w:bCs/>
                <w:color w:val="000000"/>
                <w:sz w:val="20"/>
                <w:lang w:eastAsia="en-GB"/>
              </w:rPr>
              <w:t>2-year time horizon</w:t>
            </w:r>
          </w:p>
        </w:tc>
        <w:tc>
          <w:tcPr>
            <w:tcW w:w="1058" w:type="pct"/>
          </w:tcPr>
          <w:p w14:paraId="66AB9276" w14:textId="77777777" w:rsidR="00D20736" w:rsidRPr="00B10957" w:rsidRDefault="00D20736" w:rsidP="00662941">
            <w:pPr>
              <w:spacing w:before="40" w:after="40"/>
              <w:jc w:val="center"/>
              <w:rPr>
                <w:rFonts w:ascii="Arial Narrow" w:hAnsi="Arial Narrow"/>
                <w:color w:val="000000"/>
                <w:sz w:val="20"/>
                <w:lang w:eastAsia="en-GB"/>
              </w:rPr>
            </w:pPr>
            <w:r>
              <w:rPr>
                <w:rFonts w:ascii="Arial Narrow" w:hAnsi="Arial Narrow"/>
                <w:color w:val="000000"/>
                <w:sz w:val="20"/>
                <w:lang w:eastAsia="en-GB"/>
              </w:rPr>
              <w:t>$308,566</w:t>
            </w:r>
          </w:p>
        </w:tc>
        <w:tc>
          <w:tcPr>
            <w:tcW w:w="1076" w:type="pct"/>
          </w:tcPr>
          <w:p w14:paraId="5F1EB15A" w14:textId="77777777" w:rsidR="00D20736" w:rsidRPr="00B10957" w:rsidRDefault="00D20736" w:rsidP="00662941">
            <w:pPr>
              <w:spacing w:before="40" w:after="40"/>
              <w:jc w:val="center"/>
              <w:rPr>
                <w:rFonts w:ascii="Arial Narrow" w:hAnsi="Arial Narrow"/>
                <w:color w:val="000000"/>
                <w:sz w:val="20"/>
                <w:lang w:eastAsia="en-GB"/>
              </w:rPr>
            </w:pPr>
            <w:r w:rsidRPr="005A497F">
              <w:rPr>
                <w:rFonts w:ascii="Arial Narrow" w:hAnsi="Arial Narrow"/>
                <w:color w:val="000000"/>
                <w:sz w:val="20"/>
                <w:lang w:eastAsia="en-GB"/>
              </w:rPr>
              <w:t>$34</w:t>
            </w:r>
            <w:r>
              <w:rPr>
                <w:rFonts w:ascii="Arial Narrow" w:hAnsi="Arial Narrow"/>
                <w:color w:val="000000"/>
                <w:sz w:val="20"/>
                <w:lang w:eastAsia="en-GB"/>
              </w:rPr>
              <w:t>7,802</w:t>
            </w:r>
          </w:p>
        </w:tc>
        <w:tc>
          <w:tcPr>
            <w:tcW w:w="830" w:type="pct"/>
            <w:shd w:val="clear" w:color="auto" w:fill="auto"/>
            <w:noWrap/>
            <w:vAlign w:val="bottom"/>
            <w:hideMark/>
          </w:tcPr>
          <w:p w14:paraId="3786A688" w14:textId="77777777" w:rsidR="00D20736" w:rsidRPr="00B10957" w:rsidRDefault="00D20736" w:rsidP="00662941">
            <w:pPr>
              <w:spacing w:before="40" w:after="40"/>
              <w:jc w:val="center"/>
              <w:rPr>
                <w:rFonts w:ascii="Arial Narrow" w:hAnsi="Arial Narrow"/>
                <w:color w:val="000000"/>
                <w:sz w:val="20"/>
                <w:lang w:eastAsia="en-GB"/>
              </w:rPr>
            </w:pPr>
            <w:r w:rsidRPr="00B10957">
              <w:rPr>
                <w:rFonts w:ascii="Arial Narrow" w:hAnsi="Arial Narrow"/>
                <w:color w:val="000000"/>
                <w:sz w:val="20"/>
                <w:lang w:eastAsia="en-GB"/>
              </w:rPr>
              <w:t>$538,178</w:t>
            </w:r>
          </w:p>
        </w:tc>
        <w:tc>
          <w:tcPr>
            <w:tcW w:w="782" w:type="pct"/>
            <w:shd w:val="clear" w:color="auto" w:fill="auto"/>
            <w:noWrap/>
            <w:vAlign w:val="bottom"/>
            <w:hideMark/>
          </w:tcPr>
          <w:p w14:paraId="43AF8B45" w14:textId="77777777" w:rsidR="00D20736" w:rsidRPr="00B10957" w:rsidRDefault="00D20736" w:rsidP="00662941">
            <w:pPr>
              <w:spacing w:before="40" w:after="40"/>
              <w:jc w:val="center"/>
              <w:rPr>
                <w:rFonts w:ascii="Arial Narrow" w:hAnsi="Arial Narrow"/>
                <w:color w:val="000000"/>
                <w:sz w:val="20"/>
                <w:lang w:eastAsia="en-GB"/>
              </w:rPr>
            </w:pPr>
            <w:r w:rsidRPr="00B10957">
              <w:rPr>
                <w:rFonts w:ascii="Arial Narrow" w:hAnsi="Arial Narrow"/>
                <w:color w:val="000000"/>
                <w:sz w:val="20"/>
                <w:lang w:eastAsia="en-GB"/>
              </w:rPr>
              <w:t>$151,890</w:t>
            </w:r>
          </w:p>
        </w:tc>
      </w:tr>
      <w:tr w:rsidR="00D20736" w:rsidRPr="00A1052E" w14:paraId="33D81D80" w14:textId="77777777" w:rsidTr="00662941">
        <w:trPr>
          <w:trHeight w:val="320"/>
        </w:trPr>
        <w:tc>
          <w:tcPr>
            <w:tcW w:w="1254" w:type="pct"/>
            <w:shd w:val="clear" w:color="auto" w:fill="auto"/>
            <w:noWrap/>
            <w:vAlign w:val="bottom"/>
            <w:hideMark/>
          </w:tcPr>
          <w:p w14:paraId="5568FD63" w14:textId="77777777" w:rsidR="00D20736" w:rsidRPr="00B10957" w:rsidRDefault="00D20736" w:rsidP="00662941">
            <w:pPr>
              <w:spacing w:before="40" w:after="40"/>
              <w:rPr>
                <w:rFonts w:ascii="Arial Narrow" w:hAnsi="Arial Narrow"/>
                <w:b/>
                <w:bCs/>
                <w:color w:val="000000"/>
                <w:sz w:val="20"/>
                <w:lang w:eastAsia="en-GB"/>
              </w:rPr>
            </w:pPr>
            <w:r w:rsidRPr="00B10957">
              <w:rPr>
                <w:rFonts w:ascii="Arial Narrow" w:hAnsi="Arial Narrow"/>
                <w:b/>
                <w:bCs/>
                <w:color w:val="000000"/>
                <w:sz w:val="20"/>
                <w:lang w:eastAsia="en-GB"/>
              </w:rPr>
              <w:t>5-year time horizon</w:t>
            </w:r>
          </w:p>
        </w:tc>
        <w:tc>
          <w:tcPr>
            <w:tcW w:w="1058" w:type="pct"/>
          </w:tcPr>
          <w:p w14:paraId="37CD974E" w14:textId="77777777" w:rsidR="00D20736" w:rsidRPr="00B10957" w:rsidRDefault="00D20736" w:rsidP="00662941">
            <w:pPr>
              <w:spacing w:before="40" w:after="40"/>
              <w:jc w:val="center"/>
              <w:rPr>
                <w:rFonts w:ascii="Arial Narrow" w:hAnsi="Arial Narrow"/>
                <w:color w:val="000000"/>
                <w:sz w:val="20"/>
                <w:lang w:eastAsia="en-GB"/>
              </w:rPr>
            </w:pPr>
            <w:r>
              <w:rPr>
                <w:rFonts w:ascii="Arial Narrow" w:hAnsi="Arial Narrow"/>
                <w:color w:val="000000"/>
                <w:sz w:val="20"/>
                <w:lang w:eastAsia="en-GB"/>
              </w:rPr>
              <w:t>$101,748</w:t>
            </w:r>
          </w:p>
        </w:tc>
        <w:tc>
          <w:tcPr>
            <w:tcW w:w="1076" w:type="pct"/>
          </w:tcPr>
          <w:p w14:paraId="65326B18" w14:textId="77777777" w:rsidR="00D20736" w:rsidRPr="00B10957" w:rsidRDefault="00D20736" w:rsidP="00662941">
            <w:pPr>
              <w:spacing w:before="40" w:after="40"/>
              <w:jc w:val="center"/>
              <w:rPr>
                <w:rFonts w:ascii="Arial Narrow" w:hAnsi="Arial Narrow"/>
                <w:color w:val="000000"/>
                <w:sz w:val="20"/>
                <w:lang w:eastAsia="en-GB"/>
              </w:rPr>
            </w:pPr>
            <w:r w:rsidRPr="005A497F">
              <w:rPr>
                <w:rFonts w:ascii="Arial Narrow" w:hAnsi="Arial Narrow"/>
                <w:color w:val="000000"/>
                <w:sz w:val="20"/>
                <w:lang w:eastAsia="en-GB"/>
              </w:rPr>
              <w:t>$118,</w:t>
            </w:r>
            <w:r>
              <w:rPr>
                <w:rFonts w:ascii="Arial Narrow" w:hAnsi="Arial Narrow"/>
                <w:color w:val="000000"/>
                <w:sz w:val="20"/>
                <w:lang w:eastAsia="en-GB"/>
              </w:rPr>
              <w:t>048</w:t>
            </w:r>
          </w:p>
        </w:tc>
        <w:tc>
          <w:tcPr>
            <w:tcW w:w="830" w:type="pct"/>
            <w:shd w:val="clear" w:color="auto" w:fill="auto"/>
            <w:noWrap/>
            <w:vAlign w:val="bottom"/>
            <w:hideMark/>
          </w:tcPr>
          <w:p w14:paraId="5A4356CD" w14:textId="77777777" w:rsidR="00D20736" w:rsidRPr="00B10957" w:rsidRDefault="00D20736" w:rsidP="00662941">
            <w:pPr>
              <w:spacing w:before="40" w:after="40"/>
              <w:jc w:val="center"/>
              <w:rPr>
                <w:rFonts w:ascii="Arial Narrow" w:hAnsi="Arial Narrow"/>
                <w:color w:val="000000"/>
                <w:sz w:val="20"/>
                <w:lang w:eastAsia="en-GB"/>
              </w:rPr>
            </w:pPr>
            <w:r w:rsidRPr="00B10957">
              <w:rPr>
                <w:rFonts w:ascii="Arial Narrow" w:hAnsi="Arial Narrow"/>
                <w:color w:val="000000"/>
                <w:sz w:val="20"/>
                <w:lang w:eastAsia="en-GB"/>
              </w:rPr>
              <w:t>$120,820</w:t>
            </w:r>
          </w:p>
        </w:tc>
        <w:tc>
          <w:tcPr>
            <w:tcW w:w="782" w:type="pct"/>
            <w:shd w:val="clear" w:color="auto" w:fill="auto"/>
            <w:noWrap/>
            <w:vAlign w:val="bottom"/>
            <w:hideMark/>
          </w:tcPr>
          <w:p w14:paraId="6465E391" w14:textId="77777777" w:rsidR="00D20736" w:rsidRPr="00B10957" w:rsidRDefault="00D20736" w:rsidP="00662941">
            <w:pPr>
              <w:spacing w:before="40" w:after="40"/>
              <w:jc w:val="center"/>
              <w:rPr>
                <w:rFonts w:ascii="Arial Narrow" w:hAnsi="Arial Narrow"/>
                <w:color w:val="000000"/>
                <w:sz w:val="20"/>
                <w:lang w:eastAsia="en-GB"/>
              </w:rPr>
            </w:pPr>
            <w:r w:rsidRPr="00B10957">
              <w:rPr>
                <w:rFonts w:ascii="Arial Narrow" w:hAnsi="Arial Narrow"/>
                <w:color w:val="000000"/>
                <w:sz w:val="20"/>
                <w:lang w:eastAsia="en-GB"/>
              </w:rPr>
              <w:t>$37,942</w:t>
            </w:r>
          </w:p>
        </w:tc>
      </w:tr>
      <w:tr w:rsidR="00D20736" w:rsidRPr="00A1052E" w14:paraId="544F8D34" w14:textId="77777777" w:rsidTr="00662941">
        <w:trPr>
          <w:trHeight w:val="320"/>
        </w:trPr>
        <w:tc>
          <w:tcPr>
            <w:tcW w:w="1254" w:type="pct"/>
            <w:shd w:val="clear" w:color="auto" w:fill="auto"/>
            <w:noWrap/>
            <w:vAlign w:val="bottom"/>
            <w:hideMark/>
          </w:tcPr>
          <w:p w14:paraId="04F07997" w14:textId="77777777" w:rsidR="00D20736" w:rsidRPr="00B10957" w:rsidRDefault="00D20736" w:rsidP="00662941">
            <w:pPr>
              <w:spacing w:before="40" w:after="40"/>
              <w:rPr>
                <w:rFonts w:ascii="Arial Narrow" w:hAnsi="Arial Narrow"/>
                <w:b/>
                <w:bCs/>
                <w:color w:val="000000"/>
                <w:sz w:val="20"/>
                <w:lang w:eastAsia="en-GB"/>
              </w:rPr>
            </w:pPr>
            <w:r w:rsidRPr="00B10957">
              <w:rPr>
                <w:rFonts w:ascii="Arial Narrow" w:hAnsi="Arial Narrow"/>
                <w:b/>
                <w:bCs/>
                <w:color w:val="000000"/>
                <w:sz w:val="20"/>
                <w:lang w:eastAsia="en-GB"/>
              </w:rPr>
              <w:t>10-year time horizon</w:t>
            </w:r>
          </w:p>
        </w:tc>
        <w:tc>
          <w:tcPr>
            <w:tcW w:w="1058" w:type="pct"/>
          </w:tcPr>
          <w:p w14:paraId="18755147" w14:textId="77777777" w:rsidR="00D20736" w:rsidRPr="005A497F" w:rsidRDefault="00D20736" w:rsidP="00662941">
            <w:pPr>
              <w:spacing w:before="40" w:after="40"/>
              <w:jc w:val="center"/>
              <w:rPr>
                <w:rFonts w:ascii="Arial Narrow" w:hAnsi="Arial Narrow"/>
                <w:color w:val="000000"/>
                <w:sz w:val="20"/>
                <w:lang w:eastAsia="en-GB"/>
              </w:rPr>
            </w:pPr>
            <w:r>
              <w:rPr>
                <w:rFonts w:ascii="Arial Narrow" w:hAnsi="Arial Narrow"/>
                <w:color w:val="000000"/>
                <w:sz w:val="20"/>
                <w:lang w:eastAsia="en-GB"/>
              </w:rPr>
              <w:t>$46,638</w:t>
            </w:r>
          </w:p>
        </w:tc>
        <w:tc>
          <w:tcPr>
            <w:tcW w:w="1076" w:type="pct"/>
          </w:tcPr>
          <w:p w14:paraId="67BBC5D7" w14:textId="77777777" w:rsidR="00D20736" w:rsidRPr="00B10957" w:rsidRDefault="00D20736" w:rsidP="00662941">
            <w:pPr>
              <w:spacing w:before="40" w:after="40"/>
              <w:jc w:val="center"/>
              <w:rPr>
                <w:rFonts w:ascii="Arial Narrow" w:hAnsi="Arial Narrow"/>
                <w:color w:val="000000"/>
                <w:sz w:val="20"/>
                <w:lang w:eastAsia="en-GB"/>
              </w:rPr>
            </w:pPr>
            <w:r w:rsidRPr="005A497F">
              <w:rPr>
                <w:rFonts w:ascii="Arial Narrow" w:hAnsi="Arial Narrow"/>
                <w:color w:val="000000"/>
                <w:sz w:val="20"/>
                <w:lang w:eastAsia="en-GB"/>
              </w:rPr>
              <w:t>$52,</w:t>
            </w:r>
            <w:r>
              <w:rPr>
                <w:rFonts w:ascii="Arial Narrow" w:hAnsi="Arial Narrow"/>
                <w:color w:val="000000"/>
                <w:sz w:val="20"/>
                <w:lang w:eastAsia="en-GB"/>
              </w:rPr>
              <w:t>810</w:t>
            </w:r>
          </w:p>
        </w:tc>
        <w:tc>
          <w:tcPr>
            <w:tcW w:w="830" w:type="pct"/>
            <w:shd w:val="clear" w:color="auto" w:fill="auto"/>
            <w:noWrap/>
            <w:vAlign w:val="bottom"/>
            <w:hideMark/>
          </w:tcPr>
          <w:p w14:paraId="29A1BA06" w14:textId="77777777" w:rsidR="00D20736" w:rsidRPr="00B10957" w:rsidRDefault="00D20736" w:rsidP="00662941">
            <w:pPr>
              <w:spacing w:before="40" w:after="40"/>
              <w:jc w:val="center"/>
              <w:rPr>
                <w:rFonts w:ascii="Arial Narrow" w:hAnsi="Arial Narrow"/>
                <w:color w:val="000000"/>
                <w:sz w:val="20"/>
                <w:lang w:eastAsia="en-GB"/>
              </w:rPr>
            </w:pPr>
            <w:r w:rsidRPr="00B10957">
              <w:rPr>
                <w:rFonts w:ascii="Arial Narrow" w:hAnsi="Arial Narrow"/>
                <w:color w:val="000000"/>
                <w:sz w:val="20"/>
                <w:lang w:eastAsia="en-GB"/>
              </w:rPr>
              <w:t>$39,077</w:t>
            </w:r>
          </w:p>
        </w:tc>
        <w:tc>
          <w:tcPr>
            <w:tcW w:w="782" w:type="pct"/>
            <w:shd w:val="clear" w:color="auto" w:fill="auto"/>
            <w:noWrap/>
            <w:vAlign w:val="bottom"/>
            <w:hideMark/>
          </w:tcPr>
          <w:p w14:paraId="3C6A47C1" w14:textId="77777777" w:rsidR="00D20736" w:rsidRPr="00B10957" w:rsidRDefault="00D20736" w:rsidP="00662941">
            <w:pPr>
              <w:spacing w:before="40" w:after="40"/>
              <w:jc w:val="center"/>
              <w:rPr>
                <w:rFonts w:ascii="Arial Narrow" w:hAnsi="Arial Narrow"/>
                <w:color w:val="000000"/>
                <w:sz w:val="20"/>
                <w:lang w:eastAsia="en-GB"/>
              </w:rPr>
            </w:pPr>
            <w:r w:rsidRPr="00B10957">
              <w:rPr>
                <w:rFonts w:ascii="Arial Narrow" w:hAnsi="Arial Narrow"/>
                <w:color w:val="000000"/>
                <w:sz w:val="20"/>
                <w:lang w:eastAsia="en-GB"/>
              </w:rPr>
              <w:t>$14,022</w:t>
            </w:r>
          </w:p>
        </w:tc>
      </w:tr>
    </w:tbl>
    <w:p w14:paraId="0AE8F8C8" w14:textId="77777777" w:rsidR="00D20736" w:rsidRDefault="00D20736" w:rsidP="00D20736">
      <w:pPr>
        <w:rPr>
          <w:rFonts w:ascii="Arial Narrow" w:hAnsi="Arial Narrow"/>
          <w:sz w:val="18"/>
          <w:szCs w:val="18"/>
        </w:rPr>
      </w:pPr>
      <w:r>
        <w:rPr>
          <w:rFonts w:ascii="Arial Narrow" w:hAnsi="Arial Narrow"/>
          <w:sz w:val="18"/>
          <w:szCs w:val="18"/>
        </w:rPr>
        <w:t xml:space="preserve">AF=atrial fibrillation; </w:t>
      </w:r>
      <w:r w:rsidRPr="00B10957">
        <w:rPr>
          <w:rFonts w:ascii="Arial Narrow" w:hAnsi="Arial Narrow"/>
          <w:sz w:val="18"/>
          <w:szCs w:val="18"/>
        </w:rPr>
        <w:t>AFL=atrial flutter</w:t>
      </w:r>
      <w:r>
        <w:rPr>
          <w:rFonts w:ascii="Arial Narrow" w:hAnsi="Arial Narrow"/>
          <w:sz w:val="18"/>
          <w:szCs w:val="18"/>
        </w:rPr>
        <w:t>;</w:t>
      </w:r>
      <w:r w:rsidRPr="00B10957">
        <w:rPr>
          <w:rFonts w:ascii="Arial Narrow" w:hAnsi="Arial Narrow"/>
          <w:sz w:val="18"/>
          <w:szCs w:val="18"/>
        </w:rPr>
        <w:t xml:space="preserve"> AVNRT=atrioventricular nodal re-entry tachycardia</w:t>
      </w:r>
      <w:r>
        <w:rPr>
          <w:rFonts w:ascii="Arial Narrow" w:hAnsi="Arial Narrow"/>
          <w:sz w:val="18"/>
          <w:szCs w:val="18"/>
        </w:rPr>
        <w:t>;</w:t>
      </w:r>
      <w:r w:rsidRPr="00B10957">
        <w:rPr>
          <w:rFonts w:ascii="Arial Narrow" w:hAnsi="Arial Narrow"/>
          <w:sz w:val="18"/>
          <w:szCs w:val="18"/>
        </w:rPr>
        <w:t xml:space="preserve"> VA+IHD+ICD=ventricular arrhythmia + ischaemic heart disease + implantable cardioverter defibrillator.</w:t>
      </w:r>
    </w:p>
    <w:p w14:paraId="269CD1EC" w14:textId="77777777" w:rsidR="00D20736" w:rsidRDefault="00D20736" w:rsidP="00D20736">
      <w:pPr>
        <w:rPr>
          <w:rFonts w:ascii="Arial Narrow" w:hAnsi="Arial Narrow"/>
          <w:sz w:val="18"/>
          <w:szCs w:val="18"/>
        </w:rPr>
      </w:pPr>
      <w:r>
        <w:rPr>
          <w:rFonts w:ascii="Arial Narrow" w:hAnsi="Arial Narrow"/>
          <w:sz w:val="18"/>
          <w:szCs w:val="18"/>
        </w:rPr>
        <w:t># Note that because the systematic review and meta-analysis by Martinez et al. reports odds ratios, the number of people with an event divided by the total divided by the weighted mean number of months of follow-up has been used to calculate the monthly probability of ICD therapies and shocks for the cardiac ablation and no ablation arms (as in the Commentary). The ICER for a 10-year time horizon is also reported in Table 29 (p 75) of the Commentary (the value for appropriate ICD shocks as $52,883, due to rounding of transition probabilities in the Commentary value).</w:t>
      </w:r>
    </w:p>
    <w:p w14:paraId="692E063A" w14:textId="77777777" w:rsidR="00D20736" w:rsidRPr="006E517B" w:rsidRDefault="00D20736" w:rsidP="00D20736">
      <w:pPr>
        <w:rPr>
          <w:rFonts w:ascii="Arial Narrow" w:hAnsi="Arial Narrow"/>
          <w:sz w:val="18"/>
          <w:szCs w:val="18"/>
        </w:rPr>
      </w:pPr>
      <w:r>
        <w:rPr>
          <w:rFonts w:ascii="Arial Narrow" w:hAnsi="Arial Narrow"/>
          <w:sz w:val="18"/>
          <w:szCs w:val="18"/>
        </w:rPr>
        <w:t>^ These values are identical to those reported in the Commentary in Table 26 (p 73) for the 10-year time horizon and Table 28 (p 75) for t</w:t>
      </w:r>
      <w:r w:rsidR="006E517B">
        <w:rPr>
          <w:rFonts w:ascii="Arial Narrow" w:hAnsi="Arial Narrow"/>
          <w:sz w:val="18"/>
          <w:szCs w:val="18"/>
        </w:rPr>
        <w:t>he 2- and 5-year time horizons.</w:t>
      </w:r>
    </w:p>
    <w:p w14:paraId="25B1C174" w14:textId="77777777" w:rsidR="00BC1364" w:rsidRPr="00F715D1" w:rsidRDefault="00BC1364" w:rsidP="00F715D1">
      <w:pPr>
        <w:pStyle w:val="Heading1"/>
      </w:pPr>
      <w:r w:rsidRPr="00F715D1">
        <w:lastRenderedPageBreak/>
        <w:t>Financial/budgetary impacts</w:t>
      </w:r>
    </w:p>
    <w:p w14:paraId="4214E85A" w14:textId="1BEBDC8E" w:rsidR="00853570" w:rsidRDefault="00853570" w:rsidP="00853570">
      <w:r>
        <w:t>T</w:t>
      </w:r>
      <w:r w:rsidR="00071978">
        <w:t>he ADARs financial analysis used</w:t>
      </w:r>
      <w:r>
        <w:t xml:space="preserve"> a similar market-share approac</w:t>
      </w:r>
      <w:r w:rsidR="00071978">
        <w:t>h to the AF Review and considered</w:t>
      </w:r>
      <w:r>
        <w:t xml:space="preserve"> the impact of extending the current PL listing for cardiac ablation devices from two main perspectives: private healt</w:t>
      </w:r>
      <w:r w:rsidR="00751771">
        <w:t xml:space="preserve">h insurers (PHIs) and the MBS. </w:t>
      </w:r>
      <w:r>
        <w:t>As per the AF Review, a key uncertainty is whether the exclusion of VA and</w:t>
      </w:r>
      <w:r w:rsidR="00F72E15">
        <w:t xml:space="preserve"> non-AF</w:t>
      </w:r>
      <w:r>
        <w:t xml:space="preserve"> SVT from the current PL listing means that patients are missing out on cardiac ablation altogether, or whether some are paying significant out-of-pocket expenses, and whether patients who could be managed in private hospitals currently undergo the </w:t>
      </w:r>
      <w:r w:rsidR="00751771">
        <w:t xml:space="preserve">procedure in public hospitals. </w:t>
      </w:r>
      <w:r>
        <w:t xml:space="preserve">The MBS data only provide an estimate of current private sector utilisation, and as current PHI subsidies for cardiac ablation for AV and </w:t>
      </w:r>
      <w:r w:rsidR="00F72E15">
        <w:t xml:space="preserve">non-AF </w:t>
      </w:r>
      <w:r>
        <w:t>SVT are unknown, the net impact of extending the current PL listing</w:t>
      </w:r>
      <w:r w:rsidR="00751771">
        <w:t xml:space="preserve"> is therefore highly uncertain.</w:t>
      </w:r>
    </w:p>
    <w:p w14:paraId="4511EBFC" w14:textId="010D97E3" w:rsidR="00853570" w:rsidRDefault="00853570" w:rsidP="00751771">
      <w:pPr>
        <w:spacing w:before="240"/>
      </w:pPr>
      <w:r>
        <w:t>The financial analysis is based on projected MBS usage of cardiac ablation of VA and SVT (all services for MBS items 38293 and 38518; 75% of services for MBS item 38287 for SVT).  Conservatively, only the procedural cost o</w:t>
      </w:r>
      <w:r w:rsidR="00751771">
        <w:t xml:space="preserve">f cardiac ablation is applied. </w:t>
      </w:r>
      <w:r>
        <w:t xml:space="preserve">The reduced costs to the PBS of AADs (amiodarone) for patients undergoing cardiac ablation is also considered.  Other assumptions in the financial analysis are summarised in </w:t>
      </w:r>
      <w:r w:rsidR="00751771">
        <w:fldChar w:fldCharType="begin"/>
      </w:r>
      <w:r w:rsidR="00751771">
        <w:instrText xml:space="preserve"> REF _Ref25653215 \h </w:instrText>
      </w:r>
      <w:r w:rsidR="00751771">
        <w:fldChar w:fldCharType="separate"/>
      </w:r>
      <w:r w:rsidR="00751771">
        <w:t xml:space="preserve">Table </w:t>
      </w:r>
      <w:r w:rsidR="00751771">
        <w:rPr>
          <w:noProof/>
        </w:rPr>
        <w:t>11</w:t>
      </w:r>
      <w:r w:rsidR="00751771">
        <w:fldChar w:fldCharType="end"/>
      </w:r>
      <w:r w:rsidR="00751771">
        <w:t xml:space="preserve">. </w:t>
      </w:r>
      <w:r w:rsidRPr="005C061E">
        <w:t>The financial</w:t>
      </w:r>
      <w:r>
        <w:t xml:space="preserve"> imp</w:t>
      </w:r>
      <w:r w:rsidR="006E517B">
        <w:t xml:space="preserve">lications summarised in </w:t>
      </w:r>
      <w:r w:rsidR="00EA78B1">
        <w:fldChar w:fldCharType="begin"/>
      </w:r>
      <w:r w:rsidR="00EA78B1">
        <w:instrText xml:space="preserve"> REF _Ref49782603 \h </w:instrText>
      </w:r>
      <w:r w:rsidR="00EA78B1">
        <w:fldChar w:fldCharType="separate"/>
      </w:r>
      <w:r w:rsidR="00EA78B1">
        <w:t xml:space="preserve">Table </w:t>
      </w:r>
      <w:r w:rsidR="00EA78B1">
        <w:rPr>
          <w:noProof/>
        </w:rPr>
        <w:t>12</w:t>
      </w:r>
      <w:r w:rsidR="00EA78B1">
        <w:fldChar w:fldCharType="end"/>
      </w:r>
      <w:r>
        <w:t xml:space="preserve"> assume a 10% increase in MBS services for cardiac ablation of VA and </w:t>
      </w:r>
      <w:r w:rsidR="00F72E15">
        <w:t xml:space="preserve">non-AF </w:t>
      </w:r>
      <w:r>
        <w:t>SVT if the current PL listing is</w:t>
      </w:r>
      <w:r w:rsidR="00751771">
        <w:t xml:space="preserve"> extended to these arrhythmias.</w:t>
      </w:r>
    </w:p>
    <w:p w14:paraId="5B970C0B" w14:textId="384A7988" w:rsidR="00853570" w:rsidRPr="00D55575" w:rsidRDefault="00751771" w:rsidP="00D55575">
      <w:pPr>
        <w:spacing w:before="240"/>
        <w:rPr>
          <w:rFonts w:ascii="Arial Narrow" w:hAnsi="Arial Narrow"/>
          <w:b/>
          <w:sz w:val="20"/>
        </w:rPr>
      </w:pPr>
      <w:bookmarkStart w:id="24" w:name="_Ref25653215"/>
      <w:bookmarkStart w:id="25" w:name="_Toc29370337"/>
      <w:r w:rsidRPr="00D55575">
        <w:rPr>
          <w:rFonts w:ascii="Arial Narrow" w:hAnsi="Arial Narrow"/>
          <w:b/>
          <w:sz w:val="20"/>
        </w:rPr>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00EA78B1" w:rsidRPr="00D55575">
        <w:rPr>
          <w:rFonts w:ascii="Arial Narrow" w:hAnsi="Arial Narrow"/>
          <w:b/>
          <w:sz w:val="20"/>
        </w:rPr>
        <w:t>11</w:t>
      </w:r>
      <w:r w:rsidR="00156907" w:rsidRPr="00D55575">
        <w:rPr>
          <w:rFonts w:ascii="Arial Narrow" w:hAnsi="Arial Narrow"/>
          <w:b/>
          <w:sz w:val="20"/>
        </w:rPr>
        <w:fldChar w:fldCharType="end"/>
      </w:r>
      <w:bookmarkEnd w:id="24"/>
      <w:r w:rsidRPr="00D55575">
        <w:rPr>
          <w:rFonts w:ascii="Arial Narrow" w:hAnsi="Arial Narrow"/>
          <w:b/>
          <w:sz w:val="20"/>
        </w:rPr>
        <w:tab/>
      </w:r>
      <w:r w:rsidR="00853570" w:rsidRPr="00D55575">
        <w:rPr>
          <w:rFonts w:ascii="Arial Narrow" w:hAnsi="Arial Narrow"/>
          <w:b/>
          <w:sz w:val="20"/>
        </w:rPr>
        <w:t>Additional assumptions used in the financial analysis</w:t>
      </w:r>
      <w:bookmarkEnd w:id="25"/>
    </w:p>
    <w:tbl>
      <w:tblPr>
        <w:tblStyle w:val="TableGrid2"/>
        <w:tblW w:w="5000" w:type="pct"/>
        <w:tblLook w:val="04A0" w:firstRow="1" w:lastRow="0" w:firstColumn="1" w:lastColumn="0" w:noHBand="0" w:noVBand="1"/>
        <w:tblCaption w:val="Table Total costs to the MBS associated with XXX"/>
        <w:tblDescription w:val="This table provides a summary of the financial impact of the proposed new medical service over the next five years."/>
      </w:tblPr>
      <w:tblGrid>
        <w:gridCol w:w="4106"/>
        <w:gridCol w:w="1277"/>
        <w:gridCol w:w="3633"/>
      </w:tblGrid>
      <w:tr w:rsidR="00853570" w:rsidRPr="00183E4D" w14:paraId="155404B8" w14:textId="77777777" w:rsidTr="00D55575">
        <w:trPr>
          <w:cnfStyle w:val="100000000000" w:firstRow="1" w:lastRow="0" w:firstColumn="0" w:lastColumn="0" w:oddVBand="0" w:evenVBand="0" w:oddHBand="0" w:evenHBand="0" w:firstRowFirstColumn="0" w:firstRowLastColumn="0" w:lastRowFirstColumn="0" w:lastRowLastColumn="0"/>
          <w:trHeight w:val="300"/>
          <w:tblHeader/>
        </w:trPr>
        <w:tc>
          <w:tcPr>
            <w:tcW w:w="2277" w:type="pct"/>
          </w:tcPr>
          <w:p w14:paraId="4CB5F89B" w14:textId="77777777" w:rsidR="00853570" w:rsidRPr="00183E4D" w:rsidRDefault="00853570" w:rsidP="00662941">
            <w:pPr>
              <w:keepNext/>
              <w:tabs>
                <w:tab w:val="left" w:pos="851"/>
              </w:tabs>
              <w:ind w:left="851" w:hanging="851"/>
              <w:rPr>
                <w:rFonts w:ascii="Arial Narrow" w:hAnsi="Arial Narrow"/>
                <w:b/>
                <w:sz w:val="20"/>
              </w:rPr>
            </w:pPr>
            <w:r>
              <w:rPr>
                <w:rFonts w:ascii="Arial Narrow" w:hAnsi="Arial Narrow"/>
                <w:b/>
                <w:sz w:val="20"/>
              </w:rPr>
              <w:t>Assumption</w:t>
            </w:r>
          </w:p>
        </w:tc>
        <w:tc>
          <w:tcPr>
            <w:tcW w:w="708" w:type="pct"/>
          </w:tcPr>
          <w:p w14:paraId="7C0F40C0" w14:textId="77777777" w:rsidR="00853570" w:rsidRPr="00183E4D" w:rsidRDefault="00853570" w:rsidP="00662941">
            <w:pPr>
              <w:keepNext/>
              <w:tabs>
                <w:tab w:val="left" w:pos="851"/>
              </w:tabs>
              <w:ind w:left="851" w:hanging="851"/>
              <w:jc w:val="center"/>
              <w:rPr>
                <w:rFonts w:ascii="Arial Narrow" w:hAnsi="Arial Narrow"/>
                <w:b/>
                <w:sz w:val="20"/>
              </w:rPr>
            </w:pPr>
            <w:r>
              <w:rPr>
                <w:rFonts w:ascii="Arial Narrow" w:hAnsi="Arial Narrow"/>
                <w:b/>
                <w:sz w:val="20"/>
              </w:rPr>
              <w:t>Input</w:t>
            </w:r>
          </w:p>
        </w:tc>
        <w:tc>
          <w:tcPr>
            <w:tcW w:w="2015" w:type="pct"/>
          </w:tcPr>
          <w:p w14:paraId="7033FBE9" w14:textId="77777777" w:rsidR="00853570" w:rsidRPr="00183E4D" w:rsidRDefault="00853570" w:rsidP="00662941">
            <w:pPr>
              <w:keepNext/>
              <w:tabs>
                <w:tab w:val="left" w:pos="851"/>
              </w:tabs>
              <w:ind w:left="851" w:hanging="851"/>
              <w:jc w:val="center"/>
              <w:rPr>
                <w:rFonts w:ascii="Arial Narrow" w:hAnsi="Arial Narrow"/>
                <w:b/>
                <w:sz w:val="20"/>
              </w:rPr>
            </w:pPr>
            <w:r>
              <w:rPr>
                <w:rFonts w:ascii="Arial Narrow" w:hAnsi="Arial Narrow"/>
                <w:b/>
                <w:sz w:val="20"/>
              </w:rPr>
              <w:t>Source/rationale</w:t>
            </w:r>
          </w:p>
        </w:tc>
      </w:tr>
      <w:tr w:rsidR="00853570" w:rsidRPr="00183E4D" w14:paraId="1622CA02" w14:textId="77777777" w:rsidTr="00D55575">
        <w:trPr>
          <w:trHeight w:val="300"/>
        </w:trPr>
        <w:tc>
          <w:tcPr>
            <w:tcW w:w="2277" w:type="pct"/>
          </w:tcPr>
          <w:p w14:paraId="5345D00C" w14:textId="77777777" w:rsidR="00853570" w:rsidRPr="004F1EB4" w:rsidRDefault="00853570" w:rsidP="00662941">
            <w:pPr>
              <w:autoSpaceDE w:val="0"/>
              <w:autoSpaceDN w:val="0"/>
              <w:adjustRightInd w:val="0"/>
              <w:rPr>
                <w:rFonts w:cs="Calibri"/>
                <w:color w:val="000000"/>
                <w:sz w:val="20"/>
                <w:lang w:val="en-US"/>
              </w:rPr>
            </w:pPr>
            <w:r>
              <w:rPr>
                <w:rFonts w:cs="Calibri"/>
                <w:color w:val="000000"/>
                <w:sz w:val="20"/>
                <w:lang w:val="en-US"/>
              </w:rPr>
              <w:t xml:space="preserve">Estimated increase in </w:t>
            </w:r>
            <w:r w:rsidRPr="004F1EB4">
              <w:rPr>
                <w:rFonts w:cs="Calibri"/>
                <w:color w:val="000000"/>
                <w:sz w:val="20"/>
                <w:lang w:val="en-US"/>
              </w:rPr>
              <w:t>patien</w:t>
            </w:r>
            <w:r>
              <w:rPr>
                <w:rFonts w:cs="Calibri"/>
                <w:color w:val="000000"/>
                <w:sz w:val="20"/>
                <w:lang w:val="en-US"/>
              </w:rPr>
              <w:t xml:space="preserve">ts undergoing cardiac ablation for VA </w:t>
            </w:r>
            <w:r w:rsidRPr="004F1EB4">
              <w:rPr>
                <w:rFonts w:cs="Calibri"/>
                <w:color w:val="000000"/>
                <w:sz w:val="20"/>
                <w:lang w:val="en-US"/>
              </w:rPr>
              <w:t xml:space="preserve">if </w:t>
            </w:r>
            <w:r>
              <w:rPr>
                <w:rFonts w:cs="Calibri"/>
                <w:color w:val="000000"/>
                <w:sz w:val="20"/>
                <w:lang w:val="en-US"/>
              </w:rPr>
              <w:t>the PL listing is extended to these arrhythmias</w:t>
            </w:r>
          </w:p>
        </w:tc>
        <w:tc>
          <w:tcPr>
            <w:tcW w:w="708" w:type="pct"/>
          </w:tcPr>
          <w:p w14:paraId="384B47F5" w14:textId="77777777" w:rsidR="00853570" w:rsidRPr="004F1EB4" w:rsidRDefault="00853570" w:rsidP="00662941">
            <w:pPr>
              <w:autoSpaceDE w:val="0"/>
              <w:autoSpaceDN w:val="0"/>
              <w:adjustRightInd w:val="0"/>
              <w:rPr>
                <w:rFonts w:cs="Calibri"/>
                <w:color w:val="000000"/>
                <w:sz w:val="20"/>
                <w:lang w:val="en-US"/>
              </w:rPr>
            </w:pPr>
            <w:r w:rsidRPr="004F1EB4">
              <w:rPr>
                <w:rFonts w:cs="Calibri"/>
                <w:color w:val="000000"/>
                <w:sz w:val="20"/>
                <w:lang w:val="en-US"/>
              </w:rPr>
              <w:t xml:space="preserve">10% </w:t>
            </w:r>
          </w:p>
        </w:tc>
        <w:tc>
          <w:tcPr>
            <w:tcW w:w="2015" w:type="pct"/>
          </w:tcPr>
          <w:p w14:paraId="3B14558D" w14:textId="77777777" w:rsidR="00853570" w:rsidRPr="004F1EB4" w:rsidRDefault="00853570" w:rsidP="00662941">
            <w:pPr>
              <w:autoSpaceDE w:val="0"/>
              <w:autoSpaceDN w:val="0"/>
              <w:adjustRightInd w:val="0"/>
              <w:rPr>
                <w:rFonts w:cs="Calibri"/>
                <w:color w:val="000000"/>
                <w:sz w:val="20"/>
                <w:lang w:val="en-US"/>
              </w:rPr>
            </w:pPr>
            <w:r>
              <w:rPr>
                <w:rFonts w:cs="Calibri"/>
                <w:color w:val="000000"/>
                <w:sz w:val="20"/>
                <w:lang w:val="en-US"/>
              </w:rPr>
              <w:t>AF Review (assumption)</w:t>
            </w:r>
          </w:p>
        </w:tc>
      </w:tr>
      <w:tr w:rsidR="00853570" w:rsidRPr="00183E4D" w14:paraId="05E9A7D6" w14:textId="77777777" w:rsidTr="00D55575">
        <w:trPr>
          <w:trHeight w:val="300"/>
        </w:trPr>
        <w:tc>
          <w:tcPr>
            <w:tcW w:w="2277" w:type="pct"/>
          </w:tcPr>
          <w:p w14:paraId="4FAC62A7" w14:textId="77777777" w:rsidR="00853570" w:rsidRPr="004F1EB4" w:rsidRDefault="00853570" w:rsidP="00662941">
            <w:pPr>
              <w:autoSpaceDE w:val="0"/>
              <w:autoSpaceDN w:val="0"/>
              <w:adjustRightInd w:val="0"/>
              <w:rPr>
                <w:rFonts w:cs="Calibri"/>
                <w:color w:val="000000"/>
                <w:sz w:val="20"/>
                <w:lang w:val="en-US"/>
              </w:rPr>
            </w:pPr>
            <w:r>
              <w:rPr>
                <w:rFonts w:cs="Calibri"/>
                <w:color w:val="000000"/>
                <w:sz w:val="20"/>
                <w:lang w:val="en-US"/>
              </w:rPr>
              <w:t xml:space="preserve">Estimated increase in </w:t>
            </w:r>
            <w:r w:rsidRPr="004F1EB4">
              <w:rPr>
                <w:rFonts w:cs="Calibri"/>
                <w:color w:val="000000"/>
                <w:sz w:val="20"/>
                <w:lang w:val="en-US"/>
              </w:rPr>
              <w:t>patien</w:t>
            </w:r>
            <w:r>
              <w:rPr>
                <w:rFonts w:cs="Calibri"/>
                <w:color w:val="000000"/>
                <w:sz w:val="20"/>
                <w:lang w:val="en-US"/>
              </w:rPr>
              <w:t>ts undergoing cardiac ablation for SVT</w:t>
            </w:r>
            <w:r w:rsidRPr="004F1EB4">
              <w:rPr>
                <w:rFonts w:cs="Calibri"/>
                <w:color w:val="000000"/>
                <w:sz w:val="20"/>
                <w:lang w:val="en-US"/>
              </w:rPr>
              <w:t xml:space="preserve"> if </w:t>
            </w:r>
            <w:r>
              <w:rPr>
                <w:rFonts w:cs="Calibri"/>
                <w:color w:val="000000"/>
                <w:sz w:val="20"/>
                <w:lang w:val="en-US"/>
              </w:rPr>
              <w:t>the PL listing is extended to these arrhythmias</w:t>
            </w:r>
          </w:p>
        </w:tc>
        <w:tc>
          <w:tcPr>
            <w:tcW w:w="708" w:type="pct"/>
          </w:tcPr>
          <w:p w14:paraId="235175CA" w14:textId="77777777" w:rsidR="00853570" w:rsidRPr="004F1EB4" w:rsidRDefault="00853570" w:rsidP="00662941">
            <w:pPr>
              <w:autoSpaceDE w:val="0"/>
              <w:autoSpaceDN w:val="0"/>
              <w:adjustRightInd w:val="0"/>
              <w:rPr>
                <w:rFonts w:cs="Calibri"/>
                <w:color w:val="000000"/>
                <w:sz w:val="20"/>
                <w:lang w:val="en-US"/>
              </w:rPr>
            </w:pPr>
            <w:r w:rsidRPr="004F1EB4">
              <w:rPr>
                <w:rFonts w:cs="Calibri"/>
                <w:color w:val="000000"/>
                <w:sz w:val="20"/>
                <w:lang w:val="en-US"/>
              </w:rPr>
              <w:t xml:space="preserve">10% </w:t>
            </w:r>
          </w:p>
        </w:tc>
        <w:tc>
          <w:tcPr>
            <w:tcW w:w="2015" w:type="pct"/>
          </w:tcPr>
          <w:p w14:paraId="0720870D" w14:textId="77777777" w:rsidR="00853570" w:rsidRPr="004F1EB4" w:rsidRDefault="00853570" w:rsidP="00662941">
            <w:pPr>
              <w:autoSpaceDE w:val="0"/>
              <w:autoSpaceDN w:val="0"/>
              <w:adjustRightInd w:val="0"/>
              <w:rPr>
                <w:rFonts w:cs="Calibri"/>
                <w:color w:val="000000"/>
                <w:sz w:val="20"/>
                <w:lang w:val="en-US"/>
              </w:rPr>
            </w:pPr>
            <w:r>
              <w:rPr>
                <w:rFonts w:cs="Calibri"/>
                <w:color w:val="000000"/>
                <w:sz w:val="20"/>
                <w:lang w:val="en-US"/>
              </w:rPr>
              <w:t>AF Review (assumption)</w:t>
            </w:r>
          </w:p>
        </w:tc>
      </w:tr>
      <w:tr w:rsidR="00853570" w:rsidRPr="00183E4D" w14:paraId="45C05536" w14:textId="77777777" w:rsidTr="00D55575">
        <w:trPr>
          <w:trHeight w:val="315"/>
        </w:trPr>
        <w:tc>
          <w:tcPr>
            <w:tcW w:w="2277" w:type="pct"/>
          </w:tcPr>
          <w:p w14:paraId="6FD8735D" w14:textId="77777777" w:rsidR="00853570" w:rsidRPr="004F1EB4" w:rsidRDefault="00853570" w:rsidP="00662941">
            <w:pPr>
              <w:autoSpaceDE w:val="0"/>
              <w:autoSpaceDN w:val="0"/>
              <w:adjustRightInd w:val="0"/>
              <w:rPr>
                <w:rFonts w:cs="Calibri"/>
                <w:color w:val="000000"/>
                <w:sz w:val="20"/>
                <w:lang w:val="en-US"/>
              </w:rPr>
            </w:pPr>
            <w:r w:rsidRPr="004F1EB4">
              <w:rPr>
                <w:rFonts w:cs="Calibri"/>
                <w:color w:val="000000"/>
                <w:sz w:val="20"/>
                <w:lang w:val="en-US"/>
              </w:rPr>
              <w:t>Proportion of MBS services tha</w:t>
            </w:r>
            <w:r>
              <w:rPr>
                <w:rFonts w:cs="Calibri"/>
                <w:color w:val="000000"/>
                <w:sz w:val="20"/>
                <w:lang w:val="en-US"/>
              </w:rPr>
              <w:t>t are privately insured</w:t>
            </w:r>
            <w:r w:rsidRPr="004F1EB4">
              <w:rPr>
                <w:rFonts w:cs="Calibri"/>
                <w:color w:val="000000"/>
                <w:sz w:val="20"/>
                <w:lang w:val="en-US"/>
              </w:rPr>
              <w:t xml:space="preserve"> </w:t>
            </w:r>
          </w:p>
        </w:tc>
        <w:tc>
          <w:tcPr>
            <w:tcW w:w="708" w:type="pct"/>
          </w:tcPr>
          <w:p w14:paraId="5DCEA095" w14:textId="77777777" w:rsidR="00853570" w:rsidRPr="004F1EB4" w:rsidRDefault="00853570" w:rsidP="00662941">
            <w:pPr>
              <w:autoSpaceDE w:val="0"/>
              <w:autoSpaceDN w:val="0"/>
              <w:adjustRightInd w:val="0"/>
              <w:rPr>
                <w:rFonts w:cs="Calibri"/>
                <w:color w:val="000000"/>
                <w:sz w:val="20"/>
                <w:lang w:val="en-US"/>
              </w:rPr>
            </w:pPr>
            <w:r>
              <w:rPr>
                <w:rFonts w:cs="Calibri"/>
                <w:color w:val="000000"/>
                <w:sz w:val="20"/>
                <w:lang w:val="en-US"/>
              </w:rPr>
              <w:t>76</w:t>
            </w:r>
            <w:r w:rsidRPr="004F1EB4">
              <w:rPr>
                <w:rFonts w:cs="Calibri"/>
                <w:color w:val="000000"/>
                <w:sz w:val="20"/>
                <w:lang w:val="en-US"/>
              </w:rPr>
              <w:t xml:space="preserve">% </w:t>
            </w:r>
          </w:p>
        </w:tc>
        <w:tc>
          <w:tcPr>
            <w:tcW w:w="2015" w:type="pct"/>
          </w:tcPr>
          <w:p w14:paraId="5AF36040" w14:textId="77777777" w:rsidR="00853570" w:rsidRPr="004F1EB4" w:rsidRDefault="00853570" w:rsidP="00662941">
            <w:pPr>
              <w:autoSpaceDE w:val="0"/>
              <w:autoSpaceDN w:val="0"/>
              <w:adjustRightInd w:val="0"/>
              <w:rPr>
                <w:rFonts w:cs="Calibri"/>
                <w:color w:val="000000"/>
                <w:sz w:val="20"/>
                <w:lang w:val="en-US"/>
              </w:rPr>
            </w:pPr>
            <w:r>
              <w:rPr>
                <w:rFonts w:cs="Calibri"/>
                <w:color w:val="000000"/>
                <w:sz w:val="20"/>
                <w:lang w:val="en-US"/>
              </w:rPr>
              <w:t>AF Review (</w:t>
            </w:r>
            <w:r w:rsidRPr="004F1EB4">
              <w:rPr>
                <w:rFonts w:cs="Calibri"/>
                <w:color w:val="000000"/>
                <w:sz w:val="20"/>
                <w:lang w:val="en-US"/>
              </w:rPr>
              <w:t xml:space="preserve">Hospital Casemix Protocol 1 </w:t>
            </w:r>
            <w:r>
              <w:rPr>
                <w:rFonts w:cs="Calibri"/>
                <w:color w:val="000000"/>
                <w:sz w:val="20"/>
                <w:lang w:val="en-US"/>
              </w:rPr>
              <w:t>data)</w:t>
            </w:r>
          </w:p>
        </w:tc>
      </w:tr>
      <w:tr w:rsidR="00853570" w:rsidRPr="00183E4D" w14:paraId="35E508C5" w14:textId="77777777" w:rsidTr="00D55575">
        <w:trPr>
          <w:trHeight w:val="315"/>
        </w:trPr>
        <w:tc>
          <w:tcPr>
            <w:tcW w:w="2277" w:type="pct"/>
          </w:tcPr>
          <w:p w14:paraId="7E91C9E9" w14:textId="77777777" w:rsidR="00853570" w:rsidRPr="004F1EB4" w:rsidRDefault="00853570" w:rsidP="00662941">
            <w:pPr>
              <w:autoSpaceDE w:val="0"/>
              <w:autoSpaceDN w:val="0"/>
              <w:adjustRightInd w:val="0"/>
              <w:rPr>
                <w:rFonts w:cs="Calibri"/>
                <w:color w:val="000000"/>
                <w:sz w:val="20"/>
                <w:lang w:val="en-US"/>
              </w:rPr>
            </w:pPr>
            <w:r>
              <w:rPr>
                <w:rFonts w:cs="Calibri"/>
                <w:color w:val="000000"/>
                <w:sz w:val="20"/>
                <w:lang w:val="en-US"/>
              </w:rPr>
              <w:t>Re-ablation rate</w:t>
            </w:r>
            <w:r w:rsidRPr="004F1EB4">
              <w:rPr>
                <w:rFonts w:cs="Calibri"/>
                <w:color w:val="000000"/>
                <w:sz w:val="20"/>
                <w:lang w:val="en-US"/>
              </w:rPr>
              <w:t xml:space="preserve"> </w:t>
            </w:r>
          </w:p>
        </w:tc>
        <w:tc>
          <w:tcPr>
            <w:tcW w:w="708" w:type="pct"/>
          </w:tcPr>
          <w:p w14:paraId="39FBF2EB" w14:textId="77777777" w:rsidR="00853570" w:rsidRPr="004F1EB4" w:rsidRDefault="00853570" w:rsidP="00662941">
            <w:pPr>
              <w:autoSpaceDE w:val="0"/>
              <w:autoSpaceDN w:val="0"/>
              <w:adjustRightInd w:val="0"/>
              <w:rPr>
                <w:rFonts w:cs="Calibri"/>
                <w:color w:val="000000"/>
                <w:sz w:val="20"/>
                <w:lang w:val="en-US"/>
              </w:rPr>
            </w:pPr>
            <w:r>
              <w:rPr>
                <w:rFonts w:cs="Calibri"/>
                <w:color w:val="000000"/>
                <w:sz w:val="20"/>
                <w:lang w:val="en-US"/>
              </w:rPr>
              <w:t>20%</w:t>
            </w:r>
          </w:p>
        </w:tc>
        <w:tc>
          <w:tcPr>
            <w:tcW w:w="2015" w:type="pct"/>
          </w:tcPr>
          <w:p w14:paraId="11A30434" w14:textId="77777777" w:rsidR="00853570" w:rsidRPr="004F1EB4" w:rsidRDefault="00853570" w:rsidP="00662941">
            <w:pPr>
              <w:autoSpaceDE w:val="0"/>
              <w:autoSpaceDN w:val="0"/>
              <w:adjustRightInd w:val="0"/>
              <w:rPr>
                <w:rFonts w:cs="Calibri"/>
                <w:color w:val="000000"/>
                <w:sz w:val="20"/>
                <w:lang w:val="en-US"/>
              </w:rPr>
            </w:pPr>
            <w:r>
              <w:rPr>
                <w:rFonts w:cs="Calibri"/>
                <w:color w:val="000000"/>
                <w:sz w:val="20"/>
                <w:lang w:val="en-US"/>
              </w:rPr>
              <w:t>AF Review. This is substantially higher than in the RCTs in Section B. However, the financial analysis is based on procedure numbers (not patient numbers) and this parameter therefore has not impact on the financial estimates.</w:t>
            </w:r>
          </w:p>
        </w:tc>
      </w:tr>
    </w:tbl>
    <w:p w14:paraId="2E8E4B27" w14:textId="77777777" w:rsidR="00853570" w:rsidRPr="00903902" w:rsidRDefault="00853570" w:rsidP="00853570">
      <w:pPr>
        <w:pStyle w:val="Tablenotes"/>
      </w:pPr>
      <w:r w:rsidRPr="00903902">
        <w:t xml:space="preserve">Source: </w:t>
      </w:r>
      <w:r>
        <w:t>Table 7, p18 of ADAR</w:t>
      </w:r>
    </w:p>
    <w:p w14:paraId="23E5EBFD" w14:textId="77777777" w:rsidR="00853570" w:rsidRDefault="00853570" w:rsidP="00853570">
      <w:pPr>
        <w:pStyle w:val="Tablenotes"/>
      </w:pPr>
      <w:r>
        <w:t xml:space="preserve">AF, atrial fibrillation; </w:t>
      </w:r>
      <w:r w:rsidRPr="00312A7C">
        <w:t>MBS, Medicare Benefits Sche</w:t>
      </w:r>
      <w:r>
        <w:t>dule;</w:t>
      </w:r>
      <w:r w:rsidRPr="00312A7C">
        <w:t xml:space="preserve"> </w:t>
      </w:r>
      <w:r>
        <w:t xml:space="preserve">PL, Prostheses List; PLAC, </w:t>
      </w:r>
      <w:r w:rsidRPr="00312A7C">
        <w:t>Prostheses List Advisory Committee</w:t>
      </w:r>
      <w:r>
        <w:t xml:space="preserve">; </w:t>
      </w:r>
      <w:r w:rsidRPr="00312A7C">
        <w:t>RFCA, radiofrequency cardiac ablation</w:t>
      </w:r>
      <w:r>
        <w:t>; SVT, supraventricular tachycardia; VA, ventricular arrhythmia</w:t>
      </w:r>
    </w:p>
    <w:p w14:paraId="110D64F4" w14:textId="0F7433B4" w:rsidR="00BC2BBD" w:rsidRPr="00EA78B1" w:rsidRDefault="00853570">
      <w:r>
        <w:t xml:space="preserve">The Commentary updated the financial estimates for the amended </w:t>
      </w:r>
      <w:r w:rsidRPr="00B35C8B">
        <w:t>cost</w:t>
      </w:r>
      <w:r>
        <w:t>ing</w:t>
      </w:r>
      <w:r w:rsidRPr="00B35C8B">
        <w:t xml:space="preserve"> inputs from </w:t>
      </w:r>
      <w:r>
        <w:t>the economic model</w:t>
      </w:r>
      <w:r w:rsidRPr="00B35C8B">
        <w:t xml:space="preserve">. </w:t>
      </w:r>
      <w:r>
        <w:t>The Commentary considered that t</w:t>
      </w:r>
      <w:r w:rsidRPr="00B35C8B">
        <w:t>here is potential for the net cost/year to the MBS to be greater than or less than estimated.</w:t>
      </w:r>
      <w:bookmarkStart w:id="26" w:name="_Ref36908269"/>
      <w:bookmarkStart w:id="27" w:name="_Toc393197779"/>
      <w:bookmarkStart w:id="28" w:name="_Toc393378192"/>
      <w:bookmarkStart w:id="29" w:name="_Toc399251128"/>
      <w:r w:rsidR="00BC2BBD">
        <w:br w:type="page"/>
      </w:r>
    </w:p>
    <w:p w14:paraId="0DA1830F" w14:textId="27271B86" w:rsidR="00853570" w:rsidRPr="00D55575" w:rsidRDefault="00EA78B1" w:rsidP="00D55575">
      <w:pPr>
        <w:rPr>
          <w:rFonts w:ascii="Arial Narrow" w:hAnsi="Arial Narrow"/>
          <w:b/>
          <w:sz w:val="20"/>
        </w:rPr>
      </w:pPr>
      <w:bookmarkStart w:id="30" w:name="_Ref49782603"/>
      <w:r w:rsidRPr="00D55575">
        <w:rPr>
          <w:rFonts w:ascii="Arial Narrow" w:hAnsi="Arial Narrow"/>
          <w:b/>
          <w:sz w:val="20"/>
        </w:rPr>
        <w:lastRenderedPageBreak/>
        <w:t xml:space="preserve">Table </w:t>
      </w:r>
      <w:r w:rsidR="00156907" w:rsidRPr="00D55575">
        <w:rPr>
          <w:rFonts w:ascii="Arial Narrow" w:hAnsi="Arial Narrow"/>
          <w:b/>
          <w:sz w:val="20"/>
        </w:rPr>
        <w:fldChar w:fldCharType="begin"/>
      </w:r>
      <w:r w:rsidR="00156907" w:rsidRPr="00D55575">
        <w:rPr>
          <w:rFonts w:ascii="Arial Narrow" w:hAnsi="Arial Narrow"/>
          <w:b/>
          <w:sz w:val="20"/>
        </w:rPr>
        <w:instrText xml:space="preserve"> SEQ Table \* ARABIC </w:instrText>
      </w:r>
      <w:r w:rsidR="00156907" w:rsidRPr="00D55575">
        <w:rPr>
          <w:rFonts w:ascii="Arial Narrow" w:hAnsi="Arial Narrow"/>
          <w:b/>
          <w:sz w:val="20"/>
        </w:rPr>
        <w:fldChar w:fldCharType="separate"/>
      </w:r>
      <w:r w:rsidRPr="00D55575">
        <w:rPr>
          <w:rFonts w:ascii="Arial Narrow" w:hAnsi="Arial Narrow"/>
          <w:b/>
          <w:sz w:val="20"/>
        </w:rPr>
        <w:t>12</w:t>
      </w:r>
      <w:r w:rsidR="00156907" w:rsidRPr="00D55575">
        <w:rPr>
          <w:rFonts w:ascii="Arial Narrow" w:hAnsi="Arial Narrow"/>
          <w:b/>
          <w:sz w:val="20"/>
        </w:rPr>
        <w:fldChar w:fldCharType="end"/>
      </w:r>
      <w:bookmarkEnd w:id="26"/>
      <w:bookmarkEnd w:id="30"/>
      <w:r w:rsidR="00853570" w:rsidRPr="00D55575">
        <w:rPr>
          <w:rFonts w:ascii="Arial Narrow" w:hAnsi="Arial Narrow"/>
          <w:b/>
          <w:sz w:val="20"/>
        </w:rPr>
        <w:tab/>
        <w:t>Estimated net impact of the proposed extension to the PL listing – privately insured services</w:t>
      </w:r>
      <w:bookmarkEnd w:id="27"/>
      <w:bookmarkEnd w:id="28"/>
      <w:bookmarkEnd w:id="29"/>
    </w:p>
    <w:tbl>
      <w:tblPr>
        <w:tblStyle w:val="TableGrid2"/>
        <w:tblW w:w="4877" w:type="pct"/>
        <w:tblLook w:val="04A0" w:firstRow="1" w:lastRow="0" w:firstColumn="1" w:lastColumn="0" w:noHBand="0" w:noVBand="1"/>
        <w:tblCaption w:val="Estimated net impact of the proposed extension to the PL listing – privately insured services "/>
        <w:tblDescription w:val="Estimated net impact of the proposed extension to the PL listing – privately insured services "/>
      </w:tblPr>
      <w:tblGrid>
        <w:gridCol w:w="1584"/>
        <w:gridCol w:w="1442"/>
        <w:gridCol w:w="1442"/>
        <w:gridCol w:w="1442"/>
        <w:gridCol w:w="1442"/>
        <w:gridCol w:w="1442"/>
      </w:tblGrid>
      <w:tr w:rsidR="00853570" w:rsidRPr="00183E4D" w14:paraId="1E77BF3F" w14:textId="77777777" w:rsidTr="00D55575">
        <w:trPr>
          <w:cnfStyle w:val="100000000000" w:firstRow="1" w:lastRow="0" w:firstColumn="0" w:lastColumn="0" w:oddVBand="0" w:evenVBand="0" w:oddHBand="0" w:evenHBand="0" w:firstRowFirstColumn="0" w:firstRowLastColumn="0" w:lastRowFirstColumn="0" w:lastRowLastColumn="0"/>
          <w:trHeight w:val="300"/>
          <w:tblHeader/>
        </w:trPr>
        <w:tc>
          <w:tcPr>
            <w:tcW w:w="1448" w:type="pct"/>
          </w:tcPr>
          <w:p w14:paraId="082D819D" w14:textId="77777777" w:rsidR="00853570" w:rsidRPr="00A56767" w:rsidRDefault="00853570" w:rsidP="00662941">
            <w:pPr>
              <w:pStyle w:val="TableHeading"/>
              <w:keepNext w:val="0"/>
            </w:pPr>
            <w:r w:rsidRPr="00A56767">
              <w:t>Assumption</w:t>
            </w:r>
          </w:p>
        </w:tc>
        <w:tc>
          <w:tcPr>
            <w:tcW w:w="636" w:type="pct"/>
          </w:tcPr>
          <w:p w14:paraId="54D20920" w14:textId="77777777" w:rsidR="00853570" w:rsidRPr="00A56767" w:rsidRDefault="00853570" w:rsidP="00662941">
            <w:pPr>
              <w:pStyle w:val="TableHeading"/>
              <w:keepNext w:val="0"/>
              <w:jc w:val="center"/>
            </w:pPr>
            <w:r w:rsidRPr="00A56767">
              <w:t>Year 1</w:t>
            </w:r>
          </w:p>
        </w:tc>
        <w:tc>
          <w:tcPr>
            <w:tcW w:w="729" w:type="pct"/>
          </w:tcPr>
          <w:p w14:paraId="18B4E718" w14:textId="77777777" w:rsidR="00853570" w:rsidRPr="00A56767" w:rsidRDefault="00853570" w:rsidP="00662941">
            <w:pPr>
              <w:pStyle w:val="TableHeading"/>
              <w:keepNext w:val="0"/>
              <w:jc w:val="center"/>
            </w:pPr>
            <w:r w:rsidRPr="00A56767">
              <w:t>Year 2</w:t>
            </w:r>
          </w:p>
        </w:tc>
        <w:tc>
          <w:tcPr>
            <w:tcW w:w="729" w:type="pct"/>
          </w:tcPr>
          <w:p w14:paraId="6F124EB8" w14:textId="77777777" w:rsidR="00853570" w:rsidRPr="00A56767" w:rsidRDefault="00853570" w:rsidP="00662941">
            <w:pPr>
              <w:pStyle w:val="TableHeading"/>
              <w:keepNext w:val="0"/>
              <w:jc w:val="center"/>
            </w:pPr>
            <w:r w:rsidRPr="00A56767">
              <w:t>Year 3</w:t>
            </w:r>
          </w:p>
        </w:tc>
        <w:tc>
          <w:tcPr>
            <w:tcW w:w="729" w:type="pct"/>
          </w:tcPr>
          <w:p w14:paraId="2C62E23B" w14:textId="77777777" w:rsidR="00853570" w:rsidRPr="00A56767" w:rsidRDefault="00853570" w:rsidP="00662941">
            <w:pPr>
              <w:pStyle w:val="TableHeading"/>
              <w:keepNext w:val="0"/>
              <w:jc w:val="center"/>
            </w:pPr>
            <w:r w:rsidRPr="00A56767">
              <w:t>Year 4</w:t>
            </w:r>
          </w:p>
        </w:tc>
        <w:tc>
          <w:tcPr>
            <w:tcW w:w="729" w:type="pct"/>
          </w:tcPr>
          <w:p w14:paraId="688DAECC" w14:textId="77777777" w:rsidR="00853570" w:rsidRPr="00A56767" w:rsidRDefault="00853570" w:rsidP="00662941">
            <w:pPr>
              <w:pStyle w:val="TableHeading"/>
              <w:keepNext w:val="0"/>
              <w:jc w:val="center"/>
            </w:pPr>
            <w:r w:rsidRPr="00A56767">
              <w:t>Year 5</w:t>
            </w:r>
          </w:p>
        </w:tc>
      </w:tr>
      <w:tr w:rsidR="00853570" w:rsidRPr="00AD2492" w14:paraId="4E2B9046" w14:textId="77777777" w:rsidTr="00D55575">
        <w:trPr>
          <w:trHeight w:val="163"/>
        </w:trPr>
        <w:tc>
          <w:tcPr>
            <w:tcW w:w="1448" w:type="pct"/>
          </w:tcPr>
          <w:p w14:paraId="72F0A661" w14:textId="77777777" w:rsidR="00853570" w:rsidRPr="00AD2492" w:rsidRDefault="00853570" w:rsidP="00662941">
            <w:pPr>
              <w:pStyle w:val="TableText0"/>
              <w:keepNext w:val="0"/>
            </w:pPr>
            <w:r w:rsidRPr="00AD2492">
              <w:t>Number o</w:t>
            </w:r>
            <w:r>
              <w:t xml:space="preserve">f procedures </w:t>
            </w:r>
          </w:p>
        </w:tc>
        <w:tc>
          <w:tcPr>
            <w:tcW w:w="636" w:type="pct"/>
          </w:tcPr>
          <w:p w14:paraId="152BD6EB" w14:textId="77777777" w:rsidR="00853570" w:rsidRPr="00AD2492" w:rsidRDefault="00853570" w:rsidP="00662941">
            <w:pPr>
              <w:pStyle w:val="TableText0"/>
              <w:keepNext w:val="0"/>
              <w:jc w:val="right"/>
            </w:pPr>
            <w:r>
              <w:t>316</w:t>
            </w:r>
          </w:p>
        </w:tc>
        <w:tc>
          <w:tcPr>
            <w:tcW w:w="729" w:type="pct"/>
          </w:tcPr>
          <w:p w14:paraId="4DE0BCA1" w14:textId="77777777" w:rsidR="00853570" w:rsidRPr="00AD2492" w:rsidRDefault="00853570" w:rsidP="00662941">
            <w:pPr>
              <w:pStyle w:val="TableText0"/>
              <w:keepNext w:val="0"/>
              <w:jc w:val="right"/>
            </w:pPr>
            <w:r>
              <w:t>325</w:t>
            </w:r>
          </w:p>
        </w:tc>
        <w:tc>
          <w:tcPr>
            <w:tcW w:w="729" w:type="pct"/>
          </w:tcPr>
          <w:p w14:paraId="41B13C5D" w14:textId="77777777" w:rsidR="00853570" w:rsidRPr="00AD2492" w:rsidRDefault="00853570" w:rsidP="00662941">
            <w:pPr>
              <w:pStyle w:val="TableText0"/>
              <w:keepNext w:val="0"/>
              <w:jc w:val="right"/>
            </w:pPr>
            <w:r>
              <w:t>334</w:t>
            </w:r>
          </w:p>
        </w:tc>
        <w:tc>
          <w:tcPr>
            <w:tcW w:w="729" w:type="pct"/>
          </w:tcPr>
          <w:p w14:paraId="47658763" w14:textId="77777777" w:rsidR="00853570" w:rsidRPr="00AD2492" w:rsidRDefault="00853570" w:rsidP="00662941">
            <w:pPr>
              <w:pStyle w:val="TableText0"/>
              <w:keepNext w:val="0"/>
              <w:jc w:val="right"/>
            </w:pPr>
            <w:r>
              <w:t>342</w:t>
            </w:r>
          </w:p>
        </w:tc>
        <w:tc>
          <w:tcPr>
            <w:tcW w:w="729" w:type="pct"/>
          </w:tcPr>
          <w:p w14:paraId="1D07C55F" w14:textId="77777777" w:rsidR="00853570" w:rsidRPr="00AD2492" w:rsidRDefault="00853570" w:rsidP="00662941">
            <w:pPr>
              <w:pStyle w:val="TableText0"/>
              <w:keepNext w:val="0"/>
              <w:jc w:val="right"/>
            </w:pPr>
            <w:r>
              <w:t>351</w:t>
            </w:r>
          </w:p>
        </w:tc>
      </w:tr>
      <w:tr w:rsidR="00853570" w:rsidRPr="00AD2492" w14:paraId="0AEE78D8" w14:textId="77777777" w:rsidTr="00D55575">
        <w:trPr>
          <w:trHeight w:val="70"/>
        </w:trPr>
        <w:tc>
          <w:tcPr>
            <w:tcW w:w="1448" w:type="pct"/>
          </w:tcPr>
          <w:p w14:paraId="784AA132" w14:textId="77777777" w:rsidR="00853570" w:rsidRPr="00AD2492" w:rsidRDefault="00853570" w:rsidP="00662941">
            <w:pPr>
              <w:pStyle w:val="TableText0"/>
              <w:keepNext w:val="0"/>
            </w:pPr>
            <w:r>
              <w:t>MBS (cardiac ablation procedures)</w:t>
            </w:r>
          </w:p>
        </w:tc>
        <w:tc>
          <w:tcPr>
            <w:tcW w:w="636" w:type="pct"/>
          </w:tcPr>
          <w:p w14:paraId="6216FE36" w14:textId="77777777" w:rsidR="00853570" w:rsidRPr="00834292" w:rsidRDefault="00853570" w:rsidP="00662941">
            <w:pPr>
              <w:pStyle w:val="CommentTabletext"/>
              <w:ind w:left="0"/>
              <w:jc w:val="center"/>
              <w:rPr>
                <w:highlight w:val="yellow"/>
              </w:rPr>
            </w:pPr>
            <w:r w:rsidRPr="00AA6375">
              <w:t>$1,152,709</w:t>
            </w:r>
          </w:p>
        </w:tc>
        <w:tc>
          <w:tcPr>
            <w:tcW w:w="729" w:type="pct"/>
          </w:tcPr>
          <w:p w14:paraId="272351FC" w14:textId="77777777" w:rsidR="00853570" w:rsidRPr="00834292" w:rsidRDefault="00853570" w:rsidP="00662941">
            <w:pPr>
              <w:pStyle w:val="CommentTabletext"/>
              <w:ind w:left="0"/>
              <w:jc w:val="center"/>
              <w:rPr>
                <w:highlight w:val="yellow"/>
              </w:rPr>
            </w:pPr>
            <w:r w:rsidRPr="00AA6375">
              <w:t>$1,186,478</w:t>
            </w:r>
          </w:p>
        </w:tc>
        <w:tc>
          <w:tcPr>
            <w:tcW w:w="729" w:type="pct"/>
          </w:tcPr>
          <w:p w14:paraId="110CE766" w14:textId="77777777" w:rsidR="00853570" w:rsidRPr="00834292" w:rsidRDefault="00853570" w:rsidP="00662941">
            <w:pPr>
              <w:pStyle w:val="CommentTabletext"/>
              <w:ind w:left="0"/>
              <w:jc w:val="center"/>
              <w:rPr>
                <w:highlight w:val="yellow"/>
              </w:rPr>
            </w:pPr>
            <w:r w:rsidRPr="00AA6375">
              <w:t>$1,220,247</w:t>
            </w:r>
          </w:p>
        </w:tc>
        <w:tc>
          <w:tcPr>
            <w:tcW w:w="729" w:type="pct"/>
          </w:tcPr>
          <w:p w14:paraId="3715E608" w14:textId="77777777" w:rsidR="00853570" w:rsidRPr="00834292" w:rsidRDefault="00853570" w:rsidP="00662941">
            <w:pPr>
              <w:pStyle w:val="CommentTabletext"/>
              <w:ind w:left="0"/>
              <w:jc w:val="center"/>
              <w:rPr>
                <w:highlight w:val="yellow"/>
              </w:rPr>
            </w:pPr>
            <w:r w:rsidRPr="00AA6375">
              <w:t>$1,254,017</w:t>
            </w:r>
          </w:p>
        </w:tc>
        <w:tc>
          <w:tcPr>
            <w:tcW w:w="729" w:type="pct"/>
          </w:tcPr>
          <w:p w14:paraId="5E26A0AA" w14:textId="77777777" w:rsidR="00853570" w:rsidRPr="00834292" w:rsidRDefault="00853570" w:rsidP="00662941">
            <w:pPr>
              <w:pStyle w:val="CommentTabletext"/>
              <w:ind w:left="0"/>
              <w:jc w:val="center"/>
              <w:rPr>
                <w:highlight w:val="yellow"/>
              </w:rPr>
            </w:pPr>
            <w:r w:rsidRPr="00AA6375">
              <w:t>$1,287,786</w:t>
            </w:r>
          </w:p>
        </w:tc>
      </w:tr>
      <w:tr w:rsidR="00853570" w:rsidRPr="00AD2492" w14:paraId="2F95FFF2" w14:textId="77777777" w:rsidTr="00D55575">
        <w:trPr>
          <w:trHeight w:val="73"/>
        </w:trPr>
        <w:tc>
          <w:tcPr>
            <w:tcW w:w="1448" w:type="pct"/>
          </w:tcPr>
          <w:p w14:paraId="799EBD33" w14:textId="77777777" w:rsidR="00853570" w:rsidRPr="00AD2492" w:rsidRDefault="00853570" w:rsidP="00662941">
            <w:pPr>
              <w:pStyle w:val="TableText0"/>
              <w:keepNext w:val="0"/>
            </w:pPr>
            <w:r>
              <w:t>PHI (cardiac ablation devices)</w:t>
            </w:r>
          </w:p>
        </w:tc>
        <w:tc>
          <w:tcPr>
            <w:tcW w:w="636" w:type="pct"/>
          </w:tcPr>
          <w:p w14:paraId="59CD3959" w14:textId="77777777" w:rsidR="00853570" w:rsidRPr="00AD2492" w:rsidRDefault="00853570" w:rsidP="00662941">
            <w:pPr>
              <w:pStyle w:val="TableText0"/>
              <w:keepNext w:val="0"/>
              <w:jc w:val="right"/>
            </w:pPr>
            <w:r>
              <w:t>$2,022,730</w:t>
            </w:r>
          </w:p>
        </w:tc>
        <w:tc>
          <w:tcPr>
            <w:tcW w:w="729" w:type="pct"/>
          </w:tcPr>
          <w:p w14:paraId="311DF3DC" w14:textId="77777777" w:rsidR="00853570" w:rsidRPr="00AD2492" w:rsidRDefault="00853570" w:rsidP="00662941">
            <w:pPr>
              <w:pStyle w:val="TableText0"/>
              <w:keepNext w:val="0"/>
              <w:jc w:val="right"/>
            </w:pPr>
            <w:r>
              <w:t>$2,078,758</w:t>
            </w:r>
          </w:p>
        </w:tc>
        <w:tc>
          <w:tcPr>
            <w:tcW w:w="729" w:type="pct"/>
          </w:tcPr>
          <w:p w14:paraId="6521014E" w14:textId="77777777" w:rsidR="00853570" w:rsidRPr="00AD2492" w:rsidRDefault="00853570" w:rsidP="00662941">
            <w:pPr>
              <w:pStyle w:val="TableText0"/>
              <w:keepNext w:val="0"/>
              <w:jc w:val="right"/>
            </w:pPr>
            <w:r>
              <w:t>$2,134,786</w:t>
            </w:r>
          </w:p>
        </w:tc>
        <w:tc>
          <w:tcPr>
            <w:tcW w:w="729" w:type="pct"/>
          </w:tcPr>
          <w:p w14:paraId="3E3C0AFE" w14:textId="77777777" w:rsidR="00853570" w:rsidRPr="00AD2492" w:rsidRDefault="00853570" w:rsidP="00662941">
            <w:pPr>
              <w:pStyle w:val="TableText0"/>
              <w:keepNext w:val="0"/>
              <w:jc w:val="right"/>
            </w:pPr>
            <w:r>
              <w:t>$2,190,814</w:t>
            </w:r>
          </w:p>
        </w:tc>
        <w:tc>
          <w:tcPr>
            <w:tcW w:w="729" w:type="pct"/>
          </w:tcPr>
          <w:p w14:paraId="207E7D34" w14:textId="77777777" w:rsidR="00853570" w:rsidRPr="00AD2492" w:rsidRDefault="00853570" w:rsidP="00662941">
            <w:pPr>
              <w:pStyle w:val="TableText0"/>
              <w:keepNext w:val="0"/>
              <w:jc w:val="right"/>
            </w:pPr>
            <w:r>
              <w:t>$2,246,842</w:t>
            </w:r>
          </w:p>
        </w:tc>
      </w:tr>
      <w:tr w:rsidR="00853570" w:rsidRPr="00183E4D" w14:paraId="6CB7B8E4" w14:textId="77777777" w:rsidTr="00D55575">
        <w:trPr>
          <w:trHeight w:val="70"/>
        </w:trPr>
        <w:tc>
          <w:tcPr>
            <w:tcW w:w="1448" w:type="pct"/>
          </w:tcPr>
          <w:p w14:paraId="2888A867" w14:textId="77777777" w:rsidR="00853570" w:rsidRPr="00183E4D" w:rsidRDefault="00853570" w:rsidP="00662941">
            <w:pPr>
              <w:pStyle w:val="TableText0"/>
              <w:keepNext w:val="0"/>
              <w:rPr>
                <w:b/>
              </w:rPr>
            </w:pPr>
            <w:r w:rsidRPr="00183E4D">
              <w:rPr>
                <w:b/>
              </w:rPr>
              <w:t>Total cost</w:t>
            </w:r>
          </w:p>
        </w:tc>
        <w:tc>
          <w:tcPr>
            <w:tcW w:w="636" w:type="pct"/>
          </w:tcPr>
          <w:p w14:paraId="1DB147D2" w14:textId="77777777" w:rsidR="00853570" w:rsidRPr="00834292" w:rsidRDefault="00853570" w:rsidP="00662941">
            <w:pPr>
              <w:pStyle w:val="CommentTabletext"/>
              <w:ind w:left="0"/>
              <w:jc w:val="center"/>
              <w:rPr>
                <w:b/>
                <w:bCs/>
                <w:highlight w:val="yellow"/>
              </w:rPr>
            </w:pPr>
            <w:r w:rsidRPr="00AA6375">
              <w:t>$3,175,439</w:t>
            </w:r>
          </w:p>
        </w:tc>
        <w:tc>
          <w:tcPr>
            <w:tcW w:w="729" w:type="pct"/>
          </w:tcPr>
          <w:p w14:paraId="351CF2F2" w14:textId="77777777" w:rsidR="00853570" w:rsidRPr="00834292" w:rsidRDefault="00853570" w:rsidP="00662941">
            <w:pPr>
              <w:pStyle w:val="CommentTabletext"/>
              <w:ind w:left="0"/>
              <w:jc w:val="center"/>
              <w:rPr>
                <w:b/>
                <w:bCs/>
                <w:highlight w:val="yellow"/>
              </w:rPr>
            </w:pPr>
            <w:r w:rsidRPr="00AA6375">
              <w:t>$3,265,236</w:t>
            </w:r>
          </w:p>
        </w:tc>
        <w:tc>
          <w:tcPr>
            <w:tcW w:w="729" w:type="pct"/>
          </w:tcPr>
          <w:p w14:paraId="32A0F579" w14:textId="77777777" w:rsidR="00853570" w:rsidRPr="00834292" w:rsidRDefault="00853570" w:rsidP="00662941">
            <w:pPr>
              <w:pStyle w:val="CommentTabletext"/>
              <w:ind w:left="0"/>
              <w:jc w:val="center"/>
              <w:rPr>
                <w:b/>
                <w:bCs/>
                <w:highlight w:val="yellow"/>
              </w:rPr>
            </w:pPr>
            <w:r w:rsidRPr="00AA6375">
              <w:t>$3,355,034</w:t>
            </w:r>
          </w:p>
        </w:tc>
        <w:tc>
          <w:tcPr>
            <w:tcW w:w="729" w:type="pct"/>
          </w:tcPr>
          <w:p w14:paraId="63F5E857" w14:textId="77777777" w:rsidR="00853570" w:rsidRPr="00834292" w:rsidRDefault="00853570" w:rsidP="00662941">
            <w:pPr>
              <w:pStyle w:val="CommentTabletext"/>
              <w:ind w:left="0"/>
              <w:jc w:val="center"/>
              <w:rPr>
                <w:b/>
                <w:bCs/>
                <w:highlight w:val="yellow"/>
              </w:rPr>
            </w:pPr>
            <w:r w:rsidRPr="00AA6375">
              <w:t>$3,444,831</w:t>
            </w:r>
          </w:p>
        </w:tc>
        <w:tc>
          <w:tcPr>
            <w:tcW w:w="729" w:type="pct"/>
          </w:tcPr>
          <w:p w14:paraId="6BDF3316" w14:textId="77777777" w:rsidR="00853570" w:rsidRPr="00834292" w:rsidRDefault="00853570" w:rsidP="00662941">
            <w:pPr>
              <w:pStyle w:val="CommentTabletext"/>
              <w:ind w:left="0"/>
              <w:jc w:val="center"/>
              <w:rPr>
                <w:b/>
                <w:bCs/>
                <w:highlight w:val="yellow"/>
              </w:rPr>
            </w:pPr>
            <w:r w:rsidRPr="00AA6375">
              <w:t>$3,534,628</w:t>
            </w:r>
          </w:p>
        </w:tc>
      </w:tr>
      <w:tr w:rsidR="00853570" w:rsidRPr="00183E4D" w14:paraId="665F834B" w14:textId="77777777" w:rsidTr="00D55575">
        <w:trPr>
          <w:trHeight w:val="70"/>
        </w:trPr>
        <w:tc>
          <w:tcPr>
            <w:tcW w:w="1448" w:type="pct"/>
          </w:tcPr>
          <w:p w14:paraId="5F3D043A" w14:textId="77777777" w:rsidR="00853570" w:rsidRPr="006D687B" w:rsidRDefault="00853570" w:rsidP="00662941">
            <w:pPr>
              <w:pStyle w:val="TableText0"/>
              <w:keepNext w:val="0"/>
            </w:pPr>
            <w:r w:rsidRPr="006D687B">
              <w:t xml:space="preserve">PBS </w:t>
            </w:r>
          </w:p>
        </w:tc>
        <w:tc>
          <w:tcPr>
            <w:tcW w:w="636" w:type="pct"/>
          </w:tcPr>
          <w:p w14:paraId="42D81995" w14:textId="77777777" w:rsidR="00853570" w:rsidRPr="006D687B" w:rsidRDefault="00853570" w:rsidP="00662941">
            <w:pPr>
              <w:pStyle w:val="TableText0"/>
              <w:keepNext w:val="0"/>
              <w:jc w:val="right"/>
            </w:pPr>
            <w:r w:rsidRPr="006D687B">
              <w:t>-$78,981</w:t>
            </w:r>
          </w:p>
        </w:tc>
        <w:tc>
          <w:tcPr>
            <w:tcW w:w="729" w:type="pct"/>
          </w:tcPr>
          <w:p w14:paraId="775A5446" w14:textId="77777777" w:rsidR="00853570" w:rsidRPr="006D687B" w:rsidRDefault="00853570" w:rsidP="00662941">
            <w:pPr>
              <w:pStyle w:val="TableText0"/>
              <w:keepNext w:val="0"/>
              <w:jc w:val="right"/>
            </w:pPr>
            <w:r w:rsidRPr="006D687B">
              <w:t>-$81,169</w:t>
            </w:r>
          </w:p>
        </w:tc>
        <w:tc>
          <w:tcPr>
            <w:tcW w:w="729" w:type="pct"/>
          </w:tcPr>
          <w:p w14:paraId="5F5FF7E4" w14:textId="77777777" w:rsidR="00853570" w:rsidRPr="006D687B" w:rsidRDefault="00853570" w:rsidP="00662941">
            <w:pPr>
              <w:pStyle w:val="TableText0"/>
              <w:keepNext w:val="0"/>
              <w:jc w:val="right"/>
            </w:pPr>
            <w:r w:rsidRPr="006D687B">
              <w:t>-$83,356</w:t>
            </w:r>
          </w:p>
        </w:tc>
        <w:tc>
          <w:tcPr>
            <w:tcW w:w="729" w:type="pct"/>
          </w:tcPr>
          <w:p w14:paraId="7FB5C668" w14:textId="77777777" w:rsidR="00853570" w:rsidRPr="006D687B" w:rsidRDefault="00853570" w:rsidP="00662941">
            <w:pPr>
              <w:pStyle w:val="TableText0"/>
              <w:keepNext w:val="0"/>
              <w:jc w:val="right"/>
            </w:pPr>
            <w:r w:rsidRPr="006D687B">
              <w:t>-$85,544</w:t>
            </w:r>
          </w:p>
        </w:tc>
        <w:tc>
          <w:tcPr>
            <w:tcW w:w="729" w:type="pct"/>
          </w:tcPr>
          <w:p w14:paraId="7B898926" w14:textId="77777777" w:rsidR="00853570" w:rsidRPr="006D687B" w:rsidRDefault="00853570" w:rsidP="00662941">
            <w:pPr>
              <w:pStyle w:val="TableText0"/>
              <w:keepNext w:val="0"/>
              <w:jc w:val="right"/>
            </w:pPr>
            <w:r w:rsidRPr="006D687B">
              <w:t>-$87,732</w:t>
            </w:r>
          </w:p>
        </w:tc>
      </w:tr>
      <w:tr w:rsidR="00853570" w:rsidRPr="00183E4D" w14:paraId="26E2A4B9" w14:textId="77777777" w:rsidTr="00D55575">
        <w:trPr>
          <w:trHeight w:val="70"/>
        </w:trPr>
        <w:tc>
          <w:tcPr>
            <w:tcW w:w="1448" w:type="pct"/>
          </w:tcPr>
          <w:p w14:paraId="793CC443" w14:textId="77777777" w:rsidR="00853570" w:rsidRPr="006D687B" w:rsidRDefault="00853570" w:rsidP="00662941">
            <w:pPr>
              <w:pStyle w:val="TableText0"/>
              <w:keepNext w:val="0"/>
              <w:rPr>
                <w:b/>
              </w:rPr>
            </w:pPr>
            <w:r w:rsidRPr="006D687B">
              <w:rPr>
                <w:b/>
              </w:rPr>
              <w:t xml:space="preserve">Net cost </w:t>
            </w:r>
          </w:p>
        </w:tc>
        <w:tc>
          <w:tcPr>
            <w:tcW w:w="636" w:type="pct"/>
          </w:tcPr>
          <w:p w14:paraId="2B422D63" w14:textId="77777777" w:rsidR="00853570" w:rsidRPr="00834292" w:rsidRDefault="00853570" w:rsidP="00662941">
            <w:pPr>
              <w:pStyle w:val="CommentTabletext"/>
              <w:ind w:left="0"/>
              <w:jc w:val="center"/>
              <w:rPr>
                <w:b/>
                <w:bCs/>
                <w:highlight w:val="yellow"/>
              </w:rPr>
            </w:pPr>
            <w:r w:rsidRPr="00AA6375">
              <w:t>$3,096,458</w:t>
            </w:r>
          </w:p>
        </w:tc>
        <w:tc>
          <w:tcPr>
            <w:tcW w:w="729" w:type="pct"/>
          </w:tcPr>
          <w:p w14:paraId="24D3E9EF" w14:textId="77777777" w:rsidR="00853570" w:rsidRPr="00834292" w:rsidRDefault="00853570" w:rsidP="00662941">
            <w:pPr>
              <w:pStyle w:val="CommentTabletext"/>
              <w:ind w:left="0"/>
              <w:jc w:val="center"/>
              <w:rPr>
                <w:b/>
                <w:bCs/>
                <w:highlight w:val="yellow"/>
              </w:rPr>
            </w:pPr>
            <w:r w:rsidRPr="00AA6375">
              <w:t>$3,184,068</w:t>
            </w:r>
          </w:p>
        </w:tc>
        <w:tc>
          <w:tcPr>
            <w:tcW w:w="729" w:type="pct"/>
          </w:tcPr>
          <w:p w14:paraId="70C24DCA" w14:textId="77777777" w:rsidR="00853570" w:rsidRPr="00834292" w:rsidRDefault="00853570" w:rsidP="00662941">
            <w:pPr>
              <w:pStyle w:val="CommentTabletext"/>
              <w:ind w:left="0"/>
              <w:jc w:val="center"/>
              <w:rPr>
                <w:b/>
                <w:bCs/>
                <w:highlight w:val="yellow"/>
              </w:rPr>
            </w:pPr>
            <w:r w:rsidRPr="00AA6375">
              <w:t>$3,271,677</w:t>
            </w:r>
          </w:p>
        </w:tc>
        <w:tc>
          <w:tcPr>
            <w:tcW w:w="729" w:type="pct"/>
          </w:tcPr>
          <w:p w14:paraId="692F21A9" w14:textId="77777777" w:rsidR="00853570" w:rsidRPr="00834292" w:rsidRDefault="00853570" w:rsidP="00662941">
            <w:pPr>
              <w:pStyle w:val="CommentTabletext"/>
              <w:ind w:left="0"/>
              <w:jc w:val="center"/>
              <w:rPr>
                <w:b/>
                <w:bCs/>
                <w:highlight w:val="yellow"/>
              </w:rPr>
            </w:pPr>
            <w:r w:rsidRPr="00AA6375">
              <w:t>$3,359,287</w:t>
            </w:r>
          </w:p>
        </w:tc>
        <w:tc>
          <w:tcPr>
            <w:tcW w:w="729" w:type="pct"/>
          </w:tcPr>
          <w:p w14:paraId="502B4428" w14:textId="77777777" w:rsidR="00853570" w:rsidRPr="00834292" w:rsidRDefault="00853570" w:rsidP="00662941">
            <w:pPr>
              <w:pStyle w:val="CommentTabletext"/>
              <w:ind w:left="0"/>
              <w:jc w:val="center"/>
              <w:rPr>
                <w:b/>
                <w:bCs/>
                <w:highlight w:val="yellow"/>
              </w:rPr>
            </w:pPr>
            <w:r w:rsidRPr="00AA6375">
              <w:t>$3,446,897</w:t>
            </w:r>
          </w:p>
        </w:tc>
      </w:tr>
    </w:tbl>
    <w:p w14:paraId="5FD62027" w14:textId="77777777" w:rsidR="00853570" w:rsidRDefault="00853570" w:rsidP="00853570">
      <w:pPr>
        <w:pStyle w:val="TFAbbrevs0"/>
      </w:pPr>
      <w:r>
        <w:t>Source: Table 7, pxix of Commentary</w:t>
      </w:r>
    </w:p>
    <w:p w14:paraId="6C73035A" w14:textId="732A0713" w:rsidR="00853570" w:rsidRPr="00C04B3C" w:rsidRDefault="00853570" w:rsidP="00C04B3C">
      <w:pPr>
        <w:pStyle w:val="TFAbbrevs0"/>
      </w:pPr>
      <w:r>
        <w:t>MBS=Medicare Benefits Schedule; PBS=Pharmaceutical Benefits Sche</w:t>
      </w:r>
      <w:r w:rsidR="00C04B3C">
        <w:t>me; PHI=private health insurer.</w:t>
      </w:r>
    </w:p>
    <w:p w14:paraId="13548C2F" w14:textId="77777777" w:rsidR="00853570" w:rsidRDefault="00853570" w:rsidP="00C04B3C">
      <w:pPr>
        <w:spacing w:before="240"/>
      </w:pPr>
      <w:r>
        <w:t>In the pre-E</w:t>
      </w:r>
      <w:r w:rsidR="00D96C00">
        <w:t xml:space="preserve">valuation </w:t>
      </w:r>
      <w:r>
        <w:t>S</w:t>
      </w:r>
      <w:r w:rsidR="00D96C00">
        <w:t>ub-</w:t>
      </w:r>
      <w:r>
        <w:t>C</w:t>
      </w:r>
      <w:r w:rsidR="00D96C00">
        <w:t>ommittee</w:t>
      </w:r>
      <w:r>
        <w:t xml:space="preserve"> response, the applicant noted:</w:t>
      </w:r>
    </w:p>
    <w:p w14:paraId="2D929D8C" w14:textId="77777777" w:rsidR="00853570" w:rsidRDefault="00853570" w:rsidP="00853570">
      <w:pPr>
        <w:pStyle w:val="ListParagraph"/>
        <w:numPr>
          <w:ilvl w:val="0"/>
          <w:numId w:val="34"/>
        </w:numPr>
      </w:pPr>
      <w:r w:rsidRPr="00F311D1">
        <w:t>growth in cardiac ablation services for SVT and VA have been low in recent years, with the 5-year compound annual growth rate (CAGR) being only 0.6% for SVT (MBS item 38287) and 10.6% for VA (MBS items 38293 an</w:t>
      </w:r>
      <w:r>
        <w:t>d 38518) in 2019</w:t>
      </w:r>
    </w:p>
    <w:p w14:paraId="253D8A36" w14:textId="0F45F229" w:rsidR="00853570" w:rsidRDefault="00853570" w:rsidP="00853570">
      <w:pPr>
        <w:pStyle w:val="ListParagraph"/>
        <w:numPr>
          <w:ilvl w:val="0"/>
          <w:numId w:val="34"/>
        </w:numPr>
      </w:pPr>
      <w:r>
        <w:t>t</w:t>
      </w:r>
      <w:r w:rsidRPr="00F311D1">
        <w:t>he 5-year CAGR for VA is very similar to that for AF (10.3%). Therefore, an assumed 10% increase in demand additional to current growth is expected to be an upper limit (or to over-estimate) for the growth in private sector demand for cardiac ablation in any indication.</w:t>
      </w:r>
    </w:p>
    <w:p w14:paraId="44EBF08A" w14:textId="77777777" w:rsidR="006A0D97" w:rsidRPr="00F715D1" w:rsidRDefault="006A0D97" w:rsidP="00BC2BBD">
      <w:pPr>
        <w:pStyle w:val="Heading1"/>
        <w:keepNext w:val="0"/>
        <w:keepLines w:val="0"/>
      </w:pPr>
      <w:r w:rsidRPr="00F715D1">
        <w:t>Key issues from E</w:t>
      </w:r>
      <w:r w:rsidR="00D96C00">
        <w:t xml:space="preserve">valuation </w:t>
      </w:r>
      <w:r w:rsidRPr="00F715D1">
        <w:t>S</w:t>
      </w:r>
      <w:r w:rsidR="00D96C00">
        <w:t>ub-</w:t>
      </w:r>
      <w:r w:rsidRPr="00F715D1">
        <w:t>C</w:t>
      </w:r>
      <w:r w:rsidR="00D96C00">
        <w:t>ommittee</w:t>
      </w:r>
      <w:r w:rsidRPr="00F715D1">
        <w:t xml:space="preserve"> for MSAC</w:t>
      </w:r>
    </w:p>
    <w:tbl>
      <w:tblPr>
        <w:tblStyle w:val="TableGrid1"/>
        <w:tblW w:w="0" w:type="auto"/>
        <w:tblLook w:val="04A0" w:firstRow="1" w:lastRow="0" w:firstColumn="1" w:lastColumn="0" w:noHBand="0" w:noVBand="1"/>
        <w:tblCaption w:val="Key issues from ESC to MSAC"/>
      </w:tblPr>
      <w:tblGrid>
        <w:gridCol w:w="2972"/>
        <w:gridCol w:w="6044"/>
      </w:tblGrid>
      <w:tr w:rsidR="003E5E8C" w:rsidRPr="00BF4FB0" w14:paraId="22820666" w14:textId="77777777" w:rsidTr="00514D34">
        <w:trPr>
          <w:tblHeader/>
        </w:trPr>
        <w:tc>
          <w:tcPr>
            <w:tcW w:w="2972" w:type="dxa"/>
          </w:tcPr>
          <w:p w14:paraId="2A77BD71" w14:textId="77777777" w:rsidR="003E5E8C" w:rsidRPr="00BF4FB0" w:rsidRDefault="003E5E8C" w:rsidP="00BC2BBD">
            <w:pPr>
              <w:rPr>
                <w:b/>
                <w:bCs/>
                <w:color w:val="000000"/>
                <w:sz w:val="21"/>
                <w:szCs w:val="21"/>
              </w:rPr>
            </w:pPr>
            <w:r w:rsidRPr="00BF4FB0">
              <w:rPr>
                <w:b/>
                <w:bCs/>
                <w:color w:val="000000"/>
                <w:sz w:val="21"/>
                <w:szCs w:val="21"/>
              </w:rPr>
              <w:t>E</w:t>
            </w:r>
            <w:r w:rsidR="00D96C00">
              <w:rPr>
                <w:b/>
                <w:bCs/>
                <w:color w:val="000000"/>
                <w:sz w:val="21"/>
                <w:szCs w:val="21"/>
              </w:rPr>
              <w:t xml:space="preserve">valuation </w:t>
            </w:r>
            <w:r w:rsidRPr="00BF4FB0">
              <w:rPr>
                <w:b/>
                <w:bCs/>
                <w:color w:val="000000"/>
                <w:sz w:val="21"/>
                <w:szCs w:val="21"/>
              </w:rPr>
              <w:t>S</w:t>
            </w:r>
            <w:r w:rsidR="00D96C00">
              <w:rPr>
                <w:b/>
                <w:bCs/>
                <w:color w:val="000000"/>
                <w:sz w:val="21"/>
                <w:szCs w:val="21"/>
              </w:rPr>
              <w:t>ub-</w:t>
            </w:r>
            <w:r w:rsidRPr="00BF4FB0">
              <w:rPr>
                <w:b/>
                <w:bCs/>
                <w:color w:val="000000"/>
                <w:sz w:val="21"/>
                <w:szCs w:val="21"/>
              </w:rPr>
              <w:t>C</w:t>
            </w:r>
            <w:r w:rsidR="00D96C00">
              <w:rPr>
                <w:b/>
                <w:bCs/>
                <w:color w:val="000000"/>
                <w:sz w:val="21"/>
                <w:szCs w:val="21"/>
              </w:rPr>
              <w:t>ommittee</w:t>
            </w:r>
            <w:r w:rsidRPr="00BF4FB0">
              <w:rPr>
                <w:b/>
                <w:bCs/>
                <w:color w:val="000000"/>
                <w:sz w:val="21"/>
                <w:szCs w:val="21"/>
              </w:rPr>
              <w:t xml:space="preserve"> key issue</w:t>
            </w:r>
          </w:p>
        </w:tc>
        <w:tc>
          <w:tcPr>
            <w:tcW w:w="6044" w:type="dxa"/>
          </w:tcPr>
          <w:p w14:paraId="4EAB73B0" w14:textId="77777777" w:rsidR="003E5E8C" w:rsidRPr="00BF4FB0" w:rsidRDefault="003E5E8C" w:rsidP="00BC2BBD">
            <w:pPr>
              <w:rPr>
                <w:b/>
                <w:bCs/>
                <w:color w:val="000000"/>
                <w:sz w:val="21"/>
                <w:szCs w:val="21"/>
              </w:rPr>
            </w:pPr>
            <w:r w:rsidRPr="00BF4FB0">
              <w:rPr>
                <w:b/>
                <w:bCs/>
                <w:color w:val="000000"/>
                <w:sz w:val="21"/>
                <w:szCs w:val="21"/>
              </w:rPr>
              <w:t>E</w:t>
            </w:r>
            <w:r w:rsidR="00D96C00">
              <w:rPr>
                <w:b/>
                <w:bCs/>
                <w:color w:val="000000"/>
                <w:sz w:val="21"/>
                <w:szCs w:val="21"/>
              </w:rPr>
              <w:t xml:space="preserve">valuation </w:t>
            </w:r>
            <w:r w:rsidRPr="00BF4FB0">
              <w:rPr>
                <w:b/>
                <w:bCs/>
                <w:color w:val="000000"/>
                <w:sz w:val="21"/>
                <w:szCs w:val="21"/>
              </w:rPr>
              <w:t>S</w:t>
            </w:r>
            <w:r w:rsidR="00D96C00">
              <w:rPr>
                <w:b/>
                <w:bCs/>
                <w:color w:val="000000"/>
                <w:sz w:val="21"/>
                <w:szCs w:val="21"/>
              </w:rPr>
              <w:t>ub-</w:t>
            </w:r>
            <w:r w:rsidRPr="00BF4FB0">
              <w:rPr>
                <w:b/>
                <w:bCs/>
                <w:color w:val="000000"/>
                <w:sz w:val="21"/>
                <w:szCs w:val="21"/>
              </w:rPr>
              <w:t>C</w:t>
            </w:r>
            <w:r w:rsidR="00D96C00">
              <w:rPr>
                <w:b/>
                <w:bCs/>
                <w:color w:val="000000"/>
                <w:sz w:val="21"/>
                <w:szCs w:val="21"/>
              </w:rPr>
              <w:t>ommittee</w:t>
            </w:r>
            <w:r w:rsidRPr="00BF4FB0">
              <w:rPr>
                <w:b/>
                <w:bCs/>
                <w:color w:val="000000"/>
                <w:sz w:val="21"/>
                <w:szCs w:val="21"/>
              </w:rPr>
              <w:t xml:space="preserve"> advice to MSAC</w:t>
            </w:r>
          </w:p>
        </w:tc>
      </w:tr>
      <w:tr w:rsidR="003E5E8C" w:rsidRPr="00BF4FB0" w14:paraId="02B336B3" w14:textId="77777777" w:rsidTr="00662941">
        <w:trPr>
          <w:trHeight w:val="465"/>
        </w:trPr>
        <w:tc>
          <w:tcPr>
            <w:tcW w:w="2972" w:type="dxa"/>
            <w:hideMark/>
          </w:tcPr>
          <w:p w14:paraId="713C3A43" w14:textId="77777777" w:rsidR="003E5E8C" w:rsidRPr="00BF4FB0" w:rsidRDefault="003E5E8C" w:rsidP="00BC2BBD">
            <w:pPr>
              <w:rPr>
                <w:color w:val="000000"/>
                <w:sz w:val="21"/>
                <w:szCs w:val="21"/>
              </w:rPr>
            </w:pPr>
            <w:r w:rsidRPr="00BF4FB0">
              <w:rPr>
                <w:color w:val="000000"/>
                <w:sz w:val="21"/>
                <w:szCs w:val="21"/>
              </w:rPr>
              <w:t>Safety</w:t>
            </w:r>
          </w:p>
        </w:tc>
        <w:tc>
          <w:tcPr>
            <w:tcW w:w="6044" w:type="dxa"/>
            <w:hideMark/>
          </w:tcPr>
          <w:p w14:paraId="2E9419EC" w14:textId="77777777" w:rsidR="003E5E8C" w:rsidRPr="00BF4FB0" w:rsidRDefault="003E5E8C" w:rsidP="00BC2BBD">
            <w:pPr>
              <w:rPr>
                <w:color w:val="000000"/>
                <w:sz w:val="21"/>
                <w:szCs w:val="21"/>
              </w:rPr>
            </w:pPr>
            <w:r w:rsidRPr="00BF4FB0">
              <w:rPr>
                <w:color w:val="000000"/>
                <w:sz w:val="21"/>
                <w:szCs w:val="21"/>
              </w:rPr>
              <w:t>Catheter ablation is likely to have superior safety compared with anti-arrhythmic drugs.</w:t>
            </w:r>
          </w:p>
        </w:tc>
      </w:tr>
      <w:tr w:rsidR="003E5E8C" w:rsidRPr="00BF4FB0" w14:paraId="359E2E44" w14:textId="77777777" w:rsidTr="00C04B3C">
        <w:trPr>
          <w:trHeight w:val="547"/>
        </w:trPr>
        <w:tc>
          <w:tcPr>
            <w:tcW w:w="2972" w:type="dxa"/>
            <w:hideMark/>
          </w:tcPr>
          <w:p w14:paraId="30461AD7" w14:textId="77777777" w:rsidR="003E5E8C" w:rsidRPr="00BF4FB0" w:rsidRDefault="003E5E8C" w:rsidP="00BC2BBD">
            <w:pPr>
              <w:rPr>
                <w:color w:val="000000"/>
                <w:sz w:val="21"/>
                <w:szCs w:val="21"/>
              </w:rPr>
            </w:pPr>
            <w:r w:rsidRPr="00BF4FB0">
              <w:rPr>
                <w:color w:val="000000"/>
                <w:sz w:val="21"/>
                <w:szCs w:val="21"/>
              </w:rPr>
              <w:t>Clinical effectiveness – supraventricular tachycardia</w:t>
            </w:r>
          </w:p>
        </w:tc>
        <w:tc>
          <w:tcPr>
            <w:tcW w:w="6044" w:type="dxa"/>
            <w:hideMark/>
          </w:tcPr>
          <w:p w14:paraId="0C806B39" w14:textId="77777777" w:rsidR="003E5E8C" w:rsidRPr="00BF4FB0" w:rsidRDefault="003E5E8C" w:rsidP="00BC2BBD">
            <w:pPr>
              <w:rPr>
                <w:color w:val="000000"/>
                <w:sz w:val="21"/>
                <w:szCs w:val="21"/>
              </w:rPr>
            </w:pPr>
            <w:r w:rsidRPr="00BF4FB0">
              <w:rPr>
                <w:color w:val="000000"/>
                <w:sz w:val="21"/>
                <w:szCs w:val="21"/>
              </w:rPr>
              <w:t>The intervention is effective in reducing arrhythmia recurrence.</w:t>
            </w:r>
          </w:p>
        </w:tc>
      </w:tr>
      <w:tr w:rsidR="003E5E8C" w:rsidRPr="00BF4FB0" w14:paraId="10C7DB34" w14:textId="77777777" w:rsidTr="00662941">
        <w:trPr>
          <w:trHeight w:val="838"/>
        </w:trPr>
        <w:tc>
          <w:tcPr>
            <w:tcW w:w="2972" w:type="dxa"/>
            <w:hideMark/>
          </w:tcPr>
          <w:p w14:paraId="1061C843" w14:textId="77777777" w:rsidR="003E5E8C" w:rsidRPr="00BF4FB0" w:rsidRDefault="003E5E8C" w:rsidP="00BC2BBD">
            <w:pPr>
              <w:rPr>
                <w:color w:val="000000"/>
                <w:sz w:val="21"/>
                <w:szCs w:val="21"/>
              </w:rPr>
            </w:pPr>
            <w:r w:rsidRPr="00BF4FB0">
              <w:rPr>
                <w:color w:val="000000"/>
                <w:sz w:val="21"/>
                <w:szCs w:val="21"/>
              </w:rPr>
              <w:t>Clinical effectiveness – ventricular arrhythmia</w:t>
            </w:r>
          </w:p>
        </w:tc>
        <w:tc>
          <w:tcPr>
            <w:tcW w:w="6044" w:type="dxa"/>
            <w:hideMark/>
          </w:tcPr>
          <w:p w14:paraId="124C78DA" w14:textId="77777777" w:rsidR="003E5E8C" w:rsidRPr="00BF4FB0" w:rsidRDefault="003E5E8C" w:rsidP="00BC2BBD">
            <w:pPr>
              <w:rPr>
                <w:color w:val="000000"/>
                <w:sz w:val="21"/>
                <w:szCs w:val="21"/>
              </w:rPr>
            </w:pPr>
            <w:r w:rsidRPr="00BF4FB0">
              <w:rPr>
                <w:color w:val="000000"/>
                <w:sz w:val="21"/>
                <w:szCs w:val="21"/>
              </w:rPr>
              <w:t xml:space="preserve">The evidence base should be limited to published studies so that the effect of bias can be assessed. Therefore, studies with abstracts only should be excluded from the evidence base. </w:t>
            </w:r>
          </w:p>
          <w:p w14:paraId="1AC4F3C0" w14:textId="77777777" w:rsidR="003E5E8C" w:rsidRPr="00BF4FB0" w:rsidRDefault="003E5E8C" w:rsidP="00BC2BBD">
            <w:pPr>
              <w:rPr>
                <w:color w:val="000000"/>
                <w:sz w:val="21"/>
                <w:szCs w:val="21"/>
              </w:rPr>
            </w:pPr>
            <w:r w:rsidRPr="00BF4FB0">
              <w:rPr>
                <w:color w:val="000000"/>
                <w:sz w:val="21"/>
                <w:szCs w:val="21"/>
              </w:rPr>
              <w:t>Outcome for ventricular arrhythmia recurrence was not statistically significant when conference abstracts are excluded.</w:t>
            </w:r>
          </w:p>
        </w:tc>
      </w:tr>
      <w:tr w:rsidR="003E5E8C" w:rsidRPr="00BF4FB0" w14:paraId="036015BC" w14:textId="77777777" w:rsidTr="00662941">
        <w:trPr>
          <w:trHeight w:val="973"/>
        </w:trPr>
        <w:tc>
          <w:tcPr>
            <w:tcW w:w="2972" w:type="dxa"/>
            <w:hideMark/>
          </w:tcPr>
          <w:p w14:paraId="5E31142F" w14:textId="77777777" w:rsidR="003E5E8C" w:rsidRPr="00BF4FB0" w:rsidRDefault="003E5E8C" w:rsidP="00BC2BBD">
            <w:pPr>
              <w:rPr>
                <w:color w:val="000000"/>
                <w:sz w:val="21"/>
                <w:szCs w:val="21"/>
              </w:rPr>
            </w:pPr>
            <w:r w:rsidRPr="00BF4FB0">
              <w:rPr>
                <w:color w:val="000000"/>
                <w:sz w:val="21"/>
                <w:szCs w:val="21"/>
              </w:rPr>
              <w:t>Registry of outcomes post-cardiac ablation to evaluate individual and laboratory performance</w:t>
            </w:r>
          </w:p>
        </w:tc>
        <w:tc>
          <w:tcPr>
            <w:tcW w:w="6044" w:type="dxa"/>
            <w:hideMark/>
          </w:tcPr>
          <w:p w14:paraId="1BE0350E" w14:textId="4F22BC8C" w:rsidR="003E5E8C" w:rsidRPr="00BF4FB0" w:rsidRDefault="003E5E8C" w:rsidP="00BC2BBD">
            <w:pPr>
              <w:rPr>
                <w:color w:val="000000"/>
                <w:sz w:val="21"/>
                <w:szCs w:val="21"/>
              </w:rPr>
            </w:pPr>
            <w:r w:rsidRPr="00BF4FB0">
              <w:rPr>
                <w:color w:val="000000"/>
                <w:sz w:val="21"/>
                <w:szCs w:val="21"/>
              </w:rPr>
              <w:t xml:space="preserve">Apart from QA/QI as part of good clinical governance, </w:t>
            </w:r>
            <w:r>
              <w:rPr>
                <w:color w:val="000000"/>
                <w:sz w:val="21"/>
                <w:szCs w:val="21"/>
              </w:rPr>
              <w:t xml:space="preserve">a </w:t>
            </w:r>
            <w:r w:rsidRPr="00BF4FB0">
              <w:rPr>
                <w:color w:val="000000"/>
                <w:sz w:val="21"/>
                <w:szCs w:val="21"/>
              </w:rPr>
              <w:t xml:space="preserve">registry could be used </w:t>
            </w:r>
            <w:r>
              <w:rPr>
                <w:color w:val="000000"/>
                <w:sz w:val="21"/>
                <w:szCs w:val="21"/>
              </w:rPr>
              <w:t>to provide</w:t>
            </w:r>
            <w:r w:rsidRPr="00BF4FB0">
              <w:rPr>
                <w:color w:val="000000"/>
                <w:sz w:val="21"/>
                <w:szCs w:val="21"/>
              </w:rPr>
              <w:t xml:space="preserve"> transparent feedback to patients and private health insurers to support informed decision</w:t>
            </w:r>
            <w:r w:rsidR="00170FB8">
              <w:rPr>
                <w:color w:val="000000"/>
                <w:sz w:val="21"/>
                <w:szCs w:val="21"/>
              </w:rPr>
              <w:t>-</w:t>
            </w:r>
            <w:r w:rsidRPr="00BF4FB0">
              <w:rPr>
                <w:color w:val="000000"/>
                <w:sz w:val="21"/>
                <w:szCs w:val="21"/>
              </w:rPr>
              <w:t>making.</w:t>
            </w:r>
          </w:p>
        </w:tc>
      </w:tr>
      <w:tr w:rsidR="003E5E8C" w:rsidRPr="00BF4FB0" w14:paraId="22A8C01F" w14:textId="77777777" w:rsidTr="00662941">
        <w:trPr>
          <w:trHeight w:val="1361"/>
        </w:trPr>
        <w:tc>
          <w:tcPr>
            <w:tcW w:w="2972" w:type="dxa"/>
            <w:hideMark/>
          </w:tcPr>
          <w:p w14:paraId="182E70E4" w14:textId="77777777" w:rsidR="003E5E8C" w:rsidRPr="00BF4FB0" w:rsidRDefault="003E5E8C" w:rsidP="00BC2BBD">
            <w:pPr>
              <w:rPr>
                <w:color w:val="000000"/>
                <w:sz w:val="21"/>
                <w:szCs w:val="21"/>
              </w:rPr>
            </w:pPr>
            <w:r w:rsidRPr="00BF4FB0">
              <w:rPr>
                <w:color w:val="000000"/>
                <w:sz w:val="21"/>
                <w:szCs w:val="21"/>
              </w:rPr>
              <w:t>Cost-effectiveness</w:t>
            </w:r>
          </w:p>
        </w:tc>
        <w:tc>
          <w:tcPr>
            <w:tcW w:w="6044" w:type="dxa"/>
            <w:hideMark/>
          </w:tcPr>
          <w:p w14:paraId="46D42584" w14:textId="10EED707" w:rsidR="003E5E8C" w:rsidRDefault="003E5E8C" w:rsidP="00BC2BBD">
            <w:pPr>
              <w:rPr>
                <w:color w:val="000000"/>
                <w:sz w:val="21"/>
                <w:szCs w:val="21"/>
              </w:rPr>
            </w:pPr>
            <w:r w:rsidRPr="00BF4FB0">
              <w:rPr>
                <w:color w:val="000000"/>
                <w:sz w:val="21"/>
                <w:szCs w:val="21"/>
              </w:rPr>
              <w:t>Overall, the intervention is cost-effective, within each type of arrhythmia over a 10-year horizon. But, in the shorter term, upfront costs are calculated and result in a larger ICER, which is not cost-effective. Given the different subpopulations of age and scarce evidence from literature, E</w:t>
            </w:r>
            <w:r w:rsidR="00D96C00">
              <w:rPr>
                <w:color w:val="000000"/>
                <w:sz w:val="21"/>
                <w:szCs w:val="21"/>
              </w:rPr>
              <w:t xml:space="preserve">vaulation </w:t>
            </w:r>
            <w:r w:rsidRPr="00BF4FB0">
              <w:rPr>
                <w:color w:val="000000"/>
                <w:sz w:val="21"/>
                <w:szCs w:val="21"/>
              </w:rPr>
              <w:t>S</w:t>
            </w:r>
            <w:r w:rsidR="00D96C00">
              <w:rPr>
                <w:color w:val="000000"/>
                <w:sz w:val="21"/>
                <w:szCs w:val="21"/>
              </w:rPr>
              <w:t>ub-</w:t>
            </w:r>
            <w:r w:rsidRPr="00BF4FB0">
              <w:rPr>
                <w:color w:val="000000"/>
                <w:sz w:val="21"/>
                <w:szCs w:val="21"/>
              </w:rPr>
              <w:t>C</w:t>
            </w:r>
            <w:r w:rsidR="00D96C00">
              <w:rPr>
                <w:color w:val="000000"/>
                <w:sz w:val="21"/>
                <w:szCs w:val="21"/>
              </w:rPr>
              <w:t>ommittee</w:t>
            </w:r>
            <w:r w:rsidRPr="00BF4FB0">
              <w:rPr>
                <w:color w:val="000000"/>
                <w:sz w:val="21"/>
                <w:szCs w:val="21"/>
              </w:rPr>
              <w:t xml:space="preserve"> recommends separating the ICER</w:t>
            </w:r>
            <w:r>
              <w:rPr>
                <w:color w:val="000000"/>
                <w:sz w:val="21"/>
                <w:szCs w:val="21"/>
              </w:rPr>
              <w:t>s and considering time</w:t>
            </w:r>
            <w:r w:rsidR="00C04B3C">
              <w:rPr>
                <w:color w:val="000000"/>
                <w:sz w:val="21"/>
                <w:szCs w:val="21"/>
              </w:rPr>
              <w:t xml:space="preserve"> horizons of 2, 5 and 10 years.</w:t>
            </w:r>
          </w:p>
          <w:p w14:paraId="53B0047B" w14:textId="77777777" w:rsidR="003E5E8C" w:rsidRPr="00BF4FB0" w:rsidRDefault="003E5E8C" w:rsidP="00C04B3C">
            <w:pPr>
              <w:spacing w:before="240"/>
              <w:rPr>
                <w:color w:val="000000"/>
                <w:sz w:val="21"/>
                <w:szCs w:val="21"/>
              </w:rPr>
            </w:pPr>
            <w:r>
              <w:rPr>
                <w:color w:val="000000"/>
                <w:sz w:val="21"/>
                <w:szCs w:val="21"/>
              </w:rPr>
              <w:t>E</w:t>
            </w:r>
            <w:r w:rsidR="00D96C00">
              <w:rPr>
                <w:color w:val="000000"/>
                <w:sz w:val="21"/>
                <w:szCs w:val="21"/>
              </w:rPr>
              <w:t xml:space="preserve">valuation </w:t>
            </w:r>
            <w:r>
              <w:rPr>
                <w:color w:val="000000"/>
                <w:sz w:val="21"/>
                <w:szCs w:val="21"/>
              </w:rPr>
              <w:t>S</w:t>
            </w:r>
            <w:r w:rsidR="00D96C00">
              <w:rPr>
                <w:color w:val="000000"/>
                <w:sz w:val="21"/>
                <w:szCs w:val="21"/>
              </w:rPr>
              <w:t>ub-</w:t>
            </w:r>
            <w:r>
              <w:rPr>
                <w:color w:val="000000"/>
                <w:sz w:val="21"/>
                <w:szCs w:val="21"/>
              </w:rPr>
              <w:t>C</w:t>
            </w:r>
            <w:r w:rsidR="00D96C00">
              <w:rPr>
                <w:color w:val="000000"/>
                <w:sz w:val="21"/>
                <w:szCs w:val="21"/>
              </w:rPr>
              <w:t>ommittee</w:t>
            </w:r>
            <w:r>
              <w:rPr>
                <w:color w:val="000000"/>
                <w:sz w:val="21"/>
                <w:szCs w:val="21"/>
              </w:rPr>
              <w:t xml:space="preserve"> also noted t</w:t>
            </w:r>
            <w:r w:rsidRPr="00561B70">
              <w:rPr>
                <w:color w:val="000000"/>
                <w:sz w:val="21"/>
                <w:szCs w:val="21"/>
              </w:rPr>
              <w:t xml:space="preserve">he comparator </w:t>
            </w:r>
            <w:r>
              <w:rPr>
                <w:color w:val="000000"/>
                <w:sz w:val="21"/>
                <w:szCs w:val="21"/>
              </w:rPr>
              <w:t xml:space="preserve">(no cardiac ablation) </w:t>
            </w:r>
            <w:r w:rsidRPr="00561B70">
              <w:rPr>
                <w:color w:val="000000"/>
                <w:sz w:val="21"/>
                <w:szCs w:val="21"/>
              </w:rPr>
              <w:t>may be partially, but not completely, replaced by catheter ablation as it is possible for patients to still require AADs after ablation</w:t>
            </w:r>
          </w:p>
        </w:tc>
      </w:tr>
      <w:tr w:rsidR="003E5E8C" w:rsidRPr="00BF4FB0" w14:paraId="1F82A3F4" w14:textId="77777777" w:rsidTr="00662941">
        <w:trPr>
          <w:trHeight w:val="640"/>
        </w:trPr>
        <w:tc>
          <w:tcPr>
            <w:tcW w:w="2972" w:type="dxa"/>
            <w:hideMark/>
          </w:tcPr>
          <w:p w14:paraId="3EDF2C25" w14:textId="77777777" w:rsidR="003E5E8C" w:rsidRPr="00BF4FB0" w:rsidRDefault="003E5E8C" w:rsidP="00BC2BBD">
            <w:pPr>
              <w:rPr>
                <w:color w:val="000000"/>
                <w:sz w:val="21"/>
                <w:szCs w:val="21"/>
              </w:rPr>
            </w:pPr>
            <w:r w:rsidRPr="00BF4FB0">
              <w:rPr>
                <w:color w:val="000000"/>
                <w:sz w:val="21"/>
                <w:szCs w:val="21"/>
              </w:rPr>
              <w:t>Data on uptake in private hospitals</w:t>
            </w:r>
          </w:p>
        </w:tc>
        <w:tc>
          <w:tcPr>
            <w:tcW w:w="6044" w:type="dxa"/>
            <w:hideMark/>
          </w:tcPr>
          <w:p w14:paraId="12AD5AD7" w14:textId="77777777" w:rsidR="003E5E8C" w:rsidRPr="00BF4FB0" w:rsidRDefault="003E5E8C" w:rsidP="00BC2BBD">
            <w:pPr>
              <w:rPr>
                <w:color w:val="000000"/>
                <w:sz w:val="21"/>
                <w:szCs w:val="21"/>
              </w:rPr>
            </w:pPr>
            <w:r w:rsidRPr="00BF4FB0">
              <w:rPr>
                <w:color w:val="000000"/>
                <w:sz w:val="21"/>
                <w:szCs w:val="21"/>
              </w:rPr>
              <w:t xml:space="preserve">The MBS items 38290 and 38287 were only updated in 2019. Therefore, a review may be needed in 1–2 years. </w:t>
            </w:r>
          </w:p>
        </w:tc>
      </w:tr>
    </w:tbl>
    <w:p w14:paraId="1A457092" w14:textId="24A3660B" w:rsidR="003E5E8C" w:rsidRDefault="00BC2BBD" w:rsidP="00BC2BBD">
      <w:pPr>
        <w:spacing w:before="200" w:after="120"/>
        <w:rPr>
          <w:b/>
        </w:rPr>
      </w:pPr>
      <w:r>
        <w:rPr>
          <w:b/>
        </w:rPr>
        <w:lastRenderedPageBreak/>
        <w:t>ESC</w:t>
      </w:r>
      <w:r w:rsidR="00F56D7F" w:rsidRPr="00F56D7F">
        <w:rPr>
          <w:b/>
        </w:rPr>
        <w:t xml:space="preserve"> discussion</w:t>
      </w:r>
    </w:p>
    <w:p w14:paraId="74FC58E4" w14:textId="07984B67" w:rsidR="003E5E8C" w:rsidRPr="00BF4FB0" w:rsidRDefault="00D9457E" w:rsidP="003E5E8C">
      <w:pPr>
        <w:spacing w:after="240"/>
        <w:rPr>
          <w:color w:val="000000"/>
        </w:rPr>
      </w:pPr>
      <w:r>
        <w:rPr>
          <w:color w:val="000000"/>
        </w:rPr>
        <w:t xml:space="preserve">The </w:t>
      </w:r>
      <w:r w:rsidR="003E5E8C" w:rsidRPr="00BF4FB0">
        <w:rPr>
          <w:color w:val="000000"/>
        </w:rPr>
        <w:t>E</w:t>
      </w:r>
      <w:r>
        <w:rPr>
          <w:color w:val="000000"/>
        </w:rPr>
        <w:t xml:space="preserve">valuation </w:t>
      </w:r>
      <w:r w:rsidR="003E5E8C" w:rsidRPr="00BF4FB0">
        <w:rPr>
          <w:color w:val="000000"/>
        </w:rPr>
        <w:t>S</w:t>
      </w:r>
      <w:r>
        <w:rPr>
          <w:color w:val="000000"/>
        </w:rPr>
        <w:t>ub-</w:t>
      </w:r>
      <w:r w:rsidR="003E5E8C" w:rsidRPr="00BF4FB0">
        <w:rPr>
          <w:color w:val="000000"/>
        </w:rPr>
        <w:t>C</w:t>
      </w:r>
      <w:r>
        <w:rPr>
          <w:color w:val="000000"/>
        </w:rPr>
        <w:t>ommittee</w:t>
      </w:r>
      <w:r w:rsidR="003E5E8C" w:rsidRPr="00BF4FB0">
        <w:rPr>
          <w:color w:val="000000"/>
        </w:rPr>
        <w:t xml:space="preserve"> noted that this Application 1622 is seeking to expand the conditions of listing to include patients with symptomatic ventricular arrhythmia (VA) or non-A</w:t>
      </w:r>
      <w:r w:rsidR="003E5E8C">
        <w:rPr>
          <w:color w:val="000000"/>
        </w:rPr>
        <w:t xml:space="preserve">trial </w:t>
      </w:r>
      <w:r w:rsidR="003E5E8C" w:rsidRPr="00BF4FB0">
        <w:rPr>
          <w:color w:val="000000"/>
        </w:rPr>
        <w:t>F</w:t>
      </w:r>
      <w:r w:rsidR="003E5E8C">
        <w:rPr>
          <w:color w:val="000000"/>
        </w:rPr>
        <w:t>ibrillation</w:t>
      </w:r>
      <w:r w:rsidR="003E5E8C" w:rsidRPr="00BF4FB0">
        <w:rPr>
          <w:color w:val="000000"/>
        </w:rPr>
        <w:t xml:space="preserve"> supraventricular tachycardia (</w:t>
      </w:r>
      <w:r w:rsidR="00F72E15">
        <w:rPr>
          <w:color w:val="000000"/>
        </w:rPr>
        <w:t xml:space="preserve">non-AF </w:t>
      </w:r>
      <w:r w:rsidR="003E5E8C" w:rsidRPr="00BF4FB0">
        <w:rPr>
          <w:color w:val="000000"/>
        </w:rPr>
        <w:t xml:space="preserve">SVT). Currently, the Prostheses List (PL) includes cardiac ablation devices </w:t>
      </w:r>
      <w:r w:rsidR="00D96C00">
        <w:rPr>
          <w:color w:val="000000"/>
        </w:rPr>
        <w:t xml:space="preserve">that are </w:t>
      </w:r>
      <w:r w:rsidR="003E5E8C" w:rsidRPr="00BF4FB0">
        <w:rPr>
          <w:color w:val="000000"/>
        </w:rPr>
        <w:t xml:space="preserve">only used </w:t>
      </w:r>
      <w:r w:rsidR="00D96C00">
        <w:rPr>
          <w:color w:val="000000"/>
        </w:rPr>
        <w:t>for</w:t>
      </w:r>
      <w:r w:rsidR="003E5E8C" w:rsidRPr="00BF4FB0">
        <w:rPr>
          <w:color w:val="000000"/>
        </w:rPr>
        <w:t xml:space="preserve"> specified procedures (MBS Items 38287 or 38290) for the treatment of atrial fibrillation (AF). </w:t>
      </w:r>
    </w:p>
    <w:p w14:paraId="0FEB2A74" w14:textId="77777777" w:rsidR="003E5E8C" w:rsidRPr="00BF4FB0" w:rsidRDefault="00D9457E" w:rsidP="003E5E8C">
      <w:pPr>
        <w:spacing w:after="240"/>
        <w:rPr>
          <w:color w:val="000000"/>
          <w:lang w:eastAsia="en-US"/>
        </w:rPr>
      </w:pPr>
      <w:r>
        <w:rPr>
          <w:color w:val="000000"/>
        </w:rPr>
        <w:t xml:space="preserve">The </w:t>
      </w:r>
      <w:r w:rsidR="003E5E8C" w:rsidRPr="00BF4FB0">
        <w:rPr>
          <w:color w:val="000000"/>
        </w:rPr>
        <w:t>E</w:t>
      </w:r>
      <w:r>
        <w:rPr>
          <w:color w:val="000000"/>
        </w:rPr>
        <w:t xml:space="preserve">valuation </w:t>
      </w:r>
      <w:r w:rsidR="003E5E8C" w:rsidRPr="00BF4FB0">
        <w:rPr>
          <w:color w:val="000000"/>
        </w:rPr>
        <w:t>S</w:t>
      </w:r>
      <w:r>
        <w:rPr>
          <w:color w:val="000000"/>
        </w:rPr>
        <w:t>ub-</w:t>
      </w:r>
      <w:r w:rsidR="003E5E8C" w:rsidRPr="00BF4FB0">
        <w:rPr>
          <w:color w:val="000000"/>
        </w:rPr>
        <w:t>C</w:t>
      </w:r>
      <w:r>
        <w:rPr>
          <w:color w:val="000000"/>
        </w:rPr>
        <w:t>ommittee</w:t>
      </w:r>
      <w:r w:rsidR="003E5E8C" w:rsidRPr="00BF4FB0">
        <w:rPr>
          <w:color w:val="000000"/>
        </w:rPr>
        <w:t xml:space="preserve"> noted that this submission does not seek to change clinical practice, since cardiac ablation is already standard practice for patients</w:t>
      </w:r>
      <w:r w:rsidR="003E5E8C">
        <w:rPr>
          <w:color w:val="000000"/>
        </w:rPr>
        <w:t xml:space="preserve"> with these classes of arrhythmia</w:t>
      </w:r>
      <w:r w:rsidR="003E5E8C" w:rsidRPr="00BF4FB0">
        <w:rPr>
          <w:color w:val="000000"/>
        </w:rPr>
        <w:t>. Rather, it seeks to extend private health insurance funding for cardiac ablation devices</w:t>
      </w:r>
      <w:r w:rsidR="003E5E8C">
        <w:rPr>
          <w:color w:val="000000"/>
        </w:rPr>
        <w:t xml:space="preserve"> from patients with AF</w:t>
      </w:r>
      <w:r w:rsidR="003E5E8C" w:rsidRPr="00BF4FB0">
        <w:rPr>
          <w:color w:val="000000"/>
        </w:rPr>
        <w:t xml:space="preserve"> to these </w:t>
      </w:r>
      <w:r w:rsidR="003E5E8C">
        <w:rPr>
          <w:color w:val="000000"/>
        </w:rPr>
        <w:t>additional arrhythmia populations</w:t>
      </w:r>
      <w:r w:rsidR="003E5E8C" w:rsidRPr="00BF4FB0">
        <w:rPr>
          <w:color w:val="000000"/>
        </w:rPr>
        <w:t xml:space="preserve">. That is, this </w:t>
      </w:r>
      <w:r w:rsidR="003E5E8C" w:rsidRPr="00BF4FB0">
        <w:rPr>
          <w:color w:val="000000"/>
          <w:lang w:eastAsia="en-US"/>
        </w:rPr>
        <w:t>application is for expansion into current items, with the aim of reducing burden on the public system.</w:t>
      </w:r>
    </w:p>
    <w:p w14:paraId="4BC84EED" w14:textId="78916B52" w:rsidR="003E5E8C" w:rsidRPr="00BF4FB0" w:rsidRDefault="00D9457E" w:rsidP="003E5E8C">
      <w:pPr>
        <w:spacing w:after="240"/>
        <w:rPr>
          <w:color w:val="000000"/>
        </w:rPr>
      </w:pPr>
      <w:r>
        <w:rPr>
          <w:color w:val="000000"/>
        </w:rPr>
        <w:t xml:space="preserve">The </w:t>
      </w:r>
      <w:r w:rsidR="003E5E8C" w:rsidRPr="00BF4FB0">
        <w:rPr>
          <w:color w:val="000000"/>
        </w:rPr>
        <w:t>E</w:t>
      </w:r>
      <w:r>
        <w:rPr>
          <w:color w:val="000000"/>
        </w:rPr>
        <w:t xml:space="preserve">valuation </w:t>
      </w:r>
      <w:r w:rsidR="003E5E8C" w:rsidRPr="00BF4FB0">
        <w:rPr>
          <w:color w:val="000000"/>
        </w:rPr>
        <w:t>S</w:t>
      </w:r>
      <w:r>
        <w:rPr>
          <w:color w:val="000000"/>
        </w:rPr>
        <w:t xml:space="preserve">ub </w:t>
      </w:r>
      <w:r w:rsidR="003E5E8C" w:rsidRPr="00BF4FB0">
        <w:rPr>
          <w:color w:val="000000"/>
        </w:rPr>
        <w:t>C</w:t>
      </w:r>
      <w:r>
        <w:rPr>
          <w:color w:val="000000"/>
        </w:rPr>
        <w:t>ommittee</w:t>
      </w:r>
      <w:r w:rsidR="003E5E8C" w:rsidRPr="00BF4FB0">
        <w:rPr>
          <w:color w:val="000000"/>
        </w:rPr>
        <w:t xml:space="preserve"> noted that the evidence base is eight </w:t>
      </w:r>
      <w:r w:rsidR="003E5E8C">
        <w:rPr>
          <w:color w:val="000000"/>
        </w:rPr>
        <w:t>individual</w:t>
      </w:r>
      <w:r w:rsidR="003E5E8C" w:rsidRPr="00BF4FB0">
        <w:rPr>
          <w:color w:val="000000"/>
        </w:rPr>
        <w:t xml:space="preserve"> studies and one meta-analysis. The oldest three of these</w:t>
      </w:r>
      <w:r w:rsidR="003E5E8C">
        <w:rPr>
          <w:color w:val="000000"/>
        </w:rPr>
        <w:t xml:space="preserve"> reports are</w:t>
      </w:r>
      <w:r w:rsidR="003E5E8C" w:rsidRPr="00BF4FB0">
        <w:rPr>
          <w:color w:val="000000"/>
        </w:rPr>
        <w:t xml:space="preserve"> conference abstracts,</w:t>
      </w:r>
      <w:r w:rsidR="003E5E8C">
        <w:rPr>
          <w:color w:val="000000"/>
        </w:rPr>
        <w:t xml:space="preserve"> which have not been published in peer-review journals,</w:t>
      </w:r>
      <w:r w:rsidR="003E5E8C" w:rsidRPr="00BF4FB0">
        <w:rPr>
          <w:color w:val="000000"/>
        </w:rPr>
        <w:t xml:space="preserve"> which</w:t>
      </w:r>
      <w:r>
        <w:rPr>
          <w:color w:val="000000"/>
        </w:rPr>
        <w:t xml:space="preserve"> the</w:t>
      </w:r>
      <w:r w:rsidR="003E5E8C" w:rsidRPr="00BF4FB0">
        <w:rPr>
          <w:color w:val="000000"/>
        </w:rPr>
        <w:t xml:space="preserve"> E</w:t>
      </w:r>
      <w:r>
        <w:rPr>
          <w:color w:val="000000"/>
        </w:rPr>
        <w:t xml:space="preserve">valuation </w:t>
      </w:r>
      <w:r w:rsidR="003E5E8C" w:rsidRPr="00BF4FB0">
        <w:rPr>
          <w:color w:val="000000"/>
        </w:rPr>
        <w:t>S</w:t>
      </w:r>
      <w:r>
        <w:rPr>
          <w:color w:val="000000"/>
        </w:rPr>
        <w:t>ub-</w:t>
      </w:r>
      <w:r w:rsidR="003E5E8C" w:rsidRPr="00BF4FB0">
        <w:rPr>
          <w:color w:val="000000"/>
        </w:rPr>
        <w:t>C</w:t>
      </w:r>
      <w:r>
        <w:rPr>
          <w:color w:val="000000"/>
        </w:rPr>
        <w:t>ommittee</w:t>
      </w:r>
      <w:r w:rsidR="003E5E8C" w:rsidRPr="00BF4FB0">
        <w:rPr>
          <w:color w:val="000000"/>
        </w:rPr>
        <w:t xml:space="preserve"> </w:t>
      </w:r>
      <w:r w:rsidR="003E5E8C">
        <w:rPr>
          <w:color w:val="000000"/>
        </w:rPr>
        <w:t>recommended</w:t>
      </w:r>
      <w:r w:rsidR="003E5E8C" w:rsidRPr="00BF4FB0">
        <w:rPr>
          <w:color w:val="000000"/>
        </w:rPr>
        <w:t xml:space="preserve"> be removed from the analysis. </w:t>
      </w:r>
      <w:r>
        <w:rPr>
          <w:color w:val="000000"/>
        </w:rPr>
        <w:t xml:space="preserve">The </w:t>
      </w:r>
      <w:r w:rsidR="003E5E8C" w:rsidRPr="00BF4FB0">
        <w:rPr>
          <w:color w:val="000000"/>
        </w:rPr>
        <w:t>E</w:t>
      </w:r>
      <w:r w:rsidR="00170FB8">
        <w:rPr>
          <w:color w:val="000000"/>
        </w:rPr>
        <w:t>val</w:t>
      </w:r>
      <w:r>
        <w:rPr>
          <w:color w:val="000000"/>
        </w:rPr>
        <w:t>u</w:t>
      </w:r>
      <w:r w:rsidR="00170FB8">
        <w:rPr>
          <w:color w:val="000000"/>
        </w:rPr>
        <w:t>a</w:t>
      </w:r>
      <w:r>
        <w:rPr>
          <w:color w:val="000000"/>
        </w:rPr>
        <w:t xml:space="preserve">tion </w:t>
      </w:r>
      <w:r w:rsidR="003E5E8C" w:rsidRPr="00BF4FB0">
        <w:rPr>
          <w:color w:val="000000"/>
        </w:rPr>
        <w:t>S</w:t>
      </w:r>
      <w:r>
        <w:rPr>
          <w:color w:val="000000"/>
        </w:rPr>
        <w:t>ub-</w:t>
      </w:r>
      <w:r w:rsidR="003E5E8C" w:rsidRPr="00BF4FB0">
        <w:rPr>
          <w:color w:val="000000"/>
        </w:rPr>
        <w:t>C</w:t>
      </w:r>
      <w:r>
        <w:rPr>
          <w:color w:val="000000"/>
        </w:rPr>
        <w:t>ommittee</w:t>
      </w:r>
      <w:r w:rsidR="003E5E8C" w:rsidRPr="00BF4FB0">
        <w:rPr>
          <w:color w:val="000000"/>
        </w:rPr>
        <w:t xml:space="preserve"> noted that, in the pre-</w:t>
      </w:r>
      <w:r>
        <w:rPr>
          <w:color w:val="000000"/>
        </w:rPr>
        <w:t>meeting</w:t>
      </w:r>
      <w:r w:rsidR="003E5E8C" w:rsidRPr="00BF4FB0">
        <w:rPr>
          <w:color w:val="000000"/>
        </w:rPr>
        <w:t xml:space="preserve"> response, the applicant argued that the conference abstracts are relevant. However, </w:t>
      </w:r>
      <w:r>
        <w:rPr>
          <w:color w:val="000000"/>
        </w:rPr>
        <w:t xml:space="preserve">the </w:t>
      </w:r>
      <w:r w:rsidR="003E5E8C" w:rsidRPr="00BF4FB0">
        <w:rPr>
          <w:color w:val="000000"/>
        </w:rPr>
        <w:t>E</w:t>
      </w:r>
      <w:r>
        <w:rPr>
          <w:color w:val="000000"/>
        </w:rPr>
        <w:t xml:space="preserve">valuation </w:t>
      </w:r>
      <w:r w:rsidR="003E5E8C" w:rsidRPr="00BF4FB0">
        <w:rPr>
          <w:color w:val="000000"/>
        </w:rPr>
        <w:t>S</w:t>
      </w:r>
      <w:r>
        <w:rPr>
          <w:color w:val="000000"/>
        </w:rPr>
        <w:t>ub-</w:t>
      </w:r>
      <w:r w:rsidR="003E5E8C" w:rsidRPr="00BF4FB0">
        <w:rPr>
          <w:color w:val="000000"/>
        </w:rPr>
        <w:t>C</w:t>
      </w:r>
      <w:r>
        <w:rPr>
          <w:color w:val="000000"/>
        </w:rPr>
        <w:t>ommittee</w:t>
      </w:r>
      <w:r w:rsidR="003E5E8C" w:rsidRPr="00BF4FB0">
        <w:rPr>
          <w:color w:val="000000"/>
        </w:rPr>
        <w:t xml:space="preserve"> noted that including the abstracts</w:t>
      </w:r>
      <w:r w:rsidR="003E5E8C">
        <w:rPr>
          <w:color w:val="000000"/>
        </w:rPr>
        <w:t xml:space="preserve"> significantly</w:t>
      </w:r>
      <w:r w:rsidR="003E5E8C" w:rsidRPr="00BF4FB0">
        <w:rPr>
          <w:color w:val="000000"/>
        </w:rPr>
        <w:t xml:space="preserve"> changes the </w:t>
      </w:r>
      <w:r w:rsidR="003E5E8C">
        <w:rPr>
          <w:color w:val="000000"/>
        </w:rPr>
        <w:t>outcomes for the VA population.</w:t>
      </w:r>
      <w:r w:rsidR="003E5E8C" w:rsidRPr="00BF4FB0">
        <w:rPr>
          <w:color w:val="000000"/>
        </w:rPr>
        <w:t xml:space="preserve"> </w:t>
      </w:r>
    </w:p>
    <w:p w14:paraId="5E88A912" w14:textId="77777777" w:rsidR="003E5E8C" w:rsidRPr="00BF4FB0" w:rsidRDefault="003E5E8C" w:rsidP="003E5E8C">
      <w:pPr>
        <w:spacing w:after="240"/>
        <w:rPr>
          <w:color w:val="000000"/>
        </w:rPr>
      </w:pPr>
      <w:r w:rsidRPr="00BF4FB0">
        <w:rPr>
          <w:color w:val="000000"/>
        </w:rPr>
        <w:t xml:space="preserve">As noted in the commentary, the assessment of safety reported in the assessment report is consistent with the AF Review. However, the AF Review was a rapid evidence assessment and is less rigorous than that specified within MSAC assessment guidelines. </w:t>
      </w:r>
      <w:r w:rsidR="00D9457E">
        <w:rPr>
          <w:color w:val="000000"/>
        </w:rPr>
        <w:t xml:space="preserve">The </w:t>
      </w:r>
      <w:r w:rsidRPr="00BF4FB0">
        <w:rPr>
          <w:color w:val="000000"/>
        </w:rPr>
        <w:t>E</w:t>
      </w:r>
      <w:r w:rsidR="00D9457E">
        <w:rPr>
          <w:color w:val="000000"/>
        </w:rPr>
        <w:t xml:space="preserve">valuation </w:t>
      </w:r>
      <w:r w:rsidRPr="00BF4FB0">
        <w:rPr>
          <w:color w:val="000000"/>
        </w:rPr>
        <w:t>S</w:t>
      </w:r>
      <w:r w:rsidR="00D9457E">
        <w:rPr>
          <w:color w:val="000000"/>
        </w:rPr>
        <w:t>ub-</w:t>
      </w:r>
      <w:r w:rsidRPr="00BF4FB0">
        <w:rPr>
          <w:color w:val="000000"/>
        </w:rPr>
        <w:t>C</w:t>
      </w:r>
      <w:r w:rsidR="00D9457E">
        <w:rPr>
          <w:color w:val="000000"/>
        </w:rPr>
        <w:t>ommittee</w:t>
      </w:r>
      <w:r w:rsidRPr="00BF4FB0">
        <w:rPr>
          <w:color w:val="000000"/>
        </w:rPr>
        <w:t xml:space="preserve"> agreed with the safety data provided in the commentary, which it considered to be more reliable than </w:t>
      </w:r>
      <w:r>
        <w:rPr>
          <w:color w:val="000000"/>
        </w:rPr>
        <w:t>t</w:t>
      </w:r>
      <w:r w:rsidRPr="00BF4FB0">
        <w:rPr>
          <w:color w:val="000000"/>
        </w:rPr>
        <w:t xml:space="preserve">hat provided in the assessment report because it </w:t>
      </w:r>
      <w:r>
        <w:rPr>
          <w:color w:val="000000"/>
        </w:rPr>
        <w:t>included</w:t>
      </w:r>
      <w:r w:rsidRPr="00BF4FB0">
        <w:rPr>
          <w:color w:val="000000"/>
        </w:rPr>
        <w:t xml:space="preserve"> additional data, suggesting rates of procedural complications of 8–10% for VA, 2% for AFL and less than 2% for other SVRTs. As AADs, particularly amiodarone, have high rates of adverse events</w:t>
      </w:r>
      <w:r>
        <w:rPr>
          <w:color w:val="000000"/>
        </w:rPr>
        <w:t xml:space="preserve"> with ongoing administration</w:t>
      </w:r>
      <w:r w:rsidRPr="00BF4FB0">
        <w:rPr>
          <w:color w:val="000000"/>
        </w:rPr>
        <w:t>, catheter ablation is likely to have superior safety in comparison.</w:t>
      </w:r>
    </w:p>
    <w:p w14:paraId="3BCB029D" w14:textId="77777777" w:rsidR="003E5E8C" w:rsidRPr="00BF4FB0" w:rsidRDefault="003E5E8C" w:rsidP="003E5E8C">
      <w:pPr>
        <w:keepNext/>
        <w:spacing w:after="120"/>
        <w:rPr>
          <w:color w:val="000000"/>
        </w:rPr>
      </w:pPr>
      <w:r w:rsidRPr="00BF4FB0">
        <w:rPr>
          <w:color w:val="000000"/>
        </w:rPr>
        <w:t xml:space="preserve">In terms of clinical effectiveness, </w:t>
      </w:r>
      <w:r w:rsidR="00D9457E">
        <w:rPr>
          <w:color w:val="000000"/>
        </w:rPr>
        <w:t xml:space="preserve">the </w:t>
      </w:r>
      <w:r w:rsidRPr="00BF4FB0">
        <w:rPr>
          <w:color w:val="000000"/>
        </w:rPr>
        <w:t>E</w:t>
      </w:r>
      <w:r w:rsidR="00D9457E">
        <w:rPr>
          <w:color w:val="000000"/>
        </w:rPr>
        <w:t xml:space="preserve">valuation </w:t>
      </w:r>
      <w:r w:rsidRPr="00BF4FB0">
        <w:rPr>
          <w:color w:val="000000"/>
        </w:rPr>
        <w:t>S</w:t>
      </w:r>
      <w:r w:rsidR="00D9457E">
        <w:rPr>
          <w:color w:val="000000"/>
        </w:rPr>
        <w:t>ub-</w:t>
      </w:r>
      <w:r w:rsidRPr="00BF4FB0">
        <w:rPr>
          <w:color w:val="000000"/>
        </w:rPr>
        <w:t>C</w:t>
      </w:r>
      <w:r w:rsidR="00D9457E">
        <w:rPr>
          <w:color w:val="000000"/>
        </w:rPr>
        <w:t>ommittee</w:t>
      </w:r>
      <w:r w:rsidRPr="00BF4FB0">
        <w:rPr>
          <w:color w:val="000000"/>
        </w:rPr>
        <w:t xml:space="preserve"> agreed with the commentary that:</w:t>
      </w:r>
    </w:p>
    <w:p w14:paraId="76300A2A" w14:textId="77777777" w:rsidR="003E5E8C" w:rsidRPr="00BF4FB0" w:rsidRDefault="003E5E8C" w:rsidP="003E5E8C">
      <w:pPr>
        <w:tabs>
          <w:tab w:val="num" w:pos="360"/>
        </w:tabs>
        <w:spacing w:after="120"/>
        <w:ind w:left="720" w:hanging="360"/>
        <w:rPr>
          <w:color w:val="000000"/>
        </w:rPr>
      </w:pPr>
      <w:r w:rsidRPr="00BF4FB0">
        <w:rPr>
          <w:color w:val="000000"/>
        </w:rPr>
        <w:t xml:space="preserve">For VA, the conclusion of superior effectiveness was appropriate, but the statistically significant differences were for the outcomes of appropriate implantable cardioverter-defibrillator (ICD) therapies and electrical storm. The outcome of arrhythmia recurrence was not statistically significant when the </w:t>
      </w:r>
      <w:r>
        <w:rPr>
          <w:color w:val="000000"/>
        </w:rPr>
        <w:t xml:space="preserve">identified </w:t>
      </w:r>
      <w:r w:rsidRPr="00BF4FB0">
        <w:rPr>
          <w:color w:val="000000"/>
        </w:rPr>
        <w:t>conference abstracts were excluded and therefore there is uncertainty about this outcome. ICD therapies and electrical storm are considered important outcomes for this population, despite not being specified in the PICO.</w:t>
      </w:r>
    </w:p>
    <w:p w14:paraId="2C02D1E3" w14:textId="77777777" w:rsidR="003E5E8C" w:rsidRPr="00BF4FB0" w:rsidRDefault="003E5E8C" w:rsidP="003E5E8C">
      <w:pPr>
        <w:tabs>
          <w:tab w:val="num" w:pos="360"/>
        </w:tabs>
        <w:spacing w:after="120"/>
        <w:ind w:left="720" w:hanging="360"/>
        <w:rPr>
          <w:color w:val="000000"/>
        </w:rPr>
      </w:pPr>
      <w:r w:rsidRPr="00BF4FB0">
        <w:rPr>
          <w:color w:val="000000"/>
        </w:rPr>
        <w:t>For atrial flutter (AFL), there is evidence of superior effectiveness, but the evidence presented was limited; the magnitude of the effect (in particular</w:t>
      </w:r>
      <w:r>
        <w:rPr>
          <w:color w:val="000000"/>
        </w:rPr>
        <w:t>,</w:t>
      </w:r>
      <w:r w:rsidRPr="00BF4FB0">
        <w:rPr>
          <w:color w:val="000000"/>
        </w:rPr>
        <w:t xml:space="preserve"> for AFL-specific recurrence) was large. The effect was reduced if other arrhythmias, in particular AF, are considered in the outcome.</w:t>
      </w:r>
    </w:p>
    <w:p w14:paraId="033AC936" w14:textId="77777777" w:rsidR="003E5E8C" w:rsidRPr="00BF4FB0" w:rsidRDefault="003E5E8C" w:rsidP="003E5E8C">
      <w:pPr>
        <w:tabs>
          <w:tab w:val="num" w:pos="360"/>
        </w:tabs>
        <w:spacing w:after="120"/>
        <w:ind w:left="720" w:hanging="360"/>
        <w:rPr>
          <w:color w:val="000000"/>
        </w:rPr>
      </w:pPr>
      <w:r w:rsidRPr="00BF4FB0">
        <w:rPr>
          <w:color w:val="000000"/>
        </w:rPr>
        <w:t>For atrioventricular nodal re</w:t>
      </w:r>
      <w:r>
        <w:rPr>
          <w:color w:val="000000"/>
        </w:rPr>
        <w:t>-</w:t>
      </w:r>
      <w:r w:rsidRPr="00BF4FB0">
        <w:rPr>
          <w:color w:val="000000"/>
        </w:rPr>
        <w:t>entry tachycardia (AVNRT), there is evidence of superior effectiveness based on a single, small RCT; the magnitude of the effect was large.</w:t>
      </w:r>
    </w:p>
    <w:p w14:paraId="0145C4A2" w14:textId="77777777" w:rsidR="003E5E8C" w:rsidRPr="00BF4FB0" w:rsidRDefault="003E5E8C" w:rsidP="003E5E8C">
      <w:pPr>
        <w:tabs>
          <w:tab w:val="num" w:pos="360"/>
        </w:tabs>
        <w:spacing w:after="240"/>
        <w:ind w:left="720" w:hanging="360"/>
        <w:rPr>
          <w:color w:val="000000"/>
        </w:rPr>
      </w:pPr>
      <w:r w:rsidRPr="00BF4FB0">
        <w:rPr>
          <w:color w:val="000000"/>
        </w:rPr>
        <w:t>No evidence was presented for other SVT populations.</w:t>
      </w:r>
    </w:p>
    <w:p w14:paraId="6C952E2D" w14:textId="6016C8CD" w:rsidR="003E5E8C" w:rsidRPr="00BF4FB0" w:rsidRDefault="00D9457E" w:rsidP="003E5E8C">
      <w:pPr>
        <w:spacing w:after="240"/>
        <w:rPr>
          <w:color w:val="000000"/>
        </w:rPr>
      </w:pPr>
      <w:r>
        <w:rPr>
          <w:color w:val="000000"/>
        </w:rPr>
        <w:lastRenderedPageBreak/>
        <w:t xml:space="preserve">The </w:t>
      </w:r>
      <w:r w:rsidR="003E5E8C" w:rsidRPr="00BF4FB0">
        <w:rPr>
          <w:color w:val="000000"/>
        </w:rPr>
        <w:t>E</w:t>
      </w:r>
      <w:r>
        <w:rPr>
          <w:color w:val="000000"/>
        </w:rPr>
        <w:t xml:space="preserve">valuation </w:t>
      </w:r>
      <w:r w:rsidR="003E5E8C" w:rsidRPr="00BF4FB0">
        <w:rPr>
          <w:color w:val="000000"/>
        </w:rPr>
        <w:t>S</w:t>
      </w:r>
      <w:r>
        <w:rPr>
          <w:color w:val="000000"/>
        </w:rPr>
        <w:t>ub-</w:t>
      </w:r>
      <w:r w:rsidR="003E5E8C" w:rsidRPr="00BF4FB0">
        <w:rPr>
          <w:color w:val="000000"/>
        </w:rPr>
        <w:t>C</w:t>
      </w:r>
      <w:r>
        <w:rPr>
          <w:color w:val="000000"/>
        </w:rPr>
        <w:t>ommittee</w:t>
      </w:r>
      <w:r w:rsidR="003E5E8C" w:rsidRPr="00BF4FB0">
        <w:rPr>
          <w:color w:val="000000"/>
        </w:rPr>
        <w:t xml:space="preserve"> noted that the effectiveness for cardiac ablation therapy is less established</w:t>
      </w:r>
      <w:r w:rsidR="003E5E8C">
        <w:rPr>
          <w:color w:val="000000"/>
        </w:rPr>
        <w:t xml:space="preserve"> than for AF</w:t>
      </w:r>
      <w:r w:rsidR="003E5E8C" w:rsidRPr="00BF4FB0">
        <w:rPr>
          <w:color w:val="000000"/>
        </w:rPr>
        <w:t xml:space="preserve"> and requires operator </w:t>
      </w:r>
      <w:r w:rsidR="003E5E8C">
        <w:rPr>
          <w:color w:val="000000"/>
        </w:rPr>
        <w:t xml:space="preserve">training to establish </w:t>
      </w:r>
      <w:r w:rsidR="003E5E8C" w:rsidRPr="00BF4FB0">
        <w:rPr>
          <w:color w:val="000000"/>
        </w:rPr>
        <w:t xml:space="preserve">skill and experience – this is particularly relevant for </w:t>
      </w:r>
      <w:r w:rsidR="003E5E8C">
        <w:rPr>
          <w:color w:val="000000"/>
        </w:rPr>
        <w:t xml:space="preserve">the </w:t>
      </w:r>
      <w:r w:rsidR="003E5E8C" w:rsidRPr="00BF4FB0">
        <w:rPr>
          <w:color w:val="000000"/>
        </w:rPr>
        <w:t>VA</w:t>
      </w:r>
      <w:r w:rsidR="003E5E8C">
        <w:rPr>
          <w:color w:val="000000"/>
        </w:rPr>
        <w:t xml:space="preserve"> population</w:t>
      </w:r>
      <w:r w:rsidR="003E5E8C" w:rsidRPr="00BF4FB0">
        <w:rPr>
          <w:color w:val="000000"/>
        </w:rPr>
        <w:t xml:space="preserve">. Given the availability of super-specialisation training programs for cardiac electrophysiology, </w:t>
      </w:r>
      <w:r>
        <w:rPr>
          <w:color w:val="000000"/>
        </w:rPr>
        <w:t>the Committee</w:t>
      </w:r>
      <w:r w:rsidR="003E5E8C" w:rsidRPr="00BF4FB0">
        <w:rPr>
          <w:color w:val="000000"/>
        </w:rPr>
        <w:t xml:space="preserve"> suggested that a registry of outcomes post-ablation be established, to </w:t>
      </w:r>
      <w:r w:rsidR="003E5E8C">
        <w:rPr>
          <w:color w:val="000000"/>
        </w:rPr>
        <w:t>capture</w:t>
      </w:r>
      <w:r w:rsidR="003E5E8C" w:rsidRPr="00BF4FB0">
        <w:rPr>
          <w:color w:val="000000"/>
        </w:rPr>
        <w:t xml:space="preserve"> individual and laboratory performance. Such a registry could be used </w:t>
      </w:r>
      <w:r w:rsidR="003E5E8C">
        <w:rPr>
          <w:color w:val="000000"/>
        </w:rPr>
        <w:t>to provide</w:t>
      </w:r>
      <w:r w:rsidR="003E5E8C" w:rsidRPr="00BF4FB0">
        <w:rPr>
          <w:color w:val="000000"/>
        </w:rPr>
        <w:t xml:space="preserve"> transparent feedback to patients and private health insurers, </w:t>
      </w:r>
      <w:r w:rsidR="003E5E8C">
        <w:rPr>
          <w:color w:val="000000"/>
        </w:rPr>
        <w:t xml:space="preserve">and </w:t>
      </w:r>
      <w:r w:rsidR="003E5E8C" w:rsidRPr="00BF4FB0">
        <w:rPr>
          <w:color w:val="000000"/>
        </w:rPr>
        <w:t>to support informed decision</w:t>
      </w:r>
      <w:r w:rsidR="00170FB8">
        <w:rPr>
          <w:color w:val="000000"/>
        </w:rPr>
        <w:t>-</w:t>
      </w:r>
      <w:r w:rsidR="003E5E8C" w:rsidRPr="00BF4FB0">
        <w:rPr>
          <w:color w:val="000000"/>
        </w:rPr>
        <w:t xml:space="preserve">making. </w:t>
      </w:r>
    </w:p>
    <w:p w14:paraId="32197572" w14:textId="2D2318BF" w:rsidR="003E5E8C" w:rsidRPr="00BF4FB0" w:rsidRDefault="003E5E8C" w:rsidP="003E5E8C">
      <w:pPr>
        <w:spacing w:after="240"/>
        <w:rPr>
          <w:color w:val="000000"/>
        </w:rPr>
      </w:pPr>
      <w:r w:rsidRPr="00BF4FB0">
        <w:rPr>
          <w:color w:val="000000"/>
        </w:rPr>
        <w:t xml:space="preserve">In terms of cost effectiveness, </w:t>
      </w:r>
      <w:r w:rsidR="00D9457E">
        <w:rPr>
          <w:color w:val="000000"/>
        </w:rPr>
        <w:t xml:space="preserve">the </w:t>
      </w:r>
      <w:r w:rsidRPr="00BF4FB0">
        <w:rPr>
          <w:color w:val="000000"/>
          <w:lang w:eastAsia="en-US"/>
        </w:rPr>
        <w:t>E</w:t>
      </w:r>
      <w:r w:rsidR="00D9457E">
        <w:rPr>
          <w:color w:val="000000"/>
          <w:lang w:eastAsia="en-US"/>
        </w:rPr>
        <w:t xml:space="preserve">valuation </w:t>
      </w:r>
      <w:r w:rsidRPr="00BF4FB0">
        <w:rPr>
          <w:color w:val="000000"/>
          <w:lang w:eastAsia="en-US"/>
        </w:rPr>
        <w:t>S</w:t>
      </w:r>
      <w:r w:rsidR="00D9457E">
        <w:rPr>
          <w:color w:val="000000"/>
          <w:lang w:eastAsia="en-US"/>
        </w:rPr>
        <w:t>ub-</w:t>
      </w:r>
      <w:r w:rsidRPr="00BF4FB0">
        <w:rPr>
          <w:color w:val="000000"/>
          <w:lang w:eastAsia="en-US"/>
        </w:rPr>
        <w:t>C</w:t>
      </w:r>
      <w:r w:rsidR="00D9457E">
        <w:rPr>
          <w:color w:val="000000"/>
          <w:lang w:eastAsia="en-US"/>
        </w:rPr>
        <w:t>ommittee</w:t>
      </w:r>
      <w:r w:rsidRPr="00BF4FB0">
        <w:rPr>
          <w:color w:val="000000"/>
          <w:lang w:eastAsia="en-US"/>
        </w:rPr>
        <w:t xml:space="preserve"> noted the different subpopulations in terms of age as well as the scarce evidence from literature, and </w:t>
      </w:r>
      <w:r>
        <w:rPr>
          <w:color w:val="000000"/>
          <w:lang w:eastAsia="en-US"/>
        </w:rPr>
        <w:t xml:space="preserve">therefore </w:t>
      </w:r>
      <w:r w:rsidRPr="00BF4FB0">
        <w:rPr>
          <w:color w:val="000000"/>
          <w:lang w:eastAsia="en-US"/>
        </w:rPr>
        <w:t xml:space="preserve">recommended calculating separate incremental cost-effectiveness ratios (ICERs) for </w:t>
      </w:r>
      <w:r>
        <w:rPr>
          <w:color w:val="000000"/>
          <w:lang w:eastAsia="en-US"/>
        </w:rPr>
        <w:t>the</w:t>
      </w:r>
      <w:r w:rsidRPr="00BF4FB0">
        <w:rPr>
          <w:color w:val="000000"/>
          <w:lang w:eastAsia="en-US"/>
        </w:rPr>
        <w:t xml:space="preserve"> VA, AFL and all remaining tachycardia</w:t>
      </w:r>
      <w:r>
        <w:rPr>
          <w:color w:val="000000"/>
          <w:lang w:eastAsia="en-US"/>
        </w:rPr>
        <w:t xml:space="preserve"> groups</w:t>
      </w:r>
      <w:r w:rsidRPr="00BF4FB0">
        <w:rPr>
          <w:color w:val="000000"/>
          <w:lang w:eastAsia="en-US"/>
        </w:rPr>
        <w:t xml:space="preserve">. </w:t>
      </w:r>
      <w:r w:rsidR="00D9457E">
        <w:rPr>
          <w:color w:val="000000"/>
          <w:lang w:eastAsia="en-US"/>
        </w:rPr>
        <w:t>The Committee</w:t>
      </w:r>
      <w:r w:rsidRPr="00BF4FB0">
        <w:rPr>
          <w:color w:val="000000"/>
          <w:lang w:eastAsia="en-US"/>
        </w:rPr>
        <w:t xml:space="preserve"> agreed that having 2- and 5-year time horizons was reasonable. </w:t>
      </w:r>
      <w:r w:rsidRPr="00BF4FB0">
        <w:rPr>
          <w:color w:val="000000"/>
        </w:rPr>
        <w:t xml:space="preserve">With the older age groups, </w:t>
      </w:r>
      <w:r w:rsidR="00D9457E">
        <w:rPr>
          <w:color w:val="000000"/>
        </w:rPr>
        <w:t>the Committee</w:t>
      </w:r>
      <w:r w:rsidRPr="00BF4FB0">
        <w:rPr>
          <w:color w:val="000000"/>
        </w:rPr>
        <w:t xml:space="preserve"> considered that a 10-year follow-up may overestimate the life years gained. However, it was noted that some young people have VAs. Therefore, </w:t>
      </w:r>
      <w:r w:rsidR="00D9457E">
        <w:rPr>
          <w:color w:val="000000"/>
        </w:rPr>
        <w:t>the Committee</w:t>
      </w:r>
      <w:r w:rsidRPr="00BF4FB0">
        <w:rPr>
          <w:color w:val="000000"/>
        </w:rPr>
        <w:t xml:space="preserve"> suggested that remodelling should include 2- and 5-year time horizons, and </w:t>
      </w:r>
      <w:r>
        <w:rPr>
          <w:color w:val="000000"/>
        </w:rPr>
        <w:t>an additional</w:t>
      </w:r>
      <w:r w:rsidRPr="00BF4FB0">
        <w:rPr>
          <w:color w:val="000000"/>
        </w:rPr>
        <w:t xml:space="preserve"> sensitivity analysis should consider a 10- year time horizon. As stated above, </w:t>
      </w:r>
      <w:r w:rsidR="00D9457E">
        <w:rPr>
          <w:color w:val="000000"/>
        </w:rPr>
        <w:t>the Committee</w:t>
      </w:r>
      <w:r w:rsidRPr="00BF4FB0">
        <w:rPr>
          <w:color w:val="000000"/>
        </w:rPr>
        <w:t xml:space="preserve"> considered that this remodelling should not include the Anderson data </w:t>
      </w:r>
      <w:r>
        <w:rPr>
          <w:color w:val="000000"/>
        </w:rPr>
        <w:t xml:space="preserve">based on </w:t>
      </w:r>
      <w:r w:rsidRPr="00BF4FB0">
        <w:rPr>
          <w:color w:val="000000"/>
        </w:rPr>
        <w:t>conference abstracts.</w:t>
      </w:r>
    </w:p>
    <w:p w14:paraId="15BB5BE0" w14:textId="620653E1" w:rsidR="003E5E8C" w:rsidRPr="00BF4FB0" w:rsidRDefault="00D9457E" w:rsidP="003E5E8C">
      <w:pPr>
        <w:spacing w:after="240"/>
        <w:rPr>
          <w:color w:val="000000"/>
        </w:rPr>
      </w:pPr>
      <w:r>
        <w:rPr>
          <w:color w:val="000000"/>
          <w:lang w:eastAsia="en-US"/>
        </w:rPr>
        <w:t xml:space="preserve">The </w:t>
      </w:r>
      <w:r w:rsidR="003E5E8C" w:rsidRPr="00BF4FB0">
        <w:rPr>
          <w:color w:val="000000"/>
          <w:lang w:eastAsia="en-US"/>
        </w:rPr>
        <w:t>E</w:t>
      </w:r>
      <w:r>
        <w:rPr>
          <w:color w:val="000000"/>
          <w:lang w:eastAsia="en-US"/>
        </w:rPr>
        <w:t xml:space="preserve">valuation </w:t>
      </w:r>
      <w:r w:rsidR="003E5E8C" w:rsidRPr="00BF4FB0">
        <w:rPr>
          <w:color w:val="000000"/>
          <w:lang w:eastAsia="en-US"/>
        </w:rPr>
        <w:t>S</w:t>
      </w:r>
      <w:r>
        <w:rPr>
          <w:color w:val="000000"/>
          <w:lang w:eastAsia="en-US"/>
        </w:rPr>
        <w:t>ub-</w:t>
      </w:r>
      <w:r w:rsidR="003E5E8C" w:rsidRPr="00BF4FB0">
        <w:rPr>
          <w:color w:val="000000"/>
          <w:lang w:eastAsia="en-US"/>
        </w:rPr>
        <w:t>C</w:t>
      </w:r>
      <w:r>
        <w:rPr>
          <w:color w:val="000000"/>
          <w:lang w:eastAsia="en-US"/>
        </w:rPr>
        <w:t>ommittee</w:t>
      </w:r>
      <w:r w:rsidR="003E5E8C" w:rsidRPr="00BF4FB0">
        <w:rPr>
          <w:color w:val="000000"/>
          <w:lang w:eastAsia="en-US"/>
        </w:rPr>
        <w:t xml:space="preserve"> noted that the weighted cost was based on expert opinion and is higher than the listed cost, but that the model used a lower cost. While the weighted cost is feasible, </w:t>
      </w:r>
      <w:r>
        <w:rPr>
          <w:color w:val="000000"/>
          <w:lang w:eastAsia="en-US"/>
        </w:rPr>
        <w:t>the Committee</w:t>
      </w:r>
      <w:r w:rsidR="003E5E8C" w:rsidRPr="00BF4FB0">
        <w:rPr>
          <w:color w:val="000000"/>
          <w:lang w:eastAsia="en-US"/>
        </w:rPr>
        <w:t xml:space="preserve"> questioned whether it necessary or logical. </w:t>
      </w:r>
      <w:r>
        <w:rPr>
          <w:color w:val="000000"/>
        </w:rPr>
        <w:t>The Committee</w:t>
      </w:r>
      <w:r w:rsidR="003E5E8C" w:rsidRPr="00BF4FB0">
        <w:rPr>
          <w:color w:val="000000"/>
        </w:rPr>
        <w:t xml:space="preserve"> noted that the assessment group will investigate this further and liaise with the Department and MSAC out of session.</w:t>
      </w:r>
    </w:p>
    <w:p w14:paraId="4FC06276" w14:textId="27CCC8EA" w:rsidR="003E5E8C" w:rsidRPr="00F56D7F" w:rsidRDefault="00D9457E" w:rsidP="003E5E8C">
      <w:pPr>
        <w:spacing w:after="240"/>
        <w:rPr>
          <w:b/>
        </w:rPr>
      </w:pPr>
      <w:r>
        <w:rPr>
          <w:color w:val="000000"/>
        </w:rPr>
        <w:t xml:space="preserve">The </w:t>
      </w:r>
      <w:r w:rsidR="003E5E8C" w:rsidRPr="00BF4FB0">
        <w:rPr>
          <w:color w:val="000000"/>
        </w:rPr>
        <w:t>E</w:t>
      </w:r>
      <w:r>
        <w:rPr>
          <w:color w:val="000000"/>
        </w:rPr>
        <w:t xml:space="preserve">valuation </w:t>
      </w:r>
      <w:r w:rsidR="003E5E8C" w:rsidRPr="00BF4FB0">
        <w:rPr>
          <w:color w:val="000000"/>
        </w:rPr>
        <w:t>S</w:t>
      </w:r>
      <w:r>
        <w:rPr>
          <w:color w:val="000000"/>
        </w:rPr>
        <w:t>ub-</w:t>
      </w:r>
      <w:r w:rsidR="003E5E8C" w:rsidRPr="00BF4FB0">
        <w:rPr>
          <w:color w:val="000000"/>
        </w:rPr>
        <w:t>C</w:t>
      </w:r>
      <w:r>
        <w:rPr>
          <w:color w:val="000000"/>
        </w:rPr>
        <w:t>ommittee</w:t>
      </w:r>
      <w:r w:rsidR="003E5E8C" w:rsidRPr="00BF4FB0">
        <w:rPr>
          <w:color w:val="000000"/>
        </w:rPr>
        <w:t xml:space="preserve"> noted that that the devices required for MBS item numbers 38290 and 38287 were only listed on the PL in 2019, so current data and growth may not potentially reflect expected growth</w:t>
      </w:r>
      <w:r>
        <w:rPr>
          <w:color w:val="000000"/>
        </w:rPr>
        <w:t xml:space="preserve"> and</w:t>
      </w:r>
      <w:r w:rsidR="003E5E8C" w:rsidRPr="00BF4FB0">
        <w:rPr>
          <w:color w:val="000000"/>
        </w:rPr>
        <w:t xml:space="preserve"> recommended that the Department consider reviewing usage in 1–2 years.</w:t>
      </w:r>
    </w:p>
    <w:p w14:paraId="228E2AA7" w14:textId="77777777" w:rsidR="00D90A38" w:rsidRPr="00F715D1" w:rsidRDefault="00BC1364" w:rsidP="00F715D1">
      <w:pPr>
        <w:pStyle w:val="Heading1"/>
      </w:pPr>
      <w:r w:rsidRPr="00F715D1">
        <w:t>Other significant factors</w:t>
      </w:r>
    </w:p>
    <w:p w14:paraId="4306FDB8" w14:textId="2E237D94" w:rsidR="00BC1364" w:rsidRPr="00BC2BBD" w:rsidRDefault="00BC2BBD" w:rsidP="00F715D1">
      <w:pPr>
        <w:spacing w:after="240"/>
        <w:rPr>
          <w:szCs w:val="24"/>
        </w:rPr>
      </w:pPr>
      <w:r w:rsidRPr="00BC2BBD">
        <w:rPr>
          <w:szCs w:val="24"/>
        </w:rPr>
        <w:t>Nil</w:t>
      </w:r>
    </w:p>
    <w:p w14:paraId="7E404665" w14:textId="77777777" w:rsidR="00BC1364" w:rsidRPr="00F715D1" w:rsidRDefault="00C06B0B" w:rsidP="00F715D1">
      <w:pPr>
        <w:pStyle w:val="Heading1"/>
      </w:pPr>
      <w:r>
        <w:t>Applicant</w:t>
      </w:r>
      <w:r w:rsidR="00BC1364" w:rsidRPr="00F715D1">
        <w:t xml:space="preserve"> comments on MSAC’s </w:t>
      </w:r>
      <w:r w:rsidR="00DA56AA" w:rsidRPr="00F715D1">
        <w:t>Public Summary Document</w:t>
      </w:r>
    </w:p>
    <w:p w14:paraId="02D986A2" w14:textId="0A175440" w:rsidR="00BC1364" w:rsidRPr="00391EB7" w:rsidRDefault="000F75DF" w:rsidP="00F715D1">
      <w:pPr>
        <w:spacing w:after="240"/>
        <w:rPr>
          <w:szCs w:val="24"/>
        </w:rPr>
      </w:pPr>
      <w:r w:rsidRPr="00391EB7">
        <w:rPr>
          <w:szCs w:val="24"/>
        </w:rPr>
        <w:t xml:space="preserve">The </w:t>
      </w:r>
      <w:r w:rsidR="00391EB7" w:rsidRPr="00391EB7">
        <w:rPr>
          <w:szCs w:val="24"/>
        </w:rPr>
        <w:t>applicant had no comment.</w:t>
      </w:r>
    </w:p>
    <w:p w14:paraId="6E0EA4BA" w14:textId="77777777" w:rsidR="00BC1364" w:rsidRPr="00F715D1" w:rsidRDefault="00271F18" w:rsidP="00F715D1">
      <w:pPr>
        <w:pStyle w:val="Heading1"/>
      </w:pPr>
      <w:r w:rsidRPr="00F715D1">
        <w:t>Further information on MSAC</w:t>
      </w:r>
    </w:p>
    <w:p w14:paraId="42D27666" w14:textId="77777777" w:rsidR="00BC1364" w:rsidRPr="00F715D1" w:rsidRDefault="00271F18" w:rsidP="00F715D1">
      <w:pPr>
        <w:spacing w:after="240"/>
        <w:rPr>
          <w:szCs w:val="24"/>
        </w:rPr>
      </w:pPr>
      <w:r w:rsidRPr="00F715D1">
        <w:rPr>
          <w:szCs w:val="24"/>
        </w:rPr>
        <w:t xml:space="preserve">MSAC Terms of Reference and other </w:t>
      </w:r>
      <w:r w:rsidR="00BC1364" w:rsidRPr="00F715D1">
        <w:rPr>
          <w:szCs w:val="24"/>
        </w:rPr>
        <w:t xml:space="preserve">information </w:t>
      </w:r>
      <w:r w:rsidRPr="00F715D1">
        <w:rPr>
          <w:szCs w:val="24"/>
        </w:rPr>
        <w:t>are</w:t>
      </w:r>
      <w:r w:rsidR="00BC1364" w:rsidRPr="00F715D1">
        <w:rPr>
          <w:szCs w:val="24"/>
        </w:rPr>
        <w:t xml:space="preserve"> available on the MSAC Website: </w:t>
      </w:r>
      <w:r w:rsidR="00BC2667">
        <w:rPr>
          <w:szCs w:val="24"/>
        </w:rPr>
        <w:br/>
      </w:r>
      <w:hyperlink r:id="rId18" w:tooltip="Link to Medical Services Advisory Committee website" w:history="1">
        <w:r w:rsidR="00BC2667" w:rsidRPr="00F715D1">
          <w:rPr>
            <w:rStyle w:val="Hyperlink"/>
            <w:szCs w:val="24"/>
          </w:rPr>
          <w:t>visit the MSAC website</w:t>
        </w:r>
      </w:hyperlink>
    </w:p>
    <w:sectPr w:rsidR="00BC1364" w:rsidRPr="00F715D1" w:rsidSect="00271F18">
      <w:headerReference w:type="even" r:id="rId19"/>
      <w:headerReference w:type="default" r:id="rId20"/>
      <w:footerReference w:type="even" r:id="rId21"/>
      <w:footerReference w:type="default" r:id="rId22"/>
      <w:headerReference w:type="first" r:id="rId23"/>
      <w:footerReference w:type="first" r:id="rId24"/>
      <w:pgSz w:w="11906" w:h="16838"/>
      <w:pgMar w:top="1134" w:right="1440" w:bottom="426"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4BB35" w16cex:dateUtc="2020-08-16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D061D3" w16cid:durableId="22E4BB35"/>
  <w16cid:commentId w16cid:paraId="5F5B7FFE" w16cid:durableId="22ECDC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BAD86" w14:textId="77777777" w:rsidR="00D85848" w:rsidRDefault="00D85848" w:rsidP="00065623">
      <w:r>
        <w:separator/>
      </w:r>
    </w:p>
  </w:endnote>
  <w:endnote w:type="continuationSeparator" w:id="0">
    <w:p w14:paraId="6247EAEA" w14:textId="77777777" w:rsidR="00D85848" w:rsidRDefault="00D85848" w:rsidP="00065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E3AE" w14:textId="77777777" w:rsidR="00D85848" w:rsidRDefault="00D858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507969"/>
      <w:docPartObj>
        <w:docPartGallery w:val="Page Numbers (Bottom of Page)"/>
        <w:docPartUnique/>
      </w:docPartObj>
    </w:sdtPr>
    <w:sdtEndPr>
      <w:rPr>
        <w:noProof/>
      </w:rPr>
    </w:sdtEndPr>
    <w:sdtContent>
      <w:p w14:paraId="6CE30A67" w14:textId="1978BC7B" w:rsidR="00D85848" w:rsidRDefault="00D85848">
        <w:pPr>
          <w:pStyle w:val="Footer"/>
          <w:jc w:val="right"/>
        </w:pPr>
        <w:r>
          <w:fldChar w:fldCharType="begin"/>
        </w:r>
        <w:r>
          <w:instrText xml:space="preserve"> PAGE   \* MERGEFORMAT </w:instrText>
        </w:r>
        <w:r>
          <w:fldChar w:fldCharType="separate"/>
        </w:r>
        <w:r w:rsidR="007A714F">
          <w:rPr>
            <w:noProof/>
          </w:rPr>
          <w:t>1</w:t>
        </w:r>
        <w:r>
          <w:rPr>
            <w:noProof/>
          </w:rPr>
          <w:fldChar w:fldCharType="end"/>
        </w:r>
      </w:p>
    </w:sdtContent>
  </w:sdt>
  <w:p w14:paraId="5D12FB5D" w14:textId="77777777" w:rsidR="00D85848" w:rsidRDefault="00D858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4AF4D" w14:textId="77777777" w:rsidR="00D85848" w:rsidRDefault="00D858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E378D" w14:textId="77777777" w:rsidR="00D85848" w:rsidRDefault="00D85848" w:rsidP="00065623">
      <w:r>
        <w:separator/>
      </w:r>
    </w:p>
  </w:footnote>
  <w:footnote w:type="continuationSeparator" w:id="0">
    <w:p w14:paraId="19EB2798" w14:textId="77777777" w:rsidR="00D85848" w:rsidRDefault="00D85848" w:rsidP="00065623">
      <w:r>
        <w:continuationSeparator/>
      </w:r>
    </w:p>
  </w:footnote>
  <w:footnote w:id="1">
    <w:p w14:paraId="10619345" w14:textId="77777777" w:rsidR="00D85848" w:rsidRDefault="00D85848" w:rsidP="001D266C">
      <w:pPr>
        <w:pStyle w:val="FootnoteText"/>
      </w:pPr>
      <w:r>
        <w:rPr>
          <w:rStyle w:val="FootnoteReference"/>
        </w:rPr>
        <w:footnoteRef/>
      </w:r>
      <w:r>
        <w:t xml:space="preserve"> </w:t>
      </w:r>
      <w:r w:rsidRPr="00F150DD">
        <w:t>Cronin, EM, Bogun, FM, Maury, P, et al. (2019). "2019 HRS/EHRA/APHRS/LAHRS expert consensus statement on catheter ablation of ventricular arrhythmias." EP Europace, 21(8): 1143-1144.</w:t>
      </w:r>
    </w:p>
  </w:footnote>
  <w:footnote w:id="2">
    <w:p w14:paraId="0A5B6E53" w14:textId="77777777" w:rsidR="00D85848" w:rsidRDefault="00D85848" w:rsidP="001D266C">
      <w:pPr>
        <w:pStyle w:val="FootnoteText"/>
      </w:pPr>
      <w:r>
        <w:rPr>
          <w:rStyle w:val="FootnoteReference"/>
        </w:rPr>
        <w:footnoteRef/>
      </w:r>
      <w:r>
        <w:t xml:space="preserve"> </w:t>
      </w:r>
      <w:r w:rsidRPr="00F150DD">
        <w:t>Al-Khatib, SM, Stevenson, WG, Ackerman, MJ et al. (2018). 2017 AHA/ACC/HRS Guideline for Management of Patients With Ventricular Arrhythmias and the Prevention of Sudden Cardiac Death.  A Report of the American College of Cardiology/American Heart Association Task Force on Clinical Practice Guidelines and the Heart Rhythm Society, 138: e272–e391</w:t>
      </w:r>
    </w:p>
  </w:footnote>
  <w:footnote w:id="3">
    <w:p w14:paraId="70A418BA" w14:textId="77777777" w:rsidR="00D85848" w:rsidRDefault="00D85848" w:rsidP="001D266C">
      <w:pPr>
        <w:pStyle w:val="FootnoteText"/>
      </w:pPr>
      <w:r>
        <w:rPr>
          <w:rStyle w:val="FootnoteReference"/>
        </w:rPr>
        <w:footnoteRef/>
      </w:r>
      <w:r>
        <w:t xml:space="preserve"> </w:t>
      </w:r>
      <w:r w:rsidRPr="00F150DD">
        <w:t>Priori, SG, Blomstrom-Lundqvist, C, Mazzanti, A, et al. (2015). "2015 ESC Guidelines for the management of patients with ventricular arrhythmias and the prevention of sudden cardiac death: The Task Force for the Management of Patients with Ventricular Arrhythmias and the Prevention of Sudden Cardiac Death of the European Society of Cardiology (ESC). Endorsed by: Association for European Paediatric and Congenital Cardiology (AEPC)." Eur Heart J, 36(41): 2793-2867.</w:t>
      </w:r>
    </w:p>
  </w:footnote>
  <w:footnote w:id="4">
    <w:p w14:paraId="625588B6" w14:textId="77777777" w:rsidR="00D85848" w:rsidRDefault="00D85848" w:rsidP="001D266C">
      <w:pPr>
        <w:pStyle w:val="FootnoteText"/>
      </w:pPr>
      <w:r>
        <w:rPr>
          <w:rStyle w:val="FootnoteReference"/>
        </w:rPr>
        <w:footnoteRef/>
      </w:r>
      <w:r>
        <w:t xml:space="preserve"> </w:t>
      </w:r>
      <w:r w:rsidRPr="00B7477E">
        <w:t>Brugada, J, Katritsis, DG, Arbelo, E, et al. (2019). "2019 ESC Guidelines for the management of patients with supraventricular tachycardia: The Task Force for the management of patients with supraventricular tachycardia of the European Society of Cardiology (ESC)." Eur Heart J, 00: 1-65.</w:t>
      </w:r>
    </w:p>
  </w:footnote>
  <w:footnote w:id="5">
    <w:p w14:paraId="066A92C0" w14:textId="77777777" w:rsidR="00D85848" w:rsidRDefault="00D85848" w:rsidP="00853570">
      <w:pPr>
        <w:pStyle w:val="FootnoteText"/>
      </w:pPr>
      <w:r>
        <w:rPr>
          <w:rStyle w:val="FootnoteReference"/>
        </w:rPr>
        <w:footnoteRef/>
      </w:r>
      <w:r>
        <w:t xml:space="preserve"> </w:t>
      </w:r>
      <w:r w:rsidRPr="00B7477E">
        <w:t>Anderson, RD, Ariyarathna, N, Lee, G, et al. (2019). "Catheter ablation versus medical therapy for treatment of ventricular tachycardia associated with structural heart disease: Systematic review and meta-analysis of randomized controlled trials and comparison with observational studies." Heart Rhythm, 16(10): 1484-1491.</w:t>
      </w:r>
    </w:p>
  </w:footnote>
  <w:footnote w:id="6">
    <w:p w14:paraId="418C810E" w14:textId="77777777" w:rsidR="00D85848" w:rsidRDefault="00D85848" w:rsidP="00853570">
      <w:pPr>
        <w:pStyle w:val="FootnoteText"/>
      </w:pPr>
      <w:r>
        <w:rPr>
          <w:rStyle w:val="FootnoteReference"/>
        </w:rPr>
        <w:footnoteRef/>
      </w:r>
      <w:r>
        <w:t xml:space="preserve"> </w:t>
      </w:r>
      <w:r w:rsidRPr="00B7477E">
        <w:t>Atti, V, Vuddanda, V, Turagam, MK, et al. (2018). "Prophylactic catheter ablation of ventricular tachycardia in ischemic cardiomyopathy: a systematic review and meta-analysis of randomized controlled trials." J Interv Card Electrophysiol, 53(2): 207-215.</w:t>
      </w:r>
    </w:p>
  </w:footnote>
  <w:footnote w:id="7">
    <w:p w14:paraId="463FBD7E" w14:textId="77777777" w:rsidR="00D85848" w:rsidRDefault="00D85848" w:rsidP="00853570">
      <w:pPr>
        <w:pStyle w:val="FootnoteText"/>
      </w:pPr>
      <w:r>
        <w:rPr>
          <w:rStyle w:val="FootnoteReference"/>
        </w:rPr>
        <w:footnoteRef/>
      </w:r>
      <w:r>
        <w:t xml:space="preserve"> </w:t>
      </w:r>
      <w:r w:rsidRPr="00B7477E">
        <w:t>Martinez, BK, Baker, WL, Konopka, A, et al. (2019). "Systematic review and meta-analysis of catheter ablation of ventricular tachycardia in ischemic heart disease." Heart Rhythm, 0: 1547-5271</w:t>
      </w:r>
    </w:p>
  </w:footnote>
  <w:footnote w:id="8">
    <w:p w14:paraId="16556896" w14:textId="77777777" w:rsidR="00D85848" w:rsidRDefault="00D85848" w:rsidP="00853570">
      <w:pPr>
        <w:pStyle w:val="FootnoteText"/>
      </w:pPr>
      <w:r>
        <w:rPr>
          <w:rStyle w:val="FootnoteReference"/>
        </w:rPr>
        <w:footnoteRef/>
      </w:r>
      <w:r>
        <w:t xml:space="preserve"> </w:t>
      </w:r>
      <w:r w:rsidRPr="00B7477E">
        <w:t>Tilz, RR, Eitel, C, Lyan, E, et al. (2019). "Preventive Ventricular Tachycardia Ablation in Patients with Ischaemic Cardiomyopathy: Meta-analysis of Randomised Trials." Arrhythm Electrophysiol Review, 8(3): 173-179.</w:t>
      </w:r>
    </w:p>
  </w:footnote>
  <w:footnote w:id="9">
    <w:p w14:paraId="659A05DA" w14:textId="38EF68D7" w:rsidR="00D85848" w:rsidRDefault="00D85848" w:rsidP="00853570">
      <w:pPr>
        <w:pStyle w:val="FootnoteText"/>
      </w:pPr>
      <w:r>
        <w:rPr>
          <w:rStyle w:val="FootnoteReference"/>
        </w:rPr>
        <w:footnoteRef/>
      </w:r>
      <w:r>
        <w:t xml:space="preserve"> </w:t>
      </w:r>
      <w:r w:rsidRPr="0029675B">
        <w:t>Da Costa, A, Thevenin, J, Roche, F, et al. (2006). "Results from the Loire-Ardeche-Drome-Isere-Puy-de-Dome (LADIP) trial on atrial flutter, a multicentric prospective randomized study comparing amiodarone and radiofrequency ablation after the first episode of symptomatic atrial flutter." Circulation, 114(16): 1676-1681.</w:t>
      </w:r>
    </w:p>
  </w:footnote>
  <w:footnote w:id="10">
    <w:p w14:paraId="60DF6159" w14:textId="77777777" w:rsidR="00D85848" w:rsidRDefault="00D85848" w:rsidP="00853570">
      <w:pPr>
        <w:pStyle w:val="FootnoteText"/>
      </w:pPr>
      <w:r>
        <w:rPr>
          <w:rStyle w:val="FootnoteReference"/>
        </w:rPr>
        <w:footnoteRef/>
      </w:r>
      <w:r>
        <w:t xml:space="preserve"> </w:t>
      </w:r>
      <w:r w:rsidRPr="00A673BD">
        <w:t>The sponsors agree that ICD therapies, ICD shocks and VT storm are important outcomes for patients with VA. As explained above, these outcomes are included within the assessment of ‘VT recurrence’ by Anderson (2019).</w:t>
      </w:r>
    </w:p>
  </w:footnote>
  <w:footnote w:id="11">
    <w:p w14:paraId="74A67569" w14:textId="77777777" w:rsidR="00D85848" w:rsidRDefault="00D85848" w:rsidP="00853570">
      <w:pPr>
        <w:pStyle w:val="FootnoteText"/>
      </w:pPr>
      <w:r>
        <w:rPr>
          <w:rStyle w:val="FootnoteReference"/>
        </w:rPr>
        <w:footnoteRef/>
      </w:r>
      <w:r>
        <w:t xml:space="preserve"> </w:t>
      </w:r>
      <w:r w:rsidRPr="00A673BD">
        <w:t>Looi KL, Tang A, Agarwal S, et al, 2015, Ventricular arrhythmia storm in the era of implantable cardioverter-defibrillator, Postgrad Med J; 91: 519-526.</w:t>
      </w:r>
    </w:p>
  </w:footnote>
  <w:footnote w:id="12">
    <w:p w14:paraId="30F3346E" w14:textId="77777777" w:rsidR="00D85848" w:rsidRDefault="00D85848" w:rsidP="00853570">
      <w:pPr>
        <w:pStyle w:val="FootnoteText"/>
      </w:pPr>
      <w:r>
        <w:rPr>
          <w:rStyle w:val="FootnoteReference"/>
        </w:rPr>
        <w:footnoteRef/>
      </w:r>
      <w:r>
        <w:t xml:space="preserve"> </w:t>
      </w:r>
      <w:r w:rsidRPr="00A673BD">
        <w:t>Poole JE, Johnson GW, Hellkamp JA, et al, 2008, Prognostic importance of defibrillator shocks in patients with heart failure, N Engl J Med; 359: 1009-1017.</w:t>
      </w:r>
    </w:p>
  </w:footnote>
  <w:footnote w:id="13">
    <w:p w14:paraId="7D2F4064" w14:textId="77777777" w:rsidR="00D85848" w:rsidRDefault="00D85848" w:rsidP="00853570">
      <w:pPr>
        <w:pStyle w:val="FootnoteText"/>
      </w:pPr>
      <w:r>
        <w:rPr>
          <w:rStyle w:val="FootnoteReference"/>
        </w:rPr>
        <w:footnoteRef/>
      </w:r>
      <w:r>
        <w:t xml:space="preserve"> </w:t>
      </w:r>
      <w:r w:rsidRPr="00A673BD">
        <w:t>Sesselberg HW, Moss A, McNitt S, et al, 2007, Ventricular arrhythmia storms in postinfarction patients with implantable defibrillators for primary prevention indications: A MADIT-II substudy, Heart Rhythm, 4(1), 1395-1402</w:t>
      </w:r>
    </w:p>
  </w:footnote>
  <w:footnote w:id="14">
    <w:p w14:paraId="18C633C4" w14:textId="77777777" w:rsidR="00D85848" w:rsidRDefault="00D85848" w:rsidP="00853570">
      <w:pPr>
        <w:pStyle w:val="FootnoteText"/>
      </w:pPr>
      <w:r>
        <w:rPr>
          <w:rStyle w:val="FootnoteReference"/>
        </w:rPr>
        <w:footnoteRef/>
      </w:r>
      <w:r>
        <w:t xml:space="preserve"> </w:t>
      </w:r>
      <w:r w:rsidRPr="00A673BD">
        <w:t>Passman R, Subacius H, Ruo B, et al, 2007, Implantable cardioverter defibrillators and quality of life: results from the defibrillators in nonischemic cardiomyopathy treatment evaluation study, Arch Intern Med; 167: 2226-2232.</w:t>
      </w:r>
    </w:p>
  </w:footnote>
  <w:footnote w:id="15">
    <w:p w14:paraId="06BCAE5D" w14:textId="77777777" w:rsidR="00D85848" w:rsidRDefault="00D85848" w:rsidP="00853570">
      <w:pPr>
        <w:pStyle w:val="FootnoteText"/>
      </w:pPr>
      <w:r>
        <w:rPr>
          <w:rStyle w:val="FootnoteReference"/>
        </w:rPr>
        <w:footnoteRef/>
      </w:r>
      <w:r>
        <w:t xml:space="preserve"> </w:t>
      </w:r>
      <w:r w:rsidRPr="00A673BD">
        <w:t>Sears SF, Rosman L, Sasaki S, et al, 2018, Defibrillator shocks and their effect on objective and subjective patient outcomes: results of the PainFree SST clinical trial, Heart Rhythm; 15(5): 734-740.</w:t>
      </w:r>
    </w:p>
  </w:footnote>
  <w:footnote w:id="16">
    <w:p w14:paraId="0F79D631" w14:textId="77777777" w:rsidR="00D85848" w:rsidRDefault="00D85848" w:rsidP="00853570">
      <w:pPr>
        <w:pStyle w:val="FootnoteText"/>
      </w:pPr>
      <w:r>
        <w:rPr>
          <w:rStyle w:val="FootnoteReference"/>
        </w:rPr>
        <w:footnoteRef/>
      </w:r>
      <w:r>
        <w:t xml:space="preserve"> </w:t>
      </w:r>
      <w:r w:rsidRPr="00A673BD">
        <w:t>Winterfield JR, Kent AR, Karst E, et al, 2018, Impact of ventricular tachycardia ablation on health care utilization, Heart Rhythm; 15(3): 355-362.</w:t>
      </w:r>
    </w:p>
  </w:footnote>
  <w:footnote w:id="17">
    <w:p w14:paraId="501AD650" w14:textId="77777777" w:rsidR="00D85848" w:rsidRDefault="00D85848" w:rsidP="00853570">
      <w:pPr>
        <w:pStyle w:val="FootnoteText"/>
      </w:pPr>
      <w:r>
        <w:rPr>
          <w:rStyle w:val="FootnoteReference"/>
        </w:rPr>
        <w:footnoteRef/>
      </w:r>
      <w:r>
        <w:t xml:space="preserve"> </w:t>
      </w:r>
      <w:r w:rsidRPr="00CC48C6">
        <w:t>Nayyar S, Ganesan AN, Brooks AG, et al, 2013, Venturing into ventricular arrhythmia storm: a systematic review and meta-analysis, Eur Heart J; 34(8): 560-571.</w:t>
      </w:r>
    </w:p>
  </w:footnote>
  <w:footnote w:id="18">
    <w:p w14:paraId="309CA3F7" w14:textId="77777777" w:rsidR="00D85848" w:rsidRDefault="00D85848" w:rsidP="00853570">
      <w:pPr>
        <w:pStyle w:val="FootnoteText"/>
      </w:pPr>
      <w:r>
        <w:rPr>
          <w:rStyle w:val="FootnoteReference"/>
        </w:rPr>
        <w:footnoteRef/>
      </w:r>
      <w:r>
        <w:t xml:space="preserve"> </w:t>
      </w:r>
      <w:r w:rsidRPr="00FF4369">
        <w:t>Pappone C, Santinelli V, Manguso F, et al, 2003, A randomized study of prophylactic catheter ablation in asymptomatic patients with the Wolff–Parkinson–White Syndrome, N Engl J Med; 349:1803-1811.</w:t>
      </w:r>
    </w:p>
  </w:footnote>
  <w:footnote w:id="19">
    <w:p w14:paraId="044AF999" w14:textId="77777777" w:rsidR="00D85848" w:rsidRDefault="00D85848" w:rsidP="00853570">
      <w:pPr>
        <w:pStyle w:val="FootnoteText"/>
      </w:pPr>
      <w:r>
        <w:rPr>
          <w:rStyle w:val="FootnoteReference"/>
        </w:rPr>
        <w:footnoteRef/>
      </w:r>
      <w:r>
        <w:t xml:space="preserve"> </w:t>
      </w:r>
      <w:r w:rsidRPr="00FF4369">
        <w:t>Ling Z, Liu Z, Su L, et al, 2014, Radiofrequency Ablation Versus Antiarrhythmic Medication for Treatment of Ventricular Premature Beats from the Right Ventricular Outflow Tract Prospective Randomized Study, Circ Arrhythm Electrophysiol; 7: 237-243.</w:t>
      </w:r>
    </w:p>
  </w:footnote>
  <w:footnote w:id="20">
    <w:p w14:paraId="4B562545" w14:textId="77777777" w:rsidR="00D85848" w:rsidRDefault="00D85848" w:rsidP="00853570">
      <w:pPr>
        <w:pStyle w:val="FootnoteText"/>
      </w:pPr>
      <w:r>
        <w:rPr>
          <w:rStyle w:val="FootnoteReference"/>
        </w:rPr>
        <w:footnoteRef/>
      </w:r>
      <w:r>
        <w:t xml:space="preserve"> </w:t>
      </w:r>
      <w:r w:rsidRPr="00FF4369">
        <w:t>Lamba J, Redfearn DP, Michael KA, et al, 2014, Radiofrequency catheter ablation for the treatment of idiopathic premature ventricular contractions originating from the right ventricular outflow tract: A systematic review and meta-analysis; 37 (1): 73-8.</w:t>
      </w:r>
    </w:p>
  </w:footnote>
  <w:footnote w:id="21">
    <w:p w14:paraId="42E094DE" w14:textId="77777777" w:rsidR="00D85848" w:rsidRDefault="00D85848" w:rsidP="00853570">
      <w:pPr>
        <w:pStyle w:val="FootnoteText"/>
      </w:pPr>
      <w:r>
        <w:rPr>
          <w:rStyle w:val="FootnoteReference"/>
        </w:rPr>
        <w:footnoteRef/>
      </w:r>
      <w:r>
        <w:t xml:space="preserve"> </w:t>
      </w:r>
      <w:r w:rsidRPr="00FF1C96">
        <w:t>Sapp, J, Coyle, K, Parkash, R, et al. (2017). "Cost effectiveness of ventricular tachycardia ablation versus escalation of antiarrhythmic drug therapy in the VANISH trial." Can J Cardiol, 33(10): S16-S17.</w:t>
      </w:r>
    </w:p>
  </w:footnote>
  <w:footnote w:id="22">
    <w:p w14:paraId="3CBBE975" w14:textId="77777777" w:rsidR="00D85848" w:rsidRDefault="00D85848" w:rsidP="00853570">
      <w:pPr>
        <w:pStyle w:val="FootnoteText"/>
      </w:pPr>
      <w:r>
        <w:rPr>
          <w:rStyle w:val="FootnoteReference"/>
        </w:rPr>
        <w:footnoteRef/>
      </w:r>
      <w:r>
        <w:t xml:space="preserve"> </w:t>
      </w:r>
      <w:r w:rsidRPr="00F311D1">
        <w:t>Bänsch D, Böcker D, Brunn J, et al, 2000, Clusters of ventricular tachycardias signify impaired survival in patients with idiopathic dilated cardiomyopathy and implantable cardioverter defibrillators, J Am Coll Cardiol; 36(2): 566-573.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562A" w14:textId="77777777" w:rsidR="00D85848" w:rsidRDefault="00D858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31195" w14:textId="77777777" w:rsidR="00D85848" w:rsidRDefault="00D858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73242" w14:textId="77777777" w:rsidR="00D85848" w:rsidRDefault="00D85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4B71"/>
    <w:multiLevelType w:val="hybridMultilevel"/>
    <w:tmpl w:val="C28267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BBA1F10"/>
    <w:multiLevelType w:val="hybridMultilevel"/>
    <w:tmpl w:val="C144EA82"/>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8004C"/>
    <w:multiLevelType w:val="hybridMultilevel"/>
    <w:tmpl w:val="28FE052A"/>
    <w:lvl w:ilvl="0" w:tplc="DBFA83DC">
      <w:start w:val="1"/>
      <w:numFmt w:val="bullet"/>
      <w:lvlText w:val=""/>
      <w:lvlJc w:val="left"/>
      <w:pPr>
        <w:tabs>
          <w:tab w:val="num" w:pos="1080"/>
        </w:tabs>
        <w:ind w:left="1080" w:hanging="360"/>
      </w:pPr>
      <w:rPr>
        <w:rFonts w:ascii="Symbol" w:hAnsi="Symbol" w:hint="default"/>
        <w:color w:val="auto"/>
        <w:sz w:val="22"/>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C65D09"/>
    <w:multiLevelType w:val="hybridMultilevel"/>
    <w:tmpl w:val="8F1A6EFA"/>
    <w:lvl w:ilvl="0" w:tplc="CE66D59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066A5B"/>
    <w:multiLevelType w:val="hybridMultilevel"/>
    <w:tmpl w:val="4D2C1A20"/>
    <w:lvl w:ilvl="0" w:tplc="0C09000F">
      <w:start w:val="8"/>
      <w:numFmt w:val="decimal"/>
      <w:lvlText w:val="%1."/>
      <w:lvlJc w:val="left"/>
      <w:pPr>
        <w:ind w:left="720" w:hanging="360"/>
      </w:pPr>
      <w:rPr>
        <w:rFonts w:cs="Times New Roman" w:hint="default"/>
      </w:rPr>
    </w:lvl>
    <w:lvl w:ilvl="1" w:tplc="90407CA0">
      <w:numFmt w:val="bullet"/>
      <w:lvlText w:val="•"/>
      <w:lvlJc w:val="left"/>
      <w:pPr>
        <w:ind w:left="1440" w:hanging="360"/>
      </w:pPr>
      <w:rPr>
        <w:rFonts w:ascii="Times New Roman" w:eastAsia="Times New Roman" w:hAnsi="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AEA2809"/>
    <w:multiLevelType w:val="hybridMultilevel"/>
    <w:tmpl w:val="F2F2E38C"/>
    <w:lvl w:ilvl="0" w:tplc="FB06DE0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D46CF5"/>
    <w:multiLevelType w:val="hybridMultilevel"/>
    <w:tmpl w:val="6DD62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3B7462"/>
    <w:multiLevelType w:val="hybridMultilevel"/>
    <w:tmpl w:val="5816BF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915F9C"/>
    <w:multiLevelType w:val="hybridMultilevel"/>
    <w:tmpl w:val="7D3012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25AE421E"/>
    <w:multiLevelType w:val="hybridMultilevel"/>
    <w:tmpl w:val="0630CA5C"/>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7A7D18"/>
    <w:multiLevelType w:val="hybridMultilevel"/>
    <w:tmpl w:val="00865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15F4C48"/>
    <w:multiLevelType w:val="hybridMultilevel"/>
    <w:tmpl w:val="548AB2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37B54856"/>
    <w:multiLevelType w:val="hybridMultilevel"/>
    <w:tmpl w:val="C25AA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C52461"/>
    <w:multiLevelType w:val="hybridMultilevel"/>
    <w:tmpl w:val="A2147C00"/>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123FED"/>
    <w:multiLevelType w:val="hybridMultilevel"/>
    <w:tmpl w:val="6F300BE4"/>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9300A29"/>
    <w:multiLevelType w:val="hybridMultilevel"/>
    <w:tmpl w:val="022EEF64"/>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941558"/>
    <w:multiLevelType w:val="hybridMultilevel"/>
    <w:tmpl w:val="E99CCDC8"/>
    <w:lvl w:ilvl="0" w:tplc="186429E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1768B9"/>
    <w:multiLevelType w:val="hybridMultilevel"/>
    <w:tmpl w:val="B92A3038"/>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6473681"/>
    <w:multiLevelType w:val="hybridMultilevel"/>
    <w:tmpl w:val="40C4F14E"/>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DE62CB"/>
    <w:multiLevelType w:val="hybridMultilevel"/>
    <w:tmpl w:val="BA98FA6A"/>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666045"/>
    <w:multiLevelType w:val="hybridMultilevel"/>
    <w:tmpl w:val="22B0351A"/>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F6E3F10"/>
    <w:multiLevelType w:val="hybridMultilevel"/>
    <w:tmpl w:val="AAFE4FC2"/>
    <w:lvl w:ilvl="0" w:tplc="DBFA83DC">
      <w:start w:val="1"/>
      <w:numFmt w:val="bullet"/>
      <w:lvlText w:val=""/>
      <w:lvlJc w:val="left"/>
      <w:pPr>
        <w:tabs>
          <w:tab w:val="num" w:pos="360"/>
        </w:tabs>
        <w:ind w:left="360" w:hanging="360"/>
      </w:pPr>
      <w:rPr>
        <w:rFonts w:ascii="Symbol" w:hAnsi="Symbol" w:hint="default"/>
        <w:color w:val="auto"/>
        <w:sz w:val="22"/>
      </w:rPr>
    </w:lvl>
    <w:lvl w:ilvl="1" w:tplc="04090019">
      <w:start w:val="1"/>
      <w:numFmt w:val="lowerLetter"/>
      <w:lvlText w:val="%2."/>
      <w:lvlJc w:val="left"/>
      <w:pPr>
        <w:tabs>
          <w:tab w:val="num" w:pos="1080"/>
        </w:tabs>
        <w:ind w:left="1080" w:hanging="360"/>
      </w:pPr>
      <w:rPr>
        <w:rFonts w:cs="Times New Roman"/>
      </w:rPr>
    </w:lvl>
    <w:lvl w:ilvl="2" w:tplc="DBFA83DC">
      <w:start w:val="1"/>
      <w:numFmt w:val="bullet"/>
      <w:lvlText w:val=""/>
      <w:lvlJc w:val="left"/>
      <w:pPr>
        <w:tabs>
          <w:tab w:val="num" w:pos="360"/>
        </w:tabs>
        <w:ind w:left="360" w:hanging="360"/>
      </w:pPr>
      <w:rPr>
        <w:rFonts w:ascii="Symbol" w:hAnsi="Symbol" w:hint="default"/>
        <w:color w:val="auto"/>
        <w:sz w:val="22"/>
      </w:rPr>
    </w:lvl>
    <w:lvl w:ilvl="3" w:tplc="DBFA83DC">
      <w:start w:val="1"/>
      <w:numFmt w:val="bullet"/>
      <w:lvlText w:val=""/>
      <w:lvlJc w:val="left"/>
      <w:pPr>
        <w:tabs>
          <w:tab w:val="num" w:pos="360"/>
        </w:tabs>
        <w:ind w:left="360" w:hanging="360"/>
      </w:pPr>
      <w:rPr>
        <w:rFonts w:ascii="Symbol" w:hAnsi="Symbol" w:hint="default"/>
        <w:color w:val="auto"/>
        <w:sz w:val="22"/>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63FD352C"/>
    <w:multiLevelType w:val="hybridMultilevel"/>
    <w:tmpl w:val="0BEE0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FD3542"/>
    <w:multiLevelType w:val="hybridMultilevel"/>
    <w:tmpl w:val="EC925B1C"/>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5853F9"/>
    <w:multiLevelType w:val="hybridMultilevel"/>
    <w:tmpl w:val="286866AA"/>
    <w:lvl w:ilvl="0" w:tplc="FB06DE06">
      <w:start w:val="3"/>
      <w:numFmt w:val="decimal"/>
      <w:lvlText w:val="%1."/>
      <w:lvlJc w:val="left"/>
      <w:pPr>
        <w:tabs>
          <w:tab w:val="num" w:pos="1080"/>
        </w:tabs>
        <w:ind w:left="1080" w:hanging="720"/>
      </w:pPr>
      <w:rPr>
        <w:rFonts w:cs="Times New Roman" w:hint="defaul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68C5138"/>
    <w:multiLevelType w:val="hybridMultilevel"/>
    <w:tmpl w:val="17102830"/>
    <w:lvl w:ilvl="0" w:tplc="BBBEF836">
      <w:start w:val="1"/>
      <w:numFmt w:val="bullet"/>
      <w:lvlText w:val=""/>
      <w:lvlJc w:val="left"/>
      <w:pPr>
        <w:tabs>
          <w:tab w:val="num" w:pos="360"/>
        </w:tabs>
        <w:ind w:left="360" w:hanging="360"/>
      </w:pPr>
      <w:rPr>
        <w:rFonts w:ascii="Symbol" w:hAnsi="Symbol" w:hint="default"/>
        <w:color w:val="auto"/>
      </w:rPr>
    </w:lvl>
    <w:lvl w:ilvl="1" w:tplc="72A82ED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673F3A13"/>
    <w:multiLevelType w:val="hybridMultilevel"/>
    <w:tmpl w:val="64300D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682F2DF2"/>
    <w:multiLevelType w:val="hybridMultilevel"/>
    <w:tmpl w:val="AF46B9B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6A797C3B"/>
    <w:multiLevelType w:val="hybridMultilevel"/>
    <w:tmpl w:val="7928835A"/>
    <w:lvl w:ilvl="0" w:tplc="BBBEF83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143F8A"/>
    <w:multiLevelType w:val="hybridMultilevel"/>
    <w:tmpl w:val="9AF2BD2E"/>
    <w:lvl w:ilvl="0" w:tplc="69B0DAB4">
      <w:start w:val="1"/>
      <w:numFmt w:val="bullet"/>
      <w:lvlText w:val=""/>
      <w:lvlJc w:val="left"/>
      <w:pPr>
        <w:tabs>
          <w:tab w:val="num" w:pos="1080"/>
        </w:tabs>
        <w:ind w:left="1080" w:hanging="360"/>
      </w:pPr>
      <w:rPr>
        <w:rFonts w:ascii="Symbol" w:hAnsi="Symbol" w:hint="default"/>
        <w:color w:val="auto"/>
        <w:sz w:val="22"/>
      </w:rPr>
    </w:lvl>
    <w:lvl w:ilvl="1" w:tplc="69B0DAB4">
      <w:start w:val="1"/>
      <w:numFmt w:val="bullet"/>
      <w:lvlText w:val=""/>
      <w:lvlJc w:val="left"/>
      <w:pPr>
        <w:tabs>
          <w:tab w:val="num" w:pos="1800"/>
        </w:tabs>
        <w:ind w:left="1800" w:hanging="360"/>
      </w:pPr>
      <w:rPr>
        <w:rFonts w:ascii="Symbol" w:hAnsi="Symbol" w:hint="default"/>
        <w:color w:val="auto"/>
        <w:sz w:val="22"/>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 w15:restartNumberingAfterBreak="0">
    <w:nsid w:val="79CE2149"/>
    <w:multiLevelType w:val="hybridMultilevel"/>
    <w:tmpl w:val="3BC2F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B11A5D"/>
    <w:multiLevelType w:val="hybridMultilevel"/>
    <w:tmpl w:val="2CC84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BC358B"/>
    <w:multiLevelType w:val="hybridMultilevel"/>
    <w:tmpl w:val="C9322508"/>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8"/>
  </w:num>
  <w:num w:numId="3">
    <w:abstractNumId w:val="2"/>
  </w:num>
  <w:num w:numId="4">
    <w:abstractNumId w:val="20"/>
  </w:num>
  <w:num w:numId="5">
    <w:abstractNumId w:val="14"/>
  </w:num>
  <w:num w:numId="6">
    <w:abstractNumId w:val="19"/>
  </w:num>
  <w:num w:numId="7">
    <w:abstractNumId w:val="24"/>
  </w:num>
  <w:num w:numId="8">
    <w:abstractNumId w:val="15"/>
  </w:num>
  <w:num w:numId="9">
    <w:abstractNumId w:val="33"/>
  </w:num>
  <w:num w:numId="10">
    <w:abstractNumId w:val="1"/>
  </w:num>
  <w:num w:numId="11">
    <w:abstractNumId w:val="22"/>
  </w:num>
  <w:num w:numId="12">
    <w:abstractNumId w:val="25"/>
  </w:num>
  <w:num w:numId="13">
    <w:abstractNumId w:val="5"/>
  </w:num>
  <w:num w:numId="14">
    <w:abstractNumId w:val="30"/>
  </w:num>
  <w:num w:numId="15">
    <w:abstractNumId w:val="21"/>
  </w:num>
  <w:num w:numId="16">
    <w:abstractNumId w:val="26"/>
  </w:num>
  <w:num w:numId="17">
    <w:abstractNumId w:val="16"/>
  </w:num>
  <w:num w:numId="18">
    <w:abstractNumId w:val="17"/>
  </w:num>
  <w:num w:numId="19">
    <w:abstractNumId w:val="29"/>
  </w:num>
  <w:num w:numId="20">
    <w:abstractNumId w:val="27"/>
  </w:num>
  <w:num w:numId="21">
    <w:abstractNumId w:val="4"/>
  </w:num>
  <w:num w:numId="22">
    <w:abstractNumId w:val="13"/>
  </w:num>
  <w:num w:numId="23">
    <w:abstractNumId w:val="3"/>
  </w:num>
  <w:num w:numId="24">
    <w:abstractNumId w:val="11"/>
  </w:num>
  <w:num w:numId="25">
    <w:abstractNumId w:val="6"/>
  </w:num>
  <w:num w:numId="26">
    <w:abstractNumId w:val="23"/>
  </w:num>
  <w:num w:numId="27">
    <w:abstractNumId w:val="7"/>
  </w:num>
  <w:num w:numId="28">
    <w:abstractNumId w:val="8"/>
  </w:num>
  <w:num w:numId="29">
    <w:abstractNumId w:val="28"/>
  </w:num>
  <w:num w:numId="30">
    <w:abstractNumId w:val="12"/>
  </w:num>
  <w:num w:numId="31">
    <w:abstractNumId w:val="9"/>
  </w:num>
  <w:num w:numId="32">
    <w:abstractNumId w:val="31"/>
  </w:num>
  <w:num w:numId="33">
    <w:abstractNumId w:val="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23"/>
    <w:rsid w:val="00007312"/>
    <w:rsid w:val="00011A36"/>
    <w:rsid w:val="0001311B"/>
    <w:rsid w:val="000317F2"/>
    <w:rsid w:val="00047606"/>
    <w:rsid w:val="00052851"/>
    <w:rsid w:val="00065623"/>
    <w:rsid w:val="00071978"/>
    <w:rsid w:val="000756B9"/>
    <w:rsid w:val="000968B3"/>
    <w:rsid w:val="00096B67"/>
    <w:rsid w:val="00096DAF"/>
    <w:rsid w:val="000C2F47"/>
    <w:rsid w:val="000D2B9A"/>
    <w:rsid w:val="000D30DA"/>
    <w:rsid w:val="000D6C00"/>
    <w:rsid w:val="000E4E04"/>
    <w:rsid w:val="000F14B4"/>
    <w:rsid w:val="000F5CE5"/>
    <w:rsid w:val="000F75DF"/>
    <w:rsid w:val="001023DC"/>
    <w:rsid w:val="00120E37"/>
    <w:rsid w:val="00126AA1"/>
    <w:rsid w:val="001328FA"/>
    <w:rsid w:val="00147AAF"/>
    <w:rsid w:val="001552C0"/>
    <w:rsid w:val="00156907"/>
    <w:rsid w:val="001640B1"/>
    <w:rsid w:val="00170FB8"/>
    <w:rsid w:val="00174331"/>
    <w:rsid w:val="0017539D"/>
    <w:rsid w:val="00176202"/>
    <w:rsid w:val="001842B7"/>
    <w:rsid w:val="0018435E"/>
    <w:rsid w:val="001D266C"/>
    <w:rsid w:val="001E1313"/>
    <w:rsid w:val="001E3F42"/>
    <w:rsid w:val="002041A1"/>
    <w:rsid w:val="002054F0"/>
    <w:rsid w:val="00230D6B"/>
    <w:rsid w:val="00232068"/>
    <w:rsid w:val="002330F2"/>
    <w:rsid w:val="00243D9E"/>
    <w:rsid w:val="0025034B"/>
    <w:rsid w:val="00253B66"/>
    <w:rsid w:val="00261DF1"/>
    <w:rsid w:val="00271F18"/>
    <w:rsid w:val="0028237B"/>
    <w:rsid w:val="00282779"/>
    <w:rsid w:val="0028334D"/>
    <w:rsid w:val="00294398"/>
    <w:rsid w:val="0029675B"/>
    <w:rsid w:val="002B7FFA"/>
    <w:rsid w:val="002C2BCF"/>
    <w:rsid w:val="002F279D"/>
    <w:rsid w:val="002F43B8"/>
    <w:rsid w:val="00325469"/>
    <w:rsid w:val="00336856"/>
    <w:rsid w:val="0034554D"/>
    <w:rsid w:val="00352224"/>
    <w:rsid w:val="003671E6"/>
    <w:rsid w:val="00372687"/>
    <w:rsid w:val="00384272"/>
    <w:rsid w:val="00386D67"/>
    <w:rsid w:val="00391EB7"/>
    <w:rsid w:val="003945B8"/>
    <w:rsid w:val="003B1EFE"/>
    <w:rsid w:val="003B487D"/>
    <w:rsid w:val="003C2911"/>
    <w:rsid w:val="003D7F29"/>
    <w:rsid w:val="003E5E8C"/>
    <w:rsid w:val="003E70F4"/>
    <w:rsid w:val="003E740E"/>
    <w:rsid w:val="003F129F"/>
    <w:rsid w:val="00405A6B"/>
    <w:rsid w:val="00407B1F"/>
    <w:rsid w:val="0041184F"/>
    <w:rsid w:val="00414C57"/>
    <w:rsid w:val="0041758C"/>
    <w:rsid w:val="004539DE"/>
    <w:rsid w:val="004A11EC"/>
    <w:rsid w:val="004A2CF1"/>
    <w:rsid w:val="004A7E0B"/>
    <w:rsid w:val="004C3035"/>
    <w:rsid w:val="004C307F"/>
    <w:rsid w:val="004D6A86"/>
    <w:rsid w:val="004E3E96"/>
    <w:rsid w:val="004E4BA8"/>
    <w:rsid w:val="004F340F"/>
    <w:rsid w:val="004F4AAD"/>
    <w:rsid w:val="004F7B7C"/>
    <w:rsid w:val="00507A0B"/>
    <w:rsid w:val="00514D34"/>
    <w:rsid w:val="0052243D"/>
    <w:rsid w:val="00532435"/>
    <w:rsid w:val="00541AB8"/>
    <w:rsid w:val="00550354"/>
    <w:rsid w:val="00557313"/>
    <w:rsid w:val="00567F97"/>
    <w:rsid w:val="00571236"/>
    <w:rsid w:val="005833BA"/>
    <w:rsid w:val="005953A1"/>
    <w:rsid w:val="005A4362"/>
    <w:rsid w:val="005B1477"/>
    <w:rsid w:val="005B5434"/>
    <w:rsid w:val="005D0332"/>
    <w:rsid w:val="005D0D8C"/>
    <w:rsid w:val="00640A46"/>
    <w:rsid w:val="006474EE"/>
    <w:rsid w:val="00662941"/>
    <w:rsid w:val="006776AE"/>
    <w:rsid w:val="00684C8B"/>
    <w:rsid w:val="006A0D97"/>
    <w:rsid w:val="006B186A"/>
    <w:rsid w:val="006B1F86"/>
    <w:rsid w:val="006C0A91"/>
    <w:rsid w:val="006D1B35"/>
    <w:rsid w:val="006E4ADD"/>
    <w:rsid w:val="006E517B"/>
    <w:rsid w:val="006F0F92"/>
    <w:rsid w:val="00703DB3"/>
    <w:rsid w:val="007054BB"/>
    <w:rsid w:val="00707064"/>
    <w:rsid w:val="00724C12"/>
    <w:rsid w:val="00730683"/>
    <w:rsid w:val="007340BE"/>
    <w:rsid w:val="00750C14"/>
    <w:rsid w:val="00751771"/>
    <w:rsid w:val="0075261F"/>
    <w:rsid w:val="0075468E"/>
    <w:rsid w:val="00757328"/>
    <w:rsid w:val="0076434C"/>
    <w:rsid w:val="007665D8"/>
    <w:rsid w:val="00766E36"/>
    <w:rsid w:val="007765F4"/>
    <w:rsid w:val="00776633"/>
    <w:rsid w:val="00784D53"/>
    <w:rsid w:val="00797797"/>
    <w:rsid w:val="007A63C9"/>
    <w:rsid w:val="007A714F"/>
    <w:rsid w:val="007B32D1"/>
    <w:rsid w:val="007B7095"/>
    <w:rsid w:val="007C7754"/>
    <w:rsid w:val="007D24E1"/>
    <w:rsid w:val="007D6288"/>
    <w:rsid w:val="007D63F2"/>
    <w:rsid w:val="007E54DD"/>
    <w:rsid w:val="007F4CE9"/>
    <w:rsid w:val="007F4E20"/>
    <w:rsid w:val="00822C7E"/>
    <w:rsid w:val="0082454F"/>
    <w:rsid w:val="008306AE"/>
    <w:rsid w:val="00847060"/>
    <w:rsid w:val="00847A36"/>
    <w:rsid w:val="00853570"/>
    <w:rsid w:val="00856A33"/>
    <w:rsid w:val="0087527B"/>
    <w:rsid w:val="00892620"/>
    <w:rsid w:val="008C778E"/>
    <w:rsid w:val="008C7D37"/>
    <w:rsid w:val="008D5885"/>
    <w:rsid w:val="00923FA2"/>
    <w:rsid w:val="0092709B"/>
    <w:rsid w:val="00956E37"/>
    <w:rsid w:val="0096060D"/>
    <w:rsid w:val="00965525"/>
    <w:rsid w:val="00974A50"/>
    <w:rsid w:val="0097585A"/>
    <w:rsid w:val="009924B0"/>
    <w:rsid w:val="009942C9"/>
    <w:rsid w:val="009B35C4"/>
    <w:rsid w:val="009C596F"/>
    <w:rsid w:val="009C630A"/>
    <w:rsid w:val="009D1A57"/>
    <w:rsid w:val="009E0D98"/>
    <w:rsid w:val="009E51D7"/>
    <w:rsid w:val="00A068A1"/>
    <w:rsid w:val="00A10950"/>
    <w:rsid w:val="00A1207D"/>
    <w:rsid w:val="00A12FD8"/>
    <w:rsid w:val="00A17226"/>
    <w:rsid w:val="00A26BEE"/>
    <w:rsid w:val="00A30646"/>
    <w:rsid w:val="00A346FC"/>
    <w:rsid w:val="00A46D77"/>
    <w:rsid w:val="00A6376C"/>
    <w:rsid w:val="00A83518"/>
    <w:rsid w:val="00A846F2"/>
    <w:rsid w:val="00A84F93"/>
    <w:rsid w:val="00AB140B"/>
    <w:rsid w:val="00AB1AC5"/>
    <w:rsid w:val="00AB3BFC"/>
    <w:rsid w:val="00AB4584"/>
    <w:rsid w:val="00AC4639"/>
    <w:rsid w:val="00AC4F2E"/>
    <w:rsid w:val="00AC5872"/>
    <w:rsid w:val="00AD0C37"/>
    <w:rsid w:val="00AD385F"/>
    <w:rsid w:val="00AE678B"/>
    <w:rsid w:val="00AE6E2A"/>
    <w:rsid w:val="00AF004A"/>
    <w:rsid w:val="00AF4529"/>
    <w:rsid w:val="00B03EAB"/>
    <w:rsid w:val="00B31E9C"/>
    <w:rsid w:val="00B35595"/>
    <w:rsid w:val="00B4578D"/>
    <w:rsid w:val="00B51C6D"/>
    <w:rsid w:val="00B83DD2"/>
    <w:rsid w:val="00B86D64"/>
    <w:rsid w:val="00BA4AC5"/>
    <w:rsid w:val="00BC1364"/>
    <w:rsid w:val="00BC2667"/>
    <w:rsid w:val="00BC2BBD"/>
    <w:rsid w:val="00BC7DE9"/>
    <w:rsid w:val="00BE7F53"/>
    <w:rsid w:val="00BF479B"/>
    <w:rsid w:val="00C02577"/>
    <w:rsid w:val="00C04B3C"/>
    <w:rsid w:val="00C06B0B"/>
    <w:rsid w:val="00C12495"/>
    <w:rsid w:val="00C204FB"/>
    <w:rsid w:val="00C20BEE"/>
    <w:rsid w:val="00C2158D"/>
    <w:rsid w:val="00C32289"/>
    <w:rsid w:val="00C67DD2"/>
    <w:rsid w:val="00C725CB"/>
    <w:rsid w:val="00C75C9A"/>
    <w:rsid w:val="00C76F5C"/>
    <w:rsid w:val="00C96BAD"/>
    <w:rsid w:val="00CA4DD1"/>
    <w:rsid w:val="00CA6944"/>
    <w:rsid w:val="00CB0F8E"/>
    <w:rsid w:val="00CB7E7D"/>
    <w:rsid w:val="00CC2911"/>
    <w:rsid w:val="00CD3213"/>
    <w:rsid w:val="00CF0C6D"/>
    <w:rsid w:val="00CF4E81"/>
    <w:rsid w:val="00CF7307"/>
    <w:rsid w:val="00CF7C68"/>
    <w:rsid w:val="00D04AF2"/>
    <w:rsid w:val="00D124FA"/>
    <w:rsid w:val="00D20736"/>
    <w:rsid w:val="00D340DE"/>
    <w:rsid w:val="00D55575"/>
    <w:rsid w:val="00D55723"/>
    <w:rsid w:val="00D62FAD"/>
    <w:rsid w:val="00D64355"/>
    <w:rsid w:val="00D70450"/>
    <w:rsid w:val="00D83BFD"/>
    <w:rsid w:val="00D85848"/>
    <w:rsid w:val="00D90A38"/>
    <w:rsid w:val="00D9457E"/>
    <w:rsid w:val="00D95739"/>
    <w:rsid w:val="00D95939"/>
    <w:rsid w:val="00D96C00"/>
    <w:rsid w:val="00DA0515"/>
    <w:rsid w:val="00DA171E"/>
    <w:rsid w:val="00DA56AA"/>
    <w:rsid w:val="00DA72A6"/>
    <w:rsid w:val="00DB5833"/>
    <w:rsid w:val="00DB5C59"/>
    <w:rsid w:val="00DD017E"/>
    <w:rsid w:val="00DD1350"/>
    <w:rsid w:val="00DD2858"/>
    <w:rsid w:val="00DE60FB"/>
    <w:rsid w:val="00DF489D"/>
    <w:rsid w:val="00E03E33"/>
    <w:rsid w:val="00E059E0"/>
    <w:rsid w:val="00E33D0A"/>
    <w:rsid w:val="00E3642A"/>
    <w:rsid w:val="00E415C4"/>
    <w:rsid w:val="00E44A06"/>
    <w:rsid w:val="00E50016"/>
    <w:rsid w:val="00E50EAA"/>
    <w:rsid w:val="00E60F1E"/>
    <w:rsid w:val="00E656D6"/>
    <w:rsid w:val="00E861C4"/>
    <w:rsid w:val="00E9560A"/>
    <w:rsid w:val="00E977EE"/>
    <w:rsid w:val="00EA2F24"/>
    <w:rsid w:val="00EA5C0E"/>
    <w:rsid w:val="00EA67A2"/>
    <w:rsid w:val="00EA78B1"/>
    <w:rsid w:val="00EB630F"/>
    <w:rsid w:val="00EB6B6F"/>
    <w:rsid w:val="00EC4F98"/>
    <w:rsid w:val="00EF177C"/>
    <w:rsid w:val="00F12F02"/>
    <w:rsid w:val="00F32E0D"/>
    <w:rsid w:val="00F35134"/>
    <w:rsid w:val="00F37B9C"/>
    <w:rsid w:val="00F41812"/>
    <w:rsid w:val="00F53620"/>
    <w:rsid w:val="00F55C29"/>
    <w:rsid w:val="00F56D7F"/>
    <w:rsid w:val="00F64295"/>
    <w:rsid w:val="00F715D1"/>
    <w:rsid w:val="00F72715"/>
    <w:rsid w:val="00F72E15"/>
    <w:rsid w:val="00F73333"/>
    <w:rsid w:val="00F878CB"/>
    <w:rsid w:val="00F95D8F"/>
    <w:rsid w:val="00FB350A"/>
    <w:rsid w:val="00FB4C5D"/>
    <w:rsid w:val="00FD0063"/>
    <w:rsid w:val="00FE1C3F"/>
    <w:rsid w:val="00FE73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0A8A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623"/>
    <w:rPr>
      <w:rFonts w:eastAsia="Times New Roman"/>
      <w:sz w:val="24"/>
      <w:szCs w:val="20"/>
    </w:rPr>
  </w:style>
  <w:style w:type="paragraph" w:styleId="Heading1">
    <w:name w:val="heading 1"/>
    <w:basedOn w:val="Normal"/>
    <w:next w:val="Normal"/>
    <w:link w:val="Heading1Char"/>
    <w:uiPriority w:val="99"/>
    <w:qFormat/>
    <w:rsid w:val="00A846F2"/>
    <w:pPr>
      <w:keepNext/>
      <w:keepLines/>
      <w:numPr>
        <w:numId w:val="23"/>
      </w:numPr>
      <w:spacing w:before="240" w:after="240"/>
      <w:ind w:hanging="720"/>
      <w:outlineLvl w:val="0"/>
    </w:pPr>
    <w:rPr>
      <w:rFonts w:ascii="Arial" w:hAnsi="Arial"/>
      <w:b/>
      <w:bCs/>
      <w:szCs w:val="28"/>
    </w:rPr>
  </w:style>
  <w:style w:type="paragraph" w:styleId="Heading2">
    <w:name w:val="heading 2"/>
    <w:basedOn w:val="Normal"/>
    <w:next w:val="Normal"/>
    <w:link w:val="Heading2Char"/>
    <w:unhideWhenUsed/>
    <w:qFormat/>
    <w:locked/>
    <w:rsid w:val="001D266C"/>
    <w:pPr>
      <w:keepNext/>
      <w:keepLines/>
      <w:spacing w:before="200"/>
      <w:outlineLvl w:val="1"/>
    </w:pPr>
    <w:rPr>
      <w:rFonts w:eastAsiaTheme="majorEastAsia" w:cstheme="majorBidi"/>
      <w:bCs/>
      <w:i/>
      <w:szCs w:val="26"/>
    </w:rPr>
  </w:style>
  <w:style w:type="paragraph" w:styleId="Heading3">
    <w:name w:val="heading 3"/>
    <w:basedOn w:val="Normal"/>
    <w:next w:val="Normal"/>
    <w:link w:val="Heading3Char"/>
    <w:semiHidden/>
    <w:unhideWhenUsed/>
    <w:qFormat/>
    <w:locked/>
    <w:rsid w:val="00853570"/>
    <w:pPr>
      <w:keepNext/>
      <w:keepLines/>
      <w:spacing w:before="200"/>
      <w:outlineLvl w:val="2"/>
    </w:pPr>
    <w:rPr>
      <w:rFonts w:eastAsiaTheme="majorEastAsia" w:cstheme="majorBid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46F2"/>
    <w:rPr>
      <w:rFonts w:ascii="Arial" w:eastAsia="Times New Roman" w:hAnsi="Arial"/>
      <w:b/>
      <w:bCs/>
      <w:sz w:val="24"/>
      <w:szCs w:val="28"/>
    </w:rPr>
  </w:style>
  <w:style w:type="character" w:styleId="Hyperlink">
    <w:name w:val="Hyperlink"/>
    <w:basedOn w:val="DefaultParagraphFont"/>
    <w:uiPriority w:val="99"/>
    <w:rsid w:val="00065623"/>
    <w:rPr>
      <w:rFonts w:cs="Times New Roman"/>
      <w:color w:val="0000FF"/>
      <w:u w:val="single"/>
    </w:rPr>
  </w:style>
  <w:style w:type="paragraph" w:styleId="FootnoteText">
    <w:name w:val="footnote text"/>
    <w:basedOn w:val="Normal"/>
    <w:link w:val="FootnoteTextChar"/>
    <w:semiHidden/>
    <w:rsid w:val="00065623"/>
    <w:rPr>
      <w:sz w:val="20"/>
    </w:rPr>
  </w:style>
  <w:style w:type="character" w:customStyle="1" w:styleId="FootnoteTextChar">
    <w:name w:val="Footnote Text Char"/>
    <w:basedOn w:val="DefaultParagraphFont"/>
    <w:link w:val="FootnoteText"/>
    <w:semiHidden/>
    <w:locked/>
    <w:rsid w:val="00065623"/>
    <w:rPr>
      <w:rFonts w:eastAsia="Times New Roman" w:cs="Times New Roman"/>
      <w:sz w:val="20"/>
      <w:szCs w:val="20"/>
      <w:lang w:eastAsia="en-AU"/>
    </w:rPr>
  </w:style>
  <w:style w:type="character" w:styleId="FootnoteReference">
    <w:name w:val="footnote reference"/>
    <w:basedOn w:val="DefaultParagraphFont"/>
    <w:semiHidden/>
    <w:rsid w:val="00065623"/>
    <w:rPr>
      <w:rFonts w:cs="Times New Roman"/>
      <w:vertAlign w:val="superscript"/>
    </w:rPr>
  </w:style>
  <w:style w:type="paragraph" w:styleId="ListParagraph">
    <w:name w:val="List Paragraph"/>
    <w:aliases w:val="Styl moj,Akapit z listą1,Akapit z listą11"/>
    <w:basedOn w:val="Normal"/>
    <w:link w:val="ListParagraphChar"/>
    <w:uiPriority w:val="34"/>
    <w:qFormat/>
    <w:rsid w:val="00065623"/>
    <w:pPr>
      <w:ind w:left="720"/>
      <w:contextualSpacing/>
    </w:pPr>
  </w:style>
  <w:style w:type="paragraph" w:styleId="BalloonText">
    <w:name w:val="Balloon Text"/>
    <w:basedOn w:val="Normal"/>
    <w:link w:val="BalloonTextChar"/>
    <w:uiPriority w:val="99"/>
    <w:semiHidden/>
    <w:rsid w:val="00065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623"/>
    <w:rPr>
      <w:rFonts w:ascii="Tahoma" w:hAnsi="Tahoma" w:cs="Tahoma"/>
      <w:sz w:val="16"/>
      <w:szCs w:val="16"/>
      <w:lang w:eastAsia="en-AU"/>
    </w:rPr>
  </w:style>
  <w:style w:type="paragraph" w:styleId="Header">
    <w:name w:val="header"/>
    <w:basedOn w:val="Normal"/>
    <w:link w:val="HeaderChar"/>
    <w:uiPriority w:val="99"/>
    <w:rsid w:val="00707064"/>
    <w:pPr>
      <w:tabs>
        <w:tab w:val="center" w:pos="4513"/>
        <w:tab w:val="right" w:pos="9026"/>
      </w:tabs>
    </w:pPr>
  </w:style>
  <w:style w:type="character" w:customStyle="1" w:styleId="HeaderChar">
    <w:name w:val="Header Char"/>
    <w:basedOn w:val="DefaultParagraphFont"/>
    <w:link w:val="Header"/>
    <w:uiPriority w:val="99"/>
    <w:locked/>
    <w:rsid w:val="00707064"/>
    <w:rPr>
      <w:rFonts w:eastAsia="Times New Roman" w:cs="Times New Roman"/>
      <w:sz w:val="20"/>
      <w:szCs w:val="20"/>
      <w:lang w:eastAsia="en-AU"/>
    </w:rPr>
  </w:style>
  <w:style w:type="paragraph" w:styleId="Footer">
    <w:name w:val="footer"/>
    <w:basedOn w:val="Normal"/>
    <w:link w:val="FooterChar"/>
    <w:uiPriority w:val="99"/>
    <w:rsid w:val="00707064"/>
    <w:pPr>
      <w:tabs>
        <w:tab w:val="center" w:pos="4513"/>
        <w:tab w:val="right" w:pos="9026"/>
      </w:tabs>
    </w:pPr>
  </w:style>
  <w:style w:type="character" w:customStyle="1" w:styleId="FooterChar">
    <w:name w:val="Footer Char"/>
    <w:basedOn w:val="DefaultParagraphFont"/>
    <w:link w:val="Footer"/>
    <w:uiPriority w:val="99"/>
    <w:locked/>
    <w:rsid w:val="00707064"/>
    <w:rPr>
      <w:rFonts w:eastAsia="Times New Roman" w:cs="Times New Roman"/>
      <w:sz w:val="20"/>
      <w:szCs w:val="20"/>
      <w:lang w:eastAsia="en-AU"/>
    </w:rPr>
  </w:style>
  <w:style w:type="character" w:styleId="CommentReference">
    <w:name w:val="annotation reference"/>
    <w:basedOn w:val="DefaultParagraphFont"/>
    <w:uiPriority w:val="99"/>
    <w:semiHidden/>
    <w:rsid w:val="00974A50"/>
    <w:rPr>
      <w:rFonts w:cs="Times New Roman"/>
      <w:sz w:val="16"/>
      <w:szCs w:val="16"/>
    </w:rPr>
  </w:style>
  <w:style w:type="paragraph" w:styleId="CommentText">
    <w:name w:val="annotation text"/>
    <w:basedOn w:val="Normal"/>
    <w:link w:val="CommentTextChar"/>
    <w:uiPriority w:val="99"/>
    <w:semiHidden/>
    <w:rsid w:val="00974A50"/>
    <w:rPr>
      <w:sz w:val="20"/>
    </w:rPr>
  </w:style>
  <w:style w:type="character" w:customStyle="1" w:styleId="CommentTextChar">
    <w:name w:val="Comment Text Char"/>
    <w:basedOn w:val="DefaultParagraphFont"/>
    <w:link w:val="CommentText"/>
    <w:uiPriority w:val="99"/>
    <w:semiHidden/>
    <w:locked/>
    <w:rsid w:val="00974A50"/>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974A50"/>
    <w:rPr>
      <w:b/>
      <w:bCs/>
    </w:rPr>
  </w:style>
  <w:style w:type="character" w:customStyle="1" w:styleId="CommentSubjectChar">
    <w:name w:val="Comment Subject Char"/>
    <w:basedOn w:val="CommentTextChar"/>
    <w:link w:val="CommentSubject"/>
    <w:uiPriority w:val="99"/>
    <w:semiHidden/>
    <w:locked/>
    <w:rsid w:val="00974A50"/>
    <w:rPr>
      <w:rFonts w:eastAsia="Times New Roman" w:cs="Times New Roman"/>
      <w:b/>
      <w:bCs/>
      <w:sz w:val="20"/>
      <w:szCs w:val="20"/>
      <w:lang w:eastAsia="en-AU"/>
    </w:rPr>
  </w:style>
  <w:style w:type="paragraph" w:customStyle="1" w:styleId="Default">
    <w:name w:val="Default"/>
    <w:rsid w:val="00E50016"/>
    <w:pPr>
      <w:autoSpaceDE w:val="0"/>
      <w:autoSpaceDN w:val="0"/>
      <w:adjustRightInd w:val="0"/>
    </w:pPr>
    <w:rPr>
      <w:color w:val="000000"/>
      <w:sz w:val="24"/>
      <w:szCs w:val="24"/>
      <w:lang w:eastAsia="en-US"/>
    </w:rPr>
  </w:style>
  <w:style w:type="character" w:customStyle="1" w:styleId="Heading2Char">
    <w:name w:val="Heading 2 Char"/>
    <w:basedOn w:val="DefaultParagraphFont"/>
    <w:link w:val="Heading2"/>
    <w:rsid w:val="001D266C"/>
    <w:rPr>
      <w:rFonts w:eastAsiaTheme="majorEastAsia" w:cstheme="majorBidi"/>
      <w:bCs/>
      <w:i/>
      <w:sz w:val="24"/>
      <w:szCs w:val="26"/>
    </w:rPr>
  </w:style>
  <w:style w:type="paragraph" w:styleId="Title">
    <w:name w:val="Title"/>
    <w:basedOn w:val="Normal"/>
    <w:next w:val="Normal"/>
    <w:link w:val="TitleChar"/>
    <w:qFormat/>
    <w:locked/>
    <w:rsid w:val="00F715D1"/>
    <w:pPr>
      <w:spacing w:before="480" w:after="240"/>
      <w:jc w:val="center"/>
    </w:pPr>
    <w:rPr>
      <w:rFonts w:ascii="Arial" w:hAnsi="Arial" w:cs="Arial"/>
      <w:b/>
      <w:bCs/>
      <w:color w:val="000080"/>
      <w:sz w:val="36"/>
      <w:szCs w:val="36"/>
    </w:rPr>
  </w:style>
  <w:style w:type="character" w:customStyle="1" w:styleId="TitleChar">
    <w:name w:val="Title Char"/>
    <w:basedOn w:val="DefaultParagraphFont"/>
    <w:link w:val="Title"/>
    <w:rsid w:val="00F715D1"/>
    <w:rPr>
      <w:rFonts w:ascii="Arial" w:eastAsia="Times New Roman" w:hAnsi="Arial" w:cs="Arial"/>
      <w:b/>
      <w:bCs/>
      <w:color w:val="000080"/>
      <w:sz w:val="36"/>
      <w:szCs w:val="36"/>
    </w:rPr>
  </w:style>
  <w:style w:type="paragraph" w:styleId="Subtitle">
    <w:name w:val="Subtitle"/>
    <w:basedOn w:val="Normal"/>
    <w:next w:val="Normal"/>
    <w:link w:val="SubtitleChar"/>
    <w:qFormat/>
    <w:locked/>
    <w:rsid w:val="00F715D1"/>
    <w:pPr>
      <w:spacing w:after="240"/>
      <w:jc w:val="center"/>
    </w:pPr>
    <w:rPr>
      <w:rFonts w:ascii="Arial" w:hAnsi="Arial" w:cs="Arial"/>
      <w:b/>
      <w:bCs/>
      <w:i/>
      <w:color w:val="000080"/>
      <w:sz w:val="28"/>
      <w:szCs w:val="28"/>
    </w:rPr>
  </w:style>
  <w:style w:type="character" w:customStyle="1" w:styleId="SubtitleChar">
    <w:name w:val="Subtitle Char"/>
    <w:basedOn w:val="DefaultParagraphFont"/>
    <w:link w:val="Subtitle"/>
    <w:rsid w:val="00F715D1"/>
    <w:rPr>
      <w:rFonts w:ascii="Arial" w:eastAsia="Times New Roman" w:hAnsi="Arial" w:cs="Arial"/>
      <w:b/>
      <w:bCs/>
      <w:i/>
      <w:color w:val="000080"/>
      <w:sz w:val="28"/>
      <w:szCs w:val="28"/>
    </w:rPr>
  </w:style>
  <w:style w:type="character" w:styleId="FollowedHyperlink">
    <w:name w:val="FollowedHyperlink"/>
    <w:basedOn w:val="DefaultParagraphFont"/>
    <w:uiPriority w:val="99"/>
    <w:semiHidden/>
    <w:unhideWhenUsed/>
    <w:rsid w:val="00F715D1"/>
    <w:rPr>
      <w:color w:val="800080" w:themeColor="followedHyperlink"/>
      <w:u w:val="single"/>
    </w:rPr>
  </w:style>
  <w:style w:type="table" w:styleId="TableGrid">
    <w:name w:val="Table Grid"/>
    <w:basedOn w:val="TableNormal"/>
    <w:locked/>
    <w:rsid w:val="00A63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E5E8C"/>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1D266C"/>
    <w:pPr>
      <w:spacing w:before="40" w:after="40"/>
    </w:pPr>
    <w:rPr>
      <w:rFonts w:ascii="Arial Narrow" w:hAnsi="Arial Narrow"/>
      <w:sz w:val="20"/>
      <w:szCs w:val="24"/>
      <w:lang w:eastAsia="en-US"/>
    </w:rPr>
  </w:style>
  <w:style w:type="character" w:customStyle="1" w:styleId="TabletextChar">
    <w:name w:val="Table text Char"/>
    <w:basedOn w:val="DefaultParagraphFont"/>
    <w:link w:val="Tabletext"/>
    <w:rsid w:val="001D266C"/>
    <w:rPr>
      <w:rFonts w:ascii="Arial Narrow" w:eastAsia="Times New Roman" w:hAnsi="Arial Narrow"/>
      <w:sz w:val="20"/>
      <w:szCs w:val="24"/>
      <w:lang w:eastAsia="en-US"/>
    </w:rPr>
  </w:style>
  <w:style w:type="paragraph" w:styleId="Caption">
    <w:name w:val="caption"/>
    <w:aliases w:val="Bayer Caption,IB Caption,Medical Caption,CSR Caption,Table and Figure Name,Table and Figure name,Caption Char2 Char,Caption Char Char Char2,Caption Char1 Char Char Char1,Caption Char2 Char Char Char1 Char1"/>
    <w:basedOn w:val="Normal"/>
    <w:next w:val="Normal"/>
    <w:link w:val="CaptionChar"/>
    <w:uiPriority w:val="35"/>
    <w:unhideWhenUsed/>
    <w:qFormat/>
    <w:locked/>
    <w:rsid w:val="001D266C"/>
    <w:pPr>
      <w:keepNext/>
      <w:spacing w:after="40"/>
      <w:jc w:val="both"/>
      <w:outlineLvl w:val="4"/>
    </w:pPr>
    <w:rPr>
      <w:rFonts w:ascii="Arial Narrow" w:hAnsi="Arial Narrow" w:cs="Arial"/>
      <w:b/>
      <w:bCs/>
      <w:iCs/>
      <w:sz w:val="20"/>
      <w:lang w:eastAsia="en-US"/>
    </w:rPr>
  </w:style>
  <w:style w:type="character" w:customStyle="1" w:styleId="CaptionChar">
    <w:name w:val="Caption Char"/>
    <w:aliases w:val="Bayer Caption Char,IB Caption Char,Medical Caption Char,CSR Caption Char,Table and Figure Name Char,Table and Figure name Char,Caption Char2 Char Char,Caption Char Char Char2 Char,Caption Char1 Char Char Char1 Char"/>
    <w:basedOn w:val="DefaultParagraphFont"/>
    <w:link w:val="Caption"/>
    <w:rsid w:val="001D266C"/>
    <w:rPr>
      <w:rFonts w:ascii="Arial Narrow" w:eastAsia="Times New Roman" w:hAnsi="Arial Narrow" w:cs="Arial"/>
      <w:b/>
      <w:bCs/>
      <w:iCs/>
      <w:sz w:val="20"/>
      <w:szCs w:val="20"/>
      <w:lang w:eastAsia="en-US"/>
    </w:rPr>
  </w:style>
  <w:style w:type="paragraph" w:customStyle="1" w:styleId="Tablenotes">
    <w:name w:val="Tablenotes"/>
    <w:basedOn w:val="Normal"/>
    <w:link w:val="TablenotesChar"/>
    <w:autoRedefine/>
    <w:qFormat/>
    <w:rsid w:val="001D266C"/>
    <w:pPr>
      <w:widowControl w:val="0"/>
      <w:spacing w:before="60" w:after="240"/>
      <w:contextualSpacing/>
    </w:pPr>
    <w:rPr>
      <w:rFonts w:ascii="Arial Narrow" w:hAnsi="Arial Narrow" w:cs="Arial"/>
      <w:snapToGrid w:val="0"/>
      <w:sz w:val="18"/>
      <w:lang w:eastAsia="en-US"/>
    </w:rPr>
  </w:style>
  <w:style w:type="character" w:customStyle="1" w:styleId="TablenotesChar">
    <w:name w:val="Tablenotes Char"/>
    <w:basedOn w:val="DefaultParagraphFont"/>
    <w:link w:val="Tablenotes"/>
    <w:rsid w:val="001D266C"/>
    <w:rPr>
      <w:rFonts w:ascii="Arial Narrow" w:eastAsia="Times New Roman" w:hAnsi="Arial Narrow" w:cs="Arial"/>
      <w:snapToGrid w:val="0"/>
      <w:sz w:val="18"/>
      <w:szCs w:val="20"/>
      <w:lang w:eastAsia="en-US"/>
    </w:rPr>
  </w:style>
  <w:style w:type="character" w:customStyle="1" w:styleId="ListParagraphChar">
    <w:name w:val="List Paragraph Char"/>
    <w:aliases w:val="Styl moj Char,Akapit z listą1 Char,Akapit z listą11 Char"/>
    <w:link w:val="ListParagraph"/>
    <w:uiPriority w:val="34"/>
    <w:rsid w:val="001D266C"/>
    <w:rPr>
      <w:rFonts w:eastAsia="Times New Roman"/>
      <w:sz w:val="24"/>
      <w:szCs w:val="20"/>
    </w:rPr>
  </w:style>
  <w:style w:type="paragraph" w:customStyle="1" w:styleId="TFAbbrevs0">
    <w:name w:val="TFAbbrevs+0"/>
    <w:basedOn w:val="Normal"/>
    <w:qFormat/>
    <w:rsid w:val="001D266C"/>
    <w:pPr>
      <w:keepNext/>
      <w:keepLines/>
    </w:pPr>
    <w:rPr>
      <w:rFonts w:ascii="Arial Narrow" w:hAnsi="Arial Narrow"/>
      <w:color w:val="000000"/>
      <w:sz w:val="18"/>
      <w:szCs w:val="18"/>
    </w:rPr>
  </w:style>
  <w:style w:type="paragraph" w:customStyle="1" w:styleId="TFAbbrevs18">
    <w:name w:val="TFAbbrevs+18"/>
    <w:basedOn w:val="TFAbbrevs0"/>
    <w:next w:val="Normal"/>
    <w:qFormat/>
    <w:rsid w:val="001D266C"/>
    <w:pPr>
      <w:keepNext w:val="0"/>
      <w:keepLines w:val="0"/>
      <w:spacing w:after="360"/>
    </w:pPr>
  </w:style>
  <w:style w:type="character" w:customStyle="1" w:styleId="Heading3Char">
    <w:name w:val="Heading 3 Char"/>
    <w:basedOn w:val="DefaultParagraphFont"/>
    <w:link w:val="Heading3"/>
    <w:semiHidden/>
    <w:rsid w:val="00853570"/>
    <w:rPr>
      <w:rFonts w:eastAsiaTheme="majorEastAsia" w:cstheme="majorBidi"/>
      <w:sz w:val="24"/>
      <w:szCs w:val="24"/>
      <w:u w:val="single"/>
    </w:rPr>
  </w:style>
  <w:style w:type="paragraph" w:customStyle="1" w:styleId="Tabletextcentred">
    <w:name w:val="Table text centred"/>
    <w:basedOn w:val="Tabletext"/>
    <w:link w:val="TabletextcentredChar"/>
    <w:qFormat/>
    <w:rsid w:val="00853570"/>
    <w:pPr>
      <w:jc w:val="center"/>
    </w:pPr>
  </w:style>
  <w:style w:type="character" w:customStyle="1" w:styleId="TabletextcentredChar">
    <w:name w:val="Table text centred Char"/>
    <w:basedOn w:val="TabletextChar"/>
    <w:link w:val="Tabletextcentred"/>
    <w:rsid w:val="00853570"/>
    <w:rPr>
      <w:rFonts w:ascii="Arial Narrow" w:eastAsia="Times New Roman" w:hAnsi="Arial Narrow"/>
      <w:sz w:val="20"/>
      <w:szCs w:val="24"/>
      <w:lang w:eastAsia="en-US"/>
    </w:rPr>
  </w:style>
  <w:style w:type="paragraph" w:customStyle="1" w:styleId="TableText0">
    <w:name w:val="Table Text"/>
    <w:basedOn w:val="Normal"/>
    <w:link w:val="TableTextChar0"/>
    <w:rsid w:val="00853570"/>
    <w:pPr>
      <w:keepNext/>
      <w:spacing w:before="40" w:after="40"/>
    </w:pPr>
    <w:rPr>
      <w:rFonts w:ascii="Arial Narrow" w:hAnsi="Arial Narrow" w:cs="Tahoma"/>
      <w:sz w:val="20"/>
      <w:szCs w:val="22"/>
      <w:lang w:eastAsia="en-US"/>
    </w:rPr>
  </w:style>
  <w:style w:type="character" w:customStyle="1" w:styleId="TableTextChar0">
    <w:name w:val="Table Text Char"/>
    <w:link w:val="TableText0"/>
    <w:rsid w:val="00853570"/>
    <w:rPr>
      <w:rFonts w:ascii="Arial Narrow" w:eastAsia="Times New Roman" w:hAnsi="Arial Narrow" w:cs="Tahoma"/>
      <w:sz w:val="20"/>
      <w:lang w:eastAsia="en-US"/>
    </w:rPr>
  </w:style>
  <w:style w:type="paragraph" w:customStyle="1" w:styleId="TableHeading">
    <w:name w:val="TableHeading"/>
    <w:basedOn w:val="Normal"/>
    <w:link w:val="TableHeadingChar"/>
    <w:qFormat/>
    <w:rsid w:val="00853570"/>
    <w:pPr>
      <w:keepNext/>
      <w:spacing w:before="40" w:after="40"/>
      <w:ind w:left="1134" w:hanging="1134"/>
      <w:jc w:val="both"/>
    </w:pPr>
    <w:rPr>
      <w:rFonts w:ascii="Arial Narrow" w:hAnsi="Arial Narrow" w:cs="Tahoma"/>
      <w:b/>
      <w:noProof/>
      <w:sz w:val="20"/>
    </w:rPr>
  </w:style>
  <w:style w:type="character" w:customStyle="1" w:styleId="TableHeadingChar">
    <w:name w:val="TableHeading Char"/>
    <w:link w:val="TableHeading"/>
    <w:rsid w:val="00853570"/>
    <w:rPr>
      <w:rFonts w:ascii="Arial Narrow" w:eastAsia="Times New Roman" w:hAnsi="Arial Narrow" w:cs="Tahoma"/>
      <w:b/>
      <w:noProof/>
      <w:sz w:val="20"/>
      <w:szCs w:val="20"/>
    </w:rPr>
  </w:style>
  <w:style w:type="paragraph" w:customStyle="1" w:styleId="Tablenotes1">
    <w:name w:val="Tablenotes 1"/>
    <w:basedOn w:val="Normal"/>
    <w:link w:val="Tablenotes1Char"/>
    <w:qFormat/>
    <w:rsid w:val="00853570"/>
    <w:pPr>
      <w:widowControl w:val="0"/>
      <w:spacing w:after="240"/>
      <w:contextualSpacing/>
    </w:pPr>
    <w:rPr>
      <w:rFonts w:ascii="Arial Narrow" w:hAnsi="Arial Narrow" w:cs="Arial"/>
      <w:snapToGrid w:val="0"/>
      <w:sz w:val="18"/>
      <w:lang w:eastAsia="en-US"/>
    </w:rPr>
  </w:style>
  <w:style w:type="character" w:customStyle="1" w:styleId="Tablenotes1Char">
    <w:name w:val="Tablenotes 1 Char"/>
    <w:basedOn w:val="DefaultParagraphFont"/>
    <w:link w:val="Tablenotes1"/>
    <w:rsid w:val="00853570"/>
    <w:rPr>
      <w:rFonts w:ascii="Arial Narrow" w:eastAsia="Times New Roman" w:hAnsi="Arial Narrow" w:cs="Arial"/>
      <w:snapToGrid w:val="0"/>
      <w:sz w:val="18"/>
      <w:szCs w:val="20"/>
      <w:lang w:eastAsia="en-US"/>
    </w:rPr>
  </w:style>
  <w:style w:type="paragraph" w:customStyle="1" w:styleId="CommentTabletext">
    <w:name w:val="Comment Table text"/>
    <w:basedOn w:val="Normal"/>
    <w:qFormat/>
    <w:rsid w:val="00853570"/>
    <w:pPr>
      <w:tabs>
        <w:tab w:val="num" w:pos="720"/>
      </w:tabs>
      <w:spacing w:before="40" w:after="40"/>
      <w:ind w:left="720"/>
      <w:jc w:val="both"/>
    </w:pPr>
    <w:rPr>
      <w:rFonts w:ascii="Arial Narrow" w:hAnsi="Arial Narrow" w:cs="Tahoma"/>
      <w:i/>
      <w:color w:val="1F497D" w:themeColor="text2"/>
      <w:sz w:val="20"/>
    </w:rPr>
  </w:style>
  <w:style w:type="paragraph" w:customStyle="1" w:styleId="Tabletextboldleft">
    <w:name w:val="Table text bold left"/>
    <w:basedOn w:val="Normal"/>
    <w:link w:val="TabletextboldleftChar"/>
    <w:qFormat/>
    <w:rsid w:val="00853570"/>
    <w:pPr>
      <w:keepNext/>
    </w:pPr>
    <w:rPr>
      <w:rFonts w:ascii="Arial Narrow" w:hAnsi="Arial Narrow" w:cs="Arial"/>
      <w:b/>
      <w:sz w:val="20"/>
      <w:lang w:eastAsia="en-US"/>
    </w:rPr>
  </w:style>
  <w:style w:type="character" w:customStyle="1" w:styleId="TabletextboldleftChar">
    <w:name w:val="Table text bold left Char"/>
    <w:basedOn w:val="DefaultParagraphFont"/>
    <w:link w:val="Tabletextboldleft"/>
    <w:rsid w:val="00853570"/>
    <w:rPr>
      <w:rFonts w:ascii="Arial Narrow" w:eastAsia="Times New Roman" w:hAnsi="Arial Narrow" w:cs="Arial"/>
      <w:b/>
      <w:sz w:val="20"/>
      <w:szCs w:val="20"/>
      <w:lang w:eastAsia="en-US"/>
    </w:rPr>
  </w:style>
  <w:style w:type="table" w:customStyle="1" w:styleId="TableGrid2">
    <w:name w:val="Table Grid2"/>
    <w:basedOn w:val="TableNormal"/>
    <w:next w:val="TableGrid"/>
    <w:rsid w:val="00853570"/>
    <w:pPr>
      <w:spacing w:before="40" w:after="40"/>
    </w:pPr>
    <w:rPr>
      <w:rFonts w:ascii="Arial Narrow" w:eastAsia="Times New Roman" w:hAnsi="Arial Narro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paragraph" w:customStyle="1" w:styleId="TableorfigureAbbreviationsandSource">
    <w:name w:val="Table or figure Abbreviations and Source"/>
    <w:basedOn w:val="Tablenotes"/>
    <w:next w:val="Normal"/>
    <w:qFormat/>
    <w:rsid w:val="00853570"/>
    <w:pPr>
      <w:spacing w:before="0"/>
      <w:jc w:val="both"/>
    </w:pPr>
    <w:rPr>
      <w:lang w:val="en-US"/>
    </w:rPr>
  </w:style>
  <w:style w:type="paragraph" w:customStyle="1" w:styleId="Comment">
    <w:name w:val="Comment"/>
    <w:basedOn w:val="Normal"/>
    <w:link w:val="CommentChar"/>
    <w:qFormat/>
    <w:rsid w:val="00853570"/>
    <w:pPr>
      <w:tabs>
        <w:tab w:val="num" w:pos="720"/>
      </w:tabs>
      <w:spacing w:after="240" w:line="312" w:lineRule="auto"/>
      <w:jc w:val="both"/>
    </w:pPr>
    <w:rPr>
      <w:rFonts w:ascii="Calibri" w:hAnsi="Calibri" w:cs="Tahoma"/>
      <w:i/>
      <w:color w:val="1F497D" w:themeColor="text2"/>
      <w:sz w:val="22"/>
      <w:szCs w:val="22"/>
    </w:rPr>
  </w:style>
  <w:style w:type="character" w:customStyle="1" w:styleId="CommentChar">
    <w:name w:val="Comment Char"/>
    <w:basedOn w:val="DefaultParagraphFont"/>
    <w:link w:val="Comment"/>
    <w:rsid w:val="00853570"/>
    <w:rPr>
      <w:rFonts w:ascii="Calibri" w:eastAsia="Times New Roman" w:hAnsi="Calibri" w:cs="Tahoma"/>
      <w:i/>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680583">
      <w:bodyDiv w:val="1"/>
      <w:marLeft w:val="0"/>
      <w:marRight w:val="0"/>
      <w:marTop w:val="0"/>
      <w:marBottom w:val="0"/>
      <w:divBdr>
        <w:top w:val="none" w:sz="0" w:space="0" w:color="auto"/>
        <w:left w:val="none" w:sz="0" w:space="0" w:color="auto"/>
        <w:bottom w:val="none" w:sz="0" w:space="0" w:color="auto"/>
        <w:right w:val="none" w:sz="0" w:space="0" w:color="auto"/>
      </w:divBdr>
    </w:div>
    <w:div w:id="185681190">
      <w:bodyDiv w:val="1"/>
      <w:marLeft w:val="0"/>
      <w:marRight w:val="0"/>
      <w:marTop w:val="0"/>
      <w:marBottom w:val="0"/>
      <w:divBdr>
        <w:top w:val="none" w:sz="0" w:space="0" w:color="auto"/>
        <w:left w:val="none" w:sz="0" w:space="0" w:color="auto"/>
        <w:bottom w:val="none" w:sz="0" w:space="0" w:color="auto"/>
        <w:right w:val="none" w:sz="0" w:space="0" w:color="auto"/>
      </w:divBdr>
    </w:div>
    <w:div w:id="268700834">
      <w:bodyDiv w:val="1"/>
      <w:marLeft w:val="0"/>
      <w:marRight w:val="0"/>
      <w:marTop w:val="0"/>
      <w:marBottom w:val="0"/>
      <w:divBdr>
        <w:top w:val="none" w:sz="0" w:space="0" w:color="auto"/>
        <w:left w:val="none" w:sz="0" w:space="0" w:color="auto"/>
        <w:bottom w:val="none" w:sz="0" w:space="0" w:color="auto"/>
        <w:right w:val="none" w:sz="0" w:space="0" w:color="auto"/>
      </w:divBdr>
    </w:div>
    <w:div w:id="366763746">
      <w:bodyDiv w:val="1"/>
      <w:marLeft w:val="0"/>
      <w:marRight w:val="0"/>
      <w:marTop w:val="0"/>
      <w:marBottom w:val="0"/>
      <w:divBdr>
        <w:top w:val="none" w:sz="0" w:space="0" w:color="auto"/>
        <w:left w:val="none" w:sz="0" w:space="0" w:color="auto"/>
        <w:bottom w:val="none" w:sz="0" w:space="0" w:color="auto"/>
        <w:right w:val="none" w:sz="0" w:space="0" w:color="auto"/>
      </w:divBdr>
    </w:div>
    <w:div w:id="13522953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sac.gov.au/internet/msac/publishing.nsf/Content/4AEE81145A6F1F01CA25837C00113800/$File/Final%20MSAC%20Minutes%20-%20Cardiac%20Ablation%20Catheters.docx" TargetMode="External"/><Relationship Id="rId18" Type="http://schemas.openxmlformats.org/officeDocument/2006/relationships/hyperlink" Target="http://www.msac.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health.gov.au/internet/main/publishing.nsf/Content/health-privatehealth-prostheses-reform" TargetMode="External"/><Relationship Id="rId17" Type="http://schemas.openxmlformats.org/officeDocument/2006/relationships/image" Target="media/image4.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health.gov.au/internet/main/publishing.nsf/Content/health-privatehealth-prostheseslist.htm" TargetMode="External"/><Relationship Id="rId24" Type="http://schemas.openxmlformats.org/officeDocument/2006/relationships/footer" Target="footer3.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hyperlink" Target="https://www1.health.gov.au/internet/main/publishing.nsf/Content/health-about-PLAC" TargetMode="External"/><Relationship Id="rId19" Type="http://schemas.openxmlformats.org/officeDocument/2006/relationships/header" Target="header1.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msac.gov.au/" TargetMode="External"/><Relationship Id="rId14" Type="http://schemas.openxmlformats.org/officeDocument/2006/relationships/hyperlink" Target="http://www.msac.gov.au/internet/msac/publishing.nsf/Content/4AEE81145A6F1F01CA25837C00113800/$File/1580-Final-MSAC-Outcome.docx"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CC4DE-1C17-473A-8E32-EC2793A4C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8441</Words>
  <Characters>50927</Characters>
  <Application>Microsoft Office Word</Application>
  <DocSecurity>0</DocSecurity>
  <Lines>424</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2020-12-08T02:39:00Z</dcterms:created>
  <dcterms:modified xsi:type="dcterms:W3CDTF">2020-12-08T02:39:00Z</dcterms:modified>
</cp:coreProperties>
</file>