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9870" w14:textId="46696C3B" w:rsidR="00A95BBD" w:rsidRPr="00E937EE" w:rsidRDefault="00A95BBD" w:rsidP="00A95BBD">
      <w:pPr>
        <w:pStyle w:val="Subtitle"/>
        <w:spacing w:before="240" w:after="0"/>
        <w:rPr>
          <w:i w:val="0"/>
          <w:sz w:val="36"/>
          <w:szCs w:val="36"/>
        </w:rPr>
      </w:pPr>
      <w:bookmarkStart w:id="0" w:name="_Hlk68005436"/>
      <w:bookmarkStart w:id="1" w:name="_Toc72335271"/>
      <w:bookmarkStart w:id="2" w:name="_Toc112076472"/>
      <w:r>
        <w:rPr>
          <w:i w:val="0"/>
          <w:sz w:val="36"/>
          <w:szCs w:val="36"/>
        </w:rPr>
        <w:t>Medical Services Advisory Committee (MSAC)</w:t>
      </w:r>
    </w:p>
    <w:bookmarkEnd w:id="0"/>
    <w:bookmarkEnd w:id="1"/>
    <w:bookmarkEnd w:id="2"/>
    <w:p w14:paraId="613BAF74" w14:textId="77777777" w:rsidR="00AF3A51" w:rsidRDefault="00AF3A51" w:rsidP="00A95BBD">
      <w:pPr>
        <w:pStyle w:val="Subtitle"/>
        <w:spacing w:before="0"/>
        <w:rPr>
          <w:i w:val="0"/>
          <w:sz w:val="36"/>
          <w:szCs w:val="36"/>
        </w:rPr>
      </w:pPr>
      <w:r w:rsidRPr="00AF3A51">
        <w:rPr>
          <w:i w:val="0"/>
          <w:sz w:val="36"/>
          <w:szCs w:val="36"/>
        </w:rPr>
        <w:t xml:space="preserve">Public Summary Document </w:t>
      </w:r>
    </w:p>
    <w:p w14:paraId="7A128FDE" w14:textId="25A25FA3" w:rsidR="00772829" w:rsidRPr="00CE28E3" w:rsidRDefault="00772829" w:rsidP="00772829">
      <w:pPr>
        <w:pStyle w:val="Subtitle"/>
      </w:pPr>
      <w:r w:rsidRPr="00CE28E3">
        <w:t xml:space="preserve">Application No. </w:t>
      </w:r>
      <w:r w:rsidR="00C86274" w:rsidRPr="00C86274">
        <w:t>1</w:t>
      </w:r>
      <w:r w:rsidR="00292822">
        <w:t>6</w:t>
      </w:r>
      <w:r w:rsidR="00C86274" w:rsidRPr="00C86274">
        <w:t>27</w:t>
      </w:r>
      <w:r w:rsidRPr="00C86274">
        <w:t xml:space="preserve"> – </w:t>
      </w:r>
      <w:r w:rsidR="00C86274" w:rsidRPr="00C86274">
        <w:t>Point-of-care testing for sexually transmitted infections provided by Aboriginal Medical Services or Aboriginal Community Controlled Heath Services in rural or remote areas</w:t>
      </w:r>
    </w:p>
    <w:p w14:paraId="35263561" w14:textId="0E2991C8"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692CD4" w:rsidRPr="00692CD4">
        <w:rPr>
          <w:rFonts w:ascii="Arial" w:hAnsi="Arial" w:cs="Arial"/>
          <w:b/>
          <w:szCs w:val="24"/>
        </w:rPr>
        <w:t>The Kirby Institute, UNSW</w:t>
      </w:r>
    </w:p>
    <w:p w14:paraId="15DA9C4A" w14:textId="4641ACFB" w:rsidR="009A3778" w:rsidRDefault="00772829" w:rsidP="00772829">
      <w:pPr>
        <w:tabs>
          <w:tab w:val="left" w:pos="3686"/>
        </w:tabs>
        <w:spacing w:after="360"/>
        <w:rPr>
          <w:rFonts w:ascii="Arial" w:hAnsi="Arial" w:cs="Arial"/>
          <w:b/>
          <w:bCs/>
        </w:rPr>
      </w:pPr>
      <w:r w:rsidRPr="00CE28E3">
        <w:rPr>
          <w:rFonts w:ascii="Arial" w:hAnsi="Arial" w:cs="Arial"/>
          <w:b/>
          <w:szCs w:val="24"/>
        </w:rPr>
        <w:t xml:space="preserve">Date of </w:t>
      </w:r>
      <w:r w:rsidR="00AF3A51">
        <w:rPr>
          <w:rFonts w:ascii="Arial" w:hAnsi="Arial" w:cs="Arial"/>
          <w:b/>
          <w:szCs w:val="24"/>
        </w:rPr>
        <w:t>MSAC</w:t>
      </w:r>
      <w:r w:rsidR="0007068A" w:rsidRPr="00CE28E3">
        <w:rPr>
          <w:rFonts w:ascii="Arial" w:hAnsi="Arial" w:cs="Arial"/>
          <w:b/>
          <w:szCs w:val="24"/>
        </w:rPr>
        <w:t xml:space="preserve"> </w:t>
      </w:r>
      <w:r w:rsidRPr="00CE28E3">
        <w:rPr>
          <w:rFonts w:ascii="Arial" w:hAnsi="Arial" w:cs="Arial"/>
          <w:b/>
          <w:szCs w:val="24"/>
        </w:rPr>
        <w:t>consideration:</w:t>
      </w:r>
      <w:r w:rsidRPr="00CE28E3">
        <w:rPr>
          <w:rFonts w:ascii="Arial" w:hAnsi="Arial" w:cs="Arial"/>
          <w:b/>
          <w:szCs w:val="24"/>
        </w:rPr>
        <w:tab/>
      </w:r>
      <w:r w:rsidR="00AF3A51">
        <w:rPr>
          <w:rFonts w:ascii="Arial" w:hAnsi="Arial" w:cs="Arial"/>
          <w:b/>
          <w:bCs/>
        </w:rPr>
        <w:t>24-25 November</w:t>
      </w:r>
      <w:r w:rsidR="0007068A" w:rsidRPr="00624E42">
        <w:rPr>
          <w:rFonts w:ascii="Arial" w:hAnsi="Arial" w:cs="Arial"/>
          <w:b/>
          <w:bCs/>
        </w:rPr>
        <w:t xml:space="preserve"> 2022</w:t>
      </w:r>
    </w:p>
    <w:p w14:paraId="475D7FF0" w14:textId="77777777" w:rsidR="00AF3A51" w:rsidRPr="00B03EAB" w:rsidRDefault="00AF3A51" w:rsidP="00AF3A51">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3" w:name="_Toc69491415"/>
      <w:r>
        <w:t>1.</w:t>
      </w:r>
      <w:r>
        <w:tab/>
      </w:r>
      <w:r w:rsidR="00772829" w:rsidRPr="00CE28E3">
        <w:t xml:space="preserve">Purpose </w:t>
      </w:r>
      <w:r w:rsidR="00772829" w:rsidRPr="00CE28E3">
        <w:rPr>
          <w:szCs w:val="32"/>
        </w:rPr>
        <w:t>of</w:t>
      </w:r>
      <w:r w:rsidR="00772829" w:rsidRPr="00CE28E3">
        <w:t xml:space="preserve"> application</w:t>
      </w:r>
      <w:bookmarkEnd w:id="3"/>
    </w:p>
    <w:p w14:paraId="6BF31FF2" w14:textId="4B2C2FA2" w:rsidR="00772829" w:rsidRDefault="00772829" w:rsidP="00772829">
      <w:pPr>
        <w:spacing w:after="240"/>
        <w:rPr>
          <w:iCs/>
        </w:rPr>
      </w:pPr>
      <w:bookmarkStart w:id="4" w:name="_Hlk69734469"/>
      <w:r w:rsidRPr="009A3778">
        <w:rPr>
          <w:iCs/>
        </w:rPr>
        <w:t xml:space="preserve">An application requesting </w:t>
      </w:r>
      <w:r w:rsidRPr="00692CD4">
        <w:rPr>
          <w:iCs/>
        </w:rPr>
        <w:t xml:space="preserve">Medicare Benefits Schedule (MBS) listing </w:t>
      </w:r>
      <w:r w:rsidRPr="009A3778">
        <w:rPr>
          <w:iCs/>
        </w:rPr>
        <w:t xml:space="preserve">of </w:t>
      </w:r>
      <w:r w:rsidR="00692CD4">
        <w:rPr>
          <w:iCs/>
        </w:rPr>
        <w:t xml:space="preserve">point of care </w:t>
      </w:r>
      <w:r w:rsidR="00D91F3A">
        <w:rPr>
          <w:iCs/>
        </w:rPr>
        <w:t xml:space="preserve">(POC) </w:t>
      </w:r>
      <w:r w:rsidR="00692CD4">
        <w:rPr>
          <w:iCs/>
        </w:rPr>
        <w:t>testing</w:t>
      </w:r>
      <w:r w:rsidRPr="009A3778">
        <w:rPr>
          <w:iCs/>
        </w:rPr>
        <w:t xml:space="preserve"> for </w:t>
      </w:r>
      <w:r w:rsidR="00101C4E">
        <w:rPr>
          <w:iCs/>
        </w:rPr>
        <w:t xml:space="preserve">detection of </w:t>
      </w:r>
      <w:r w:rsidR="00692CD4" w:rsidRPr="000908C0">
        <w:rPr>
          <w:rFonts w:eastAsia="Arial Narrow" w:cs="Arial Narrow"/>
          <w:i/>
          <w:lang w:val="en-US" w:eastAsia="en-AU"/>
        </w:rPr>
        <w:t>Chlamydia trachomatis</w:t>
      </w:r>
      <w:r w:rsidR="00755A6C">
        <w:rPr>
          <w:rFonts w:eastAsia="Arial Narrow" w:cs="Arial Narrow"/>
          <w:lang w:val="en-US" w:eastAsia="en-AU"/>
        </w:rPr>
        <w:t xml:space="preserve"> (CT)</w:t>
      </w:r>
      <w:r w:rsidR="00101C4E">
        <w:rPr>
          <w:rFonts w:eastAsia="Arial Narrow" w:cs="Arial Narrow"/>
          <w:lang w:val="en-US" w:eastAsia="en-AU"/>
        </w:rPr>
        <w:t>,</w:t>
      </w:r>
      <w:r w:rsidR="00692CD4" w:rsidRPr="000908C0">
        <w:rPr>
          <w:rFonts w:eastAsia="Arial Narrow" w:cs="Arial Narrow"/>
          <w:lang w:val="en-US" w:eastAsia="en-AU"/>
        </w:rPr>
        <w:t xml:space="preserve"> </w:t>
      </w:r>
      <w:r w:rsidR="00692CD4" w:rsidRPr="000908C0">
        <w:rPr>
          <w:rFonts w:eastAsia="Arial Narrow" w:cs="Arial Narrow"/>
          <w:i/>
          <w:lang w:val="en-US" w:eastAsia="en-AU"/>
        </w:rPr>
        <w:t xml:space="preserve">Neisseria </w:t>
      </w:r>
      <w:r w:rsidR="00626CB0">
        <w:rPr>
          <w:rFonts w:eastAsia="Arial Narrow" w:cs="Arial Narrow"/>
          <w:i/>
          <w:lang w:val="en-US" w:eastAsia="en-AU"/>
        </w:rPr>
        <w:t>gonorrhoeae</w:t>
      </w:r>
      <w:r w:rsidR="00755A6C">
        <w:rPr>
          <w:rFonts w:eastAsia="Arial Narrow" w:cs="Arial Narrow"/>
          <w:lang w:val="en-US" w:eastAsia="en-AU"/>
        </w:rPr>
        <w:t xml:space="preserve"> (NG)</w:t>
      </w:r>
      <w:r w:rsidR="00692CD4" w:rsidRPr="000908C0">
        <w:rPr>
          <w:rFonts w:eastAsia="Arial Narrow" w:cs="Arial Narrow"/>
          <w:lang w:val="en-US" w:eastAsia="en-AU"/>
        </w:rPr>
        <w:t xml:space="preserve">, and </w:t>
      </w:r>
      <w:r w:rsidR="00692CD4" w:rsidRPr="000908C0">
        <w:rPr>
          <w:rFonts w:eastAsia="Arial Narrow" w:cs="Arial Narrow"/>
          <w:i/>
          <w:lang w:val="en-US" w:eastAsia="en-AU"/>
        </w:rPr>
        <w:t>Trichomonas vaginalis</w:t>
      </w:r>
      <w:r w:rsidR="00755A6C">
        <w:rPr>
          <w:rFonts w:eastAsia="Arial Narrow" w:cs="Arial Narrow"/>
          <w:lang w:val="en-US" w:eastAsia="en-AU"/>
        </w:rPr>
        <w:t xml:space="preserve"> (TV)</w:t>
      </w:r>
      <w:r w:rsidR="00692CD4" w:rsidRPr="000908C0">
        <w:rPr>
          <w:rFonts w:eastAsia="Arial Narrow" w:cs="Arial Narrow"/>
          <w:lang w:val="en-US" w:eastAsia="en-AU"/>
        </w:rPr>
        <w:t xml:space="preserve"> </w:t>
      </w:r>
      <w:r w:rsidRPr="009A3778">
        <w:rPr>
          <w:iCs/>
        </w:rPr>
        <w:t xml:space="preserve">was received from the </w:t>
      </w:r>
      <w:r w:rsidR="00101C4E" w:rsidRPr="00101C4E">
        <w:rPr>
          <w:iCs/>
        </w:rPr>
        <w:t>Kirby Institute, UNSW</w:t>
      </w:r>
      <w:r w:rsidR="00101C4E">
        <w:rPr>
          <w:iCs/>
        </w:rPr>
        <w:t>,</w:t>
      </w:r>
      <w:r w:rsidR="00101C4E" w:rsidRPr="00101C4E">
        <w:rPr>
          <w:iCs/>
        </w:rPr>
        <w:t xml:space="preserve"> </w:t>
      </w:r>
      <w:r w:rsidRPr="009A3778">
        <w:rPr>
          <w:iCs/>
        </w:rPr>
        <w:t>by the Department of Health</w:t>
      </w:r>
      <w:r w:rsidR="002B4A21">
        <w:rPr>
          <w:iCs/>
        </w:rPr>
        <w:t xml:space="preserve"> and Aged Care</w:t>
      </w:r>
      <w:r w:rsidRPr="009A3778">
        <w:rPr>
          <w:iCs/>
        </w:rPr>
        <w:t>.</w:t>
      </w:r>
    </w:p>
    <w:p w14:paraId="17E7EADB" w14:textId="77777777" w:rsidR="008A2C9F" w:rsidRDefault="008A2C9F" w:rsidP="008A2C9F">
      <w:pPr>
        <w:pStyle w:val="Heading2"/>
        <w:numPr>
          <w:ilvl w:val="0"/>
          <w:numId w:val="0"/>
        </w:numPr>
      </w:pPr>
      <w:r>
        <w:t>2.</w:t>
      </w:r>
      <w:r>
        <w:tab/>
        <w:t>MSAC’s advice to the Minister</w:t>
      </w:r>
    </w:p>
    <w:p w14:paraId="0A6959F8" w14:textId="147E2912" w:rsidR="00E655B7" w:rsidRDefault="008A2C9F" w:rsidP="00772829">
      <w:pPr>
        <w:spacing w:after="240"/>
      </w:pPr>
      <w:r>
        <w:t xml:space="preserve">After considering the strength of the available evidence in relation to comparative safety, clinical effectiveness, </w:t>
      </w:r>
      <w:proofErr w:type="gramStart"/>
      <w:r>
        <w:t>cost-effectiveness</w:t>
      </w:r>
      <w:proofErr w:type="gramEnd"/>
      <w:r>
        <w:t xml:space="preserve"> and total cost, </w:t>
      </w:r>
      <w:r w:rsidR="00E655B7" w:rsidRPr="005E3103">
        <w:t>MSAC did not support public funding of P</w:t>
      </w:r>
      <w:r w:rsidR="00E655B7">
        <w:t>O</w:t>
      </w:r>
      <w:r w:rsidR="00E655B7" w:rsidRPr="005E3103">
        <w:t>C testing for sexually transmitted infections (STI</w:t>
      </w:r>
      <w:r w:rsidR="00E655B7">
        <w:t>s</w:t>
      </w:r>
      <w:r w:rsidR="00E655B7" w:rsidRPr="005E3103">
        <w:t xml:space="preserve">) provided by Aboriginal Medical Services or Aboriginal Community Controlled Health Services in rural and remote areas. </w:t>
      </w:r>
    </w:p>
    <w:p w14:paraId="0EC67BF3" w14:textId="3BCFA714" w:rsidR="00E655B7" w:rsidRDefault="00E655B7" w:rsidP="00772829">
      <w:pPr>
        <w:spacing w:after="240"/>
      </w:pPr>
      <w:r w:rsidRPr="005E3103">
        <w:t>MSAC recognised that there is a clinical need for the proposed testing due to a high prevalence of STIs and the serious consequences of untreated infections representing a significant public health issue for the proposed population. MSAC considered the evidence provided demonstrated that P</w:t>
      </w:r>
      <w:r>
        <w:t>O</w:t>
      </w:r>
      <w:r w:rsidRPr="005E3103">
        <w:t>C testing for STI</w:t>
      </w:r>
      <w:r>
        <w:t>s</w:t>
      </w:r>
      <w:r w:rsidRPr="005E3103">
        <w:t xml:space="preserve"> reduced the time from testing to treatment and that the clinical benefits associated with this were clinically plausible. However, based on the evidence provided, the magnitude of the benefit and impact on health outcomes was highly uncertain. As a result of this, </w:t>
      </w:r>
      <w:proofErr w:type="gramStart"/>
      <w:r w:rsidRPr="005E3103">
        <w:t>and also</w:t>
      </w:r>
      <w:proofErr w:type="gramEnd"/>
      <w:r w:rsidRPr="005E3103">
        <w:t xml:space="preserve"> due to the economic model being overly complex and unreliable, MSAC considered the cost-effectiveness of P</w:t>
      </w:r>
      <w:r>
        <w:t>O</w:t>
      </w:r>
      <w:r w:rsidRPr="005E3103">
        <w:t xml:space="preserve">C testing for STIs compared to </w:t>
      </w:r>
      <w:r>
        <w:t xml:space="preserve">standard </w:t>
      </w:r>
      <w:r w:rsidRPr="005E3103">
        <w:t xml:space="preserve">laboratory testing to be highly uncertain. MSAC </w:t>
      </w:r>
      <w:r>
        <w:t>considered</w:t>
      </w:r>
      <w:r w:rsidRPr="005E3103">
        <w:t xml:space="preserve"> the proposed MBS fee was very high and the costings</w:t>
      </w:r>
      <w:r w:rsidR="00D83B5C">
        <w:t xml:space="preserve"> should be re-examined</w:t>
      </w:r>
      <w:r w:rsidRPr="005E3103">
        <w:t>. MSAC considered that the fee was not sufficiently justified given the lack of objective data demonstrating improved health outcomes for patients. MSAC also considered the financial estimates to be uncertain and likely underestimated.</w:t>
      </w:r>
      <w:r>
        <w:t xml:space="preserve"> </w:t>
      </w:r>
    </w:p>
    <w:p w14:paraId="355E2F11" w14:textId="63C39932" w:rsidR="008A2C9F" w:rsidRDefault="00E655B7" w:rsidP="00772829">
      <w:pPr>
        <w:spacing w:after="240"/>
        <w:rPr>
          <w:rFonts w:cs="Calibri"/>
        </w:rPr>
      </w:pPr>
      <w:r>
        <w:t xml:space="preserve">MSAC suggested </w:t>
      </w:r>
      <w:r w:rsidR="005F1B71">
        <w:t>a rev</w:t>
      </w:r>
      <w:r w:rsidR="002224C8">
        <w:t>ised</w:t>
      </w:r>
      <w:r>
        <w:t xml:space="preserve"> application </w:t>
      </w:r>
      <w:r w:rsidR="002224C8">
        <w:t>could consider</w:t>
      </w:r>
      <w:r>
        <w:t xml:space="preserve"> </w:t>
      </w:r>
      <w:r w:rsidR="002224C8">
        <w:t xml:space="preserve">targeting POC testing </w:t>
      </w:r>
      <w:r w:rsidR="001B22D0">
        <w:t>for STIs</w:t>
      </w:r>
      <w:r w:rsidR="00742EF6">
        <w:t xml:space="preserve"> </w:t>
      </w:r>
      <w:r>
        <w:t xml:space="preserve">to people living in remote and very remote areas and alternative funding models to the MBS for </w:t>
      </w:r>
      <w:r w:rsidR="00742EF6">
        <w:t xml:space="preserve">services </w:t>
      </w:r>
      <w:r w:rsidRPr="00C92B02">
        <w:rPr>
          <w:rFonts w:cs="Calibri"/>
        </w:rPr>
        <w:t>provided by Aboriginal Medical Services or Aboriginal Community Controlled Heath Services in rural or remote areas</w:t>
      </w:r>
      <w:r>
        <w:rPr>
          <w:rFonts w:cs="Calibri"/>
        </w:rPr>
        <w:t>.</w:t>
      </w:r>
    </w:p>
    <w:tbl>
      <w:tblPr>
        <w:tblStyle w:val="TableGrid"/>
        <w:tblW w:w="0" w:type="auto"/>
        <w:tblLook w:val="04A0" w:firstRow="1" w:lastRow="0" w:firstColumn="1" w:lastColumn="0" w:noHBand="0" w:noVBand="1"/>
        <w:tblDescription w:val="Consumer summary of MSAC consideration"/>
      </w:tblPr>
      <w:tblGrid>
        <w:gridCol w:w="9016"/>
      </w:tblGrid>
      <w:tr w:rsidR="008A2C9F" w14:paraId="0BF257A6" w14:textId="77777777" w:rsidTr="009F74CA">
        <w:trPr>
          <w:tblHeader/>
        </w:trPr>
        <w:tc>
          <w:tcPr>
            <w:tcW w:w="9016" w:type="dxa"/>
            <w:tcBorders>
              <w:top w:val="single" w:sz="4" w:space="0" w:color="auto"/>
              <w:left w:val="single" w:sz="4" w:space="0" w:color="auto"/>
              <w:bottom w:val="single" w:sz="4" w:space="0" w:color="auto"/>
              <w:right w:val="single" w:sz="4" w:space="0" w:color="auto"/>
            </w:tcBorders>
            <w:hideMark/>
          </w:tcPr>
          <w:p w14:paraId="4B86C2F7" w14:textId="77777777" w:rsidR="008A2C9F" w:rsidRPr="00E96E47" w:rsidRDefault="008A2C9F" w:rsidP="009F74CA">
            <w:pPr>
              <w:pStyle w:val="Default"/>
              <w:spacing w:before="120" w:after="120"/>
              <w:rPr>
                <w:rFonts w:ascii="Franklin Gothic Book" w:hAnsi="Franklin Gothic Book"/>
                <w:b/>
                <w:bCs/>
                <w:color w:val="auto"/>
                <w:sz w:val="22"/>
                <w:szCs w:val="22"/>
              </w:rPr>
            </w:pPr>
            <w:r w:rsidRPr="00E96E47">
              <w:rPr>
                <w:rFonts w:ascii="Franklin Gothic Book" w:hAnsi="Franklin Gothic Book"/>
                <w:b/>
                <w:bCs/>
                <w:color w:val="auto"/>
                <w:sz w:val="22"/>
                <w:szCs w:val="22"/>
              </w:rPr>
              <w:lastRenderedPageBreak/>
              <w:t>Consumer summary</w:t>
            </w:r>
          </w:p>
        </w:tc>
      </w:tr>
      <w:tr w:rsidR="008A2C9F" w14:paraId="23CD0EAD" w14:textId="77777777" w:rsidTr="009F74CA">
        <w:tc>
          <w:tcPr>
            <w:tcW w:w="9016" w:type="dxa"/>
            <w:tcBorders>
              <w:top w:val="single" w:sz="4" w:space="0" w:color="auto"/>
              <w:left w:val="single" w:sz="4" w:space="0" w:color="auto"/>
              <w:bottom w:val="single" w:sz="4" w:space="0" w:color="auto"/>
              <w:right w:val="single" w:sz="4" w:space="0" w:color="auto"/>
            </w:tcBorders>
            <w:hideMark/>
          </w:tcPr>
          <w:p w14:paraId="232BF00D" w14:textId="6DBEC41E" w:rsidR="00FE2DCA" w:rsidRPr="00FE2DCA" w:rsidRDefault="00D9624C" w:rsidP="00BC0139">
            <w:pPr>
              <w:pStyle w:val="Default"/>
              <w:spacing w:before="120" w:after="120"/>
              <w:rPr>
                <w:rFonts w:ascii="Franklin Gothic Book" w:hAnsi="Franklin Gothic Book"/>
                <w:iCs/>
                <w:color w:val="auto"/>
                <w:sz w:val="22"/>
                <w:szCs w:val="22"/>
              </w:rPr>
            </w:pPr>
            <w:r>
              <w:rPr>
                <w:rFonts w:ascii="Franklin Gothic Book" w:hAnsi="Franklin Gothic Book"/>
                <w:iCs/>
                <w:color w:val="auto"/>
                <w:sz w:val="22"/>
                <w:szCs w:val="22"/>
              </w:rPr>
              <w:t>T</w:t>
            </w:r>
            <w:r w:rsidR="00FE2DCA" w:rsidRPr="00FE2DCA">
              <w:rPr>
                <w:rFonts w:ascii="Franklin Gothic Book" w:hAnsi="Franklin Gothic Book"/>
                <w:iCs/>
                <w:color w:val="auto"/>
                <w:sz w:val="22"/>
                <w:szCs w:val="22"/>
              </w:rPr>
              <w:t xml:space="preserve">he Kirby Institute </w:t>
            </w:r>
            <w:r>
              <w:rPr>
                <w:rFonts w:ascii="Franklin Gothic Book" w:hAnsi="Franklin Gothic Book"/>
                <w:iCs/>
                <w:color w:val="auto"/>
                <w:sz w:val="22"/>
                <w:szCs w:val="22"/>
              </w:rPr>
              <w:t>applied for</w:t>
            </w:r>
            <w:r w:rsidR="00FE2DCA" w:rsidRPr="00FE2DCA">
              <w:rPr>
                <w:rFonts w:ascii="Franklin Gothic Book" w:hAnsi="Franklin Gothic Book"/>
                <w:iCs/>
                <w:color w:val="auto"/>
                <w:sz w:val="22"/>
                <w:szCs w:val="22"/>
              </w:rPr>
              <w:t xml:space="preserve"> Medicare Benefits Schedule (MBS) </w:t>
            </w:r>
            <w:r>
              <w:rPr>
                <w:rFonts w:ascii="Franklin Gothic Book" w:hAnsi="Franklin Gothic Book"/>
                <w:iCs/>
                <w:color w:val="auto"/>
                <w:sz w:val="22"/>
                <w:szCs w:val="22"/>
              </w:rPr>
              <w:t xml:space="preserve">funding </w:t>
            </w:r>
            <w:r w:rsidR="00FE2DCA" w:rsidRPr="00FE2DCA">
              <w:rPr>
                <w:rFonts w:ascii="Franklin Gothic Book" w:hAnsi="Franklin Gothic Book"/>
                <w:iCs/>
                <w:color w:val="auto"/>
                <w:sz w:val="22"/>
                <w:szCs w:val="22"/>
              </w:rPr>
              <w:t xml:space="preserve">of point of care (POC) testing for sexually transmitted infections (STIs) for people presenting to Aboriginal Medical Services or Aboriginal Community Controlled Health Organisations in rural and remote Australia. </w:t>
            </w:r>
          </w:p>
          <w:p w14:paraId="67A4E1CF" w14:textId="11D01AC3" w:rsidR="00FE2DCA" w:rsidRPr="00FE2DCA" w:rsidRDefault="00FE2DCA" w:rsidP="00BC0139">
            <w:pPr>
              <w:pStyle w:val="Default"/>
              <w:spacing w:after="120"/>
              <w:rPr>
                <w:rFonts w:ascii="Franklin Gothic Book" w:hAnsi="Franklin Gothic Book"/>
                <w:iCs/>
                <w:color w:val="auto"/>
                <w:sz w:val="22"/>
                <w:szCs w:val="22"/>
              </w:rPr>
            </w:pPr>
            <w:r w:rsidRPr="00FE2DCA">
              <w:rPr>
                <w:rFonts w:ascii="Franklin Gothic Book" w:hAnsi="Franklin Gothic Book"/>
                <w:iCs/>
                <w:color w:val="auto"/>
                <w:sz w:val="22"/>
                <w:szCs w:val="22"/>
              </w:rPr>
              <w:t>STIs such as chlamydia, gonorrhoea and trich</w:t>
            </w:r>
            <w:r w:rsidR="00FF643E">
              <w:rPr>
                <w:rFonts w:ascii="Franklin Gothic Book" w:hAnsi="Franklin Gothic Book"/>
                <w:iCs/>
                <w:color w:val="auto"/>
                <w:sz w:val="22"/>
                <w:szCs w:val="22"/>
              </w:rPr>
              <w:t>om</w:t>
            </w:r>
            <w:r w:rsidRPr="00FE2DCA">
              <w:rPr>
                <w:rFonts w:ascii="Franklin Gothic Book" w:hAnsi="Franklin Gothic Book"/>
                <w:iCs/>
                <w:color w:val="auto"/>
                <w:sz w:val="22"/>
                <w:szCs w:val="22"/>
              </w:rPr>
              <w:t>o</w:t>
            </w:r>
            <w:r w:rsidR="00FF643E">
              <w:rPr>
                <w:rFonts w:ascii="Franklin Gothic Book" w:hAnsi="Franklin Gothic Book"/>
                <w:iCs/>
                <w:color w:val="auto"/>
                <w:sz w:val="22"/>
                <w:szCs w:val="22"/>
              </w:rPr>
              <w:t>na</w:t>
            </w:r>
            <w:r w:rsidRPr="00FE2DCA">
              <w:rPr>
                <w:rFonts w:ascii="Franklin Gothic Book" w:hAnsi="Franklin Gothic Book"/>
                <w:iCs/>
                <w:color w:val="auto"/>
                <w:sz w:val="22"/>
                <w:szCs w:val="22"/>
              </w:rPr>
              <w:t xml:space="preserve">s are infections that are spread through sexual contact and </w:t>
            </w:r>
            <w:r w:rsidR="00D9624C">
              <w:rPr>
                <w:rFonts w:ascii="Franklin Gothic Book" w:hAnsi="Franklin Gothic Book"/>
                <w:iCs/>
                <w:color w:val="auto"/>
                <w:sz w:val="22"/>
                <w:szCs w:val="22"/>
              </w:rPr>
              <w:t xml:space="preserve">individuals with these infections may or may not show any signs or </w:t>
            </w:r>
            <w:r w:rsidRPr="00FE2DCA">
              <w:rPr>
                <w:rFonts w:ascii="Franklin Gothic Book" w:hAnsi="Franklin Gothic Book"/>
                <w:iCs/>
                <w:color w:val="auto"/>
                <w:sz w:val="22"/>
                <w:szCs w:val="22"/>
              </w:rPr>
              <w:t>symptoms</w:t>
            </w:r>
            <w:r w:rsidR="00D9624C">
              <w:rPr>
                <w:rFonts w:ascii="Franklin Gothic Book" w:hAnsi="Franklin Gothic Book"/>
                <w:iCs/>
                <w:color w:val="auto"/>
                <w:sz w:val="22"/>
                <w:szCs w:val="22"/>
              </w:rPr>
              <w:t xml:space="preserve"> of infection</w:t>
            </w:r>
            <w:r w:rsidRPr="00FE2DCA">
              <w:rPr>
                <w:rFonts w:ascii="Franklin Gothic Book" w:hAnsi="Franklin Gothic Book"/>
                <w:iCs/>
                <w:color w:val="auto"/>
                <w:sz w:val="22"/>
                <w:szCs w:val="22"/>
              </w:rPr>
              <w:t xml:space="preserve">. </w:t>
            </w:r>
            <w:r w:rsidR="00D9624C" w:rsidRPr="00FE2DCA">
              <w:rPr>
                <w:rFonts w:ascii="Franklin Gothic Book" w:hAnsi="Franklin Gothic Book"/>
                <w:iCs/>
                <w:color w:val="auto"/>
                <w:sz w:val="22"/>
                <w:szCs w:val="22"/>
              </w:rPr>
              <w:t xml:space="preserve">STIs are treated with antibiotics. </w:t>
            </w:r>
            <w:r w:rsidRPr="00FE2DCA">
              <w:rPr>
                <w:rFonts w:ascii="Franklin Gothic Book" w:hAnsi="Franklin Gothic Book"/>
                <w:iCs/>
                <w:color w:val="auto"/>
                <w:sz w:val="22"/>
                <w:szCs w:val="22"/>
              </w:rPr>
              <w:t xml:space="preserve">The long-term effects of </w:t>
            </w:r>
            <w:r w:rsidR="00D9624C">
              <w:rPr>
                <w:rFonts w:ascii="Franklin Gothic Book" w:hAnsi="Franklin Gothic Book"/>
                <w:iCs/>
                <w:color w:val="auto"/>
                <w:sz w:val="22"/>
                <w:szCs w:val="22"/>
              </w:rPr>
              <w:t xml:space="preserve">untreated </w:t>
            </w:r>
            <w:r w:rsidRPr="00FE2DCA">
              <w:rPr>
                <w:rFonts w:ascii="Franklin Gothic Book" w:hAnsi="Franklin Gothic Book"/>
                <w:iCs/>
                <w:color w:val="auto"/>
                <w:sz w:val="22"/>
                <w:szCs w:val="22"/>
              </w:rPr>
              <w:t xml:space="preserve">STIs can be serious and can include premature birth and problems with fertility. People aged 16 to 29 years old are most at risk and the rates of STIs </w:t>
            </w:r>
            <w:r w:rsidR="00C85836">
              <w:rPr>
                <w:rFonts w:ascii="Franklin Gothic Book" w:hAnsi="Franklin Gothic Book"/>
                <w:iCs/>
                <w:color w:val="auto"/>
                <w:sz w:val="22"/>
                <w:szCs w:val="22"/>
              </w:rPr>
              <w:t>in</w:t>
            </w:r>
            <w:r w:rsidRPr="00FE2DCA">
              <w:rPr>
                <w:rFonts w:ascii="Franklin Gothic Book" w:hAnsi="Franklin Gothic Book"/>
                <w:iCs/>
                <w:color w:val="auto"/>
                <w:sz w:val="22"/>
                <w:szCs w:val="22"/>
              </w:rPr>
              <w:t xml:space="preserve"> Aboriginal and Torres Strait Islander communities in rural and remote Australia are high. </w:t>
            </w:r>
          </w:p>
          <w:p w14:paraId="3B77C027" w14:textId="46FA5FFF" w:rsidR="00FE2DCA" w:rsidRPr="00FE2DCA" w:rsidRDefault="00FC0B93" w:rsidP="00BC0139">
            <w:pPr>
              <w:pStyle w:val="Default"/>
              <w:spacing w:after="120"/>
              <w:rPr>
                <w:rFonts w:ascii="Franklin Gothic Book" w:hAnsi="Franklin Gothic Book"/>
                <w:iCs/>
                <w:color w:val="auto"/>
                <w:sz w:val="22"/>
                <w:szCs w:val="22"/>
              </w:rPr>
            </w:pPr>
            <w:r>
              <w:rPr>
                <w:rFonts w:ascii="Franklin Gothic Book" w:hAnsi="Franklin Gothic Book"/>
                <w:iCs/>
                <w:color w:val="auto"/>
                <w:sz w:val="22"/>
                <w:szCs w:val="22"/>
              </w:rPr>
              <w:t xml:space="preserve">Currently, people are tested </w:t>
            </w:r>
            <w:r w:rsidRPr="00FE2DCA">
              <w:rPr>
                <w:rFonts w:ascii="Franklin Gothic Book" w:hAnsi="Franklin Gothic Book"/>
                <w:iCs/>
                <w:color w:val="auto"/>
                <w:sz w:val="22"/>
                <w:szCs w:val="22"/>
              </w:rPr>
              <w:t>for STIs</w:t>
            </w:r>
            <w:r>
              <w:rPr>
                <w:rFonts w:ascii="Franklin Gothic Book" w:hAnsi="Franklin Gothic Book"/>
                <w:iCs/>
                <w:color w:val="auto"/>
                <w:sz w:val="22"/>
                <w:szCs w:val="22"/>
              </w:rPr>
              <w:t>,</w:t>
            </w:r>
            <w:r w:rsidRPr="00FE2DCA">
              <w:rPr>
                <w:rFonts w:ascii="Franklin Gothic Book" w:hAnsi="Franklin Gothic Book"/>
                <w:iCs/>
                <w:color w:val="auto"/>
                <w:sz w:val="22"/>
                <w:szCs w:val="22"/>
              </w:rPr>
              <w:t xml:space="preserve"> such as </w:t>
            </w:r>
            <w:r w:rsidR="00B360B1">
              <w:rPr>
                <w:rFonts w:ascii="Franklin Gothic Book" w:hAnsi="Franklin Gothic Book"/>
                <w:iCs/>
                <w:color w:val="auto"/>
                <w:sz w:val="22"/>
                <w:szCs w:val="22"/>
              </w:rPr>
              <w:t xml:space="preserve">chlamydia, </w:t>
            </w:r>
            <w:proofErr w:type="gramStart"/>
            <w:r w:rsidR="00B360B1">
              <w:rPr>
                <w:rFonts w:ascii="Franklin Gothic Book" w:hAnsi="Franklin Gothic Book"/>
                <w:iCs/>
                <w:color w:val="auto"/>
                <w:sz w:val="22"/>
                <w:szCs w:val="22"/>
              </w:rPr>
              <w:t>gonorrhoea</w:t>
            </w:r>
            <w:proofErr w:type="gramEnd"/>
            <w:r w:rsidRPr="00FE2DCA">
              <w:rPr>
                <w:rFonts w:ascii="Franklin Gothic Book" w:hAnsi="Franklin Gothic Book"/>
                <w:iCs/>
                <w:color w:val="auto"/>
                <w:sz w:val="22"/>
                <w:szCs w:val="22"/>
              </w:rPr>
              <w:t xml:space="preserve"> and</w:t>
            </w:r>
            <w:r w:rsidR="00B360B1">
              <w:rPr>
                <w:rFonts w:ascii="Franklin Gothic Book" w:hAnsi="Franklin Gothic Book"/>
                <w:iCs/>
                <w:color w:val="auto"/>
                <w:sz w:val="22"/>
                <w:szCs w:val="22"/>
              </w:rPr>
              <w:t xml:space="preserve"> trichomonas</w:t>
            </w:r>
            <w:r>
              <w:rPr>
                <w:rFonts w:ascii="Franklin Gothic Book" w:hAnsi="Franklin Gothic Book"/>
                <w:iCs/>
                <w:color w:val="auto"/>
                <w:sz w:val="22"/>
                <w:szCs w:val="22"/>
              </w:rPr>
              <w:t>, by collecting a sample usually a urine sample or swab. The sample is then sent</w:t>
            </w:r>
            <w:r w:rsidR="00FE2DCA" w:rsidRPr="00FE2DCA">
              <w:rPr>
                <w:rFonts w:ascii="Franklin Gothic Book" w:hAnsi="Franklin Gothic Book"/>
                <w:iCs/>
                <w:color w:val="auto"/>
                <w:sz w:val="22"/>
                <w:szCs w:val="22"/>
              </w:rPr>
              <w:t xml:space="preserve"> to central laboratories </w:t>
            </w:r>
            <w:r>
              <w:rPr>
                <w:rFonts w:ascii="Franklin Gothic Book" w:hAnsi="Franklin Gothic Book"/>
                <w:iCs/>
                <w:color w:val="auto"/>
                <w:sz w:val="22"/>
                <w:szCs w:val="22"/>
              </w:rPr>
              <w:t>where the test is performed.</w:t>
            </w:r>
            <w:r w:rsidR="00FE2DCA" w:rsidRPr="00FE2DCA">
              <w:rPr>
                <w:rFonts w:ascii="Franklin Gothic Book" w:hAnsi="Franklin Gothic Book"/>
                <w:iCs/>
                <w:color w:val="auto"/>
                <w:sz w:val="22"/>
                <w:szCs w:val="22"/>
              </w:rPr>
              <w:t xml:space="preserve"> The results from these tests can take up to 14 days depending on where in Australia the patient is base</w:t>
            </w:r>
            <w:r w:rsidR="008946B8">
              <w:rPr>
                <w:rFonts w:ascii="Franklin Gothic Book" w:hAnsi="Franklin Gothic Book"/>
                <w:iCs/>
                <w:color w:val="auto"/>
                <w:sz w:val="22"/>
                <w:szCs w:val="22"/>
              </w:rPr>
              <w:t>d</w:t>
            </w:r>
            <w:r w:rsidR="00C85836">
              <w:rPr>
                <w:rFonts w:ascii="Franklin Gothic Book" w:hAnsi="Franklin Gothic Book"/>
                <w:iCs/>
                <w:color w:val="auto"/>
                <w:sz w:val="22"/>
                <w:szCs w:val="22"/>
              </w:rPr>
              <w:t>. P</w:t>
            </w:r>
            <w:r w:rsidR="008946B8">
              <w:rPr>
                <w:rFonts w:ascii="Franklin Gothic Book" w:hAnsi="Franklin Gothic Book"/>
                <w:iCs/>
                <w:color w:val="auto"/>
                <w:sz w:val="22"/>
                <w:szCs w:val="22"/>
              </w:rPr>
              <w:t xml:space="preserve">atients can be given </w:t>
            </w:r>
            <w:r w:rsidR="008E5323">
              <w:rPr>
                <w:rFonts w:ascii="Franklin Gothic Book" w:hAnsi="Franklin Gothic Book"/>
                <w:iCs/>
                <w:color w:val="auto"/>
                <w:sz w:val="22"/>
                <w:szCs w:val="22"/>
              </w:rPr>
              <w:t xml:space="preserve">general </w:t>
            </w:r>
            <w:r w:rsidR="008946B8">
              <w:rPr>
                <w:rFonts w:ascii="Franklin Gothic Book" w:hAnsi="Franklin Gothic Book"/>
                <w:iCs/>
                <w:color w:val="auto"/>
                <w:sz w:val="22"/>
                <w:szCs w:val="22"/>
              </w:rPr>
              <w:t>antibiotics before the test results are known</w:t>
            </w:r>
            <w:r w:rsidR="00C85836">
              <w:rPr>
                <w:rFonts w:ascii="Franklin Gothic Book" w:hAnsi="Franklin Gothic Book"/>
                <w:iCs/>
                <w:color w:val="auto"/>
                <w:sz w:val="22"/>
                <w:szCs w:val="22"/>
              </w:rPr>
              <w:t>, however because the bacteria causing the infection won’t be known, the antibiotics may not be targeting the right bacteria</w:t>
            </w:r>
            <w:r w:rsidR="008946B8">
              <w:rPr>
                <w:rFonts w:ascii="Franklin Gothic Book" w:hAnsi="Franklin Gothic Book"/>
                <w:iCs/>
                <w:color w:val="auto"/>
                <w:sz w:val="22"/>
                <w:szCs w:val="22"/>
              </w:rPr>
              <w:t xml:space="preserve">. </w:t>
            </w:r>
            <w:r w:rsidR="008E5323">
              <w:rPr>
                <w:rFonts w:ascii="Franklin Gothic Book" w:hAnsi="Franklin Gothic Book"/>
                <w:iCs/>
                <w:color w:val="auto"/>
                <w:sz w:val="22"/>
                <w:szCs w:val="22"/>
              </w:rPr>
              <w:t xml:space="preserve">Only when the results from the lab come back, will </w:t>
            </w:r>
            <w:r w:rsidR="00632F87">
              <w:rPr>
                <w:rFonts w:ascii="Franklin Gothic Book" w:hAnsi="Franklin Gothic Book"/>
                <w:iCs/>
                <w:color w:val="auto"/>
                <w:sz w:val="22"/>
                <w:szCs w:val="22"/>
              </w:rPr>
              <w:t xml:space="preserve">it be </w:t>
            </w:r>
            <w:r w:rsidR="008E5323">
              <w:rPr>
                <w:rFonts w:ascii="Franklin Gothic Book" w:hAnsi="Franklin Gothic Book"/>
                <w:iCs/>
                <w:color w:val="auto"/>
                <w:sz w:val="22"/>
                <w:szCs w:val="22"/>
              </w:rPr>
              <w:t>know</w:t>
            </w:r>
            <w:r w:rsidR="00632F87">
              <w:rPr>
                <w:rFonts w:ascii="Franklin Gothic Book" w:hAnsi="Franklin Gothic Book"/>
                <w:iCs/>
                <w:color w:val="auto"/>
                <w:sz w:val="22"/>
                <w:szCs w:val="22"/>
              </w:rPr>
              <w:t>n</w:t>
            </w:r>
            <w:r w:rsidR="008E5323">
              <w:rPr>
                <w:rFonts w:ascii="Franklin Gothic Book" w:hAnsi="Franklin Gothic Book"/>
                <w:iCs/>
                <w:color w:val="auto"/>
                <w:sz w:val="22"/>
                <w:szCs w:val="22"/>
              </w:rPr>
              <w:t xml:space="preserve"> whether the patient </w:t>
            </w:r>
            <w:r w:rsidR="004E146F">
              <w:rPr>
                <w:rFonts w:ascii="Franklin Gothic Book" w:hAnsi="Franklin Gothic Book"/>
                <w:iCs/>
                <w:color w:val="auto"/>
                <w:sz w:val="22"/>
                <w:szCs w:val="22"/>
              </w:rPr>
              <w:t>is</w:t>
            </w:r>
            <w:r w:rsidR="008E5323">
              <w:rPr>
                <w:rFonts w:ascii="Franklin Gothic Book" w:hAnsi="Franklin Gothic Book"/>
                <w:iCs/>
                <w:color w:val="auto"/>
                <w:sz w:val="22"/>
                <w:szCs w:val="22"/>
              </w:rPr>
              <w:t xml:space="preserve"> on the right antibiotics. If they aren’t, then the patient will be contacted to change to a different antibiotic, but there </w:t>
            </w:r>
            <w:r w:rsidR="004E146F">
              <w:rPr>
                <w:rFonts w:ascii="Franklin Gothic Book" w:hAnsi="Franklin Gothic Book"/>
                <w:iCs/>
                <w:color w:val="auto"/>
                <w:sz w:val="22"/>
                <w:szCs w:val="22"/>
              </w:rPr>
              <w:t>may</w:t>
            </w:r>
            <w:r w:rsidR="008E5323">
              <w:rPr>
                <w:rFonts w:ascii="Franklin Gothic Book" w:hAnsi="Franklin Gothic Book"/>
                <w:iCs/>
                <w:color w:val="auto"/>
                <w:sz w:val="22"/>
                <w:szCs w:val="22"/>
              </w:rPr>
              <w:t xml:space="preserve"> be a delay of up to 14 days to receive the lab</w:t>
            </w:r>
            <w:r w:rsidR="00B360B1">
              <w:rPr>
                <w:rFonts w:ascii="Franklin Gothic Book" w:hAnsi="Franklin Gothic Book"/>
                <w:iCs/>
                <w:color w:val="auto"/>
                <w:sz w:val="22"/>
                <w:szCs w:val="22"/>
              </w:rPr>
              <w:t>oratory</w:t>
            </w:r>
            <w:r w:rsidR="008E5323">
              <w:rPr>
                <w:rFonts w:ascii="Franklin Gothic Book" w:hAnsi="Franklin Gothic Book"/>
                <w:iCs/>
                <w:color w:val="auto"/>
                <w:sz w:val="22"/>
                <w:szCs w:val="22"/>
              </w:rPr>
              <w:t xml:space="preserve"> results. D</w:t>
            </w:r>
            <w:r w:rsidR="00FE2DCA" w:rsidRPr="00FE2DCA">
              <w:rPr>
                <w:rFonts w:ascii="Franklin Gothic Book" w:hAnsi="Franklin Gothic Book"/>
                <w:iCs/>
                <w:color w:val="auto"/>
                <w:sz w:val="22"/>
                <w:szCs w:val="22"/>
              </w:rPr>
              <w:t xml:space="preserve">uring this time there is a risk that </w:t>
            </w:r>
            <w:r w:rsidR="00F87F6A">
              <w:rPr>
                <w:rFonts w:ascii="Franklin Gothic Book" w:hAnsi="Franklin Gothic Book"/>
                <w:iCs/>
                <w:color w:val="auto"/>
                <w:sz w:val="22"/>
                <w:szCs w:val="22"/>
              </w:rPr>
              <w:t xml:space="preserve">patients </w:t>
            </w:r>
            <w:r w:rsidR="00FE2DCA" w:rsidRPr="00FE2DCA">
              <w:rPr>
                <w:rFonts w:ascii="Franklin Gothic Book" w:hAnsi="Franklin Gothic Book"/>
                <w:iCs/>
                <w:color w:val="auto"/>
                <w:sz w:val="22"/>
                <w:szCs w:val="22"/>
              </w:rPr>
              <w:t>may pass on infections if they are not treated</w:t>
            </w:r>
            <w:r w:rsidR="008E5323">
              <w:rPr>
                <w:rFonts w:ascii="Franklin Gothic Book" w:hAnsi="Franklin Gothic Book"/>
                <w:iCs/>
                <w:color w:val="auto"/>
                <w:sz w:val="22"/>
                <w:szCs w:val="22"/>
              </w:rPr>
              <w:t xml:space="preserve"> or are on the wrong antibiotic. </w:t>
            </w:r>
            <w:r w:rsidR="007909E0">
              <w:rPr>
                <w:rFonts w:ascii="Franklin Gothic Book" w:hAnsi="Franklin Gothic Book"/>
                <w:iCs/>
                <w:color w:val="auto"/>
                <w:sz w:val="22"/>
                <w:szCs w:val="22"/>
              </w:rPr>
              <w:t>The application a</w:t>
            </w:r>
            <w:r w:rsidR="008E5323">
              <w:rPr>
                <w:rFonts w:ascii="Franklin Gothic Book" w:hAnsi="Franklin Gothic Book"/>
                <w:iCs/>
                <w:color w:val="auto"/>
                <w:sz w:val="22"/>
                <w:szCs w:val="22"/>
              </w:rPr>
              <w:t>lso</w:t>
            </w:r>
            <w:r w:rsidR="007909E0">
              <w:rPr>
                <w:rFonts w:ascii="Franklin Gothic Book" w:hAnsi="Franklin Gothic Book"/>
                <w:iCs/>
                <w:color w:val="auto"/>
                <w:sz w:val="22"/>
                <w:szCs w:val="22"/>
              </w:rPr>
              <w:t xml:space="preserve"> reported that</w:t>
            </w:r>
            <w:r w:rsidR="00B360B1">
              <w:rPr>
                <w:rFonts w:ascii="Franklin Gothic Book" w:hAnsi="Franklin Gothic Book"/>
                <w:iCs/>
                <w:color w:val="auto"/>
                <w:sz w:val="22"/>
                <w:szCs w:val="22"/>
              </w:rPr>
              <w:t xml:space="preserve"> </w:t>
            </w:r>
            <w:r w:rsidR="00C85836">
              <w:rPr>
                <w:rFonts w:ascii="Franklin Gothic Book" w:hAnsi="Franklin Gothic Book"/>
                <w:iCs/>
                <w:color w:val="auto"/>
                <w:sz w:val="22"/>
                <w:szCs w:val="22"/>
              </w:rPr>
              <w:t xml:space="preserve">it </w:t>
            </w:r>
            <w:r w:rsidR="00FE2DCA" w:rsidRPr="00FE2DCA">
              <w:rPr>
                <w:rFonts w:ascii="Franklin Gothic Book" w:hAnsi="Franklin Gothic Book"/>
                <w:iCs/>
                <w:color w:val="auto"/>
                <w:sz w:val="22"/>
                <w:szCs w:val="22"/>
              </w:rPr>
              <w:t xml:space="preserve">can be hard to </w:t>
            </w:r>
            <w:r w:rsidR="00F87F6A">
              <w:rPr>
                <w:rFonts w:ascii="Franklin Gothic Book" w:hAnsi="Franklin Gothic Book"/>
                <w:iCs/>
                <w:color w:val="auto"/>
                <w:sz w:val="22"/>
                <w:szCs w:val="22"/>
              </w:rPr>
              <w:t>contact</w:t>
            </w:r>
            <w:r w:rsidR="00F87F6A" w:rsidRPr="00FE2DCA">
              <w:rPr>
                <w:rFonts w:ascii="Franklin Gothic Book" w:hAnsi="Franklin Gothic Book"/>
                <w:iCs/>
                <w:color w:val="auto"/>
                <w:sz w:val="22"/>
                <w:szCs w:val="22"/>
              </w:rPr>
              <w:t xml:space="preserve"> </w:t>
            </w:r>
            <w:r w:rsidR="00FE2DCA" w:rsidRPr="00FE2DCA">
              <w:rPr>
                <w:rFonts w:ascii="Franklin Gothic Book" w:hAnsi="Franklin Gothic Book"/>
                <w:iCs/>
                <w:color w:val="auto"/>
                <w:sz w:val="22"/>
                <w:szCs w:val="22"/>
              </w:rPr>
              <w:t xml:space="preserve">patients once the test results are received to </w:t>
            </w:r>
            <w:r w:rsidR="008946B8">
              <w:rPr>
                <w:rFonts w:ascii="Franklin Gothic Book" w:hAnsi="Franklin Gothic Book"/>
                <w:iCs/>
                <w:color w:val="auto"/>
                <w:sz w:val="22"/>
                <w:szCs w:val="22"/>
              </w:rPr>
              <w:t xml:space="preserve">make sure that they get </w:t>
            </w:r>
            <w:r w:rsidR="00FE2DCA" w:rsidRPr="00FE2DCA">
              <w:rPr>
                <w:rFonts w:ascii="Franklin Gothic Book" w:hAnsi="Franklin Gothic Book"/>
                <w:iCs/>
                <w:color w:val="auto"/>
                <w:sz w:val="22"/>
                <w:szCs w:val="22"/>
              </w:rPr>
              <w:t>appropriate care. Delays in the right treatment while waiting for test results may mean that there are more serious consequences</w:t>
            </w:r>
            <w:r w:rsidR="008946B8">
              <w:rPr>
                <w:rFonts w:ascii="Franklin Gothic Book" w:hAnsi="Franklin Gothic Book"/>
                <w:iCs/>
                <w:color w:val="auto"/>
                <w:sz w:val="22"/>
                <w:szCs w:val="22"/>
              </w:rPr>
              <w:t xml:space="preserve"> </w:t>
            </w:r>
            <w:proofErr w:type="gramStart"/>
            <w:r w:rsidR="008946B8">
              <w:rPr>
                <w:rFonts w:ascii="Franklin Gothic Book" w:hAnsi="Franklin Gothic Book"/>
                <w:iCs/>
                <w:color w:val="auto"/>
                <w:sz w:val="22"/>
                <w:szCs w:val="22"/>
              </w:rPr>
              <w:t>as a result of</w:t>
            </w:r>
            <w:proofErr w:type="gramEnd"/>
            <w:r w:rsidR="008946B8">
              <w:rPr>
                <w:rFonts w:ascii="Franklin Gothic Book" w:hAnsi="Franklin Gothic Book"/>
                <w:iCs/>
                <w:color w:val="auto"/>
                <w:sz w:val="22"/>
                <w:szCs w:val="22"/>
              </w:rPr>
              <w:t xml:space="preserve"> the </w:t>
            </w:r>
            <w:r w:rsidR="008E5323">
              <w:rPr>
                <w:rFonts w:ascii="Franklin Gothic Book" w:hAnsi="Franklin Gothic Book"/>
                <w:iCs/>
                <w:color w:val="auto"/>
                <w:sz w:val="22"/>
                <w:szCs w:val="22"/>
              </w:rPr>
              <w:t xml:space="preserve">ongoing </w:t>
            </w:r>
            <w:r w:rsidR="008946B8">
              <w:rPr>
                <w:rFonts w:ascii="Franklin Gothic Book" w:hAnsi="Franklin Gothic Book"/>
                <w:iCs/>
                <w:color w:val="auto"/>
                <w:sz w:val="22"/>
                <w:szCs w:val="22"/>
              </w:rPr>
              <w:t>infection</w:t>
            </w:r>
            <w:r w:rsidR="00FE2DCA" w:rsidRPr="00FE2DCA">
              <w:rPr>
                <w:rFonts w:ascii="Franklin Gothic Book" w:hAnsi="Franklin Gothic Book"/>
                <w:iCs/>
                <w:color w:val="auto"/>
                <w:sz w:val="22"/>
                <w:szCs w:val="22"/>
              </w:rPr>
              <w:t xml:space="preserve">. </w:t>
            </w:r>
          </w:p>
          <w:p w14:paraId="7C137EF7" w14:textId="65CE2AA3" w:rsidR="00FE2DCA" w:rsidRPr="00FE2DCA" w:rsidRDefault="00FE2DCA" w:rsidP="00BC0139">
            <w:pPr>
              <w:pStyle w:val="Default"/>
              <w:spacing w:after="120"/>
              <w:rPr>
                <w:rFonts w:ascii="Franklin Gothic Book" w:hAnsi="Franklin Gothic Book"/>
                <w:iCs/>
                <w:color w:val="auto"/>
                <w:sz w:val="22"/>
                <w:szCs w:val="22"/>
              </w:rPr>
            </w:pPr>
            <w:r w:rsidRPr="00FE2DCA">
              <w:rPr>
                <w:rFonts w:ascii="Franklin Gothic Book" w:hAnsi="Franklin Gothic Book"/>
                <w:iCs/>
                <w:color w:val="auto"/>
                <w:sz w:val="22"/>
                <w:szCs w:val="22"/>
              </w:rPr>
              <w:t xml:space="preserve">POC testing uses the same kind of </w:t>
            </w:r>
            <w:r w:rsidR="00FC0B93">
              <w:rPr>
                <w:rFonts w:ascii="Franklin Gothic Book" w:hAnsi="Franklin Gothic Book"/>
                <w:iCs/>
                <w:color w:val="auto"/>
                <w:sz w:val="22"/>
                <w:szCs w:val="22"/>
              </w:rPr>
              <w:t>samples</w:t>
            </w:r>
            <w:r w:rsidR="00FC0B93" w:rsidRPr="00FE2DCA">
              <w:rPr>
                <w:rFonts w:ascii="Franklin Gothic Book" w:hAnsi="Franklin Gothic Book"/>
                <w:iCs/>
                <w:color w:val="auto"/>
                <w:sz w:val="22"/>
                <w:szCs w:val="22"/>
              </w:rPr>
              <w:t xml:space="preserve"> </w:t>
            </w:r>
            <w:r w:rsidRPr="00FE2DCA">
              <w:rPr>
                <w:rFonts w:ascii="Franklin Gothic Book" w:hAnsi="Franklin Gothic Book"/>
                <w:iCs/>
                <w:color w:val="auto"/>
                <w:sz w:val="22"/>
                <w:szCs w:val="22"/>
              </w:rPr>
              <w:t xml:space="preserve">as </w:t>
            </w:r>
            <w:r w:rsidR="00C16810">
              <w:rPr>
                <w:rFonts w:ascii="Franklin Gothic Book" w:hAnsi="Franklin Gothic Book"/>
                <w:iCs/>
                <w:color w:val="auto"/>
                <w:sz w:val="22"/>
                <w:szCs w:val="22"/>
              </w:rPr>
              <w:t xml:space="preserve">standard </w:t>
            </w:r>
            <w:r w:rsidRPr="00FE2DCA">
              <w:rPr>
                <w:rFonts w:ascii="Franklin Gothic Book" w:hAnsi="Franklin Gothic Book"/>
                <w:iCs/>
                <w:color w:val="auto"/>
                <w:sz w:val="22"/>
                <w:szCs w:val="22"/>
              </w:rPr>
              <w:t xml:space="preserve">laboratory testing, but the </w:t>
            </w:r>
            <w:r w:rsidR="00FC0B93">
              <w:rPr>
                <w:rFonts w:ascii="Franklin Gothic Book" w:hAnsi="Franklin Gothic Book"/>
                <w:iCs/>
                <w:color w:val="auto"/>
                <w:sz w:val="22"/>
                <w:szCs w:val="22"/>
              </w:rPr>
              <w:t>samples</w:t>
            </w:r>
            <w:r w:rsidR="00FC0B93" w:rsidRPr="00FE2DCA">
              <w:rPr>
                <w:rFonts w:ascii="Franklin Gothic Book" w:hAnsi="Franklin Gothic Book"/>
                <w:iCs/>
                <w:color w:val="auto"/>
                <w:sz w:val="22"/>
                <w:szCs w:val="22"/>
              </w:rPr>
              <w:t xml:space="preserve"> </w:t>
            </w:r>
            <w:r w:rsidRPr="00FE2DCA">
              <w:rPr>
                <w:rFonts w:ascii="Franklin Gothic Book" w:hAnsi="Franklin Gothic Book"/>
                <w:iCs/>
                <w:color w:val="auto"/>
                <w:sz w:val="22"/>
                <w:szCs w:val="22"/>
              </w:rPr>
              <w:t xml:space="preserve">are put through a machine at the clinic. This kind of POC testing takes 60 to 90 minutes to deliver a result. This shorter time </w:t>
            </w:r>
            <w:r w:rsidR="00FC0B93">
              <w:rPr>
                <w:rFonts w:ascii="Franklin Gothic Book" w:hAnsi="Franklin Gothic Book"/>
                <w:iCs/>
                <w:color w:val="auto"/>
                <w:sz w:val="22"/>
                <w:szCs w:val="22"/>
              </w:rPr>
              <w:t xml:space="preserve">from test </w:t>
            </w:r>
            <w:r w:rsidRPr="00FE2DCA">
              <w:rPr>
                <w:rFonts w:ascii="Franklin Gothic Book" w:hAnsi="Franklin Gothic Book"/>
                <w:iCs/>
                <w:color w:val="auto"/>
                <w:sz w:val="22"/>
                <w:szCs w:val="22"/>
              </w:rPr>
              <w:t xml:space="preserve">to result may lead to quicker treatment for patients, meaning their infection will clear up quicker which can reduce spread of infection and can help avoid serious </w:t>
            </w:r>
            <w:r w:rsidR="00FC0B93">
              <w:rPr>
                <w:rFonts w:ascii="Franklin Gothic Book" w:hAnsi="Franklin Gothic Book"/>
                <w:iCs/>
                <w:color w:val="auto"/>
                <w:sz w:val="22"/>
                <w:szCs w:val="22"/>
              </w:rPr>
              <w:t>long-term effects</w:t>
            </w:r>
            <w:r w:rsidRPr="00FE2DCA">
              <w:rPr>
                <w:rFonts w:ascii="Franklin Gothic Book" w:hAnsi="Franklin Gothic Book"/>
                <w:iCs/>
                <w:color w:val="auto"/>
                <w:sz w:val="22"/>
                <w:szCs w:val="22"/>
              </w:rPr>
              <w:t xml:space="preserve"> of </w:t>
            </w:r>
            <w:r w:rsidR="00FC0B93">
              <w:rPr>
                <w:rFonts w:ascii="Franklin Gothic Book" w:hAnsi="Franklin Gothic Book"/>
                <w:iCs/>
                <w:color w:val="auto"/>
                <w:sz w:val="22"/>
                <w:szCs w:val="22"/>
              </w:rPr>
              <w:t xml:space="preserve">untreated </w:t>
            </w:r>
            <w:r w:rsidRPr="00FE2DCA">
              <w:rPr>
                <w:rFonts w:ascii="Franklin Gothic Book" w:hAnsi="Franklin Gothic Book"/>
                <w:iCs/>
                <w:color w:val="auto"/>
                <w:sz w:val="22"/>
                <w:szCs w:val="22"/>
              </w:rPr>
              <w:t xml:space="preserve">STIs.  </w:t>
            </w:r>
          </w:p>
          <w:p w14:paraId="12FAD207" w14:textId="7CB7A02B" w:rsidR="00FE2DCA" w:rsidRPr="00FE2DCA" w:rsidRDefault="00FE2DCA" w:rsidP="00BC0139">
            <w:pPr>
              <w:pStyle w:val="Default"/>
              <w:spacing w:after="120"/>
              <w:rPr>
                <w:rFonts w:ascii="Franklin Gothic Book" w:hAnsi="Franklin Gothic Book"/>
                <w:iCs/>
                <w:color w:val="auto"/>
                <w:sz w:val="22"/>
                <w:szCs w:val="22"/>
              </w:rPr>
            </w:pPr>
            <w:r w:rsidRPr="00FE2DCA">
              <w:rPr>
                <w:rFonts w:ascii="Franklin Gothic Book" w:hAnsi="Franklin Gothic Book"/>
                <w:iCs/>
                <w:color w:val="auto"/>
                <w:sz w:val="22"/>
                <w:szCs w:val="22"/>
              </w:rPr>
              <w:t xml:space="preserve">After considering the evidence, MSAC considered that POC testing was likely </w:t>
            </w:r>
            <w:r w:rsidR="00C85836">
              <w:rPr>
                <w:rFonts w:ascii="Franklin Gothic Book" w:hAnsi="Franklin Gothic Book"/>
                <w:iCs/>
                <w:color w:val="auto"/>
                <w:sz w:val="22"/>
                <w:szCs w:val="22"/>
              </w:rPr>
              <w:t>as accurate</w:t>
            </w:r>
            <w:r w:rsidRPr="00FE2DCA">
              <w:rPr>
                <w:rFonts w:ascii="Franklin Gothic Book" w:hAnsi="Franklin Gothic Book"/>
                <w:iCs/>
                <w:color w:val="auto"/>
                <w:sz w:val="22"/>
                <w:szCs w:val="22"/>
              </w:rPr>
              <w:t xml:space="preserve"> as standard laboratory testing and that </w:t>
            </w:r>
            <w:r w:rsidR="00B360B1">
              <w:rPr>
                <w:rFonts w:ascii="Franklin Gothic Book" w:hAnsi="Franklin Gothic Book"/>
                <w:iCs/>
                <w:color w:val="auto"/>
                <w:sz w:val="22"/>
                <w:szCs w:val="22"/>
              </w:rPr>
              <w:t xml:space="preserve">for many </w:t>
            </w:r>
            <w:r w:rsidR="00C85836">
              <w:rPr>
                <w:rFonts w:ascii="Franklin Gothic Book" w:hAnsi="Franklin Gothic Book"/>
                <w:iCs/>
                <w:color w:val="auto"/>
                <w:sz w:val="22"/>
                <w:szCs w:val="22"/>
              </w:rPr>
              <w:t>patients</w:t>
            </w:r>
            <w:r w:rsidR="00B360B1">
              <w:rPr>
                <w:rFonts w:ascii="Franklin Gothic Book" w:hAnsi="Franklin Gothic Book"/>
                <w:iCs/>
                <w:color w:val="auto"/>
                <w:sz w:val="22"/>
                <w:szCs w:val="22"/>
              </w:rPr>
              <w:t>, they</w:t>
            </w:r>
            <w:r w:rsidR="00C85836">
              <w:rPr>
                <w:rFonts w:ascii="Franklin Gothic Book" w:hAnsi="Franklin Gothic Book"/>
                <w:iCs/>
                <w:color w:val="auto"/>
                <w:sz w:val="22"/>
                <w:szCs w:val="22"/>
              </w:rPr>
              <w:t xml:space="preserve"> would be able to receive their results</w:t>
            </w:r>
            <w:r w:rsidR="008E5323">
              <w:rPr>
                <w:rFonts w:ascii="Franklin Gothic Book" w:hAnsi="Franklin Gothic Book"/>
                <w:iCs/>
                <w:color w:val="auto"/>
                <w:sz w:val="22"/>
                <w:szCs w:val="22"/>
              </w:rPr>
              <w:t xml:space="preserve"> and the correct antibiotic, on the same day</w:t>
            </w:r>
            <w:r w:rsidRPr="00FE2DCA">
              <w:rPr>
                <w:rFonts w:ascii="Franklin Gothic Book" w:hAnsi="Franklin Gothic Book"/>
                <w:iCs/>
                <w:color w:val="auto"/>
                <w:sz w:val="22"/>
                <w:szCs w:val="22"/>
              </w:rPr>
              <w:t xml:space="preserve">. However, there was no difference in overall </w:t>
            </w:r>
            <w:r w:rsidR="00B360B1">
              <w:rPr>
                <w:rFonts w:ascii="Franklin Gothic Book" w:hAnsi="Franklin Gothic Book"/>
                <w:iCs/>
                <w:color w:val="auto"/>
                <w:sz w:val="22"/>
                <w:szCs w:val="22"/>
              </w:rPr>
              <w:t xml:space="preserve">longer-term </w:t>
            </w:r>
            <w:r w:rsidRPr="00FE2DCA">
              <w:rPr>
                <w:rFonts w:ascii="Franklin Gothic Book" w:hAnsi="Franklin Gothic Book"/>
                <w:iCs/>
                <w:color w:val="auto"/>
                <w:sz w:val="22"/>
                <w:szCs w:val="22"/>
              </w:rPr>
              <w:t>infection rates</w:t>
            </w:r>
            <w:r w:rsidR="008E5323">
              <w:rPr>
                <w:rFonts w:ascii="Franklin Gothic Book" w:hAnsi="Franklin Gothic Book"/>
                <w:iCs/>
                <w:color w:val="auto"/>
                <w:sz w:val="22"/>
                <w:szCs w:val="22"/>
              </w:rPr>
              <w:t xml:space="preserve"> </w:t>
            </w:r>
            <w:r w:rsidRPr="00FE2DCA">
              <w:rPr>
                <w:rFonts w:ascii="Franklin Gothic Book" w:hAnsi="Franklin Gothic Book"/>
                <w:iCs/>
                <w:color w:val="auto"/>
                <w:sz w:val="22"/>
                <w:szCs w:val="22"/>
              </w:rPr>
              <w:t>based on type of testing</w:t>
            </w:r>
            <w:r w:rsidR="00B360B1">
              <w:rPr>
                <w:rFonts w:ascii="Franklin Gothic Book" w:hAnsi="Franklin Gothic Book"/>
                <w:iCs/>
                <w:color w:val="auto"/>
                <w:sz w:val="22"/>
                <w:szCs w:val="22"/>
              </w:rPr>
              <w:t xml:space="preserve"> (with most patients having no infection detected during a repeat test</w:t>
            </w:r>
            <w:r w:rsidR="000C72E6">
              <w:rPr>
                <w:rFonts w:ascii="Franklin Gothic Book" w:hAnsi="Franklin Gothic Book"/>
                <w:iCs/>
                <w:color w:val="auto"/>
                <w:sz w:val="22"/>
                <w:szCs w:val="22"/>
              </w:rPr>
              <w:t>, regardless of the type of test they had originally</w:t>
            </w:r>
            <w:r w:rsidR="00B360B1">
              <w:rPr>
                <w:rFonts w:ascii="Franklin Gothic Book" w:hAnsi="Franklin Gothic Book"/>
                <w:iCs/>
                <w:color w:val="auto"/>
                <w:sz w:val="22"/>
                <w:szCs w:val="22"/>
              </w:rPr>
              <w:t>)</w:t>
            </w:r>
            <w:r w:rsidRPr="00FE2DCA">
              <w:rPr>
                <w:rFonts w:ascii="Franklin Gothic Book" w:hAnsi="Franklin Gothic Book"/>
                <w:iCs/>
                <w:color w:val="auto"/>
                <w:sz w:val="22"/>
                <w:szCs w:val="22"/>
              </w:rPr>
              <w:t>, and</w:t>
            </w:r>
            <w:r w:rsidR="008D66F5">
              <w:rPr>
                <w:rFonts w:ascii="Franklin Gothic Book" w:hAnsi="Franklin Gothic Book"/>
                <w:iCs/>
                <w:color w:val="auto"/>
                <w:sz w:val="22"/>
                <w:szCs w:val="22"/>
              </w:rPr>
              <w:t xml:space="preserve"> there was no </w:t>
            </w:r>
            <w:r w:rsidRPr="00FE2DCA">
              <w:rPr>
                <w:rFonts w:ascii="Franklin Gothic Book" w:hAnsi="Franklin Gothic Book"/>
                <w:iCs/>
                <w:color w:val="auto"/>
                <w:sz w:val="22"/>
                <w:szCs w:val="22"/>
              </w:rPr>
              <w:t xml:space="preserve">evidence </w:t>
            </w:r>
            <w:r w:rsidR="00E13EA3">
              <w:rPr>
                <w:rFonts w:ascii="Franklin Gothic Book" w:hAnsi="Franklin Gothic Book"/>
                <w:iCs/>
                <w:color w:val="auto"/>
                <w:sz w:val="22"/>
                <w:szCs w:val="22"/>
              </w:rPr>
              <w:t xml:space="preserve">as to </w:t>
            </w:r>
            <w:r w:rsidRPr="00FE2DCA">
              <w:rPr>
                <w:rFonts w:ascii="Franklin Gothic Book" w:hAnsi="Franklin Gothic Book"/>
                <w:iCs/>
                <w:color w:val="auto"/>
                <w:sz w:val="22"/>
                <w:szCs w:val="22"/>
              </w:rPr>
              <w:t xml:space="preserve">whether the quicker treatment led to better health outcomes in the longer-term. </w:t>
            </w:r>
          </w:p>
          <w:p w14:paraId="194B250F" w14:textId="62AABD03" w:rsidR="00FE2DCA" w:rsidRDefault="00FE2DCA" w:rsidP="00BC0139">
            <w:pPr>
              <w:pStyle w:val="Default"/>
              <w:spacing w:after="120"/>
              <w:rPr>
                <w:rFonts w:ascii="Franklin Gothic Book" w:hAnsi="Franklin Gothic Book"/>
                <w:iCs/>
                <w:color w:val="auto"/>
                <w:sz w:val="22"/>
                <w:szCs w:val="22"/>
              </w:rPr>
            </w:pPr>
            <w:r w:rsidRPr="00FE2DCA">
              <w:rPr>
                <w:rFonts w:ascii="Franklin Gothic Book" w:hAnsi="Franklin Gothic Book"/>
                <w:iCs/>
                <w:color w:val="auto"/>
                <w:sz w:val="22"/>
                <w:szCs w:val="22"/>
              </w:rPr>
              <w:t>MSAC considered that the cost of POC testing is much higher than for laboratory testing and the actual benefit to patients of this was very uncertain. The overall costs to the health system were also very high and likely to have been under-estimated. MSAC was not convinced that POC testing for STIs improved patient outcomes enough to justify the very high costs compared to standard laboratory testing.</w:t>
            </w:r>
          </w:p>
          <w:p w14:paraId="017EC27E" w14:textId="3DDB1897" w:rsidR="008A2C9F" w:rsidRPr="000B5E96" w:rsidRDefault="008A2C9F" w:rsidP="00BC0139">
            <w:pPr>
              <w:pStyle w:val="Default"/>
              <w:spacing w:before="240" w:after="240"/>
              <w:rPr>
                <w:rFonts w:ascii="Franklin Gothic Book" w:hAnsi="Franklin Gothic Book"/>
                <w:b/>
                <w:bCs/>
                <w:iCs/>
                <w:color w:val="auto"/>
                <w:sz w:val="22"/>
                <w:szCs w:val="22"/>
              </w:rPr>
            </w:pPr>
            <w:r w:rsidRPr="000B5E96">
              <w:rPr>
                <w:rFonts w:ascii="Franklin Gothic Book" w:hAnsi="Franklin Gothic Book"/>
                <w:b/>
                <w:bCs/>
                <w:iCs/>
                <w:color w:val="auto"/>
                <w:sz w:val="22"/>
                <w:szCs w:val="22"/>
              </w:rPr>
              <w:t xml:space="preserve">MSAC’s advice to the </w:t>
            </w:r>
            <w:proofErr w:type="gramStart"/>
            <w:r w:rsidRPr="000B5E96">
              <w:rPr>
                <w:rFonts w:ascii="Franklin Gothic Book" w:hAnsi="Franklin Gothic Book"/>
                <w:b/>
                <w:bCs/>
                <w:iCs/>
                <w:color w:val="auto"/>
                <w:sz w:val="22"/>
                <w:szCs w:val="22"/>
              </w:rPr>
              <w:t>Commonwealth Minister</w:t>
            </w:r>
            <w:proofErr w:type="gramEnd"/>
            <w:r w:rsidRPr="000B5E96">
              <w:rPr>
                <w:rFonts w:ascii="Franklin Gothic Book" w:hAnsi="Franklin Gothic Book"/>
                <w:b/>
                <w:bCs/>
                <w:iCs/>
                <w:color w:val="auto"/>
                <w:sz w:val="22"/>
                <w:szCs w:val="22"/>
              </w:rPr>
              <w:t xml:space="preserve"> for Health</w:t>
            </w:r>
            <w:r>
              <w:rPr>
                <w:rFonts w:ascii="Franklin Gothic Book" w:hAnsi="Franklin Gothic Book"/>
                <w:b/>
                <w:bCs/>
                <w:iCs/>
                <w:color w:val="auto"/>
                <w:sz w:val="22"/>
                <w:szCs w:val="22"/>
              </w:rPr>
              <w:t xml:space="preserve"> and Aged Care</w:t>
            </w:r>
          </w:p>
          <w:p w14:paraId="76F80462" w14:textId="0E053C70" w:rsidR="008A2C9F" w:rsidRDefault="00FE2DCA" w:rsidP="009F74CA">
            <w:pPr>
              <w:pStyle w:val="Default"/>
              <w:spacing w:after="240"/>
              <w:rPr>
                <w:rFonts w:ascii="Times New Roman" w:hAnsi="Times New Roman"/>
                <w:i/>
                <w:color w:val="auto"/>
              </w:rPr>
            </w:pPr>
            <w:r w:rsidRPr="00FE2DCA">
              <w:rPr>
                <w:rFonts w:ascii="Franklin Gothic Book" w:hAnsi="Franklin Gothic Book"/>
                <w:iCs/>
                <w:color w:val="auto"/>
                <w:sz w:val="22"/>
                <w:szCs w:val="22"/>
              </w:rPr>
              <w:t xml:space="preserve">MSAC did not support listing POC testing for STIs on the MBS. MSAC considered that POC testing </w:t>
            </w:r>
            <w:r w:rsidR="00746DC4">
              <w:rPr>
                <w:rFonts w:ascii="Franklin Gothic Book" w:hAnsi="Franklin Gothic Book"/>
                <w:iCs/>
                <w:color w:val="auto"/>
                <w:sz w:val="22"/>
                <w:szCs w:val="22"/>
              </w:rPr>
              <w:t>was as accurate</w:t>
            </w:r>
            <w:r w:rsidRPr="00FE2DCA">
              <w:rPr>
                <w:rFonts w:ascii="Franklin Gothic Book" w:hAnsi="Franklin Gothic Book"/>
                <w:iCs/>
                <w:color w:val="auto"/>
                <w:sz w:val="22"/>
                <w:szCs w:val="22"/>
              </w:rPr>
              <w:t xml:space="preserve"> as the current standard laboratory testing but that it did not offer any </w:t>
            </w:r>
            <w:r w:rsidR="00D766C7">
              <w:rPr>
                <w:rFonts w:ascii="Franklin Gothic Book" w:hAnsi="Franklin Gothic Book"/>
                <w:iCs/>
                <w:color w:val="auto"/>
                <w:sz w:val="22"/>
                <w:szCs w:val="22"/>
              </w:rPr>
              <w:t xml:space="preserve">additional </w:t>
            </w:r>
            <w:r w:rsidRPr="00FE2DCA">
              <w:rPr>
                <w:rFonts w:ascii="Franklin Gothic Book" w:hAnsi="Franklin Gothic Book"/>
                <w:iCs/>
                <w:color w:val="auto"/>
                <w:sz w:val="22"/>
                <w:szCs w:val="22"/>
              </w:rPr>
              <w:t>safety or other health benefits and so did not justify the proposed</w:t>
            </w:r>
            <w:r w:rsidR="00D766C7">
              <w:rPr>
                <w:rFonts w:ascii="Franklin Gothic Book" w:hAnsi="Franklin Gothic Book"/>
                <w:iCs/>
                <w:color w:val="auto"/>
                <w:sz w:val="22"/>
                <w:szCs w:val="22"/>
              </w:rPr>
              <w:t xml:space="preserve"> high</w:t>
            </w:r>
            <w:r w:rsidRPr="00FE2DCA">
              <w:rPr>
                <w:rFonts w:ascii="Franklin Gothic Book" w:hAnsi="Franklin Gothic Book"/>
                <w:iCs/>
                <w:color w:val="auto"/>
                <w:sz w:val="22"/>
                <w:szCs w:val="22"/>
              </w:rPr>
              <w:t xml:space="preserve"> cost. MSAC considered that for people in remote and very remote parts of Australia there may be additional benefits in providing them </w:t>
            </w:r>
            <w:r w:rsidR="00746DC4">
              <w:rPr>
                <w:rFonts w:ascii="Franklin Gothic Book" w:hAnsi="Franklin Gothic Book"/>
                <w:iCs/>
                <w:color w:val="auto"/>
                <w:sz w:val="22"/>
                <w:szCs w:val="22"/>
              </w:rPr>
              <w:t xml:space="preserve">faster </w:t>
            </w:r>
            <w:r w:rsidRPr="00FE2DCA">
              <w:rPr>
                <w:rFonts w:ascii="Franklin Gothic Book" w:hAnsi="Franklin Gothic Book"/>
                <w:iCs/>
                <w:color w:val="auto"/>
                <w:sz w:val="22"/>
                <w:szCs w:val="22"/>
              </w:rPr>
              <w:t>access to test</w:t>
            </w:r>
            <w:r w:rsidR="00746DC4">
              <w:rPr>
                <w:rFonts w:ascii="Franklin Gothic Book" w:hAnsi="Franklin Gothic Book"/>
                <w:iCs/>
                <w:color w:val="auto"/>
                <w:sz w:val="22"/>
                <w:szCs w:val="22"/>
              </w:rPr>
              <w:t xml:space="preserve"> results</w:t>
            </w:r>
            <w:r w:rsidRPr="00FE2DCA">
              <w:rPr>
                <w:rFonts w:ascii="Franklin Gothic Book" w:hAnsi="Franklin Gothic Book"/>
                <w:iCs/>
                <w:color w:val="auto"/>
                <w:sz w:val="22"/>
                <w:szCs w:val="22"/>
              </w:rPr>
              <w:t xml:space="preserve"> but further evidence on this was needed.</w:t>
            </w:r>
          </w:p>
        </w:tc>
      </w:tr>
    </w:tbl>
    <w:p w14:paraId="43442AEE" w14:textId="77777777" w:rsidR="008A2C9F" w:rsidRDefault="008A2C9F" w:rsidP="008A2C9F">
      <w:pPr>
        <w:pStyle w:val="Heading2"/>
        <w:numPr>
          <w:ilvl w:val="0"/>
          <w:numId w:val="0"/>
        </w:numPr>
      </w:pPr>
      <w:r>
        <w:lastRenderedPageBreak/>
        <w:t>3.</w:t>
      </w:r>
      <w:r>
        <w:tab/>
        <w:t>Summary of consideration and rationale for MSAC’s advice</w:t>
      </w:r>
    </w:p>
    <w:p w14:paraId="0707E9E5" w14:textId="766EC302" w:rsidR="0094106E" w:rsidRDefault="00FE2DCA" w:rsidP="0094106E">
      <w:pPr>
        <w:spacing w:after="240"/>
        <w:rPr>
          <w:iCs/>
        </w:rPr>
      </w:pPr>
      <w:r w:rsidRPr="00FE2DCA">
        <w:rPr>
          <w:iCs/>
        </w:rPr>
        <w:t xml:space="preserve">MSAC noted that the application was for MBS listing of POC testing for </w:t>
      </w:r>
      <w:r w:rsidR="0082528F">
        <w:rPr>
          <w:iCs/>
        </w:rPr>
        <w:t>STI</w:t>
      </w:r>
      <w:r w:rsidR="00D235E7">
        <w:rPr>
          <w:iCs/>
        </w:rPr>
        <w:t>s</w:t>
      </w:r>
      <w:r w:rsidR="0082528F">
        <w:rPr>
          <w:iCs/>
        </w:rPr>
        <w:t xml:space="preserve"> </w:t>
      </w:r>
      <w:r w:rsidRPr="00FE2DCA">
        <w:rPr>
          <w:iCs/>
        </w:rPr>
        <w:t xml:space="preserve">provided by Aboriginal Medical Services or Aboriginal Community Controlled Health Services in rural or remote areas. </w:t>
      </w:r>
      <w:r w:rsidR="0094106E" w:rsidRPr="00FE2DCA">
        <w:rPr>
          <w:iCs/>
        </w:rPr>
        <w:t xml:space="preserve">MSAC noted </w:t>
      </w:r>
      <w:r w:rsidR="00E2443B">
        <w:rPr>
          <w:iCs/>
        </w:rPr>
        <w:t>the application</w:t>
      </w:r>
      <w:r w:rsidR="0094106E">
        <w:rPr>
          <w:iCs/>
        </w:rPr>
        <w:t xml:space="preserve"> presented</w:t>
      </w:r>
      <w:r w:rsidR="0094106E" w:rsidRPr="00FE2DCA">
        <w:rPr>
          <w:iCs/>
        </w:rPr>
        <w:t xml:space="preserve"> two POC </w:t>
      </w:r>
      <w:r w:rsidR="00142156" w:rsidRPr="00142156">
        <w:rPr>
          <w:iCs/>
        </w:rPr>
        <w:t>nucleic acid amplification tests (NAATs</w:t>
      </w:r>
      <w:r w:rsidR="00142156">
        <w:rPr>
          <w:iCs/>
        </w:rPr>
        <w:t xml:space="preserve">) </w:t>
      </w:r>
      <w:r w:rsidR="0094106E" w:rsidRPr="00FE2DCA">
        <w:rPr>
          <w:iCs/>
        </w:rPr>
        <w:t>tests</w:t>
      </w:r>
      <w:r w:rsidR="0094106E">
        <w:rPr>
          <w:iCs/>
        </w:rPr>
        <w:t xml:space="preserve">, </w:t>
      </w:r>
      <w:r w:rsidR="0094106E" w:rsidRPr="00FE2DCA">
        <w:rPr>
          <w:iCs/>
        </w:rPr>
        <w:t xml:space="preserve">a dual test for </w:t>
      </w:r>
      <w:r w:rsidR="00E13EA3">
        <w:rPr>
          <w:iCs/>
        </w:rPr>
        <w:t>chlamydia and gonorrhoea</w:t>
      </w:r>
      <w:r w:rsidR="0094106E" w:rsidRPr="00FE2DCA">
        <w:rPr>
          <w:iCs/>
        </w:rPr>
        <w:t xml:space="preserve"> and a single test for </w:t>
      </w:r>
      <w:r w:rsidR="00E13EA3">
        <w:rPr>
          <w:iCs/>
        </w:rPr>
        <w:t>trichomonas</w:t>
      </w:r>
      <w:r w:rsidR="0094106E" w:rsidRPr="00FE2DCA">
        <w:rPr>
          <w:iCs/>
        </w:rPr>
        <w:t xml:space="preserve">. </w:t>
      </w:r>
    </w:p>
    <w:p w14:paraId="0E8DD765" w14:textId="33352C8E" w:rsidR="0094106E" w:rsidRDefault="0094106E" w:rsidP="0094106E">
      <w:pPr>
        <w:spacing w:after="240"/>
        <w:rPr>
          <w:iCs/>
        </w:rPr>
      </w:pPr>
      <w:r w:rsidRPr="00FE2DCA">
        <w:rPr>
          <w:iCs/>
        </w:rPr>
        <w:t xml:space="preserve">MSAC noted that these POC tests </w:t>
      </w:r>
      <w:r>
        <w:rPr>
          <w:iCs/>
        </w:rPr>
        <w:t>were</w:t>
      </w:r>
      <w:r w:rsidRPr="00FE2DCA">
        <w:rPr>
          <w:iCs/>
        </w:rPr>
        <w:t xml:space="preserve"> previously considered by the MSAC Executive</w:t>
      </w:r>
      <w:r w:rsidR="00253FE8">
        <w:rPr>
          <w:iCs/>
        </w:rPr>
        <w:t>. The evidence present</w:t>
      </w:r>
      <w:r w:rsidR="00D766C7">
        <w:rPr>
          <w:iCs/>
        </w:rPr>
        <w:t>ed</w:t>
      </w:r>
      <w:r w:rsidR="00253FE8">
        <w:rPr>
          <w:iCs/>
        </w:rPr>
        <w:t xml:space="preserve"> to the MSAC Executive</w:t>
      </w:r>
      <w:r>
        <w:rPr>
          <w:iCs/>
        </w:rPr>
        <w:t xml:space="preserve"> </w:t>
      </w:r>
      <w:r w:rsidRPr="00FE2DCA">
        <w:rPr>
          <w:iCs/>
        </w:rPr>
        <w:t xml:space="preserve">indicated that the sensitivity and specificity </w:t>
      </w:r>
      <w:r w:rsidR="00253FE8">
        <w:rPr>
          <w:iCs/>
        </w:rPr>
        <w:t>of the POC tests was</w:t>
      </w:r>
      <w:r w:rsidRPr="00FE2DCA">
        <w:rPr>
          <w:iCs/>
        </w:rPr>
        <w:t xml:space="preserve"> comparable to </w:t>
      </w:r>
      <w:r w:rsidR="00E13EA3">
        <w:rPr>
          <w:iCs/>
        </w:rPr>
        <w:t>standard</w:t>
      </w:r>
      <w:r w:rsidR="00E13EA3" w:rsidRPr="00FE2DCA">
        <w:rPr>
          <w:iCs/>
        </w:rPr>
        <w:t xml:space="preserve"> </w:t>
      </w:r>
      <w:r w:rsidRPr="00FE2DCA">
        <w:rPr>
          <w:iCs/>
        </w:rPr>
        <w:t>laboratory</w:t>
      </w:r>
      <w:r w:rsidR="00142156">
        <w:rPr>
          <w:iCs/>
        </w:rPr>
        <w:t xml:space="preserve"> </w:t>
      </w:r>
      <w:r w:rsidRPr="00FE2DCA">
        <w:rPr>
          <w:iCs/>
        </w:rPr>
        <w:t>testing</w:t>
      </w:r>
      <w:r w:rsidR="00253FE8">
        <w:rPr>
          <w:iCs/>
        </w:rPr>
        <w:t xml:space="preserve"> and provided</w:t>
      </w:r>
      <w:r w:rsidRPr="00FE2DCA">
        <w:rPr>
          <w:iCs/>
        </w:rPr>
        <w:t xml:space="preserve"> sufficient </w:t>
      </w:r>
      <w:r w:rsidR="00253FE8">
        <w:rPr>
          <w:iCs/>
        </w:rPr>
        <w:t xml:space="preserve">evidence </w:t>
      </w:r>
      <w:r w:rsidRPr="00FE2DCA">
        <w:rPr>
          <w:iCs/>
        </w:rPr>
        <w:t xml:space="preserve">to confirm the validity of using POC testing as a diagnostic test for </w:t>
      </w:r>
      <w:r w:rsidR="00E13EA3">
        <w:rPr>
          <w:iCs/>
        </w:rPr>
        <w:t>chlamydia</w:t>
      </w:r>
      <w:r w:rsidR="004D61FC">
        <w:rPr>
          <w:iCs/>
        </w:rPr>
        <w:t>,</w:t>
      </w:r>
      <w:r w:rsidR="00E13EA3">
        <w:rPr>
          <w:iCs/>
        </w:rPr>
        <w:t xml:space="preserve"> </w:t>
      </w:r>
      <w:proofErr w:type="gramStart"/>
      <w:r w:rsidR="00E13EA3">
        <w:rPr>
          <w:iCs/>
        </w:rPr>
        <w:t>gonorrhoea</w:t>
      </w:r>
      <w:proofErr w:type="gramEnd"/>
      <w:r w:rsidRPr="00FE2DCA">
        <w:rPr>
          <w:iCs/>
        </w:rPr>
        <w:t xml:space="preserve"> and</w:t>
      </w:r>
      <w:r w:rsidR="00E13EA3">
        <w:rPr>
          <w:iCs/>
        </w:rPr>
        <w:t xml:space="preserve"> trichomonas</w:t>
      </w:r>
      <w:r w:rsidRPr="00FE2DCA">
        <w:rPr>
          <w:iCs/>
        </w:rPr>
        <w:t xml:space="preserve">. The MSAC Executive considered that if the </w:t>
      </w:r>
      <w:r w:rsidR="006920C9">
        <w:rPr>
          <w:iCs/>
        </w:rPr>
        <w:t>a</w:t>
      </w:r>
      <w:r w:rsidRPr="00FE2DCA">
        <w:rPr>
          <w:iCs/>
        </w:rPr>
        <w:t xml:space="preserve">pplicant wished to pursue an MBS fee that is higher than the existing MBS </w:t>
      </w:r>
      <w:r w:rsidR="00746DC4">
        <w:rPr>
          <w:iCs/>
        </w:rPr>
        <w:t xml:space="preserve">standard </w:t>
      </w:r>
      <w:r w:rsidRPr="00FE2DCA">
        <w:rPr>
          <w:iCs/>
        </w:rPr>
        <w:t xml:space="preserve">laboratory testing fees, the </w:t>
      </w:r>
      <w:r w:rsidR="008E72D6">
        <w:rPr>
          <w:iCs/>
        </w:rPr>
        <w:t>a</w:t>
      </w:r>
      <w:r w:rsidRPr="00FE2DCA">
        <w:rPr>
          <w:iCs/>
        </w:rPr>
        <w:t xml:space="preserve">pplicant would need to provide evidence that POC testing results in better health outcomes than </w:t>
      </w:r>
      <w:r w:rsidR="00746DC4">
        <w:rPr>
          <w:iCs/>
        </w:rPr>
        <w:t xml:space="preserve">standard </w:t>
      </w:r>
      <w:r w:rsidRPr="00FE2DCA">
        <w:rPr>
          <w:iCs/>
        </w:rPr>
        <w:t xml:space="preserve">laboratory testing, and this evidence would need to be supported with an appropriate economic analysis.  </w:t>
      </w:r>
    </w:p>
    <w:p w14:paraId="7A8B3113" w14:textId="77777777" w:rsidR="00B969FA" w:rsidRDefault="00FE2DCA" w:rsidP="00FE2DCA">
      <w:pPr>
        <w:spacing w:after="240"/>
        <w:rPr>
          <w:iCs/>
        </w:rPr>
      </w:pPr>
      <w:r w:rsidRPr="00FE2DCA">
        <w:rPr>
          <w:iCs/>
        </w:rPr>
        <w:t>MSAC noted that the sexually transmitted infections (</w:t>
      </w:r>
      <w:r w:rsidR="00746DC4">
        <w:rPr>
          <w:iCs/>
        </w:rPr>
        <w:t xml:space="preserve">chlamydia, </w:t>
      </w:r>
      <w:proofErr w:type="gramStart"/>
      <w:r w:rsidR="00746DC4">
        <w:rPr>
          <w:iCs/>
        </w:rPr>
        <w:t>gonorrhoea</w:t>
      </w:r>
      <w:proofErr w:type="gramEnd"/>
      <w:r w:rsidR="00746DC4">
        <w:rPr>
          <w:iCs/>
        </w:rPr>
        <w:t xml:space="preserve"> and trichomonas</w:t>
      </w:r>
      <w:r w:rsidRPr="00FE2DCA">
        <w:rPr>
          <w:iCs/>
        </w:rPr>
        <w:t xml:space="preserve">) represent a significant public health issue, particularly in rural and remote Australia, affecting predominantly Aboriginal and Torres Strait Island populations. MSAC considered that the downstream sequalae of untreated STIs were significant and that reducing onward transmission of infection is of great importance to public health. </w:t>
      </w:r>
      <w:r w:rsidR="006559D5" w:rsidRPr="006559D5">
        <w:rPr>
          <w:iCs/>
        </w:rPr>
        <w:t xml:space="preserve">MSAC noted the consultation </w:t>
      </w:r>
      <w:r w:rsidR="006559D5">
        <w:rPr>
          <w:iCs/>
        </w:rPr>
        <w:t>feedback</w:t>
      </w:r>
      <w:r w:rsidR="006559D5" w:rsidRPr="006559D5">
        <w:rPr>
          <w:iCs/>
        </w:rPr>
        <w:t xml:space="preserve"> </w:t>
      </w:r>
      <w:r w:rsidR="006559D5">
        <w:rPr>
          <w:iCs/>
        </w:rPr>
        <w:t>was</w:t>
      </w:r>
      <w:r w:rsidR="006559D5" w:rsidRPr="006559D5">
        <w:rPr>
          <w:iCs/>
        </w:rPr>
        <w:t xml:space="preserve"> supportive of POC testing as proposed in the application</w:t>
      </w:r>
      <w:r w:rsidR="006559D5">
        <w:rPr>
          <w:iCs/>
        </w:rPr>
        <w:t>, although</w:t>
      </w:r>
      <w:r w:rsidRPr="00FE2DCA">
        <w:rPr>
          <w:iCs/>
        </w:rPr>
        <w:t xml:space="preserve"> </w:t>
      </w:r>
      <w:r w:rsidR="00F61447">
        <w:rPr>
          <w:iCs/>
        </w:rPr>
        <w:t xml:space="preserve">some feedback </w:t>
      </w:r>
      <w:r w:rsidR="005B795B">
        <w:rPr>
          <w:iCs/>
        </w:rPr>
        <w:t xml:space="preserve">expressed </w:t>
      </w:r>
      <w:r w:rsidR="00746DC4">
        <w:rPr>
          <w:iCs/>
        </w:rPr>
        <w:t xml:space="preserve">concern </w:t>
      </w:r>
      <w:r w:rsidRPr="00FE2DCA">
        <w:rPr>
          <w:iCs/>
        </w:rPr>
        <w:t>that the 90-minute wait time for test results is long</w:t>
      </w:r>
      <w:r w:rsidR="006559D5">
        <w:rPr>
          <w:iCs/>
        </w:rPr>
        <w:t>. H</w:t>
      </w:r>
      <w:r w:rsidRPr="00FE2DCA">
        <w:rPr>
          <w:iCs/>
        </w:rPr>
        <w:t>owever</w:t>
      </w:r>
      <w:r w:rsidR="006559D5">
        <w:rPr>
          <w:iCs/>
        </w:rPr>
        <w:t>, MSAC</w:t>
      </w:r>
      <w:r w:rsidRPr="00FE2DCA">
        <w:rPr>
          <w:iCs/>
        </w:rPr>
        <w:t xml:space="preserve"> considered that </w:t>
      </w:r>
      <w:r w:rsidR="00F61447">
        <w:rPr>
          <w:iCs/>
        </w:rPr>
        <w:t xml:space="preserve">the wait time </w:t>
      </w:r>
      <w:r w:rsidRPr="00FE2DCA">
        <w:rPr>
          <w:iCs/>
        </w:rPr>
        <w:t>would provide an opportunity for additional sexual health education and being able to offer</w:t>
      </w:r>
      <w:r w:rsidR="006559D5">
        <w:rPr>
          <w:iCs/>
        </w:rPr>
        <w:t xml:space="preserve"> the proposed</w:t>
      </w:r>
      <w:r w:rsidRPr="00FE2DCA">
        <w:rPr>
          <w:iCs/>
        </w:rPr>
        <w:t xml:space="preserve"> patient</w:t>
      </w:r>
      <w:r w:rsidR="006559D5">
        <w:rPr>
          <w:iCs/>
        </w:rPr>
        <w:t xml:space="preserve"> population</w:t>
      </w:r>
      <w:r w:rsidRPr="00FE2DCA">
        <w:rPr>
          <w:iCs/>
        </w:rPr>
        <w:t xml:space="preserve"> </w:t>
      </w:r>
      <w:r w:rsidR="00F61447">
        <w:rPr>
          <w:iCs/>
        </w:rPr>
        <w:t xml:space="preserve">test </w:t>
      </w:r>
      <w:r w:rsidRPr="00FE2DCA">
        <w:rPr>
          <w:iCs/>
        </w:rPr>
        <w:t>results on the same day</w:t>
      </w:r>
      <w:r w:rsidR="006559D5">
        <w:rPr>
          <w:iCs/>
        </w:rPr>
        <w:t xml:space="preserve"> was important</w:t>
      </w:r>
      <w:r w:rsidRPr="00FE2DCA">
        <w:rPr>
          <w:iCs/>
        </w:rPr>
        <w:t xml:space="preserve">. </w:t>
      </w:r>
    </w:p>
    <w:p w14:paraId="4F385E6C" w14:textId="5A35961E" w:rsidR="00006248" w:rsidRPr="00FE2DCA" w:rsidRDefault="007D2CCF" w:rsidP="00FE2DCA">
      <w:pPr>
        <w:spacing w:after="240"/>
        <w:rPr>
          <w:iCs/>
        </w:rPr>
      </w:pPr>
      <w:r>
        <w:rPr>
          <w:iCs/>
        </w:rPr>
        <w:t xml:space="preserve">MSAC noted </w:t>
      </w:r>
      <w:r w:rsidR="00C355CA">
        <w:rPr>
          <w:iCs/>
        </w:rPr>
        <w:t xml:space="preserve">that the Applicant Developed Assessment Report (ADAR) </w:t>
      </w:r>
      <w:r w:rsidR="00534D33">
        <w:rPr>
          <w:iCs/>
        </w:rPr>
        <w:t>present</w:t>
      </w:r>
      <w:r w:rsidR="00CA6F10">
        <w:rPr>
          <w:iCs/>
        </w:rPr>
        <w:t>ed</w:t>
      </w:r>
      <w:r w:rsidR="00534D33">
        <w:rPr>
          <w:iCs/>
        </w:rPr>
        <w:t xml:space="preserve"> consultation with Australian patients </w:t>
      </w:r>
      <w:r w:rsidR="00237C2A">
        <w:rPr>
          <w:iCs/>
        </w:rPr>
        <w:t>(n=80)</w:t>
      </w:r>
      <w:r w:rsidR="00CA6F10">
        <w:rPr>
          <w:iCs/>
        </w:rPr>
        <w:t xml:space="preserve">, staff members </w:t>
      </w:r>
      <w:r w:rsidR="00705CEE">
        <w:rPr>
          <w:iCs/>
        </w:rPr>
        <w:t xml:space="preserve">and leadership </w:t>
      </w:r>
      <w:r w:rsidR="00CA6F10">
        <w:rPr>
          <w:iCs/>
        </w:rPr>
        <w:t xml:space="preserve">of </w:t>
      </w:r>
      <w:r w:rsidR="002C2F3D">
        <w:rPr>
          <w:iCs/>
        </w:rPr>
        <w:t xml:space="preserve">Aboriginal </w:t>
      </w:r>
      <w:r w:rsidR="00CA6F10">
        <w:rPr>
          <w:iCs/>
        </w:rPr>
        <w:t>health organisations</w:t>
      </w:r>
      <w:r w:rsidR="00B85592">
        <w:rPr>
          <w:iCs/>
        </w:rPr>
        <w:t>.</w:t>
      </w:r>
      <w:r w:rsidR="00CA6F10">
        <w:rPr>
          <w:iCs/>
        </w:rPr>
        <w:t xml:space="preserve"> </w:t>
      </w:r>
      <w:r w:rsidR="00A41FA0">
        <w:rPr>
          <w:iCs/>
        </w:rPr>
        <w:t xml:space="preserve"> </w:t>
      </w:r>
      <w:r w:rsidR="00B85592">
        <w:rPr>
          <w:iCs/>
        </w:rPr>
        <w:t>I</w:t>
      </w:r>
      <w:r w:rsidR="00A41FA0">
        <w:rPr>
          <w:iCs/>
        </w:rPr>
        <w:t>nternational communities</w:t>
      </w:r>
      <w:r w:rsidR="00B85592">
        <w:rPr>
          <w:iCs/>
        </w:rPr>
        <w:t xml:space="preserve"> were also consulted</w:t>
      </w:r>
      <w:r w:rsidR="00AB3090">
        <w:rPr>
          <w:iCs/>
        </w:rPr>
        <w:t xml:space="preserve">. </w:t>
      </w:r>
      <w:r w:rsidR="009E132F" w:rsidRPr="009E132F">
        <w:rPr>
          <w:iCs/>
        </w:rPr>
        <w:t xml:space="preserve">MSAC </w:t>
      </w:r>
      <w:r w:rsidR="009E132F">
        <w:rPr>
          <w:iCs/>
        </w:rPr>
        <w:t>noted</w:t>
      </w:r>
      <w:r w:rsidR="009E132F" w:rsidRPr="009E132F">
        <w:rPr>
          <w:iCs/>
        </w:rPr>
        <w:t xml:space="preserve"> that whilst the research and consultation outcomes presented spoke to the feasibility, </w:t>
      </w:r>
      <w:proofErr w:type="gramStart"/>
      <w:r w:rsidR="009E132F" w:rsidRPr="009E132F">
        <w:rPr>
          <w:iCs/>
        </w:rPr>
        <w:t>safety</w:t>
      </w:r>
      <w:proofErr w:type="gramEnd"/>
      <w:r w:rsidR="009E132F" w:rsidRPr="009E132F">
        <w:rPr>
          <w:iCs/>
        </w:rPr>
        <w:t xml:space="preserve"> and acceptability of POC testing</w:t>
      </w:r>
      <w:r w:rsidR="00B969FA">
        <w:rPr>
          <w:iCs/>
        </w:rPr>
        <w:t xml:space="preserve"> in Aboriginal and Torres Strait Islander communities,</w:t>
      </w:r>
      <w:r w:rsidR="009E132F" w:rsidRPr="009E132F">
        <w:rPr>
          <w:iCs/>
        </w:rPr>
        <w:t xml:space="preserve"> cultural perspectives or additional benefits of cultural importance</w:t>
      </w:r>
      <w:r w:rsidR="00B969FA">
        <w:rPr>
          <w:iCs/>
        </w:rPr>
        <w:t xml:space="preserve"> of POC testing</w:t>
      </w:r>
      <w:r w:rsidR="009E132F" w:rsidRPr="009E132F">
        <w:rPr>
          <w:iCs/>
        </w:rPr>
        <w:t xml:space="preserve"> over standard </w:t>
      </w:r>
      <w:r w:rsidR="00D20D07">
        <w:rPr>
          <w:iCs/>
        </w:rPr>
        <w:t xml:space="preserve">laboratory </w:t>
      </w:r>
      <w:r w:rsidR="009E132F" w:rsidRPr="009E132F">
        <w:rPr>
          <w:iCs/>
        </w:rPr>
        <w:t>testing</w:t>
      </w:r>
      <w:r w:rsidR="00B969FA">
        <w:rPr>
          <w:iCs/>
        </w:rPr>
        <w:t xml:space="preserve"> were not specifically presented</w:t>
      </w:r>
      <w:r w:rsidR="009E132F" w:rsidRPr="009E132F">
        <w:rPr>
          <w:iCs/>
        </w:rPr>
        <w:t xml:space="preserve">. </w:t>
      </w:r>
      <w:r w:rsidR="009E132F">
        <w:rPr>
          <w:iCs/>
        </w:rPr>
        <w:t>MSAC noted that p</w:t>
      </w:r>
      <w:r w:rsidR="009E132F" w:rsidRPr="009E132F">
        <w:rPr>
          <w:iCs/>
        </w:rPr>
        <w:t xml:space="preserve">atients with direct lived experience of the POC testing, communities, community organisations and the Indigenous POCT Leaders Group referenced in the applicant's </w:t>
      </w:r>
      <w:r w:rsidR="009E132F">
        <w:rPr>
          <w:iCs/>
        </w:rPr>
        <w:t xml:space="preserve">pre-MSAC </w:t>
      </w:r>
      <w:r w:rsidR="009E132F" w:rsidRPr="009E132F">
        <w:rPr>
          <w:iCs/>
        </w:rPr>
        <w:t xml:space="preserve">response may </w:t>
      </w:r>
      <w:r w:rsidR="009E132F">
        <w:rPr>
          <w:iCs/>
        </w:rPr>
        <w:t>be able to provide</w:t>
      </w:r>
      <w:r w:rsidR="009E132F" w:rsidRPr="009E132F">
        <w:rPr>
          <w:iCs/>
        </w:rPr>
        <w:t xml:space="preserve"> this lived experience expertise or community knowledge about important non-health benefits</w:t>
      </w:r>
      <w:r w:rsidR="00B638BE">
        <w:rPr>
          <w:iCs/>
        </w:rPr>
        <w:t>.</w:t>
      </w:r>
      <w:r w:rsidR="009E132F" w:rsidRPr="009E132F">
        <w:rPr>
          <w:iCs/>
        </w:rPr>
        <w:t xml:space="preserve"> </w:t>
      </w:r>
      <w:r w:rsidR="00AB3090">
        <w:rPr>
          <w:iCs/>
        </w:rPr>
        <w:t>MSAC agreed with ESC that present</w:t>
      </w:r>
      <w:r w:rsidR="00485651">
        <w:rPr>
          <w:iCs/>
        </w:rPr>
        <w:t>ing</w:t>
      </w:r>
      <w:r w:rsidR="009E132F">
        <w:rPr>
          <w:iCs/>
        </w:rPr>
        <w:t xml:space="preserve"> such</w:t>
      </w:r>
      <w:r w:rsidR="00AB3090">
        <w:rPr>
          <w:iCs/>
        </w:rPr>
        <w:t xml:space="preserve"> additional qualitative evidence</w:t>
      </w:r>
      <w:r w:rsidR="00B969FA">
        <w:rPr>
          <w:iCs/>
        </w:rPr>
        <w:t>, including</w:t>
      </w:r>
      <w:r w:rsidR="00D445BF">
        <w:rPr>
          <w:iCs/>
        </w:rPr>
        <w:t xml:space="preserve"> </w:t>
      </w:r>
      <w:r w:rsidR="00AB3090">
        <w:rPr>
          <w:iCs/>
        </w:rPr>
        <w:t>from</w:t>
      </w:r>
      <w:bookmarkStart w:id="5" w:name="_Hlk129793081"/>
      <w:r w:rsidR="008910DE">
        <w:rPr>
          <w:iCs/>
        </w:rPr>
        <w:t xml:space="preserve"> </w:t>
      </w:r>
      <w:r w:rsidR="00B638BE">
        <w:rPr>
          <w:iCs/>
        </w:rPr>
        <w:t>community members</w:t>
      </w:r>
      <w:r w:rsidR="008910DE">
        <w:rPr>
          <w:iCs/>
        </w:rPr>
        <w:t xml:space="preserve"> who chose not</w:t>
      </w:r>
      <w:r w:rsidR="00B638BE">
        <w:rPr>
          <w:iCs/>
        </w:rPr>
        <w:t xml:space="preserve"> </w:t>
      </w:r>
      <w:proofErr w:type="gramStart"/>
      <w:r w:rsidR="00B638BE">
        <w:rPr>
          <w:iCs/>
        </w:rPr>
        <w:t>have</w:t>
      </w:r>
      <w:proofErr w:type="gramEnd"/>
      <w:r w:rsidR="00B638BE">
        <w:rPr>
          <w:iCs/>
        </w:rPr>
        <w:t xml:space="preserve"> the </w:t>
      </w:r>
      <w:r w:rsidR="008910DE">
        <w:rPr>
          <w:iCs/>
        </w:rPr>
        <w:t>POC</w:t>
      </w:r>
      <w:r w:rsidR="00AD222D">
        <w:rPr>
          <w:iCs/>
        </w:rPr>
        <w:t xml:space="preserve"> testing</w:t>
      </w:r>
      <w:r w:rsidR="008910DE">
        <w:rPr>
          <w:iCs/>
        </w:rPr>
        <w:t xml:space="preserve"> </w:t>
      </w:r>
      <w:r w:rsidR="002321EF">
        <w:rPr>
          <w:iCs/>
        </w:rPr>
        <w:t>and those outside of the health sector</w:t>
      </w:r>
      <w:r w:rsidR="00B969FA">
        <w:rPr>
          <w:iCs/>
        </w:rPr>
        <w:t>,</w:t>
      </w:r>
      <w:r w:rsidR="00E13834">
        <w:rPr>
          <w:iCs/>
        </w:rPr>
        <w:t xml:space="preserve"> </w:t>
      </w:r>
      <w:bookmarkStart w:id="6" w:name="_Hlk129793109"/>
      <w:bookmarkEnd w:id="5"/>
      <w:r w:rsidR="00A30BD3">
        <w:rPr>
          <w:iCs/>
        </w:rPr>
        <w:t xml:space="preserve">would have been </w:t>
      </w:r>
      <w:r w:rsidR="00A30BD3" w:rsidRPr="00FE2DCA">
        <w:rPr>
          <w:iCs/>
        </w:rPr>
        <w:t>informative</w:t>
      </w:r>
      <w:r w:rsidR="00444F3F">
        <w:rPr>
          <w:iCs/>
        </w:rPr>
        <w:t>.</w:t>
      </w:r>
      <w:r w:rsidR="00A30BD3" w:rsidRPr="00FE2DCA">
        <w:rPr>
          <w:iCs/>
        </w:rPr>
        <w:t xml:space="preserve"> </w:t>
      </w:r>
      <w:bookmarkEnd w:id="6"/>
      <w:r w:rsidR="00A30BD3">
        <w:rPr>
          <w:iCs/>
        </w:rPr>
        <w:t xml:space="preserve"> </w:t>
      </w:r>
    </w:p>
    <w:p w14:paraId="5A429C64" w14:textId="75229C4A" w:rsidR="00FE2DCA" w:rsidRPr="00FE2DCA" w:rsidRDefault="00FE2DCA" w:rsidP="00FE2DCA">
      <w:pPr>
        <w:spacing w:after="240"/>
        <w:rPr>
          <w:iCs/>
        </w:rPr>
      </w:pPr>
      <w:r w:rsidRPr="00FE2DCA">
        <w:rPr>
          <w:iCs/>
        </w:rPr>
        <w:t xml:space="preserve">MSAC noted that the proposed item descriptor was age agnostic and considered that this was appropriate given the public health benefits of population level </w:t>
      </w:r>
      <w:r w:rsidR="006A65CD">
        <w:rPr>
          <w:iCs/>
        </w:rPr>
        <w:t>testing</w:t>
      </w:r>
      <w:r w:rsidRPr="00FE2DCA">
        <w:rPr>
          <w:iCs/>
        </w:rPr>
        <w:t>. MSAC agreed with ESC that the proposed item YYYY for testing of CT/NG following previous infection was redundant as there was no need to distinguish between testing for diagnosis</w:t>
      </w:r>
      <w:r w:rsidR="00174CB0">
        <w:rPr>
          <w:iCs/>
        </w:rPr>
        <w:t xml:space="preserve"> (item XXXX)</w:t>
      </w:r>
      <w:r w:rsidRPr="00FE2DCA">
        <w:rPr>
          <w:iCs/>
        </w:rPr>
        <w:t xml:space="preserve"> and repeat testing</w:t>
      </w:r>
      <w:r w:rsidR="00174CB0">
        <w:rPr>
          <w:iCs/>
        </w:rPr>
        <w:t xml:space="preserve"> (item YYYY)</w:t>
      </w:r>
      <w:r w:rsidRPr="00FE2DCA">
        <w:rPr>
          <w:iCs/>
        </w:rPr>
        <w:t xml:space="preserve">. </w:t>
      </w:r>
    </w:p>
    <w:p w14:paraId="07CDE1E1" w14:textId="3AEA49EC" w:rsidR="00FE2DCA" w:rsidRDefault="00FE2DCA" w:rsidP="00FE2DCA">
      <w:pPr>
        <w:spacing w:after="240"/>
        <w:rPr>
          <w:iCs/>
        </w:rPr>
      </w:pPr>
      <w:r w:rsidRPr="00FE2DCA">
        <w:rPr>
          <w:iCs/>
        </w:rPr>
        <w:t xml:space="preserve">MSAC considered that the proposed fee for POC testing ($150 for CT/NG and $115 for TV) was significantly higher than the MBS fee for standard laboratory testing. MSAC considered that the components of the fee were not </w:t>
      </w:r>
      <w:r w:rsidR="00962BE0">
        <w:rPr>
          <w:iCs/>
        </w:rPr>
        <w:t>appropriately costed</w:t>
      </w:r>
      <w:r w:rsidRPr="00FE2DCA">
        <w:rPr>
          <w:iCs/>
        </w:rPr>
        <w:t xml:space="preserve"> and that there was significant uncertainty around the ongoing costs in practice. MSAC noted that the capital costs for the </w:t>
      </w:r>
      <w:proofErr w:type="spellStart"/>
      <w:r w:rsidRPr="00FE2DCA">
        <w:rPr>
          <w:iCs/>
        </w:rPr>
        <w:t>GenExpert</w:t>
      </w:r>
      <w:proofErr w:type="spellEnd"/>
      <w:r w:rsidRPr="00FE2DCA">
        <w:rPr>
          <w:iCs/>
        </w:rPr>
        <w:t xml:space="preserve"> machine had not been included. </w:t>
      </w:r>
      <w:r w:rsidR="0018106C" w:rsidRPr="00FE2DCA">
        <w:rPr>
          <w:iCs/>
        </w:rPr>
        <w:t xml:space="preserve">MSAC noted that while </w:t>
      </w:r>
      <w:proofErr w:type="spellStart"/>
      <w:r w:rsidR="0018106C">
        <w:rPr>
          <w:iCs/>
        </w:rPr>
        <w:t>GeneXperts</w:t>
      </w:r>
      <w:proofErr w:type="spellEnd"/>
      <w:r w:rsidR="0018106C">
        <w:rPr>
          <w:iCs/>
        </w:rPr>
        <w:t xml:space="preserve"> had been provided as part of the TTANGO project, </w:t>
      </w:r>
      <w:r w:rsidR="0018106C" w:rsidRPr="00FE2DCA">
        <w:rPr>
          <w:iCs/>
        </w:rPr>
        <w:t>additional machines and replacements</w:t>
      </w:r>
      <w:r w:rsidR="0018106C">
        <w:rPr>
          <w:iCs/>
        </w:rPr>
        <w:t xml:space="preserve"> would need to be purchased</w:t>
      </w:r>
      <w:r w:rsidR="0018106C" w:rsidRPr="00FE2DCA">
        <w:rPr>
          <w:iCs/>
        </w:rPr>
        <w:t xml:space="preserve"> as required</w:t>
      </w:r>
      <w:r w:rsidRPr="00FE2DCA">
        <w:rPr>
          <w:iCs/>
        </w:rPr>
        <w:t xml:space="preserve">, which may </w:t>
      </w:r>
      <w:r w:rsidR="00313D4F">
        <w:rPr>
          <w:iCs/>
        </w:rPr>
        <w:t xml:space="preserve">lead to </w:t>
      </w:r>
      <w:r w:rsidRPr="00FE2DCA">
        <w:rPr>
          <w:iCs/>
        </w:rPr>
        <w:t>significant</w:t>
      </w:r>
      <w:r w:rsidR="00313D4F">
        <w:rPr>
          <w:iCs/>
        </w:rPr>
        <w:t xml:space="preserve"> costs</w:t>
      </w:r>
      <w:r w:rsidRPr="00FE2DCA">
        <w:rPr>
          <w:iCs/>
        </w:rPr>
        <w:t xml:space="preserve"> (particularly in remote and very remote regions of </w:t>
      </w:r>
      <w:r w:rsidRPr="00FE2DCA">
        <w:rPr>
          <w:iCs/>
        </w:rPr>
        <w:lastRenderedPageBreak/>
        <w:t>Australia</w:t>
      </w:r>
      <w:r w:rsidR="00746DC4">
        <w:rPr>
          <w:iCs/>
        </w:rPr>
        <w:t xml:space="preserve"> where replacements may be needed more frequently due to harsh environmental conditions</w:t>
      </w:r>
      <w:proofErr w:type="gramStart"/>
      <w:r w:rsidRPr="00FE2DCA">
        <w:rPr>
          <w:iCs/>
        </w:rPr>
        <w:t>)</w:t>
      </w:r>
      <w:proofErr w:type="gramEnd"/>
      <w:r w:rsidR="00746DC4">
        <w:rPr>
          <w:iCs/>
        </w:rPr>
        <w:t xml:space="preserve"> and t</w:t>
      </w:r>
      <w:r w:rsidR="00313D4F">
        <w:rPr>
          <w:iCs/>
        </w:rPr>
        <w:t xml:space="preserve">hese costs </w:t>
      </w:r>
      <w:r w:rsidRPr="00FE2DCA">
        <w:rPr>
          <w:iCs/>
        </w:rPr>
        <w:t>were not included. Further, MSAC noted that the full infrastructure costs associated with delivering the test in these regions had not been included and the</w:t>
      </w:r>
      <w:r w:rsidR="00313D4F">
        <w:rPr>
          <w:iCs/>
        </w:rPr>
        <w:t>refore the</w:t>
      </w:r>
      <w:r w:rsidRPr="00FE2DCA">
        <w:rPr>
          <w:iCs/>
        </w:rPr>
        <w:t xml:space="preserve"> cost for consumables</w:t>
      </w:r>
      <w:r w:rsidR="00E13EA3">
        <w:rPr>
          <w:iCs/>
        </w:rPr>
        <w:t xml:space="preserve"> (</w:t>
      </w:r>
      <w:proofErr w:type="gramStart"/>
      <w:r w:rsidR="00E13EA3">
        <w:rPr>
          <w:iCs/>
        </w:rPr>
        <w:t>i.e.</w:t>
      </w:r>
      <w:proofErr w:type="gramEnd"/>
      <w:r w:rsidR="00E13EA3">
        <w:rPr>
          <w:iCs/>
        </w:rPr>
        <w:t xml:space="preserve"> test cartridges)</w:t>
      </w:r>
      <w:r w:rsidRPr="00FE2DCA">
        <w:rPr>
          <w:iCs/>
        </w:rPr>
        <w:t xml:space="preserve"> as proposed may be under-estimated. MSAC noted that </w:t>
      </w:r>
      <w:proofErr w:type="gramStart"/>
      <w:r w:rsidRPr="00FE2DCA">
        <w:rPr>
          <w:iCs/>
        </w:rPr>
        <w:t>the majority of</w:t>
      </w:r>
      <w:proofErr w:type="gramEnd"/>
      <w:r w:rsidRPr="00FE2DCA">
        <w:rPr>
          <w:iCs/>
        </w:rPr>
        <w:t xml:space="preserve"> the proposed fee was attributed to operator and training time and these figures (calculated on a per test basis) amounted to a significant amount per year. MSAC noted the stated ease of POC testing and considered that the training and quality control costs were likely to have been overestimated. </w:t>
      </w:r>
      <w:r w:rsidR="00E322C9" w:rsidRPr="00FE2DCA">
        <w:rPr>
          <w:iCs/>
        </w:rPr>
        <w:t xml:space="preserve">MSAC also noted that </w:t>
      </w:r>
      <w:r w:rsidR="00E322C9">
        <w:rPr>
          <w:iCs/>
        </w:rPr>
        <w:t>one</w:t>
      </w:r>
      <w:r w:rsidR="00E322C9" w:rsidRPr="00FE2DCA">
        <w:rPr>
          <w:iCs/>
        </w:rPr>
        <w:t xml:space="preserve"> fee would be </w:t>
      </w:r>
      <w:r w:rsidR="00E322C9">
        <w:rPr>
          <w:iCs/>
        </w:rPr>
        <w:t xml:space="preserve">claimed, </w:t>
      </w:r>
      <w:r w:rsidR="00E322C9" w:rsidRPr="00FE2DCA">
        <w:rPr>
          <w:iCs/>
        </w:rPr>
        <w:t>irrespective of the number or types of swabs taken (as is the case for the current standard laboratory testing items).</w:t>
      </w:r>
    </w:p>
    <w:p w14:paraId="49EBC019" w14:textId="0E4185EB" w:rsidR="00F027DC" w:rsidRDefault="0080264B" w:rsidP="00FE2DCA">
      <w:pPr>
        <w:spacing w:after="240"/>
        <w:rPr>
          <w:iCs/>
        </w:rPr>
      </w:pPr>
      <w:r>
        <w:rPr>
          <w:iCs/>
        </w:rPr>
        <w:t xml:space="preserve">Regarding comparative safety, </w:t>
      </w:r>
      <w:r w:rsidRPr="00FE2DCA">
        <w:rPr>
          <w:iCs/>
        </w:rPr>
        <w:t xml:space="preserve">MSAC considered that POC testing had noninferior safety compared with standard laboratory testing for CT/NG and TV. </w:t>
      </w:r>
    </w:p>
    <w:p w14:paraId="005F3076" w14:textId="29101469" w:rsidR="00FE2DCA" w:rsidRPr="00FE2DCA" w:rsidRDefault="00F027DC" w:rsidP="00FE2DCA">
      <w:pPr>
        <w:spacing w:after="240"/>
        <w:rPr>
          <w:iCs/>
        </w:rPr>
      </w:pPr>
      <w:r>
        <w:rPr>
          <w:iCs/>
        </w:rPr>
        <w:t xml:space="preserve">Regarding comparative effectiveness, </w:t>
      </w:r>
      <w:r w:rsidR="00FE2DCA" w:rsidRPr="00FE2DCA">
        <w:rPr>
          <w:iCs/>
        </w:rPr>
        <w:t xml:space="preserve">MSAC noted that the evidence on the accuracy and performance of the POC tests was deemed to be at a low risk of bias and relatively robust with up to 9 </w:t>
      </w:r>
      <w:r w:rsidR="00202578">
        <w:rPr>
          <w:iCs/>
        </w:rPr>
        <w:t xml:space="preserve">sample </w:t>
      </w:r>
      <w:r w:rsidR="00FE2DCA" w:rsidRPr="00FE2DCA">
        <w:rPr>
          <w:iCs/>
        </w:rPr>
        <w:t xml:space="preserve">datasets. MSAC </w:t>
      </w:r>
      <w:r w:rsidR="003B2964">
        <w:rPr>
          <w:iCs/>
        </w:rPr>
        <w:t>considered</w:t>
      </w:r>
      <w:r w:rsidR="00FE2DCA" w:rsidRPr="00FE2DCA">
        <w:rPr>
          <w:iCs/>
        </w:rPr>
        <w:t xml:space="preserve"> the MSAC Executive</w:t>
      </w:r>
      <w:r w:rsidR="003B2964">
        <w:rPr>
          <w:iCs/>
        </w:rPr>
        <w:t xml:space="preserve"> minutes and noted</w:t>
      </w:r>
      <w:r w:rsidR="00FE2DCA" w:rsidRPr="00FE2DCA">
        <w:rPr>
          <w:iCs/>
        </w:rPr>
        <w:t xml:space="preserve"> that</w:t>
      </w:r>
      <w:r w:rsidR="00A43C99">
        <w:rPr>
          <w:iCs/>
        </w:rPr>
        <w:t xml:space="preserve"> evidence </w:t>
      </w:r>
      <w:r w:rsidR="00CF7BDA">
        <w:rPr>
          <w:iCs/>
        </w:rPr>
        <w:t>demonstrated</w:t>
      </w:r>
      <w:r w:rsidR="00FE2DCA" w:rsidRPr="00FE2DCA">
        <w:rPr>
          <w:iCs/>
        </w:rPr>
        <w:t xml:space="preserve"> the reliability and validity (i.e.</w:t>
      </w:r>
      <w:r w:rsidR="00A43C99">
        <w:rPr>
          <w:iCs/>
        </w:rPr>
        <w:t>,</w:t>
      </w:r>
      <w:r w:rsidR="00FE2DCA" w:rsidRPr="00FE2DCA">
        <w:rPr>
          <w:iCs/>
        </w:rPr>
        <w:t xml:space="preserve"> sensitivity and specificity) of the POC testing</w:t>
      </w:r>
      <w:r w:rsidR="00E20F23">
        <w:rPr>
          <w:iCs/>
        </w:rPr>
        <w:t xml:space="preserve"> was non-inferior to</w:t>
      </w:r>
      <w:r w:rsidR="00746DC4">
        <w:rPr>
          <w:iCs/>
        </w:rPr>
        <w:t xml:space="preserve"> standard</w:t>
      </w:r>
      <w:r w:rsidR="00E20F23">
        <w:rPr>
          <w:iCs/>
        </w:rPr>
        <w:t xml:space="preserve"> </w:t>
      </w:r>
      <w:r w:rsidR="00E20F23" w:rsidRPr="00FE2DCA">
        <w:rPr>
          <w:iCs/>
        </w:rPr>
        <w:t>laboratory testing</w:t>
      </w:r>
      <w:r w:rsidR="00FE2DCA" w:rsidRPr="00FE2DCA">
        <w:rPr>
          <w:iCs/>
        </w:rPr>
        <w:t xml:space="preserve">. </w:t>
      </w:r>
    </w:p>
    <w:p w14:paraId="28D118BD" w14:textId="63DDD6D0" w:rsidR="00133AD3" w:rsidRDefault="00962BE0" w:rsidP="00FE2DCA">
      <w:pPr>
        <w:spacing w:after="240"/>
        <w:rPr>
          <w:iCs/>
        </w:rPr>
      </w:pPr>
      <w:r>
        <w:rPr>
          <w:iCs/>
        </w:rPr>
        <w:t xml:space="preserve">Regarding the health outcomes associated with POC testing compared to standard laboratory testing, </w:t>
      </w:r>
      <w:r w:rsidR="00FE2DCA" w:rsidRPr="00FE2DCA">
        <w:rPr>
          <w:iCs/>
        </w:rPr>
        <w:t>MSAC noted that the main clinical benefit</w:t>
      </w:r>
      <w:r>
        <w:rPr>
          <w:iCs/>
        </w:rPr>
        <w:t>,</w:t>
      </w:r>
      <w:r w:rsidR="00FE2DCA" w:rsidRPr="00FE2DCA">
        <w:rPr>
          <w:iCs/>
        </w:rPr>
        <w:t xml:space="preserve"> as presented </w:t>
      </w:r>
      <w:r w:rsidR="00F027DC">
        <w:rPr>
          <w:iCs/>
        </w:rPr>
        <w:t>in</w:t>
      </w:r>
      <w:r w:rsidR="00F027DC" w:rsidRPr="00FE2DCA">
        <w:rPr>
          <w:iCs/>
        </w:rPr>
        <w:t xml:space="preserve"> </w:t>
      </w:r>
      <w:r w:rsidR="00FE2DCA" w:rsidRPr="00FE2DCA">
        <w:rPr>
          <w:iCs/>
        </w:rPr>
        <w:t xml:space="preserve">the </w:t>
      </w:r>
      <w:r w:rsidR="00F027DC">
        <w:rPr>
          <w:iCs/>
        </w:rPr>
        <w:t>ADAR</w:t>
      </w:r>
      <w:r w:rsidR="00FE2DCA" w:rsidRPr="00FE2DCA">
        <w:rPr>
          <w:iCs/>
        </w:rPr>
        <w:t xml:space="preserve">, was that </w:t>
      </w:r>
      <w:r w:rsidR="00F027DC">
        <w:rPr>
          <w:iCs/>
        </w:rPr>
        <w:t xml:space="preserve">POC </w:t>
      </w:r>
      <w:r w:rsidR="00FE2DCA" w:rsidRPr="00FE2DCA">
        <w:rPr>
          <w:iCs/>
        </w:rPr>
        <w:t xml:space="preserve">test results would be available in 60-90 minutes, as opposed to up to 2 weeks with standard laboratory testing. The </w:t>
      </w:r>
      <w:r w:rsidR="00F027DC">
        <w:rPr>
          <w:iCs/>
        </w:rPr>
        <w:t>ADAR</w:t>
      </w:r>
      <w:r w:rsidR="00F027DC" w:rsidRPr="00FE2DCA">
        <w:rPr>
          <w:iCs/>
        </w:rPr>
        <w:t xml:space="preserve"> </w:t>
      </w:r>
      <w:r w:rsidR="00FE2DCA" w:rsidRPr="00FE2DCA">
        <w:rPr>
          <w:iCs/>
        </w:rPr>
        <w:t xml:space="preserve">claimed that </w:t>
      </w:r>
      <w:r w:rsidR="00084E40">
        <w:rPr>
          <w:iCs/>
        </w:rPr>
        <w:t>improved</w:t>
      </w:r>
      <w:r w:rsidR="00FE2DCA" w:rsidRPr="00FE2DCA">
        <w:rPr>
          <w:iCs/>
        </w:rPr>
        <w:t xml:space="preserve"> change</w:t>
      </w:r>
      <w:r w:rsidR="00084E40">
        <w:rPr>
          <w:iCs/>
        </w:rPr>
        <w:t xml:space="preserve"> in</w:t>
      </w:r>
      <w:r w:rsidR="00FE2DCA" w:rsidRPr="00FE2DCA">
        <w:rPr>
          <w:iCs/>
        </w:rPr>
        <w:t xml:space="preserve"> clinical management </w:t>
      </w:r>
      <w:r w:rsidR="00084E40">
        <w:rPr>
          <w:iCs/>
        </w:rPr>
        <w:t>(</w:t>
      </w:r>
      <w:proofErr w:type="gramStart"/>
      <w:r w:rsidR="00084E40">
        <w:rPr>
          <w:iCs/>
        </w:rPr>
        <w:t>i.e.</w:t>
      </w:r>
      <w:proofErr w:type="gramEnd"/>
      <w:r w:rsidR="00084E40">
        <w:rPr>
          <w:iCs/>
        </w:rPr>
        <w:t xml:space="preserve"> reduced test to treatment time) would result in</w:t>
      </w:r>
      <w:r w:rsidR="00084E40" w:rsidRPr="00FE2DCA">
        <w:rPr>
          <w:iCs/>
        </w:rPr>
        <w:t xml:space="preserve"> </w:t>
      </w:r>
      <w:r w:rsidR="00FE2DCA" w:rsidRPr="00FE2DCA">
        <w:rPr>
          <w:iCs/>
        </w:rPr>
        <w:t xml:space="preserve">more timely curative treatment; less clinic visits; more timely treatment of contacts and </w:t>
      </w:r>
      <w:r w:rsidR="00746DC4">
        <w:rPr>
          <w:iCs/>
        </w:rPr>
        <w:t>prevention</w:t>
      </w:r>
      <w:r w:rsidR="00FE2DCA" w:rsidRPr="00FE2DCA">
        <w:rPr>
          <w:iCs/>
        </w:rPr>
        <w:t xml:space="preserve"> of infection sequalae (such as mild to moderate Pelvic Inflammatory Disease [PID] and pregnancy-related complications). </w:t>
      </w:r>
    </w:p>
    <w:p w14:paraId="57863B08" w14:textId="08F55305" w:rsidR="00FE2DCA" w:rsidRPr="00FE2DCA" w:rsidRDefault="00FE2DCA" w:rsidP="00FE2DCA">
      <w:pPr>
        <w:spacing w:after="240"/>
        <w:rPr>
          <w:iCs/>
        </w:rPr>
      </w:pPr>
      <w:r w:rsidRPr="00FE2DCA">
        <w:rPr>
          <w:iCs/>
        </w:rPr>
        <w:t xml:space="preserve">MSAC noted that the key evidence </w:t>
      </w:r>
      <w:r w:rsidR="006575BE">
        <w:rPr>
          <w:iCs/>
        </w:rPr>
        <w:t xml:space="preserve">for </w:t>
      </w:r>
      <w:r w:rsidR="00084E40">
        <w:rPr>
          <w:iCs/>
        </w:rPr>
        <w:t xml:space="preserve">improved health </w:t>
      </w:r>
      <w:r w:rsidRPr="00FE2DCA">
        <w:rPr>
          <w:iCs/>
        </w:rPr>
        <w:t>outcomes was based on two studies (total n=1,095), both with moderate risks of bias. One study (</w:t>
      </w:r>
      <w:proofErr w:type="spellStart"/>
      <w:r w:rsidRPr="00FE2DCA">
        <w:rPr>
          <w:iCs/>
        </w:rPr>
        <w:t>Keizur</w:t>
      </w:r>
      <w:proofErr w:type="spellEnd"/>
      <w:r w:rsidRPr="00FE2DCA">
        <w:rPr>
          <w:iCs/>
        </w:rPr>
        <w:t>, 2020</w:t>
      </w:r>
      <w:r w:rsidR="0080264B">
        <w:rPr>
          <w:rStyle w:val="FootnoteReference"/>
          <w:iCs/>
        </w:rPr>
        <w:footnoteReference w:id="2"/>
      </w:r>
      <w:r w:rsidRPr="00FE2DCA">
        <w:rPr>
          <w:iCs/>
        </w:rPr>
        <w:t>) was a diagnostic before/after study conducted in two American cities. The other was the Australian Test, Treat and Go (TTANGO</w:t>
      </w:r>
      <w:r w:rsidR="00F300F3">
        <w:rPr>
          <w:rStyle w:val="FootnoteReference"/>
          <w:iCs/>
        </w:rPr>
        <w:footnoteReference w:id="3"/>
      </w:r>
      <w:r w:rsidRPr="00FE2DCA">
        <w:rPr>
          <w:iCs/>
        </w:rPr>
        <w:t>) cluster-randomised controlled crossover trial led by the applicant which had a highly relevant population. MSAC noted that in the TTANGO study, while there were substantial reductions in the time to test results and time to appropriate treatment</w:t>
      </w:r>
      <w:r w:rsidR="00084E40">
        <w:rPr>
          <w:iCs/>
        </w:rPr>
        <w:t xml:space="preserve"> (change in patient management)</w:t>
      </w:r>
      <w:r w:rsidRPr="00FE2DCA">
        <w:rPr>
          <w:iCs/>
        </w:rPr>
        <w:t xml:space="preserve">, there were no significant differences reported </w:t>
      </w:r>
      <w:r w:rsidR="00084E40">
        <w:rPr>
          <w:iCs/>
        </w:rPr>
        <w:t xml:space="preserve">for health outcomes in terms of </w:t>
      </w:r>
      <w:r w:rsidRPr="00FE2DCA">
        <w:rPr>
          <w:iCs/>
        </w:rPr>
        <w:t xml:space="preserve">rates of infection at re-testing, and most patients were uninfected at re-testing, regardless of testing type. Data on any longer-term outcomes were not available. </w:t>
      </w:r>
    </w:p>
    <w:p w14:paraId="5393815D" w14:textId="1C1C4304" w:rsidR="00FE2DCA" w:rsidRPr="00FE2DCA" w:rsidRDefault="00E20F23" w:rsidP="00FE2DCA">
      <w:pPr>
        <w:spacing w:after="240"/>
        <w:rPr>
          <w:iCs/>
        </w:rPr>
      </w:pPr>
      <w:r>
        <w:rPr>
          <w:iCs/>
        </w:rPr>
        <w:t>MSAC deliberated on whether the evidence demonstrated that POC testing provided better health outcomes</w:t>
      </w:r>
      <w:r w:rsidR="00E7627B">
        <w:rPr>
          <w:iCs/>
        </w:rPr>
        <w:t xml:space="preserve"> as requested by the MSAC Executive</w:t>
      </w:r>
      <w:r w:rsidR="008E025A">
        <w:rPr>
          <w:iCs/>
        </w:rPr>
        <w:t>,</w:t>
      </w:r>
      <w:r>
        <w:rPr>
          <w:iCs/>
        </w:rPr>
        <w:t xml:space="preserve"> and </w:t>
      </w:r>
      <w:r w:rsidR="008E025A">
        <w:rPr>
          <w:iCs/>
        </w:rPr>
        <w:t xml:space="preserve">therefore </w:t>
      </w:r>
      <w:r w:rsidR="00E7627B">
        <w:rPr>
          <w:iCs/>
        </w:rPr>
        <w:t xml:space="preserve">whether POC testing </w:t>
      </w:r>
      <w:r w:rsidR="008E025A">
        <w:rPr>
          <w:iCs/>
        </w:rPr>
        <w:t>was</w:t>
      </w:r>
      <w:r>
        <w:rPr>
          <w:iCs/>
        </w:rPr>
        <w:t xml:space="preserve"> superior </w:t>
      </w:r>
      <w:r w:rsidR="008E025A">
        <w:rPr>
          <w:iCs/>
        </w:rPr>
        <w:t xml:space="preserve">compared </w:t>
      </w:r>
      <w:r>
        <w:rPr>
          <w:iCs/>
        </w:rPr>
        <w:t xml:space="preserve">to </w:t>
      </w:r>
      <w:r w:rsidR="00665658">
        <w:rPr>
          <w:iCs/>
        </w:rPr>
        <w:t xml:space="preserve">standard </w:t>
      </w:r>
      <w:r w:rsidRPr="00FE2DCA">
        <w:rPr>
          <w:iCs/>
        </w:rPr>
        <w:t>laboratory testing</w:t>
      </w:r>
      <w:r>
        <w:rPr>
          <w:iCs/>
        </w:rPr>
        <w:t xml:space="preserve"> as claimed in the ADAR. </w:t>
      </w:r>
      <w:r w:rsidR="00FE2DCA" w:rsidRPr="00FE2DCA">
        <w:rPr>
          <w:iCs/>
        </w:rPr>
        <w:t xml:space="preserve">MSAC considered that it was </w:t>
      </w:r>
      <w:r w:rsidR="00E13EA3">
        <w:rPr>
          <w:iCs/>
        </w:rPr>
        <w:t xml:space="preserve">clinically </w:t>
      </w:r>
      <w:r w:rsidR="00FE2DCA" w:rsidRPr="00FE2DCA">
        <w:rPr>
          <w:iCs/>
        </w:rPr>
        <w:t xml:space="preserve">plausible that </w:t>
      </w:r>
      <w:r>
        <w:rPr>
          <w:iCs/>
        </w:rPr>
        <w:t xml:space="preserve">the reduced time from test to treatment with </w:t>
      </w:r>
      <w:r w:rsidR="00FE2DCA" w:rsidRPr="00FE2DCA">
        <w:rPr>
          <w:iCs/>
        </w:rPr>
        <w:t>POC testing</w:t>
      </w:r>
      <w:r>
        <w:rPr>
          <w:iCs/>
        </w:rPr>
        <w:t xml:space="preserve"> could lead to</w:t>
      </w:r>
      <w:r w:rsidR="00E13EA3">
        <w:rPr>
          <w:iCs/>
        </w:rPr>
        <w:t xml:space="preserve"> quicker resolution of infection which could reduce the chances of onward transmission and could reduce serious downstream sequalae</w:t>
      </w:r>
      <w:r w:rsidR="00FE2DCA" w:rsidRPr="00FE2DCA">
        <w:rPr>
          <w:iCs/>
        </w:rPr>
        <w:t xml:space="preserve">. </w:t>
      </w:r>
      <w:r w:rsidR="00665658">
        <w:rPr>
          <w:iCs/>
        </w:rPr>
        <w:t xml:space="preserve">However, </w:t>
      </w:r>
      <w:r w:rsidR="00FE2DCA" w:rsidRPr="00FE2DCA">
        <w:rPr>
          <w:iCs/>
        </w:rPr>
        <w:t>the evidence presented</w:t>
      </w:r>
      <w:r w:rsidR="00DF1A83">
        <w:rPr>
          <w:iCs/>
        </w:rPr>
        <w:t xml:space="preserve"> did not demonstrate that POC testing </w:t>
      </w:r>
      <w:proofErr w:type="gramStart"/>
      <w:r w:rsidR="00E13EA3">
        <w:rPr>
          <w:iCs/>
        </w:rPr>
        <w:t xml:space="preserve">actually </w:t>
      </w:r>
      <w:r w:rsidR="00DF1A83">
        <w:rPr>
          <w:iCs/>
        </w:rPr>
        <w:t>improved</w:t>
      </w:r>
      <w:proofErr w:type="gramEnd"/>
      <w:r w:rsidR="00DF1A83">
        <w:rPr>
          <w:iCs/>
        </w:rPr>
        <w:t xml:space="preserve"> </w:t>
      </w:r>
      <w:r w:rsidR="00665658">
        <w:rPr>
          <w:iCs/>
        </w:rPr>
        <w:t xml:space="preserve">health outcomes </w:t>
      </w:r>
      <w:r w:rsidR="00DF1A83">
        <w:rPr>
          <w:iCs/>
        </w:rPr>
        <w:t xml:space="preserve">compared to standard </w:t>
      </w:r>
      <w:r w:rsidR="00DF1A83">
        <w:rPr>
          <w:iCs/>
        </w:rPr>
        <w:lastRenderedPageBreak/>
        <w:t>laboratory testing</w:t>
      </w:r>
      <w:r w:rsidR="00FE2DCA" w:rsidRPr="00FE2DCA">
        <w:rPr>
          <w:iCs/>
        </w:rPr>
        <w:t xml:space="preserve">, </w:t>
      </w:r>
      <w:r w:rsidR="00665658">
        <w:rPr>
          <w:iCs/>
        </w:rPr>
        <w:t>Therefore,</w:t>
      </w:r>
      <w:r w:rsidR="00FE2DCA" w:rsidRPr="00FE2DCA">
        <w:rPr>
          <w:iCs/>
        </w:rPr>
        <w:t xml:space="preserve"> MSAC concluded that POC testing had noninferior clinical effectiveness compared to standard laboratory</w:t>
      </w:r>
      <w:r w:rsidR="00665658">
        <w:rPr>
          <w:iCs/>
        </w:rPr>
        <w:t xml:space="preserve"> </w:t>
      </w:r>
      <w:r w:rsidR="00FE2DCA" w:rsidRPr="00FE2DCA">
        <w:rPr>
          <w:iCs/>
        </w:rPr>
        <w:t xml:space="preserve">testing for </w:t>
      </w:r>
      <w:r w:rsidR="00746DC4">
        <w:rPr>
          <w:iCs/>
        </w:rPr>
        <w:t>chlamydia, gonorrhoea and trichomonas</w:t>
      </w:r>
      <w:r w:rsidR="00FE2DCA" w:rsidRPr="00FE2DCA">
        <w:rPr>
          <w:iCs/>
        </w:rPr>
        <w:t xml:space="preserve">.  </w:t>
      </w:r>
    </w:p>
    <w:p w14:paraId="42C7EE9D" w14:textId="01347A38" w:rsidR="005539B5" w:rsidRPr="00FE2DCA" w:rsidRDefault="00FE2DCA" w:rsidP="00FE2DCA">
      <w:pPr>
        <w:spacing w:after="240"/>
        <w:rPr>
          <w:iCs/>
        </w:rPr>
      </w:pPr>
      <w:r w:rsidRPr="00FE2DCA">
        <w:rPr>
          <w:iCs/>
        </w:rPr>
        <w:t>MSAC noted that the</w:t>
      </w:r>
      <w:r w:rsidR="004408AF">
        <w:rPr>
          <w:iCs/>
        </w:rPr>
        <w:t xml:space="preserve"> ADAR presented a cost-utility analysis that</w:t>
      </w:r>
      <w:r w:rsidRPr="00FE2DCA">
        <w:rPr>
          <w:iCs/>
        </w:rPr>
        <w:t xml:space="preserve"> model</w:t>
      </w:r>
      <w:r w:rsidR="004408AF">
        <w:rPr>
          <w:iCs/>
        </w:rPr>
        <w:t xml:space="preserve">led a reduction in infection </w:t>
      </w:r>
      <w:r w:rsidR="005539B5">
        <w:rPr>
          <w:iCs/>
        </w:rPr>
        <w:t>sequalae</w:t>
      </w:r>
      <w:r w:rsidRPr="00FE2DCA">
        <w:rPr>
          <w:iCs/>
        </w:rPr>
        <w:t xml:space="preserve"> based on reduced time to treatment with POC testing</w:t>
      </w:r>
      <w:r w:rsidR="005539B5">
        <w:rPr>
          <w:iCs/>
        </w:rPr>
        <w:t xml:space="preserve">. However, MSAC noted that a reduction in infection sequalae </w:t>
      </w:r>
      <w:r w:rsidRPr="00FE2DCA">
        <w:rPr>
          <w:iCs/>
        </w:rPr>
        <w:t>was not supported by the clinical evidence. MSAC considered that while th</w:t>
      </w:r>
      <w:r w:rsidR="005539B5">
        <w:rPr>
          <w:iCs/>
        </w:rPr>
        <w:t>is</w:t>
      </w:r>
      <w:r w:rsidRPr="00FE2DCA">
        <w:rPr>
          <w:iCs/>
        </w:rPr>
        <w:t xml:space="preserve"> benefit may be clinically plausible</w:t>
      </w:r>
      <w:r w:rsidR="005539B5">
        <w:rPr>
          <w:iCs/>
        </w:rPr>
        <w:t>,</w:t>
      </w:r>
      <w:r w:rsidRPr="00FE2DCA">
        <w:rPr>
          <w:iCs/>
        </w:rPr>
        <w:t xml:space="preserve"> the magnitude of this effect was highly uncertain </w:t>
      </w:r>
      <w:r w:rsidR="005539B5">
        <w:rPr>
          <w:iCs/>
        </w:rPr>
        <w:t>and therefore the ICER based on this modelled benefit was highly uncertain</w:t>
      </w:r>
      <w:r w:rsidRPr="00FE2DCA">
        <w:rPr>
          <w:iCs/>
        </w:rPr>
        <w:t xml:space="preserve">. </w:t>
      </w:r>
    </w:p>
    <w:p w14:paraId="02FBAA2E" w14:textId="13A36816" w:rsidR="00DE5718" w:rsidRDefault="00FE2DCA" w:rsidP="00FE2DCA">
      <w:pPr>
        <w:spacing w:after="240"/>
        <w:rPr>
          <w:iCs/>
        </w:rPr>
      </w:pPr>
      <w:r w:rsidRPr="00FE2DCA">
        <w:rPr>
          <w:iCs/>
        </w:rPr>
        <w:t>MSAC noted that the model represented a cross section of people eligible for testing who present repeatedly over the 10-year time horizon, resulting in accrual of costs and consequences that are not reflective of a single test, but rather a series of testing episodes over ten years.</w:t>
      </w:r>
      <w:r w:rsidR="002E7C3D" w:rsidRPr="002E7C3D">
        <w:rPr>
          <w:iCs/>
        </w:rPr>
        <w:t xml:space="preserve"> </w:t>
      </w:r>
      <w:r w:rsidR="002E7C3D">
        <w:rPr>
          <w:iCs/>
        </w:rPr>
        <w:t xml:space="preserve">MSAC noted this was achieved using </w:t>
      </w:r>
      <w:r w:rsidR="002E7C3D" w:rsidRPr="00FE2DCA">
        <w:rPr>
          <w:iCs/>
        </w:rPr>
        <w:t>complex microsimulation model</w:t>
      </w:r>
      <w:r w:rsidR="002E7C3D">
        <w:rPr>
          <w:iCs/>
        </w:rPr>
        <w:t>ling</w:t>
      </w:r>
      <w:r w:rsidR="002E7C3D" w:rsidRPr="00FE2DCA">
        <w:rPr>
          <w:iCs/>
        </w:rPr>
        <w:t xml:space="preserve"> that required large numbers of simulations to generate stability in the results. </w:t>
      </w:r>
      <w:r w:rsidR="005539B5">
        <w:rPr>
          <w:iCs/>
        </w:rPr>
        <w:t>MSAC noted a strength of microsimulation models was the ability to incorporate ‘</w:t>
      </w:r>
      <w:r w:rsidR="002E7C3D">
        <w:rPr>
          <w:iCs/>
        </w:rPr>
        <w:t>history</w:t>
      </w:r>
      <w:r w:rsidR="005539B5">
        <w:rPr>
          <w:iCs/>
        </w:rPr>
        <w:t>’</w:t>
      </w:r>
      <w:r w:rsidR="002E7C3D">
        <w:rPr>
          <w:iCs/>
        </w:rPr>
        <w:t xml:space="preserve"> in the model</w:t>
      </w:r>
      <w:r w:rsidR="005342F2">
        <w:rPr>
          <w:iCs/>
        </w:rPr>
        <w:t xml:space="preserve"> however, </w:t>
      </w:r>
      <w:r w:rsidR="002E7C3D">
        <w:rPr>
          <w:iCs/>
        </w:rPr>
        <w:t xml:space="preserve">the microsimulation </w:t>
      </w:r>
      <w:r w:rsidR="00F2122C">
        <w:rPr>
          <w:iCs/>
        </w:rPr>
        <w:t xml:space="preserve">model </w:t>
      </w:r>
      <w:r w:rsidR="002E7C3D">
        <w:rPr>
          <w:iCs/>
        </w:rPr>
        <w:t>did not incorporate changes</w:t>
      </w:r>
      <w:r w:rsidR="0039275A">
        <w:rPr>
          <w:iCs/>
        </w:rPr>
        <w:t xml:space="preserve"> to reflect </w:t>
      </w:r>
      <w:r w:rsidR="00781D35">
        <w:rPr>
          <w:iCs/>
        </w:rPr>
        <w:t>how</w:t>
      </w:r>
      <w:r w:rsidR="0039275A">
        <w:rPr>
          <w:iCs/>
        </w:rPr>
        <w:t xml:space="preserve"> population behaviour </w:t>
      </w:r>
      <w:r w:rsidR="00781D35">
        <w:rPr>
          <w:iCs/>
        </w:rPr>
        <w:t xml:space="preserve">would change </w:t>
      </w:r>
      <w:r w:rsidR="0039275A">
        <w:rPr>
          <w:iCs/>
        </w:rPr>
        <w:t xml:space="preserve">over time (e.g., </w:t>
      </w:r>
      <w:r w:rsidR="00781D35">
        <w:rPr>
          <w:iCs/>
        </w:rPr>
        <w:t xml:space="preserve">the model </w:t>
      </w:r>
      <w:r w:rsidR="0039275A">
        <w:rPr>
          <w:iCs/>
        </w:rPr>
        <w:t xml:space="preserve">did not incorporate changes </w:t>
      </w:r>
      <w:r w:rsidR="00781D35">
        <w:rPr>
          <w:iCs/>
        </w:rPr>
        <w:t xml:space="preserve">over time </w:t>
      </w:r>
      <w:r w:rsidR="0039275A">
        <w:rPr>
          <w:iCs/>
        </w:rPr>
        <w:t xml:space="preserve">in </w:t>
      </w:r>
      <w:r w:rsidR="002E7C3D" w:rsidRPr="00FE2DCA">
        <w:rPr>
          <w:iCs/>
        </w:rPr>
        <w:t>the probabilities of reinfections</w:t>
      </w:r>
      <w:r w:rsidR="0039275A">
        <w:rPr>
          <w:iCs/>
        </w:rPr>
        <w:t>, uptake of testing, proportion of symptomatic patients, etc)</w:t>
      </w:r>
      <w:r w:rsidR="002E7C3D">
        <w:rPr>
          <w:iCs/>
        </w:rPr>
        <w:t>.</w:t>
      </w:r>
      <w:r w:rsidRPr="00FE2DCA">
        <w:rPr>
          <w:iCs/>
        </w:rPr>
        <w:t xml:space="preserve"> </w:t>
      </w:r>
      <w:r w:rsidR="0039275A">
        <w:rPr>
          <w:iCs/>
        </w:rPr>
        <w:t xml:space="preserve">As the microsimulation did not include this ‘history’, </w:t>
      </w:r>
      <w:r w:rsidR="005539B5" w:rsidRPr="00FE2DCA" w:rsidDel="005539B5">
        <w:rPr>
          <w:iCs/>
        </w:rPr>
        <w:t>MSAC agreed with ESC that</w:t>
      </w:r>
      <w:r w:rsidR="005539B5">
        <w:rPr>
          <w:iCs/>
        </w:rPr>
        <w:t xml:space="preserve"> </w:t>
      </w:r>
      <w:r w:rsidR="002E7C3D">
        <w:rPr>
          <w:iCs/>
        </w:rPr>
        <w:t>the model</w:t>
      </w:r>
      <w:r w:rsidR="005539B5" w:rsidRPr="00FE2DCA" w:rsidDel="005539B5">
        <w:rPr>
          <w:iCs/>
        </w:rPr>
        <w:t xml:space="preserve"> was </w:t>
      </w:r>
      <w:r w:rsidR="0039275A">
        <w:rPr>
          <w:iCs/>
        </w:rPr>
        <w:t xml:space="preserve">unnecessarily </w:t>
      </w:r>
      <w:r w:rsidR="005539B5" w:rsidRPr="00FE2DCA" w:rsidDel="005539B5">
        <w:rPr>
          <w:iCs/>
        </w:rPr>
        <w:t>overly complex</w:t>
      </w:r>
      <w:r w:rsidR="0039275A">
        <w:rPr>
          <w:iCs/>
        </w:rPr>
        <w:t xml:space="preserve">. </w:t>
      </w:r>
      <w:r w:rsidRPr="00FE2DCA">
        <w:rPr>
          <w:iCs/>
        </w:rPr>
        <w:t xml:space="preserve">MSAC also considered that the 10-year time horizon in the model was too long based on the short-term clinical data that had been presented. </w:t>
      </w:r>
    </w:p>
    <w:p w14:paraId="5C8D62CF" w14:textId="5D125F4E" w:rsidR="00FE2DCA" w:rsidRPr="00FE2DCA" w:rsidRDefault="00FE2DCA" w:rsidP="00FE2DCA">
      <w:pPr>
        <w:spacing w:after="240"/>
        <w:rPr>
          <w:iCs/>
        </w:rPr>
      </w:pPr>
      <w:r w:rsidRPr="00FE2DCA">
        <w:rPr>
          <w:iCs/>
        </w:rPr>
        <w:t>MSAC noted the population included in the model were patients aged between 16 and 29 years old</w:t>
      </w:r>
      <w:r w:rsidR="005342F2">
        <w:rPr>
          <w:iCs/>
        </w:rPr>
        <w:t>. MSAC acknowledged</w:t>
      </w:r>
      <w:r w:rsidRPr="00FE2DCA">
        <w:rPr>
          <w:iCs/>
        </w:rPr>
        <w:t xml:space="preserve"> that this was consistent </w:t>
      </w:r>
      <w:r w:rsidR="00313D4F">
        <w:rPr>
          <w:iCs/>
        </w:rPr>
        <w:t xml:space="preserve">with </w:t>
      </w:r>
      <w:r w:rsidR="005342F2">
        <w:rPr>
          <w:iCs/>
        </w:rPr>
        <w:t xml:space="preserve">the pivotal TTANGO trial and </w:t>
      </w:r>
      <w:r w:rsidRPr="00FE2DCA">
        <w:rPr>
          <w:iCs/>
        </w:rPr>
        <w:t>with current national and jurisdictional guidelines</w:t>
      </w:r>
      <w:r w:rsidR="005342F2">
        <w:rPr>
          <w:iCs/>
        </w:rPr>
        <w:t xml:space="preserve"> but that this was not consistent with the proposed population for MBS funding (i.e.</w:t>
      </w:r>
      <w:r w:rsidR="00DE5718">
        <w:rPr>
          <w:iCs/>
        </w:rPr>
        <w:t>,</w:t>
      </w:r>
      <w:r w:rsidR="005342F2">
        <w:rPr>
          <w:iCs/>
        </w:rPr>
        <w:t xml:space="preserve"> the proposed item descriptors are age agnostic)</w:t>
      </w:r>
      <w:r w:rsidRPr="00FE2DCA">
        <w:rPr>
          <w:iCs/>
        </w:rPr>
        <w:t xml:space="preserve">. MSAC considered that an age agnostic approach should also be reflected in the economic model as it is likely that the </w:t>
      </w:r>
      <w:r w:rsidR="005342F2">
        <w:rPr>
          <w:iCs/>
        </w:rPr>
        <w:t>ICER for</w:t>
      </w:r>
      <w:r w:rsidRPr="00FE2DCA">
        <w:rPr>
          <w:iCs/>
        </w:rPr>
        <w:t xml:space="preserve"> POC testing would increase if people over the age of 29 years were included in the model. This would primarily be due to changes in the underlying prevalence of infections and a reduction in the </w:t>
      </w:r>
      <w:r w:rsidR="00DE5718">
        <w:rPr>
          <w:iCs/>
        </w:rPr>
        <w:t xml:space="preserve">probability of </w:t>
      </w:r>
      <w:r w:rsidRPr="00FE2DCA">
        <w:rPr>
          <w:iCs/>
        </w:rPr>
        <w:t xml:space="preserve">downstream sequalae </w:t>
      </w:r>
      <w:r w:rsidR="008946B8">
        <w:rPr>
          <w:iCs/>
        </w:rPr>
        <w:t>such as</w:t>
      </w:r>
      <w:r w:rsidRPr="00FE2DCA">
        <w:rPr>
          <w:iCs/>
        </w:rPr>
        <w:t xml:space="preserve"> maternal and pregnancy related </w:t>
      </w:r>
      <w:r w:rsidR="008946B8">
        <w:rPr>
          <w:iCs/>
        </w:rPr>
        <w:t xml:space="preserve">adverse </w:t>
      </w:r>
      <w:r w:rsidRPr="00FE2DCA">
        <w:rPr>
          <w:iCs/>
        </w:rPr>
        <w:t xml:space="preserve">outcomes. </w:t>
      </w:r>
    </w:p>
    <w:p w14:paraId="2C50EE4F" w14:textId="5558424B" w:rsidR="00FE2DCA" w:rsidRPr="00FE2DCA" w:rsidRDefault="00FE2DCA" w:rsidP="00FE2DCA">
      <w:pPr>
        <w:spacing w:after="240"/>
        <w:rPr>
          <w:iCs/>
        </w:rPr>
      </w:pPr>
      <w:r w:rsidRPr="00FE2DCA">
        <w:rPr>
          <w:iCs/>
        </w:rPr>
        <w:t xml:space="preserve">MSAC noted the commentary </w:t>
      </w:r>
      <w:r w:rsidR="005342F2">
        <w:rPr>
          <w:iCs/>
        </w:rPr>
        <w:t xml:space="preserve">had identified </w:t>
      </w:r>
      <w:proofErr w:type="gramStart"/>
      <w:r w:rsidR="005342F2">
        <w:rPr>
          <w:iCs/>
        </w:rPr>
        <w:t>a number of</w:t>
      </w:r>
      <w:proofErr w:type="gramEnd"/>
      <w:r w:rsidR="005342F2">
        <w:rPr>
          <w:iCs/>
        </w:rPr>
        <w:t xml:space="preserve"> errors and inconsistencies in the ADAR model</w:t>
      </w:r>
      <w:r w:rsidR="003E07F4">
        <w:rPr>
          <w:iCs/>
        </w:rPr>
        <w:t xml:space="preserve"> and </w:t>
      </w:r>
      <w:r w:rsidRPr="00FE2DCA">
        <w:rPr>
          <w:iCs/>
        </w:rPr>
        <w:t>sensitivity analyses</w:t>
      </w:r>
      <w:r w:rsidR="003E07F4">
        <w:rPr>
          <w:iCs/>
        </w:rPr>
        <w:t xml:space="preserve"> </w:t>
      </w:r>
      <w:r w:rsidR="000C2A87">
        <w:rPr>
          <w:iCs/>
        </w:rPr>
        <w:t>presented in the commentary</w:t>
      </w:r>
      <w:r w:rsidRPr="00FE2DCA">
        <w:rPr>
          <w:iCs/>
        </w:rPr>
        <w:t xml:space="preserve"> demonstrated the ICER was highly sensitive to a number of key drivers (</w:t>
      </w:r>
      <w:r w:rsidR="002E6F6D">
        <w:rPr>
          <w:iCs/>
        </w:rPr>
        <w:t>see</w:t>
      </w:r>
      <w:r w:rsidR="009E404C">
        <w:rPr>
          <w:iCs/>
        </w:rPr>
        <w:t xml:space="preserve"> </w:t>
      </w:r>
      <w:r w:rsidR="009E404C">
        <w:rPr>
          <w:iCs/>
        </w:rPr>
        <w:fldChar w:fldCharType="begin"/>
      </w:r>
      <w:r w:rsidR="009E404C">
        <w:rPr>
          <w:iCs/>
        </w:rPr>
        <w:instrText xml:space="preserve"> REF _Ref130884042 \h </w:instrText>
      </w:r>
      <w:r w:rsidR="009E404C">
        <w:rPr>
          <w:iCs/>
        </w:rPr>
      </w:r>
      <w:r w:rsidR="009E404C">
        <w:rPr>
          <w:iCs/>
        </w:rPr>
        <w:fldChar w:fldCharType="separate"/>
      </w:r>
      <w:r w:rsidR="009E404C" w:rsidRPr="00E30C57">
        <w:t>Table</w:t>
      </w:r>
      <w:r w:rsidR="009E404C">
        <w:t xml:space="preserve"> </w:t>
      </w:r>
      <w:r w:rsidR="009E404C">
        <w:rPr>
          <w:noProof/>
        </w:rPr>
        <w:t>14</w:t>
      </w:r>
      <w:r w:rsidR="009E404C">
        <w:rPr>
          <w:iCs/>
        </w:rPr>
        <w:fldChar w:fldCharType="end"/>
      </w:r>
      <w:r w:rsidR="009E404C">
        <w:rPr>
          <w:iCs/>
        </w:rPr>
        <w:t xml:space="preserve"> and</w:t>
      </w:r>
      <w:r w:rsidR="002E6F6D">
        <w:rPr>
          <w:iCs/>
        </w:rPr>
        <w:t xml:space="preserve"> </w:t>
      </w:r>
      <w:r w:rsidR="002E6F6D">
        <w:rPr>
          <w:iCs/>
        </w:rPr>
        <w:fldChar w:fldCharType="begin"/>
      </w:r>
      <w:r w:rsidR="002E6F6D">
        <w:rPr>
          <w:iCs/>
        </w:rPr>
        <w:instrText xml:space="preserve"> REF _Ref128725564 \h </w:instrText>
      </w:r>
      <w:r w:rsidR="002E6F6D">
        <w:rPr>
          <w:iCs/>
        </w:rPr>
      </w:r>
      <w:r w:rsidR="002E6F6D">
        <w:rPr>
          <w:iCs/>
        </w:rPr>
        <w:fldChar w:fldCharType="separate"/>
      </w:r>
      <w:r w:rsidR="002E6F6D" w:rsidRPr="00E30C57">
        <w:t>Table</w:t>
      </w:r>
      <w:r w:rsidR="002E6F6D">
        <w:t xml:space="preserve"> </w:t>
      </w:r>
      <w:r w:rsidR="002E6F6D">
        <w:rPr>
          <w:noProof/>
        </w:rPr>
        <w:t>15</w:t>
      </w:r>
      <w:r w:rsidR="002E6F6D">
        <w:rPr>
          <w:iCs/>
        </w:rPr>
        <w:fldChar w:fldCharType="end"/>
      </w:r>
      <w:r w:rsidR="00D461D3">
        <w:rPr>
          <w:iCs/>
        </w:rPr>
        <w:t xml:space="preserve"> for further information)</w:t>
      </w:r>
      <w:r w:rsidRPr="00FE2DCA">
        <w:rPr>
          <w:iCs/>
        </w:rPr>
        <w:t xml:space="preserve">). MSAC noted that the </w:t>
      </w:r>
      <w:r w:rsidR="00781D35">
        <w:rPr>
          <w:iCs/>
        </w:rPr>
        <w:t xml:space="preserve">applicant’s </w:t>
      </w:r>
      <w:r w:rsidRPr="00FE2DCA">
        <w:rPr>
          <w:iCs/>
        </w:rPr>
        <w:t>pre-ESC and pre-MSAC response</w:t>
      </w:r>
      <w:r w:rsidR="00781D35">
        <w:rPr>
          <w:iCs/>
        </w:rPr>
        <w:t>s</w:t>
      </w:r>
      <w:r w:rsidRPr="00FE2DCA">
        <w:rPr>
          <w:iCs/>
        </w:rPr>
        <w:t xml:space="preserve"> </w:t>
      </w:r>
      <w:r w:rsidR="003E07F4">
        <w:rPr>
          <w:iCs/>
        </w:rPr>
        <w:t>presented</w:t>
      </w:r>
      <w:r w:rsidRPr="00FE2DCA">
        <w:rPr>
          <w:iCs/>
        </w:rPr>
        <w:t xml:space="preserve"> updated base-case ICERs of $37,185 per QALY gained and $38,398 per QALY gained respectively. MSAC </w:t>
      </w:r>
      <w:r w:rsidR="00781D35">
        <w:rPr>
          <w:iCs/>
        </w:rPr>
        <w:t xml:space="preserve">also </w:t>
      </w:r>
      <w:r w:rsidRPr="00FE2DCA">
        <w:rPr>
          <w:iCs/>
        </w:rPr>
        <w:t>noted that</w:t>
      </w:r>
      <w:r w:rsidR="003E07F4">
        <w:rPr>
          <w:iCs/>
        </w:rPr>
        <w:t>, as requested by ESC, the applicant had presented</w:t>
      </w:r>
      <w:r w:rsidRPr="00FE2DCA">
        <w:rPr>
          <w:iCs/>
        </w:rPr>
        <w:t xml:space="preserve"> </w:t>
      </w:r>
      <w:proofErr w:type="gramStart"/>
      <w:r w:rsidRPr="00FE2DCA">
        <w:rPr>
          <w:iCs/>
        </w:rPr>
        <w:t>a number of</w:t>
      </w:r>
      <w:proofErr w:type="gramEnd"/>
      <w:r w:rsidRPr="00FE2DCA">
        <w:rPr>
          <w:iCs/>
        </w:rPr>
        <w:t xml:space="preserve"> sensitivity analyses in the pre-MSAC response</w:t>
      </w:r>
      <w:r w:rsidR="003E07F4">
        <w:rPr>
          <w:iCs/>
        </w:rPr>
        <w:t xml:space="preserve">. However, </w:t>
      </w:r>
      <w:r w:rsidR="003E07F4" w:rsidRPr="00FE2DCA">
        <w:rPr>
          <w:iCs/>
        </w:rPr>
        <w:t>the analyses were not undertaken exactly as requested by ESC</w:t>
      </w:r>
      <w:r w:rsidR="003E07F4">
        <w:rPr>
          <w:iCs/>
        </w:rPr>
        <w:t xml:space="preserve"> and </w:t>
      </w:r>
      <w:r w:rsidR="003E07F4" w:rsidRPr="003E07F4">
        <w:rPr>
          <w:iCs/>
        </w:rPr>
        <w:t xml:space="preserve">due to the lack of transparency in the model and </w:t>
      </w:r>
      <w:r w:rsidR="002F5AC2">
        <w:rPr>
          <w:iCs/>
        </w:rPr>
        <w:t xml:space="preserve">applicant’s </w:t>
      </w:r>
      <w:r w:rsidR="003E07F4" w:rsidRPr="003E07F4">
        <w:rPr>
          <w:iCs/>
        </w:rPr>
        <w:t>pre-MSAC response,</w:t>
      </w:r>
      <w:r w:rsidR="003E07F4">
        <w:rPr>
          <w:iCs/>
        </w:rPr>
        <w:t xml:space="preserve"> </w:t>
      </w:r>
      <w:r w:rsidR="003E07F4" w:rsidRPr="003E07F4">
        <w:rPr>
          <w:iCs/>
        </w:rPr>
        <w:t>the revised ICER and sensitivity analyses could not be verified</w:t>
      </w:r>
      <w:r w:rsidR="003E07F4">
        <w:rPr>
          <w:iCs/>
        </w:rPr>
        <w:t>. Overall,</w:t>
      </w:r>
      <w:r w:rsidRPr="00FE2DCA">
        <w:rPr>
          <w:iCs/>
        </w:rPr>
        <w:t xml:space="preserve"> MSAC considered the cost-effectiveness of POC testing compared with standard laboratory testing was highly uncertain</w:t>
      </w:r>
      <w:r w:rsidR="00DE5718">
        <w:rPr>
          <w:iCs/>
        </w:rPr>
        <w:t xml:space="preserve"> </w:t>
      </w:r>
      <w:r w:rsidR="00DE5718" w:rsidRPr="00FE2DCA">
        <w:rPr>
          <w:iCs/>
        </w:rPr>
        <w:t xml:space="preserve">due to the </w:t>
      </w:r>
      <w:r w:rsidR="00DE5718">
        <w:rPr>
          <w:iCs/>
        </w:rPr>
        <w:t>uncertainty in the magnitude of benefit modelled, use of a</w:t>
      </w:r>
      <w:r w:rsidR="000C2A87">
        <w:rPr>
          <w:iCs/>
        </w:rPr>
        <w:t>n</w:t>
      </w:r>
      <w:r w:rsidR="00DE5718">
        <w:rPr>
          <w:iCs/>
        </w:rPr>
        <w:t xml:space="preserve"> overly complex microsimulation model without incorporating </w:t>
      </w:r>
      <w:r w:rsidR="00DE5718" w:rsidRPr="003E07F4">
        <w:rPr>
          <w:iCs/>
        </w:rPr>
        <w:t xml:space="preserve">changes to reflect population behaviour </w:t>
      </w:r>
      <w:r w:rsidR="000C2A87">
        <w:rPr>
          <w:iCs/>
        </w:rPr>
        <w:t xml:space="preserve">changes </w:t>
      </w:r>
      <w:r w:rsidR="00DE5718" w:rsidRPr="003E07F4">
        <w:rPr>
          <w:iCs/>
        </w:rPr>
        <w:t>over time</w:t>
      </w:r>
      <w:r w:rsidR="00DE5718" w:rsidRPr="00FE2DCA">
        <w:rPr>
          <w:iCs/>
        </w:rPr>
        <w:t xml:space="preserve">, </w:t>
      </w:r>
      <w:r w:rsidR="00DE5718">
        <w:rPr>
          <w:iCs/>
        </w:rPr>
        <w:t>errors in the model</w:t>
      </w:r>
      <w:r w:rsidR="000C2A87">
        <w:rPr>
          <w:iCs/>
        </w:rPr>
        <w:t xml:space="preserve"> along with</w:t>
      </w:r>
      <w:r w:rsidR="00DE5718">
        <w:rPr>
          <w:iCs/>
        </w:rPr>
        <w:t xml:space="preserve"> the lack of transparency and inability to verify updates prior to MSAC</w:t>
      </w:r>
      <w:r w:rsidRPr="00FE2DCA">
        <w:rPr>
          <w:iCs/>
        </w:rPr>
        <w:t xml:space="preserve">. </w:t>
      </w:r>
    </w:p>
    <w:p w14:paraId="52425883" w14:textId="4E8BD0AD" w:rsidR="007D26A5" w:rsidRDefault="00FE2DCA" w:rsidP="00FE2DCA">
      <w:pPr>
        <w:spacing w:after="240"/>
        <w:rPr>
          <w:iCs/>
        </w:rPr>
      </w:pPr>
      <w:r w:rsidRPr="00FE2DCA">
        <w:rPr>
          <w:iCs/>
        </w:rPr>
        <w:t>MSAC noted the</w:t>
      </w:r>
      <w:r w:rsidR="00AA774F">
        <w:rPr>
          <w:iCs/>
        </w:rPr>
        <w:t xml:space="preserve"> </w:t>
      </w:r>
      <w:r w:rsidRPr="00FE2DCA">
        <w:rPr>
          <w:iCs/>
        </w:rPr>
        <w:t xml:space="preserve">financial estimates and agreed with ESC that the </w:t>
      </w:r>
      <w:r w:rsidR="00CA38D5">
        <w:rPr>
          <w:iCs/>
        </w:rPr>
        <w:t xml:space="preserve">estimated number of people tested per year using POC testing </w:t>
      </w:r>
      <w:r w:rsidRPr="00FE2DCA">
        <w:rPr>
          <w:iCs/>
        </w:rPr>
        <w:t xml:space="preserve">and subsequent financial implications were not well described in the ADAR and still lacked clarity after the </w:t>
      </w:r>
      <w:r w:rsidR="002F5AC2">
        <w:rPr>
          <w:iCs/>
        </w:rPr>
        <w:t xml:space="preserve">applicant’s </w:t>
      </w:r>
      <w:r w:rsidRPr="00FE2DCA">
        <w:rPr>
          <w:iCs/>
        </w:rPr>
        <w:t xml:space="preserve">pre-ESC and pre-MSAC responses were considered. MSAC noted that the </w:t>
      </w:r>
      <w:r w:rsidR="00BF254E">
        <w:rPr>
          <w:iCs/>
        </w:rPr>
        <w:t xml:space="preserve">estimated number of people tested per year using POC testing </w:t>
      </w:r>
      <w:r w:rsidRPr="00FE2DCA">
        <w:rPr>
          <w:iCs/>
        </w:rPr>
        <w:lastRenderedPageBreak/>
        <w:t>were based on post-COVID testing data</w:t>
      </w:r>
      <w:r w:rsidR="00BF254E">
        <w:rPr>
          <w:iCs/>
        </w:rPr>
        <w:t xml:space="preserve"> from existing sites that offer the POC testing. </w:t>
      </w:r>
      <w:r w:rsidR="00BF254E" w:rsidRPr="00FE2DCA">
        <w:rPr>
          <w:iCs/>
        </w:rPr>
        <w:t xml:space="preserve">While MSAC acknowledged the involvement of ACCHOs in developing these estimates, MSAC considered that the estimates were likely to be underestimated. </w:t>
      </w:r>
      <w:r w:rsidR="00BF254E">
        <w:rPr>
          <w:iCs/>
        </w:rPr>
        <w:t xml:space="preserve">That is, </w:t>
      </w:r>
      <w:r w:rsidR="00AA774F">
        <w:rPr>
          <w:iCs/>
        </w:rPr>
        <w:t xml:space="preserve">the </w:t>
      </w:r>
      <w:r w:rsidR="00BF254E" w:rsidRPr="00BF254E">
        <w:rPr>
          <w:iCs/>
        </w:rPr>
        <w:t>estimated number of people tested per year using POC testing</w:t>
      </w:r>
      <w:r w:rsidR="00BF254E">
        <w:rPr>
          <w:iCs/>
        </w:rPr>
        <w:t xml:space="preserve"> would be </w:t>
      </w:r>
      <w:r w:rsidRPr="00FE2DCA">
        <w:rPr>
          <w:iCs/>
        </w:rPr>
        <w:t>higher if</w:t>
      </w:r>
      <w:r w:rsidR="00BF254E">
        <w:rPr>
          <w:iCs/>
        </w:rPr>
        <w:t xml:space="preserve"> the estimates had been based on</w:t>
      </w:r>
      <w:r w:rsidRPr="00FE2DCA">
        <w:rPr>
          <w:iCs/>
        </w:rPr>
        <w:t xml:space="preserve"> pre-COVID </w:t>
      </w:r>
      <w:r w:rsidR="00BF254E">
        <w:rPr>
          <w:iCs/>
        </w:rPr>
        <w:t>testing data</w:t>
      </w:r>
      <w:r w:rsidRPr="00FE2DCA">
        <w:rPr>
          <w:iCs/>
        </w:rPr>
        <w:t xml:space="preserve">. </w:t>
      </w:r>
    </w:p>
    <w:p w14:paraId="27F685C1" w14:textId="564A81E4" w:rsidR="00FE2DCA" w:rsidRDefault="00F711E9" w:rsidP="00FE2DCA">
      <w:pPr>
        <w:spacing w:after="240"/>
        <w:rPr>
          <w:iCs/>
        </w:rPr>
      </w:pPr>
      <w:r>
        <w:rPr>
          <w:iCs/>
        </w:rPr>
        <w:t xml:space="preserve">MSAC also queried whether </w:t>
      </w:r>
      <w:r w:rsidR="008440D5">
        <w:rPr>
          <w:iCs/>
        </w:rPr>
        <w:t xml:space="preserve">the assumption of a maximum </w:t>
      </w:r>
      <w:r>
        <w:rPr>
          <w:iCs/>
        </w:rPr>
        <w:t xml:space="preserve">300 tests/site per year </w:t>
      </w:r>
      <w:r w:rsidR="008440D5">
        <w:rPr>
          <w:iCs/>
        </w:rPr>
        <w:t>also underestimates the likely utilisations of POC testing</w:t>
      </w:r>
      <w:r>
        <w:rPr>
          <w:iCs/>
        </w:rPr>
        <w:t xml:space="preserve">. </w:t>
      </w:r>
      <w:r w:rsidR="00FE2DCA" w:rsidRPr="00FE2DCA">
        <w:rPr>
          <w:iCs/>
        </w:rPr>
        <w:t xml:space="preserve">MSAC </w:t>
      </w:r>
      <w:r w:rsidR="00AA774F">
        <w:rPr>
          <w:iCs/>
        </w:rPr>
        <w:t xml:space="preserve">noted the ADAR assumed that POC testing would substitute standard laboratory testing </w:t>
      </w:r>
      <w:r w:rsidR="00FE2DCA" w:rsidRPr="00FE2DCA">
        <w:rPr>
          <w:iCs/>
        </w:rPr>
        <w:t xml:space="preserve">one-to-one </w:t>
      </w:r>
      <w:r w:rsidR="00AA774F">
        <w:rPr>
          <w:iCs/>
        </w:rPr>
        <w:t>(i.e., assumed that the overall number of people tested would not increase</w:t>
      </w:r>
      <w:r w:rsidR="007D26A5">
        <w:rPr>
          <w:iCs/>
        </w:rPr>
        <w:t xml:space="preserve"> with POC testing</w:t>
      </w:r>
      <w:r w:rsidR="00AA774F">
        <w:rPr>
          <w:iCs/>
        </w:rPr>
        <w:t xml:space="preserve">) which MSAC considered </w:t>
      </w:r>
      <w:r w:rsidR="00FE2DCA" w:rsidRPr="00FE2DCA">
        <w:rPr>
          <w:iCs/>
        </w:rPr>
        <w:t xml:space="preserve">is unlikely to be appropriate. MSAC considered it plausible that more people would be willing to undertake a test with same-day results than a test </w:t>
      </w:r>
      <w:r w:rsidR="004E146F">
        <w:rPr>
          <w:iCs/>
        </w:rPr>
        <w:t>where</w:t>
      </w:r>
      <w:r w:rsidR="004E146F" w:rsidRPr="00FE2DCA">
        <w:rPr>
          <w:iCs/>
        </w:rPr>
        <w:t xml:space="preserve"> </w:t>
      </w:r>
      <w:r w:rsidR="00FE2DCA" w:rsidRPr="00FE2DCA">
        <w:rPr>
          <w:iCs/>
        </w:rPr>
        <w:t xml:space="preserve">results </w:t>
      </w:r>
      <w:r w:rsidR="004E146F">
        <w:rPr>
          <w:iCs/>
        </w:rPr>
        <w:t>might not be available for</w:t>
      </w:r>
      <w:r w:rsidR="004E146F" w:rsidRPr="00FE2DCA">
        <w:rPr>
          <w:iCs/>
        </w:rPr>
        <w:t xml:space="preserve"> </w:t>
      </w:r>
      <w:r w:rsidR="00FE2DCA" w:rsidRPr="00FE2DCA">
        <w:rPr>
          <w:iCs/>
        </w:rPr>
        <w:t xml:space="preserve">up to 14 days. </w:t>
      </w:r>
      <w:r w:rsidR="008440D5">
        <w:rPr>
          <w:iCs/>
        </w:rPr>
        <w:t xml:space="preserve">MSAC also noted the financial estimates had costed the POC test using 100% of the proposed MBS fee rather than applying the 85% rebate. MSAC also highlighted that the estimates did not include the cost of re-testing 3 months post treatment (per the clinical guidelines) and </w:t>
      </w:r>
      <w:r w:rsidR="00FE2DCA" w:rsidRPr="00FE2DCA">
        <w:rPr>
          <w:iCs/>
        </w:rPr>
        <w:t>cost offsets for the downstream sequalae were based on 2016-17 costs</w:t>
      </w:r>
      <w:r w:rsidR="008440D5">
        <w:rPr>
          <w:iCs/>
        </w:rPr>
        <w:t xml:space="preserve">, creating further uncertainly (potentially underestimating) the financial impact of MBS listing POC testing. </w:t>
      </w:r>
      <w:r w:rsidR="00FE2DCA" w:rsidRPr="00FE2DCA">
        <w:rPr>
          <w:iCs/>
        </w:rPr>
        <w:t xml:space="preserve"> </w:t>
      </w:r>
    </w:p>
    <w:p w14:paraId="7B8B754B" w14:textId="6F571456" w:rsidR="00A8372F" w:rsidRPr="00FE2DCA" w:rsidRDefault="00A8372F" w:rsidP="00FE2DCA">
      <w:pPr>
        <w:spacing w:after="240"/>
        <w:rPr>
          <w:iCs/>
        </w:rPr>
      </w:pPr>
      <w:r>
        <w:rPr>
          <w:iCs/>
        </w:rPr>
        <w:t xml:space="preserve">Overall, </w:t>
      </w:r>
      <w:r w:rsidRPr="00A8372F">
        <w:rPr>
          <w:iCs/>
        </w:rPr>
        <w:t xml:space="preserve">MSAC did not support </w:t>
      </w:r>
      <w:r>
        <w:rPr>
          <w:iCs/>
        </w:rPr>
        <w:t xml:space="preserve">public funding </w:t>
      </w:r>
      <w:r w:rsidRPr="00A8372F">
        <w:rPr>
          <w:iCs/>
        </w:rPr>
        <w:t xml:space="preserve">of PoC testing </w:t>
      </w:r>
      <w:r w:rsidR="000E4075">
        <w:rPr>
          <w:iCs/>
        </w:rPr>
        <w:t xml:space="preserve">for </w:t>
      </w:r>
      <w:r w:rsidRPr="00A8372F">
        <w:rPr>
          <w:iCs/>
        </w:rPr>
        <w:t>STIs</w:t>
      </w:r>
      <w:r w:rsidR="000E4075">
        <w:rPr>
          <w:iCs/>
        </w:rPr>
        <w:t xml:space="preserve">. </w:t>
      </w:r>
      <w:r w:rsidR="000E4075" w:rsidRPr="00A8372F">
        <w:rPr>
          <w:iCs/>
        </w:rPr>
        <w:t xml:space="preserve">MSAC recognised that there is a clinical need for the proposed testing due to a high prevalence of STIs and the serious consequences of untreated infections representing a significant public health issue for the proposed population. </w:t>
      </w:r>
      <w:r w:rsidR="000E4075">
        <w:rPr>
          <w:iCs/>
        </w:rPr>
        <w:t xml:space="preserve">However, </w:t>
      </w:r>
      <w:r>
        <w:rPr>
          <w:iCs/>
        </w:rPr>
        <w:t xml:space="preserve">the clinical </w:t>
      </w:r>
      <w:r w:rsidRPr="00A8372F">
        <w:rPr>
          <w:iCs/>
        </w:rPr>
        <w:t xml:space="preserve">evidence did not demonstrate that POC testing </w:t>
      </w:r>
      <w:proofErr w:type="gramStart"/>
      <w:r w:rsidRPr="00A8372F">
        <w:rPr>
          <w:iCs/>
        </w:rPr>
        <w:t>actually improved</w:t>
      </w:r>
      <w:proofErr w:type="gramEnd"/>
      <w:r w:rsidRPr="00A8372F">
        <w:rPr>
          <w:iCs/>
        </w:rPr>
        <w:t xml:space="preserve"> health outcomes compared to standard laboratory testing</w:t>
      </w:r>
      <w:r>
        <w:rPr>
          <w:iCs/>
        </w:rPr>
        <w:t xml:space="preserve"> and the economic and financial analysis were highly uncertain</w:t>
      </w:r>
      <w:r w:rsidRPr="00A8372F">
        <w:rPr>
          <w:iCs/>
        </w:rPr>
        <w:t xml:space="preserve">. </w:t>
      </w:r>
      <w:r w:rsidR="000E4075">
        <w:rPr>
          <w:iCs/>
        </w:rPr>
        <w:t xml:space="preserve">As such, </w:t>
      </w:r>
      <w:r w:rsidRPr="00A8372F">
        <w:rPr>
          <w:iCs/>
        </w:rPr>
        <w:t xml:space="preserve">MSAC considered the evidence provided </w:t>
      </w:r>
      <w:r>
        <w:rPr>
          <w:iCs/>
        </w:rPr>
        <w:t>did not justify the high fee for POC testing</w:t>
      </w:r>
      <w:r w:rsidR="000E4075">
        <w:rPr>
          <w:iCs/>
        </w:rPr>
        <w:t xml:space="preserve"> for </w:t>
      </w:r>
      <w:r w:rsidR="000E4075" w:rsidRPr="00A8372F">
        <w:rPr>
          <w:iCs/>
        </w:rPr>
        <w:t>STIs</w:t>
      </w:r>
      <w:r w:rsidRPr="00A8372F">
        <w:rPr>
          <w:iCs/>
        </w:rPr>
        <w:t xml:space="preserve">. </w:t>
      </w:r>
    </w:p>
    <w:p w14:paraId="7BD585CA" w14:textId="3CC69154" w:rsidR="008440D5" w:rsidRPr="00FE2DCA" w:rsidRDefault="008440D5" w:rsidP="008440D5">
      <w:pPr>
        <w:spacing w:after="240"/>
        <w:rPr>
          <w:iCs/>
        </w:rPr>
      </w:pPr>
      <w:r w:rsidRPr="00FE2DCA">
        <w:rPr>
          <w:iCs/>
        </w:rPr>
        <w:t xml:space="preserve">MSAC </w:t>
      </w:r>
      <w:r w:rsidR="00A8372F">
        <w:rPr>
          <w:iCs/>
        </w:rPr>
        <w:t>deliberated on</w:t>
      </w:r>
      <w:r w:rsidRPr="00FE2DCA">
        <w:rPr>
          <w:iCs/>
        </w:rPr>
        <w:t xml:space="preserve"> whether there was a subpopulation for whom POC testing would represent a particular benefit in terms of improving equity of access. MSAC noted that the </w:t>
      </w:r>
      <w:r w:rsidR="002F5AC2">
        <w:rPr>
          <w:iCs/>
        </w:rPr>
        <w:t xml:space="preserve">applicant’s </w:t>
      </w:r>
      <w:r w:rsidRPr="00FE2DCA">
        <w:rPr>
          <w:iCs/>
        </w:rPr>
        <w:t>pre-MSAC response proposed the population be restricted to government funded primary health care services providing care to predominantly Aboriginal and/or Torres Strait Islander peoples. MSAC noted that this would encompass both Aboriginal community</w:t>
      </w:r>
      <w:r w:rsidR="004E146F">
        <w:rPr>
          <w:iCs/>
        </w:rPr>
        <w:t>-</w:t>
      </w:r>
      <w:r w:rsidRPr="00FE2DCA">
        <w:rPr>
          <w:iCs/>
        </w:rPr>
        <w:t xml:space="preserve">controlled services and government funded primary health care services in the modified Monash Model (MM) categories 2 to 7. MSAC considered the likely access to standard laboratory testing for these proposed areas and noted that MM 2 to 5 includes regional centres, large through to small rural towns and questioned whether access would be severely limited in these centres. MSAC considered that the categories MM6 (remote) and MM7 (very remote) represented the areas of Australia that would have the greatest clinical need and who would currently face restricted timely access and significant delays to test results from standard laboratory testing. MSAC therefore considered that people based in MM categories 6 and 7 could have the greatest potential to benefit from POC testing for STIs. </w:t>
      </w:r>
    </w:p>
    <w:p w14:paraId="447BACEE" w14:textId="6672E17C" w:rsidR="00FE2DCA" w:rsidRPr="00FE2DCA" w:rsidRDefault="00FE2DCA" w:rsidP="00FE2DCA">
      <w:pPr>
        <w:spacing w:after="240"/>
        <w:rPr>
          <w:iCs/>
        </w:rPr>
      </w:pPr>
      <w:r w:rsidRPr="00FE2DCA">
        <w:rPr>
          <w:iCs/>
        </w:rPr>
        <w:t>MSAC considered that a resubmission could target POC testing for those most at need (</w:t>
      </w:r>
      <w:proofErr w:type="gramStart"/>
      <w:r w:rsidRPr="00FE2DCA">
        <w:rPr>
          <w:iCs/>
        </w:rPr>
        <w:t>i.e.</w:t>
      </w:r>
      <w:proofErr w:type="gramEnd"/>
      <w:r w:rsidR="00CA478F">
        <w:rPr>
          <w:iCs/>
        </w:rPr>
        <w:t> </w:t>
      </w:r>
      <w:r w:rsidRPr="00FE2DCA">
        <w:rPr>
          <w:iCs/>
        </w:rPr>
        <w:t>people in MM categories 6 to 7) who have very restricted access to standard laboratory testing. MSAC also noted that current block-funding arrangements are in place to provide access to the POC testing and that consideration could be given as to whether an</w:t>
      </w:r>
      <w:r w:rsidR="00A8372F">
        <w:rPr>
          <w:iCs/>
        </w:rPr>
        <w:t xml:space="preserve"> alternative funding mechanism (other than the MBS) is more appropriate</w:t>
      </w:r>
      <w:r w:rsidRPr="00FE2DCA">
        <w:rPr>
          <w:iCs/>
        </w:rPr>
        <w:t xml:space="preserve">; particularly if the POC testing is focused on remote and very remote Australia. MSAC recommended that the fee for the POC testing needed to be revised and include all relevant costs with clear justification for their inclusion and source. </w:t>
      </w:r>
    </w:p>
    <w:p w14:paraId="16AE386A" w14:textId="75844C20" w:rsidR="00FE2DCA" w:rsidRPr="00FE2DCA" w:rsidRDefault="000E4075" w:rsidP="00FE2DCA">
      <w:pPr>
        <w:spacing w:after="240"/>
        <w:rPr>
          <w:iCs/>
        </w:rPr>
      </w:pPr>
      <w:r>
        <w:rPr>
          <w:iCs/>
        </w:rPr>
        <w:t>Alternatively, MSAC considered that s</w:t>
      </w:r>
      <w:r w:rsidR="00FE2DCA" w:rsidRPr="00FE2DCA">
        <w:rPr>
          <w:iCs/>
        </w:rPr>
        <w:t>hould a resubmission</w:t>
      </w:r>
      <w:r>
        <w:rPr>
          <w:iCs/>
        </w:rPr>
        <w:t xml:space="preserve"> continue to purs</w:t>
      </w:r>
      <w:r w:rsidR="00133AD3">
        <w:rPr>
          <w:iCs/>
        </w:rPr>
        <w:t>u</w:t>
      </w:r>
      <w:r>
        <w:rPr>
          <w:iCs/>
        </w:rPr>
        <w:t xml:space="preserve">e </w:t>
      </w:r>
      <w:r w:rsidR="00F6470C">
        <w:rPr>
          <w:iCs/>
        </w:rPr>
        <w:t xml:space="preserve">the proposed </w:t>
      </w:r>
      <w:r w:rsidR="00FE2DCA" w:rsidRPr="00FE2DCA">
        <w:rPr>
          <w:iCs/>
        </w:rPr>
        <w:t xml:space="preserve">population </w:t>
      </w:r>
      <w:r>
        <w:rPr>
          <w:iCs/>
        </w:rPr>
        <w:t xml:space="preserve">considered in this application </w:t>
      </w:r>
      <w:r w:rsidR="00FE2DCA" w:rsidRPr="00FE2DCA">
        <w:rPr>
          <w:iCs/>
        </w:rPr>
        <w:t>(</w:t>
      </w:r>
      <w:proofErr w:type="gramStart"/>
      <w:r w:rsidR="00FE2DCA" w:rsidRPr="00FE2DCA">
        <w:rPr>
          <w:iCs/>
        </w:rPr>
        <w:t>i.e.</w:t>
      </w:r>
      <w:proofErr w:type="gramEnd"/>
      <w:r w:rsidR="00FE2DCA" w:rsidRPr="00FE2DCA">
        <w:rPr>
          <w:iCs/>
        </w:rPr>
        <w:t xml:space="preserve"> MM categories 2 to 7) then the errors and </w:t>
      </w:r>
      <w:r w:rsidR="00FE2DCA" w:rsidRPr="00FE2DCA">
        <w:rPr>
          <w:iCs/>
        </w:rPr>
        <w:lastRenderedPageBreak/>
        <w:t xml:space="preserve">significant concerns highlighted with the economic model would have to be fully addressed and the model would need to be re-specified. The resubmitted model should be based on the trial data and present a stepped analysis with the incremental cost per person tested. Any reduction in time to treatment and sequalae avoided and how </w:t>
      </w:r>
      <w:proofErr w:type="gramStart"/>
      <w:r w:rsidR="00FE2DCA" w:rsidRPr="00FE2DCA">
        <w:rPr>
          <w:iCs/>
        </w:rPr>
        <w:t>these transform</w:t>
      </w:r>
      <w:proofErr w:type="gramEnd"/>
      <w:r w:rsidR="00FE2DCA" w:rsidRPr="00FE2DCA">
        <w:rPr>
          <w:iCs/>
        </w:rPr>
        <w:t xml:space="preserve"> into QALYs should be clearly presented in accordance with the Technical Guidelines. MSAC further considered that the proposed fee would have to be reconciled to reflect the benefit of POC testing as based on the very limited data on longer-term patient outcomes available. </w:t>
      </w:r>
    </w:p>
    <w:p w14:paraId="01BDB201" w14:textId="6A560377" w:rsidR="002D5300" w:rsidRPr="00272E65" w:rsidRDefault="000E4075" w:rsidP="002D5300">
      <w:pPr>
        <w:pStyle w:val="NormalBeforeBullet"/>
        <w:rPr>
          <w:rFonts w:ascii="Franklin Gothic Book" w:hAnsi="Franklin Gothic Book"/>
        </w:rPr>
      </w:pPr>
      <w:r w:rsidRPr="00272E65">
        <w:rPr>
          <w:rFonts w:ascii="Franklin Gothic Book" w:hAnsi="Franklin Gothic Book"/>
        </w:rPr>
        <w:t>For either option,</w:t>
      </w:r>
      <w:r w:rsidR="00272E65">
        <w:rPr>
          <w:rFonts w:ascii="Franklin Gothic Book" w:hAnsi="Franklin Gothic Book"/>
        </w:rPr>
        <w:t xml:space="preserve"> MSAC advised that</w:t>
      </w:r>
      <w:r w:rsidRPr="00272E65">
        <w:rPr>
          <w:rFonts w:ascii="Franklin Gothic Book" w:hAnsi="Franklin Gothic Book"/>
        </w:rPr>
        <w:t xml:space="preserve"> t</w:t>
      </w:r>
      <w:r w:rsidR="00FE2DCA" w:rsidRPr="00272E65">
        <w:rPr>
          <w:rFonts w:ascii="Franklin Gothic Book" w:hAnsi="Franklin Gothic Book"/>
        </w:rPr>
        <w:t>he estimates around uptake of the testing and financial impact would need to be revised and clearly described in accordance with the approach taken in the resubmission with uptake based on extrapolation of pre-COVID testing rates. If any qualitative evidence</w:t>
      </w:r>
      <w:r w:rsidR="00BC20AB" w:rsidRPr="00272E65">
        <w:rPr>
          <w:rFonts w:ascii="Franklin Gothic Book" w:hAnsi="Franklin Gothic Book"/>
        </w:rPr>
        <w:t xml:space="preserve"> (including a summary of previous or additional consultation with people with direct community and lived experience)</w:t>
      </w:r>
      <w:r w:rsidR="00FE2DCA" w:rsidRPr="00272E65">
        <w:rPr>
          <w:rFonts w:ascii="Franklin Gothic Book" w:hAnsi="Franklin Gothic Book"/>
        </w:rPr>
        <w:t xml:space="preserve"> on the likely uptake and implementation of POC testing in practice</w:t>
      </w:r>
      <w:r w:rsidR="00BC20AB" w:rsidRPr="00272E65">
        <w:rPr>
          <w:rFonts w:ascii="Franklin Gothic Book" w:hAnsi="Franklin Gothic Book"/>
        </w:rPr>
        <w:t>, possible impacts on equity and access and cultural sensitivities or impacts around the provision of testing for STIs</w:t>
      </w:r>
      <w:r w:rsidR="00FE2DCA" w:rsidRPr="00272E65">
        <w:rPr>
          <w:rFonts w:ascii="Franklin Gothic Book" w:hAnsi="Franklin Gothic Book"/>
        </w:rPr>
        <w:t xml:space="preserve"> in these communities is available, this should also be included.</w:t>
      </w:r>
      <w:bookmarkStart w:id="7" w:name="_Toc69491416"/>
      <w:bookmarkEnd w:id="4"/>
    </w:p>
    <w:p w14:paraId="6710B69D" w14:textId="70CA65F3" w:rsidR="00772829" w:rsidRPr="00CE28E3" w:rsidRDefault="008A2C9F" w:rsidP="002A18BE">
      <w:pPr>
        <w:pStyle w:val="Heading2"/>
        <w:numPr>
          <w:ilvl w:val="0"/>
          <w:numId w:val="0"/>
        </w:numPr>
      </w:pPr>
      <w:r>
        <w:t>4</w:t>
      </w:r>
      <w:r w:rsidR="00C36633">
        <w:t>.</w:t>
      </w:r>
      <w:r w:rsidR="002D5300">
        <w:t xml:space="preserve"> </w:t>
      </w:r>
      <w:r w:rsidR="00772829" w:rsidRPr="00CE28E3">
        <w:t>Background</w:t>
      </w:r>
      <w:bookmarkEnd w:id="7"/>
    </w:p>
    <w:p w14:paraId="2AF81293" w14:textId="06552383" w:rsidR="000C11A4" w:rsidRPr="000C11A4" w:rsidRDefault="00101C4E" w:rsidP="00AD4812">
      <w:pPr>
        <w:spacing w:after="240"/>
        <w:rPr>
          <w:rFonts w:eastAsia="Times New Roman" w:cs="Times New Roman"/>
          <w:szCs w:val="18"/>
          <w:lang w:eastAsia="en-AU"/>
        </w:rPr>
      </w:pPr>
      <w:bookmarkStart w:id="8" w:name="_Hlk69734494"/>
      <w:r w:rsidRPr="00101C4E">
        <w:rPr>
          <w:rFonts w:eastAsia="Times New Roman" w:cs="Times New Roman"/>
          <w:szCs w:val="18"/>
          <w:lang w:eastAsia="en-AU"/>
        </w:rPr>
        <w:t>The MSAC has not previously assessed P</w:t>
      </w:r>
      <w:r w:rsidR="00D91F3A">
        <w:rPr>
          <w:rFonts w:eastAsia="Times New Roman" w:cs="Times New Roman"/>
          <w:szCs w:val="18"/>
          <w:lang w:eastAsia="en-AU"/>
        </w:rPr>
        <w:t>O</w:t>
      </w:r>
      <w:r w:rsidRPr="00101C4E">
        <w:rPr>
          <w:rFonts w:eastAsia="Times New Roman" w:cs="Times New Roman"/>
          <w:szCs w:val="18"/>
          <w:lang w:eastAsia="en-AU"/>
        </w:rPr>
        <w:t>C</w:t>
      </w:r>
      <w:r w:rsidR="00D91F3A">
        <w:rPr>
          <w:rFonts w:eastAsia="Times New Roman" w:cs="Times New Roman"/>
          <w:szCs w:val="18"/>
          <w:lang w:eastAsia="en-AU"/>
        </w:rPr>
        <w:t xml:space="preserve"> testing</w:t>
      </w:r>
      <w:r w:rsidRPr="00101C4E">
        <w:rPr>
          <w:rFonts w:eastAsia="Times New Roman" w:cs="Times New Roman"/>
          <w:szCs w:val="18"/>
          <w:lang w:eastAsia="en-AU"/>
        </w:rPr>
        <w:t xml:space="preserve"> for CT, </w:t>
      </w:r>
      <w:proofErr w:type="gramStart"/>
      <w:r w:rsidRPr="00101C4E">
        <w:rPr>
          <w:rFonts w:eastAsia="Times New Roman" w:cs="Times New Roman"/>
          <w:szCs w:val="18"/>
          <w:lang w:eastAsia="en-AU"/>
        </w:rPr>
        <w:t>NG</w:t>
      </w:r>
      <w:proofErr w:type="gramEnd"/>
      <w:r w:rsidRPr="00101C4E">
        <w:rPr>
          <w:rFonts w:eastAsia="Times New Roman" w:cs="Times New Roman"/>
          <w:szCs w:val="18"/>
          <w:lang w:eastAsia="en-AU"/>
        </w:rPr>
        <w:t xml:space="preserve"> and TV</w:t>
      </w:r>
      <w:r w:rsidR="004D61FC">
        <w:rPr>
          <w:rFonts w:eastAsia="Times New Roman" w:cs="Times New Roman"/>
          <w:szCs w:val="18"/>
          <w:lang w:eastAsia="en-AU"/>
        </w:rPr>
        <w:t xml:space="preserve">, although these </w:t>
      </w:r>
      <w:r w:rsidR="004D61FC" w:rsidRPr="00FE2DCA">
        <w:rPr>
          <w:iCs/>
        </w:rPr>
        <w:t xml:space="preserve">POC tests </w:t>
      </w:r>
      <w:r w:rsidR="004D61FC">
        <w:rPr>
          <w:iCs/>
        </w:rPr>
        <w:t>were</w:t>
      </w:r>
      <w:r w:rsidR="004D61FC" w:rsidRPr="00FE2DCA">
        <w:rPr>
          <w:iCs/>
        </w:rPr>
        <w:t xml:space="preserve"> previously considered by the MSAC Executive</w:t>
      </w:r>
      <w:r w:rsidR="004D61FC">
        <w:rPr>
          <w:iCs/>
        </w:rPr>
        <w:t xml:space="preserve">. The evidence presented to the MSAC Executive </w:t>
      </w:r>
      <w:r w:rsidR="004D61FC" w:rsidRPr="00FE2DCA">
        <w:rPr>
          <w:iCs/>
        </w:rPr>
        <w:t xml:space="preserve">indicated that the sensitivity and specificity </w:t>
      </w:r>
      <w:r w:rsidR="004D61FC">
        <w:rPr>
          <w:iCs/>
        </w:rPr>
        <w:t>of the POC tests was</w:t>
      </w:r>
      <w:r w:rsidR="004D61FC" w:rsidRPr="00FE2DCA">
        <w:rPr>
          <w:iCs/>
        </w:rPr>
        <w:t xml:space="preserve"> comparable to </w:t>
      </w:r>
      <w:r w:rsidR="004D61FC">
        <w:rPr>
          <w:iCs/>
        </w:rPr>
        <w:t>standard</w:t>
      </w:r>
      <w:r w:rsidR="004D61FC" w:rsidRPr="00FE2DCA">
        <w:rPr>
          <w:iCs/>
        </w:rPr>
        <w:t xml:space="preserve"> laboratory</w:t>
      </w:r>
      <w:r w:rsidR="004D61FC">
        <w:rPr>
          <w:iCs/>
        </w:rPr>
        <w:t xml:space="preserve"> </w:t>
      </w:r>
      <w:r w:rsidR="004D61FC" w:rsidRPr="00FE2DCA">
        <w:rPr>
          <w:iCs/>
        </w:rPr>
        <w:t>testing</w:t>
      </w:r>
      <w:r w:rsidR="004D61FC">
        <w:rPr>
          <w:iCs/>
        </w:rPr>
        <w:t xml:space="preserve"> and provided</w:t>
      </w:r>
      <w:r w:rsidR="004D61FC" w:rsidRPr="00FE2DCA">
        <w:rPr>
          <w:iCs/>
        </w:rPr>
        <w:t xml:space="preserve"> sufficient </w:t>
      </w:r>
      <w:r w:rsidR="004D61FC">
        <w:rPr>
          <w:iCs/>
        </w:rPr>
        <w:t xml:space="preserve">evidence </w:t>
      </w:r>
      <w:r w:rsidR="004D61FC" w:rsidRPr="00FE2DCA">
        <w:rPr>
          <w:iCs/>
        </w:rPr>
        <w:t xml:space="preserve">to confirm the validity of using POC testing as a diagnostic test for </w:t>
      </w:r>
      <w:r w:rsidR="00AD4812">
        <w:rPr>
          <w:iCs/>
        </w:rPr>
        <w:t xml:space="preserve">CT, </w:t>
      </w:r>
      <w:proofErr w:type="gramStart"/>
      <w:r w:rsidR="00AD4812">
        <w:rPr>
          <w:iCs/>
        </w:rPr>
        <w:t>NG</w:t>
      </w:r>
      <w:proofErr w:type="gramEnd"/>
      <w:r w:rsidR="00AD4812">
        <w:rPr>
          <w:iCs/>
        </w:rPr>
        <w:t xml:space="preserve"> and TV</w:t>
      </w:r>
      <w:r w:rsidR="004D61FC" w:rsidRPr="00FE2DCA">
        <w:rPr>
          <w:iCs/>
        </w:rPr>
        <w:t xml:space="preserve">. The MSAC Executive considered that if the </w:t>
      </w:r>
      <w:r w:rsidR="004D61FC">
        <w:rPr>
          <w:iCs/>
        </w:rPr>
        <w:t>a</w:t>
      </w:r>
      <w:r w:rsidR="004D61FC" w:rsidRPr="00FE2DCA">
        <w:rPr>
          <w:iCs/>
        </w:rPr>
        <w:t xml:space="preserve">pplicant wished to pursue an MBS fee that is higher than the existing MBS </w:t>
      </w:r>
      <w:r w:rsidR="004D61FC">
        <w:rPr>
          <w:iCs/>
        </w:rPr>
        <w:t xml:space="preserve">standard </w:t>
      </w:r>
      <w:r w:rsidR="004D61FC" w:rsidRPr="00FE2DCA">
        <w:rPr>
          <w:iCs/>
        </w:rPr>
        <w:t xml:space="preserve">laboratory testing fees, the </w:t>
      </w:r>
      <w:r w:rsidR="004D61FC">
        <w:rPr>
          <w:iCs/>
        </w:rPr>
        <w:t>a</w:t>
      </w:r>
      <w:r w:rsidR="004D61FC" w:rsidRPr="00FE2DCA">
        <w:rPr>
          <w:iCs/>
        </w:rPr>
        <w:t xml:space="preserve">pplicant would need to provide evidence that POC testing results in better health outcomes than </w:t>
      </w:r>
      <w:r w:rsidR="004D61FC">
        <w:rPr>
          <w:iCs/>
        </w:rPr>
        <w:t xml:space="preserve">standard </w:t>
      </w:r>
      <w:r w:rsidR="004D61FC" w:rsidRPr="00FE2DCA">
        <w:rPr>
          <w:iCs/>
        </w:rPr>
        <w:t xml:space="preserve">laboratory testing, and this evidence would need to be supported with an appropriate economic analysis.  </w:t>
      </w:r>
    </w:p>
    <w:p w14:paraId="6F52500A" w14:textId="5DACF9CF" w:rsidR="00772829" w:rsidRPr="00CE28E3" w:rsidRDefault="008A2C9F" w:rsidP="002A18BE">
      <w:pPr>
        <w:pStyle w:val="Heading2"/>
        <w:numPr>
          <w:ilvl w:val="0"/>
          <w:numId w:val="0"/>
        </w:numPr>
      </w:pPr>
      <w:bookmarkStart w:id="9" w:name="_Toc69491417"/>
      <w:bookmarkEnd w:id="8"/>
      <w:r>
        <w:t>5</w:t>
      </w:r>
      <w:r w:rsidR="00C36633">
        <w:t>.</w:t>
      </w:r>
      <w:r w:rsidR="00C36633">
        <w:tab/>
      </w:r>
      <w:r w:rsidR="00772829" w:rsidRPr="00CE28E3">
        <w:t>Prerequisites to implementation of any funding advice</w:t>
      </w:r>
      <w:bookmarkEnd w:id="9"/>
    </w:p>
    <w:p w14:paraId="1ADDF800" w14:textId="2C8B37F0" w:rsidR="000D6EAF" w:rsidRPr="000D6EAF" w:rsidRDefault="000D6EAF" w:rsidP="000D6EAF">
      <w:pPr>
        <w:rPr>
          <w:color w:val="000000"/>
          <w:shd w:val="clear" w:color="auto" w:fill="FFFFFF"/>
        </w:rPr>
      </w:pPr>
      <w:r w:rsidRPr="000D6EAF">
        <w:t>Both the combined</w:t>
      </w:r>
      <w:r>
        <w:t xml:space="preserve"> </w:t>
      </w:r>
      <w:proofErr w:type="spellStart"/>
      <w:r>
        <w:t>Xpert</w:t>
      </w:r>
      <w:proofErr w:type="spellEnd"/>
      <w:r w:rsidRPr="000D6EAF">
        <w:t xml:space="preserve"> CT/NG test and the </w:t>
      </w:r>
      <w:proofErr w:type="spellStart"/>
      <w:r>
        <w:t>Xpert</w:t>
      </w:r>
      <w:proofErr w:type="spellEnd"/>
      <w:r>
        <w:t xml:space="preserve"> </w:t>
      </w:r>
      <w:r w:rsidRPr="000D6EAF">
        <w:t xml:space="preserve">TV POC test </w:t>
      </w:r>
      <w:r w:rsidR="002D4D30">
        <w:t xml:space="preserve">are included on the Australian Register of Therapeutic Goods (ARTG; </w:t>
      </w:r>
      <w:r w:rsidR="002D4D30" w:rsidRPr="0054796D">
        <w:rPr>
          <w:rFonts w:cstheme="minorHAnsi"/>
          <w:bCs/>
        </w:rPr>
        <w:t>ARTG ID 207540</w:t>
      </w:r>
      <w:r w:rsidR="002D4D30" w:rsidRPr="0054796D">
        <w:rPr>
          <w:rFonts w:cstheme="minorHAnsi"/>
          <w:b/>
        </w:rPr>
        <w:t xml:space="preserve"> </w:t>
      </w:r>
      <w:r w:rsidR="002D4D30" w:rsidRPr="0054796D">
        <w:rPr>
          <w:rFonts w:cstheme="minorHAnsi"/>
          <w:color w:val="000000"/>
          <w:shd w:val="clear" w:color="auto" w:fill="FFFFFF"/>
        </w:rPr>
        <w:t xml:space="preserve">Cepheid GeneXpert (CT/NG) </w:t>
      </w:r>
      <w:r w:rsidR="002D4D30" w:rsidRPr="0054796D">
        <w:rPr>
          <w:rFonts w:cstheme="minorHAnsi"/>
          <w:bCs/>
        </w:rPr>
        <w:t xml:space="preserve">effective from 28/3/2013 and </w:t>
      </w:r>
      <w:r w:rsidR="002D4D30" w:rsidRPr="0054796D">
        <w:rPr>
          <w:rFonts w:cstheme="minorHAnsi"/>
        </w:rPr>
        <w:t xml:space="preserve">ARTG ID 290014 </w:t>
      </w:r>
      <w:r w:rsidR="002D4D30" w:rsidRPr="0054796D">
        <w:rPr>
          <w:rFonts w:cstheme="minorHAnsi"/>
          <w:color w:val="000000"/>
          <w:shd w:val="clear" w:color="auto" w:fill="FFFFFF"/>
        </w:rPr>
        <w:t>Cepheid GeneXpert (TV) from 9/6/2017</w:t>
      </w:r>
      <w:r w:rsidR="002D4D30">
        <w:rPr>
          <w:rFonts w:cstheme="minorHAnsi"/>
          <w:color w:val="000000"/>
          <w:shd w:val="clear" w:color="auto" w:fill="FFFFFF"/>
        </w:rPr>
        <w:t>)</w:t>
      </w:r>
      <w:r w:rsidRPr="000D6EAF">
        <w:t xml:space="preserve">. </w:t>
      </w:r>
    </w:p>
    <w:p w14:paraId="54B5F613" w14:textId="73EDC7C1" w:rsidR="000D6EAF" w:rsidRPr="000D6EAF" w:rsidRDefault="000D6EAF" w:rsidP="000D6EAF">
      <w:pPr>
        <w:rPr>
          <w:b/>
        </w:rPr>
      </w:pPr>
      <w:r>
        <w:rPr>
          <w:color w:val="000000"/>
          <w:shd w:val="clear" w:color="auto" w:fill="FFFFFF"/>
        </w:rPr>
        <w:t>A</w:t>
      </w:r>
      <w:r w:rsidRPr="000D6EAF">
        <w:rPr>
          <w:rFonts w:cs="HelveticaNeueLTStd-Cn"/>
        </w:rPr>
        <w:t xml:space="preserve"> </w:t>
      </w:r>
      <w:r w:rsidRPr="000D6EAF">
        <w:t xml:space="preserve">quality assurance program to support pathology testing is required. </w:t>
      </w:r>
      <w:r w:rsidRPr="000D6EAF">
        <w:rPr>
          <w:rFonts w:eastAsia="HelveticaNeueLTStd-CnO"/>
        </w:rPr>
        <w:t xml:space="preserve">It is envisaged that </w:t>
      </w:r>
      <w:r w:rsidRPr="000D6EAF">
        <w:t xml:space="preserve">the management of quality assurance for POC testing could be co-ordinated under a quality assurance program such as the Quality Assurance for Aboriginal and Torres Strait Islander Medical Services (QAAMS) Program implemented by the Flinders University International Centre for Point of Care Testing (ICPOCT), which follows Australian guideline recommendations for POC </w:t>
      </w:r>
      <w:r w:rsidR="007B51B3">
        <w:t>t</w:t>
      </w:r>
      <w:r w:rsidRPr="000D6EAF">
        <w:t>esting.</w:t>
      </w:r>
    </w:p>
    <w:p w14:paraId="44C3B242" w14:textId="0477D86A" w:rsidR="00772829" w:rsidRPr="00CE28E3" w:rsidRDefault="008A2C9F" w:rsidP="002A18BE">
      <w:pPr>
        <w:pStyle w:val="Heading2"/>
        <w:numPr>
          <w:ilvl w:val="0"/>
          <w:numId w:val="0"/>
        </w:numPr>
      </w:pPr>
      <w:bookmarkStart w:id="10" w:name="_Toc69491418"/>
      <w:r>
        <w:t>6</w:t>
      </w:r>
      <w:r w:rsidR="00C36633">
        <w:t>.</w:t>
      </w:r>
      <w:r w:rsidR="00C36633">
        <w:tab/>
      </w:r>
      <w:r w:rsidR="00772829" w:rsidRPr="00CE28E3">
        <w:t>Proposal for public funding</w:t>
      </w:r>
      <w:bookmarkEnd w:id="10"/>
    </w:p>
    <w:p w14:paraId="326EE732" w14:textId="2333C94D" w:rsidR="008E72D6" w:rsidRPr="000D6EAF" w:rsidRDefault="000D6EAF" w:rsidP="000D6EAF">
      <w:bookmarkStart w:id="11" w:name="_Ref69481033"/>
      <w:r w:rsidRPr="000D6EAF">
        <w:t>The</w:t>
      </w:r>
      <w:r w:rsidR="00501936">
        <w:t xml:space="preserve"> ADAR</w:t>
      </w:r>
      <w:r w:rsidRPr="000D6EAF">
        <w:t xml:space="preserve"> proposed items for POC testing are shown in </w:t>
      </w:r>
      <w:r>
        <w:fldChar w:fldCharType="begin"/>
      </w:r>
      <w:r>
        <w:instrText xml:space="preserve"> REF _Ref109818804 \h </w:instrText>
      </w:r>
      <w:r>
        <w:fldChar w:fldCharType="separate"/>
      </w:r>
      <w:r w:rsidR="00CE44AB">
        <w:t xml:space="preserve">Table </w:t>
      </w:r>
      <w:r w:rsidR="00CE44AB">
        <w:rPr>
          <w:noProof/>
        </w:rPr>
        <w:t>1</w:t>
      </w:r>
      <w:r>
        <w:fldChar w:fldCharType="end"/>
      </w:r>
      <w:r w:rsidRPr="000D6EAF">
        <w:t xml:space="preserve">. For CT and/or NG, separate items were suggested for initial screening/diagnosis (item XXX) and follow-up testing (item YYY). </w:t>
      </w:r>
    </w:p>
    <w:p w14:paraId="70B4043C" w14:textId="3D0E6EC3" w:rsidR="000D6EAF" w:rsidRPr="000D6EAF" w:rsidRDefault="000D6EAF" w:rsidP="00BC0139">
      <w:pPr>
        <w:pStyle w:val="TableHeading0"/>
        <w:keepNext/>
        <w:keepLines/>
        <w:rPr>
          <w:lang w:eastAsia="en-AU"/>
        </w:rPr>
      </w:pPr>
      <w:bookmarkStart w:id="12" w:name="_Ref109818804"/>
      <w:bookmarkStart w:id="13" w:name="_Toc105598475"/>
      <w:bookmarkStart w:id="14" w:name="_Toc105621028"/>
      <w:r>
        <w:lastRenderedPageBreak/>
        <w:t xml:space="preserve">Table </w:t>
      </w:r>
      <w:r w:rsidR="007D19FE">
        <w:fldChar w:fldCharType="begin"/>
      </w:r>
      <w:r w:rsidR="007D19FE">
        <w:instrText xml:space="preserve"> SEQ Table \* ARABIC </w:instrText>
      </w:r>
      <w:r w:rsidR="007D19FE">
        <w:fldChar w:fldCharType="separate"/>
      </w:r>
      <w:r w:rsidR="00CE44AB">
        <w:rPr>
          <w:noProof/>
        </w:rPr>
        <w:t>1</w:t>
      </w:r>
      <w:r w:rsidR="007D19FE">
        <w:rPr>
          <w:noProof/>
        </w:rPr>
        <w:fldChar w:fldCharType="end"/>
      </w:r>
      <w:bookmarkEnd w:id="12"/>
      <w:r w:rsidRPr="000D6EAF">
        <w:rPr>
          <w:lang w:eastAsia="en-AU"/>
        </w:rPr>
        <w:tab/>
      </w:r>
      <w:r w:rsidR="00501936">
        <w:rPr>
          <w:lang w:eastAsia="en-AU"/>
        </w:rPr>
        <w:t xml:space="preserve">ADAR </w:t>
      </w:r>
      <w:r w:rsidRPr="000D6EAF">
        <w:rPr>
          <w:lang w:eastAsia="en-AU"/>
        </w:rPr>
        <w:t xml:space="preserve">Proposed item descriptor for </w:t>
      </w:r>
      <w:r>
        <w:rPr>
          <w:lang w:eastAsia="en-AU"/>
        </w:rPr>
        <w:t>p</w:t>
      </w:r>
      <w:r w:rsidRPr="000D6EAF">
        <w:rPr>
          <w:lang w:eastAsia="en-AU"/>
        </w:rPr>
        <w:t xml:space="preserve">oint of </w:t>
      </w:r>
      <w:r>
        <w:rPr>
          <w:lang w:eastAsia="en-AU"/>
        </w:rPr>
        <w:t>c</w:t>
      </w:r>
      <w:r w:rsidRPr="000D6EAF">
        <w:rPr>
          <w:lang w:eastAsia="en-AU"/>
        </w:rPr>
        <w:t>are tests</w:t>
      </w:r>
      <w:bookmarkEnd w:id="13"/>
      <w:bookmarkEnd w:id="14"/>
    </w:p>
    <w:tbl>
      <w:tblPr>
        <w:tblStyle w:val="HealthConsult1"/>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0D6EAF" w:rsidRPr="000D6EAF" w14:paraId="1706305E" w14:textId="77777777" w:rsidTr="000E7FB6">
        <w:trPr>
          <w:tblHeader/>
        </w:trPr>
        <w:tc>
          <w:tcPr>
            <w:tcW w:w="9016" w:type="dxa"/>
          </w:tcPr>
          <w:p w14:paraId="45137898" w14:textId="77777777" w:rsidR="000D6EAF" w:rsidRPr="00FF2D1B" w:rsidRDefault="000D6EAF" w:rsidP="00BC0139">
            <w:pPr>
              <w:keepNext/>
              <w:keepLines/>
              <w:tabs>
                <w:tab w:val="left" w:pos="5699"/>
              </w:tabs>
              <w:rPr>
                <w:rFonts w:ascii="Arial Narrow" w:hAnsi="Arial Narrow"/>
                <w:sz w:val="20"/>
                <w:szCs w:val="20"/>
              </w:rPr>
            </w:pPr>
            <w:r w:rsidRPr="00FF2D1B">
              <w:rPr>
                <w:rFonts w:ascii="Arial Narrow" w:hAnsi="Arial Narrow"/>
                <w:sz w:val="20"/>
                <w:szCs w:val="20"/>
              </w:rPr>
              <w:t xml:space="preserve">Category 6 – PATHOLOGY SERVICE </w:t>
            </w:r>
            <w:r w:rsidRPr="00FF2D1B">
              <w:rPr>
                <w:rFonts w:ascii="Arial Narrow" w:hAnsi="Arial Narrow"/>
                <w:sz w:val="20"/>
                <w:szCs w:val="20"/>
              </w:rPr>
              <w:tab/>
              <w:t>Group PXX – Point of Care Tests</w:t>
            </w:r>
          </w:p>
        </w:tc>
      </w:tr>
      <w:tr w:rsidR="000D6EAF" w:rsidRPr="000D6EAF" w14:paraId="4D2EB8F1" w14:textId="77777777" w:rsidTr="00F0158A">
        <w:tc>
          <w:tcPr>
            <w:tcW w:w="9016" w:type="dxa"/>
          </w:tcPr>
          <w:p w14:paraId="637A551F" w14:textId="77777777" w:rsidR="000D6EAF" w:rsidRPr="00FF2D1B" w:rsidRDefault="000D6EAF" w:rsidP="00BC0139">
            <w:pPr>
              <w:keepNext/>
              <w:keepLines/>
              <w:rPr>
                <w:rFonts w:ascii="Arial Narrow" w:hAnsi="Arial Narrow"/>
                <w:sz w:val="20"/>
                <w:szCs w:val="20"/>
                <w:u w:color="FF0000"/>
              </w:rPr>
            </w:pPr>
            <w:r w:rsidRPr="00FF2D1B">
              <w:rPr>
                <w:rFonts w:ascii="Arial Narrow" w:hAnsi="Arial Narrow"/>
                <w:sz w:val="20"/>
                <w:szCs w:val="20"/>
                <w:u w:color="FF0000"/>
              </w:rPr>
              <w:t>MBS [Item number XXX]</w:t>
            </w:r>
          </w:p>
          <w:p w14:paraId="62A8B95F" w14:textId="374325CC" w:rsidR="000D6EAF" w:rsidRPr="00FF2D1B" w:rsidRDefault="000D6EAF" w:rsidP="00BC0139">
            <w:pPr>
              <w:keepNext/>
              <w:keepLines/>
              <w:rPr>
                <w:rFonts w:ascii="Arial Narrow" w:hAnsi="Arial Narrow"/>
                <w:sz w:val="20"/>
                <w:szCs w:val="20"/>
              </w:rPr>
            </w:pPr>
            <w:r w:rsidRPr="00FF2D1B">
              <w:rPr>
                <w:rFonts w:ascii="Arial Narrow" w:hAnsi="Arial Narrow"/>
                <w:sz w:val="20"/>
                <w:szCs w:val="20"/>
              </w:rPr>
              <w:t>Detection of CT (</w:t>
            </w:r>
            <w:r w:rsidRPr="00FF2D1B">
              <w:rPr>
                <w:rFonts w:ascii="Arial Narrow" w:hAnsi="Arial Narrow"/>
                <w:i/>
                <w:sz w:val="20"/>
                <w:szCs w:val="20"/>
              </w:rPr>
              <w:t>Chlamydia trachomatis</w:t>
            </w:r>
            <w:r w:rsidRPr="00FF2D1B">
              <w:rPr>
                <w:rFonts w:ascii="Arial Narrow" w:hAnsi="Arial Narrow"/>
                <w:sz w:val="20"/>
                <w:szCs w:val="20"/>
              </w:rPr>
              <w:t>) and/or NG (</w:t>
            </w:r>
            <w:r w:rsidRPr="00FF2D1B">
              <w:rPr>
                <w:rFonts w:ascii="Arial Narrow" w:hAnsi="Arial Narrow"/>
                <w:i/>
                <w:sz w:val="20"/>
                <w:szCs w:val="20"/>
              </w:rPr>
              <w:t xml:space="preserve">Neisseria </w:t>
            </w:r>
            <w:r w:rsidR="008F6CF0" w:rsidRPr="00FF2D1B">
              <w:rPr>
                <w:rFonts w:ascii="Arial Narrow" w:hAnsi="Arial Narrow"/>
                <w:i/>
                <w:sz w:val="20"/>
                <w:szCs w:val="20"/>
              </w:rPr>
              <w:t>gonorrhoea</w:t>
            </w:r>
            <w:r w:rsidRPr="00FF2D1B">
              <w:rPr>
                <w:rFonts w:ascii="Arial Narrow" w:hAnsi="Arial Narrow"/>
                <w:i/>
                <w:sz w:val="20"/>
                <w:szCs w:val="20"/>
              </w:rPr>
              <w:t>e</w:t>
            </w:r>
            <w:r w:rsidRPr="00FF2D1B">
              <w:rPr>
                <w:rFonts w:ascii="Arial Narrow" w:hAnsi="Arial Narrow"/>
                <w:sz w:val="20"/>
                <w:szCs w:val="20"/>
              </w:rPr>
              <w:t>) via point-of-care testing performed at Aboriginal Medical Services or Aboriginal Community Controlled Health Services in rural or remote settings for the diagnosis of CT or NG infection.</w:t>
            </w:r>
          </w:p>
          <w:p w14:paraId="08E17ABF" w14:textId="64709ACB" w:rsidR="000D6EAF" w:rsidRPr="00FF2D1B" w:rsidRDefault="000D6EAF" w:rsidP="00BC0139">
            <w:pPr>
              <w:keepNext/>
              <w:keepLines/>
              <w:rPr>
                <w:rFonts w:ascii="Arial Narrow" w:hAnsi="Arial Narrow"/>
                <w:sz w:val="20"/>
                <w:szCs w:val="20"/>
                <w:u w:color="FF0000"/>
              </w:rPr>
            </w:pPr>
            <w:r w:rsidRPr="00FF2D1B">
              <w:rPr>
                <w:rFonts w:ascii="Arial Narrow" w:hAnsi="Arial Narrow"/>
                <w:sz w:val="20"/>
                <w:szCs w:val="20"/>
                <w:u w:color="FF0000"/>
              </w:rPr>
              <w:t>Fee:  $</w:t>
            </w:r>
            <w:proofErr w:type="gramStart"/>
            <w:r w:rsidRPr="00FF2D1B">
              <w:rPr>
                <w:rFonts w:ascii="Arial Narrow" w:hAnsi="Arial Narrow"/>
                <w:sz w:val="20"/>
                <w:szCs w:val="20"/>
                <w:u w:color="FF0000"/>
              </w:rPr>
              <w:t>150</w:t>
            </w:r>
            <w:r w:rsidR="005D7A8C" w:rsidRPr="00FF2D1B">
              <w:rPr>
                <w:rFonts w:ascii="Arial Narrow" w:hAnsi="Arial Narrow"/>
                <w:sz w:val="20"/>
                <w:szCs w:val="20"/>
                <w:u w:color="FF0000"/>
              </w:rPr>
              <w:t xml:space="preserve">  Benefit</w:t>
            </w:r>
            <w:proofErr w:type="gramEnd"/>
            <w:r w:rsidR="005D7A8C" w:rsidRPr="00FF2D1B">
              <w:rPr>
                <w:rFonts w:ascii="Arial Narrow" w:hAnsi="Arial Narrow"/>
                <w:sz w:val="20"/>
                <w:szCs w:val="20"/>
                <w:u w:color="FF0000"/>
              </w:rPr>
              <w:t>: 75% = $112.50  85% = $127.50</w:t>
            </w:r>
          </w:p>
        </w:tc>
      </w:tr>
      <w:tr w:rsidR="000D6EAF" w:rsidRPr="000D6EAF" w14:paraId="22C50218" w14:textId="77777777" w:rsidTr="00843B12">
        <w:trPr>
          <w:cantSplit/>
        </w:trPr>
        <w:tc>
          <w:tcPr>
            <w:tcW w:w="9016" w:type="dxa"/>
          </w:tcPr>
          <w:p w14:paraId="1479E14D" w14:textId="77777777" w:rsidR="000D6EAF" w:rsidRPr="00FF2D1B" w:rsidRDefault="000D6EAF" w:rsidP="00843B12">
            <w:pPr>
              <w:keepNext/>
              <w:tabs>
                <w:tab w:val="left" w:pos="5699"/>
              </w:tabs>
              <w:rPr>
                <w:rFonts w:ascii="Arial Narrow" w:hAnsi="Arial Narrow"/>
                <w:sz w:val="20"/>
                <w:szCs w:val="20"/>
              </w:rPr>
            </w:pPr>
            <w:r w:rsidRPr="00FF2D1B">
              <w:rPr>
                <w:rFonts w:ascii="Arial Narrow" w:hAnsi="Arial Narrow"/>
                <w:sz w:val="20"/>
                <w:szCs w:val="20"/>
              </w:rPr>
              <w:t xml:space="preserve">Category 6 – PATHOLOGY SERVICE </w:t>
            </w:r>
            <w:r w:rsidRPr="00FF2D1B">
              <w:rPr>
                <w:rFonts w:ascii="Arial Narrow" w:hAnsi="Arial Narrow"/>
                <w:sz w:val="20"/>
                <w:szCs w:val="20"/>
              </w:rPr>
              <w:tab/>
              <w:t>Group PXX – Point of Care Tests</w:t>
            </w:r>
          </w:p>
        </w:tc>
      </w:tr>
      <w:tr w:rsidR="000D6EAF" w:rsidRPr="000D6EAF" w14:paraId="6BDCCD6E" w14:textId="77777777" w:rsidTr="00F0158A">
        <w:tc>
          <w:tcPr>
            <w:tcW w:w="9016" w:type="dxa"/>
          </w:tcPr>
          <w:p w14:paraId="7AEE1241" w14:textId="77777777" w:rsidR="000D6EAF" w:rsidRPr="00FF2D1B" w:rsidRDefault="000D6EAF" w:rsidP="000D6EAF">
            <w:pPr>
              <w:rPr>
                <w:rFonts w:ascii="Arial Narrow" w:hAnsi="Arial Narrow"/>
                <w:sz w:val="20"/>
                <w:szCs w:val="20"/>
                <w:u w:color="FF0000"/>
              </w:rPr>
            </w:pPr>
            <w:r w:rsidRPr="00FF2D1B">
              <w:rPr>
                <w:rFonts w:ascii="Arial Narrow" w:hAnsi="Arial Narrow"/>
                <w:sz w:val="20"/>
                <w:szCs w:val="20"/>
                <w:u w:color="FF0000"/>
              </w:rPr>
              <w:t>MBS [Item number YYY]</w:t>
            </w:r>
          </w:p>
          <w:p w14:paraId="08E0EC9B" w14:textId="05C4F00D" w:rsidR="000D6EAF" w:rsidRPr="00FF2D1B" w:rsidRDefault="000D6EAF" w:rsidP="000D6EAF">
            <w:pPr>
              <w:rPr>
                <w:rFonts w:ascii="Arial Narrow" w:hAnsi="Arial Narrow"/>
                <w:sz w:val="20"/>
                <w:szCs w:val="20"/>
              </w:rPr>
            </w:pPr>
            <w:r w:rsidRPr="00FF2D1B">
              <w:rPr>
                <w:rFonts w:ascii="Arial Narrow" w:hAnsi="Arial Narrow"/>
                <w:sz w:val="20"/>
                <w:szCs w:val="20"/>
              </w:rPr>
              <w:t>Detection of CT (</w:t>
            </w:r>
            <w:r w:rsidRPr="00FF2D1B">
              <w:rPr>
                <w:rFonts w:ascii="Arial Narrow" w:hAnsi="Arial Narrow"/>
                <w:i/>
                <w:sz w:val="20"/>
                <w:szCs w:val="20"/>
              </w:rPr>
              <w:t>Chlamydia trachomatis</w:t>
            </w:r>
            <w:r w:rsidRPr="00FF2D1B">
              <w:rPr>
                <w:rFonts w:ascii="Arial Narrow" w:hAnsi="Arial Narrow"/>
                <w:sz w:val="20"/>
                <w:szCs w:val="20"/>
              </w:rPr>
              <w:t>) and/or NG (</w:t>
            </w:r>
            <w:r w:rsidRPr="00FF2D1B">
              <w:rPr>
                <w:rFonts w:ascii="Arial Narrow" w:hAnsi="Arial Narrow"/>
                <w:i/>
                <w:sz w:val="20"/>
                <w:szCs w:val="20"/>
              </w:rPr>
              <w:t xml:space="preserve">Neisseria </w:t>
            </w:r>
            <w:r w:rsidR="008F6CF0" w:rsidRPr="00FF2D1B">
              <w:rPr>
                <w:rFonts w:ascii="Arial Narrow" w:hAnsi="Arial Narrow"/>
                <w:i/>
                <w:sz w:val="20"/>
                <w:szCs w:val="20"/>
              </w:rPr>
              <w:t>gonorrhoea</w:t>
            </w:r>
            <w:r w:rsidRPr="00FF2D1B">
              <w:rPr>
                <w:rFonts w:ascii="Arial Narrow" w:hAnsi="Arial Narrow"/>
                <w:i/>
                <w:sz w:val="20"/>
                <w:szCs w:val="20"/>
              </w:rPr>
              <w:t>e</w:t>
            </w:r>
            <w:r w:rsidRPr="00FF2D1B">
              <w:rPr>
                <w:rFonts w:ascii="Arial Narrow" w:hAnsi="Arial Narrow"/>
                <w:sz w:val="20"/>
                <w:szCs w:val="20"/>
              </w:rPr>
              <w:t>) via point-of-care testing performed at Aboriginal Medical Services or Aboriginal Community Controlled Health Services in rural or remote settings, following previous CT or NG infection.</w:t>
            </w:r>
          </w:p>
          <w:p w14:paraId="69D357D1" w14:textId="69010791" w:rsidR="000D6EAF" w:rsidRPr="00FF2D1B" w:rsidRDefault="000D6EAF" w:rsidP="000D6EAF">
            <w:pPr>
              <w:rPr>
                <w:rFonts w:ascii="Arial Narrow" w:hAnsi="Arial Narrow"/>
                <w:sz w:val="20"/>
                <w:szCs w:val="20"/>
                <w:u w:color="FF0000"/>
              </w:rPr>
            </w:pPr>
            <w:r w:rsidRPr="00FF2D1B">
              <w:rPr>
                <w:rFonts w:ascii="Arial Narrow" w:hAnsi="Arial Narrow"/>
                <w:sz w:val="20"/>
                <w:szCs w:val="20"/>
                <w:u w:color="FF0000"/>
              </w:rPr>
              <w:t>Fee:  $150</w:t>
            </w:r>
            <w:r w:rsidR="005D7A8C" w:rsidRPr="00FF2D1B">
              <w:rPr>
                <w:rFonts w:ascii="Arial Narrow" w:hAnsi="Arial Narrow"/>
                <w:sz w:val="20"/>
                <w:szCs w:val="20"/>
                <w:u w:color="FF0000"/>
              </w:rPr>
              <w:t xml:space="preserve"> Benefit: 75% = $112.</w:t>
            </w:r>
            <w:proofErr w:type="gramStart"/>
            <w:r w:rsidR="005D7A8C" w:rsidRPr="00FF2D1B">
              <w:rPr>
                <w:rFonts w:ascii="Arial Narrow" w:hAnsi="Arial Narrow"/>
                <w:sz w:val="20"/>
                <w:szCs w:val="20"/>
                <w:u w:color="FF0000"/>
              </w:rPr>
              <w:t>50  85</w:t>
            </w:r>
            <w:proofErr w:type="gramEnd"/>
            <w:r w:rsidR="005D7A8C" w:rsidRPr="00FF2D1B">
              <w:rPr>
                <w:rFonts w:ascii="Arial Narrow" w:hAnsi="Arial Narrow"/>
                <w:sz w:val="20"/>
                <w:szCs w:val="20"/>
                <w:u w:color="FF0000"/>
              </w:rPr>
              <w:t>% = $127.50</w:t>
            </w:r>
          </w:p>
        </w:tc>
      </w:tr>
      <w:tr w:rsidR="000D6EAF" w:rsidRPr="000D6EAF" w14:paraId="7BA2211B" w14:textId="77777777" w:rsidTr="00F0158A">
        <w:tc>
          <w:tcPr>
            <w:tcW w:w="9016" w:type="dxa"/>
          </w:tcPr>
          <w:p w14:paraId="10C1F35E" w14:textId="77777777" w:rsidR="000D6EAF" w:rsidRPr="00FF2D1B" w:rsidRDefault="000D6EAF" w:rsidP="00843B12">
            <w:pPr>
              <w:keepNext/>
              <w:tabs>
                <w:tab w:val="left" w:pos="5699"/>
              </w:tabs>
              <w:rPr>
                <w:rFonts w:ascii="Arial Narrow" w:hAnsi="Arial Narrow"/>
                <w:sz w:val="20"/>
                <w:szCs w:val="20"/>
              </w:rPr>
            </w:pPr>
            <w:r w:rsidRPr="00FF2D1B">
              <w:rPr>
                <w:rFonts w:ascii="Arial Narrow" w:hAnsi="Arial Narrow"/>
                <w:sz w:val="20"/>
                <w:szCs w:val="20"/>
              </w:rPr>
              <w:t xml:space="preserve">Category 6 – PATHOLOGY SERVICE </w:t>
            </w:r>
            <w:r w:rsidRPr="00FF2D1B">
              <w:rPr>
                <w:rFonts w:ascii="Arial Narrow" w:hAnsi="Arial Narrow"/>
                <w:sz w:val="20"/>
                <w:szCs w:val="20"/>
              </w:rPr>
              <w:tab/>
              <w:t>Group PXX – Point of Care Tests</w:t>
            </w:r>
          </w:p>
        </w:tc>
      </w:tr>
      <w:tr w:rsidR="000D6EAF" w:rsidRPr="000D6EAF" w14:paraId="625F7896" w14:textId="77777777" w:rsidTr="00F0158A">
        <w:tc>
          <w:tcPr>
            <w:tcW w:w="9016" w:type="dxa"/>
          </w:tcPr>
          <w:p w14:paraId="15DCFF59" w14:textId="261FFBF0" w:rsidR="000D6EAF" w:rsidRPr="00FF2D1B" w:rsidRDefault="000D6EAF" w:rsidP="000D6EAF">
            <w:pPr>
              <w:rPr>
                <w:rFonts w:ascii="Arial Narrow" w:hAnsi="Arial Narrow"/>
                <w:sz w:val="20"/>
                <w:szCs w:val="20"/>
                <w:u w:color="FF0000"/>
              </w:rPr>
            </w:pPr>
            <w:r w:rsidRPr="00FF2D1B">
              <w:rPr>
                <w:rFonts w:ascii="Arial Narrow" w:hAnsi="Arial Narrow"/>
                <w:sz w:val="20"/>
                <w:szCs w:val="20"/>
                <w:u w:color="FF0000"/>
              </w:rPr>
              <w:t>MBS [Item number ZZZ]</w:t>
            </w:r>
          </w:p>
          <w:p w14:paraId="66CF3B13" w14:textId="77777777" w:rsidR="000D6EAF" w:rsidRPr="00FF2D1B" w:rsidRDefault="000D6EAF" w:rsidP="000D6EAF">
            <w:pPr>
              <w:rPr>
                <w:rFonts w:ascii="Arial Narrow" w:hAnsi="Arial Narrow"/>
                <w:sz w:val="20"/>
                <w:szCs w:val="20"/>
              </w:rPr>
            </w:pPr>
            <w:r w:rsidRPr="00FF2D1B">
              <w:rPr>
                <w:rFonts w:ascii="Arial Narrow" w:hAnsi="Arial Narrow"/>
                <w:sz w:val="20"/>
                <w:szCs w:val="20"/>
              </w:rPr>
              <w:t>Detection of TV (</w:t>
            </w:r>
            <w:r w:rsidRPr="00FF2D1B">
              <w:rPr>
                <w:rFonts w:ascii="Arial Narrow" w:hAnsi="Arial Narrow"/>
                <w:i/>
                <w:sz w:val="20"/>
                <w:szCs w:val="20"/>
              </w:rPr>
              <w:t>Trichomonas vaginalis</w:t>
            </w:r>
            <w:r w:rsidRPr="00FF2D1B">
              <w:rPr>
                <w:rFonts w:ascii="Arial Narrow" w:hAnsi="Arial Narrow"/>
                <w:sz w:val="20"/>
                <w:szCs w:val="20"/>
              </w:rPr>
              <w:t>) via point of care testing performed</w:t>
            </w:r>
            <w:r w:rsidRPr="00FF2D1B">
              <w:rPr>
                <w:rFonts w:ascii="Arial Narrow" w:hAnsi="Arial Narrow"/>
              </w:rPr>
              <w:t xml:space="preserve"> </w:t>
            </w:r>
            <w:r w:rsidRPr="00FF2D1B">
              <w:rPr>
                <w:rFonts w:ascii="Arial Narrow" w:hAnsi="Arial Narrow"/>
                <w:sz w:val="20"/>
                <w:szCs w:val="20"/>
              </w:rPr>
              <w:t>at Aboriginal Medical Services or Aboriginal Community Controlled Health Services in rural or remote settings for the diagnosis of TV infection.</w:t>
            </w:r>
          </w:p>
          <w:p w14:paraId="01D4F8F5" w14:textId="67AAEC49" w:rsidR="000D6EAF" w:rsidRPr="00FF2D1B" w:rsidRDefault="000D6EAF" w:rsidP="005D7A8C">
            <w:pPr>
              <w:rPr>
                <w:rFonts w:ascii="Arial Narrow" w:hAnsi="Arial Narrow"/>
                <w:u w:color="FF0000"/>
              </w:rPr>
            </w:pPr>
            <w:r w:rsidRPr="00FF2D1B">
              <w:rPr>
                <w:rFonts w:ascii="Arial Narrow" w:hAnsi="Arial Narrow"/>
                <w:sz w:val="20"/>
                <w:szCs w:val="20"/>
                <w:u w:color="FF0000"/>
              </w:rPr>
              <w:t>Fee:  $</w:t>
            </w:r>
            <w:r w:rsidRPr="00FF2D1B">
              <w:rPr>
                <w:rFonts w:ascii="Arial Narrow" w:hAnsi="Arial Narrow"/>
                <w:sz w:val="20"/>
                <w:szCs w:val="20"/>
              </w:rPr>
              <w:t>115</w:t>
            </w:r>
            <w:r w:rsidR="005D7A8C" w:rsidRPr="00FF2D1B">
              <w:rPr>
                <w:rFonts w:ascii="Arial Narrow" w:hAnsi="Arial Narrow"/>
                <w:sz w:val="20"/>
                <w:szCs w:val="20"/>
                <w:u w:color="FF0000"/>
              </w:rPr>
              <w:t xml:space="preserve"> Benefit: $86.25 75% = $85% = $97.75</w:t>
            </w:r>
          </w:p>
        </w:tc>
      </w:tr>
    </w:tbl>
    <w:p w14:paraId="63AD7911" w14:textId="24241C3E" w:rsidR="007B51B3" w:rsidRDefault="007B51B3" w:rsidP="000D6EAF">
      <w:pPr>
        <w:pStyle w:val="TableFooter"/>
      </w:pPr>
      <w:r>
        <w:t>Source:</w:t>
      </w:r>
      <w:r w:rsidR="00434C3A">
        <w:t xml:space="preserve"> Table 4, </w:t>
      </w:r>
      <w:proofErr w:type="spellStart"/>
      <w:r w:rsidR="00434C3A">
        <w:t>pg</w:t>
      </w:r>
      <w:proofErr w:type="spellEnd"/>
      <w:r w:rsidR="00434C3A">
        <w:t xml:space="preserve"> 3</w:t>
      </w:r>
      <w:r w:rsidR="009F3F55">
        <w:t>3</w:t>
      </w:r>
      <w:r w:rsidR="00434C3A">
        <w:t xml:space="preserve"> of MSAC 1627 ADAR</w:t>
      </w:r>
    </w:p>
    <w:p w14:paraId="03A20B6F" w14:textId="6C2507E9" w:rsidR="000D6EAF" w:rsidRDefault="000D6EAF" w:rsidP="000D6EAF">
      <w:pPr>
        <w:pStyle w:val="TableFooter"/>
      </w:pPr>
      <w:r w:rsidRPr="000D6EAF">
        <w:t>* Testing is conducted on demand, one test at a time, by a remote area nurse or Aboriginal health practitioner at or soon after the time of consultation.</w:t>
      </w:r>
    </w:p>
    <w:p w14:paraId="7E2067A5" w14:textId="69873023" w:rsidR="00843B12" w:rsidRDefault="008E72D6" w:rsidP="00843B12">
      <w:r w:rsidRPr="000C11A4" w:rsidDel="008E72D6">
        <w:rPr>
          <w:rFonts w:eastAsia="Times New Roman" w:cs="Times New Roman"/>
          <w:szCs w:val="18"/>
          <w:lang w:eastAsia="en-AU"/>
        </w:rPr>
        <w:t xml:space="preserve">The </w:t>
      </w:r>
      <w:r w:rsidDel="008E72D6">
        <w:rPr>
          <w:rFonts w:eastAsia="Times New Roman" w:cs="Times New Roman"/>
          <w:szCs w:val="18"/>
          <w:lang w:eastAsia="en-AU"/>
        </w:rPr>
        <w:t xml:space="preserve">MBS item </w:t>
      </w:r>
      <w:r w:rsidRPr="000C11A4" w:rsidDel="008E72D6">
        <w:rPr>
          <w:rFonts w:eastAsia="Times New Roman" w:cs="Times New Roman"/>
          <w:szCs w:val="18"/>
          <w:lang w:eastAsia="en-AU"/>
        </w:rPr>
        <w:t>fees</w:t>
      </w:r>
      <w:r w:rsidDel="008E72D6">
        <w:rPr>
          <w:rFonts w:eastAsia="Times New Roman" w:cs="Times New Roman"/>
          <w:szCs w:val="18"/>
          <w:lang w:eastAsia="en-AU"/>
        </w:rPr>
        <w:t xml:space="preserve"> for the proposed </w:t>
      </w:r>
      <w:r w:rsidRPr="000C11A4" w:rsidDel="008E72D6">
        <w:rPr>
          <w:rFonts w:eastAsia="Times New Roman" w:cs="Times New Roman"/>
          <w:szCs w:val="18"/>
          <w:lang w:eastAsia="en-AU"/>
        </w:rPr>
        <w:t xml:space="preserve">POC tests for CT, NG and TV </w:t>
      </w:r>
      <w:r w:rsidDel="008E72D6">
        <w:rPr>
          <w:rFonts w:eastAsia="Times New Roman" w:cs="Times New Roman"/>
          <w:szCs w:val="18"/>
          <w:lang w:eastAsia="en-AU"/>
        </w:rPr>
        <w:t xml:space="preserve">using the </w:t>
      </w:r>
      <w:r w:rsidRPr="000C11A4" w:rsidDel="008E72D6">
        <w:rPr>
          <w:rFonts w:eastAsia="Times New Roman" w:cs="Times New Roman"/>
          <w:szCs w:val="18"/>
          <w:lang w:eastAsia="en-AU"/>
        </w:rPr>
        <w:t xml:space="preserve">Cepheid </w:t>
      </w:r>
      <w:r w:rsidDel="008E72D6">
        <w:rPr>
          <w:rFonts w:eastAsia="Times New Roman" w:cs="Times New Roman"/>
          <w:szCs w:val="18"/>
          <w:lang w:eastAsia="en-AU"/>
        </w:rPr>
        <w:t xml:space="preserve">GeneXpert system </w:t>
      </w:r>
      <w:r w:rsidRPr="000C11A4" w:rsidDel="008E72D6">
        <w:rPr>
          <w:rFonts w:eastAsia="Times New Roman" w:cs="Times New Roman"/>
          <w:szCs w:val="18"/>
          <w:lang w:eastAsia="en-AU"/>
        </w:rPr>
        <w:t xml:space="preserve">are higher than </w:t>
      </w:r>
      <w:r w:rsidDel="008E72D6">
        <w:rPr>
          <w:rFonts w:eastAsia="Times New Roman" w:cs="Times New Roman"/>
          <w:szCs w:val="18"/>
          <w:lang w:eastAsia="en-AU"/>
        </w:rPr>
        <w:t xml:space="preserve">for </w:t>
      </w:r>
      <w:r w:rsidRPr="000C11A4" w:rsidDel="008E72D6">
        <w:rPr>
          <w:rFonts w:eastAsia="Times New Roman" w:cs="Times New Roman"/>
          <w:szCs w:val="18"/>
          <w:lang w:eastAsia="en-AU"/>
        </w:rPr>
        <w:t xml:space="preserve">the current </w:t>
      </w:r>
      <w:r w:rsidRPr="00F43D85" w:rsidDel="008E72D6">
        <w:rPr>
          <w:rFonts w:eastAsia="Times New Roman" w:cs="Times New Roman"/>
          <w:szCs w:val="18"/>
          <w:lang w:eastAsia="en-AU"/>
        </w:rPr>
        <w:t>standard of care (SOC) tests</w:t>
      </w:r>
      <w:r w:rsidDel="008E72D6">
        <w:rPr>
          <w:rFonts w:eastAsia="Times New Roman" w:cs="Times New Roman"/>
          <w:szCs w:val="18"/>
          <w:lang w:eastAsia="en-AU"/>
        </w:rPr>
        <w:t xml:space="preserve"> </w:t>
      </w:r>
      <w:r w:rsidRPr="000C11A4" w:rsidDel="008E72D6">
        <w:rPr>
          <w:rFonts w:eastAsia="Times New Roman" w:cs="Times New Roman"/>
          <w:szCs w:val="18"/>
          <w:lang w:eastAsia="en-AU"/>
        </w:rPr>
        <w:t xml:space="preserve">carried out in a </w:t>
      </w:r>
      <w:r w:rsidDel="008E72D6">
        <w:rPr>
          <w:rFonts w:eastAsia="Times New Roman" w:cs="Times New Roman"/>
          <w:szCs w:val="18"/>
          <w:lang w:eastAsia="en-AU"/>
        </w:rPr>
        <w:t xml:space="preserve">hospital or </w:t>
      </w:r>
      <w:r w:rsidRPr="000C11A4" w:rsidDel="008E72D6">
        <w:rPr>
          <w:rFonts w:eastAsia="Times New Roman" w:cs="Times New Roman"/>
          <w:szCs w:val="18"/>
          <w:lang w:eastAsia="en-AU"/>
        </w:rPr>
        <w:t>pathology labor</w:t>
      </w:r>
      <w:r w:rsidDel="008E72D6">
        <w:rPr>
          <w:rFonts w:eastAsia="Times New Roman" w:cs="Times New Roman"/>
          <w:szCs w:val="18"/>
          <w:lang w:eastAsia="en-AU"/>
        </w:rPr>
        <w:t xml:space="preserve">atory. Both the POC and SOC tests use equivalent technology </w:t>
      </w:r>
      <w:proofErr w:type="gramStart"/>
      <w:r w:rsidDel="008E72D6">
        <w:rPr>
          <w:rFonts w:eastAsia="Times New Roman" w:cs="Times New Roman"/>
          <w:szCs w:val="18"/>
          <w:lang w:eastAsia="en-AU"/>
        </w:rPr>
        <w:t>i.e.</w:t>
      </w:r>
      <w:proofErr w:type="gramEnd"/>
      <w:r w:rsidDel="008E72D6">
        <w:rPr>
          <w:rFonts w:eastAsia="Times New Roman" w:cs="Times New Roman"/>
          <w:szCs w:val="18"/>
          <w:lang w:eastAsia="en-AU"/>
        </w:rPr>
        <w:t xml:space="preserve"> they are both NAATs </w:t>
      </w:r>
      <w:r w:rsidRPr="000C11A4" w:rsidDel="008E72D6">
        <w:rPr>
          <w:rFonts w:eastAsia="Times New Roman" w:cs="Times New Roman"/>
          <w:szCs w:val="18"/>
          <w:lang w:eastAsia="en-AU"/>
        </w:rPr>
        <w:t xml:space="preserve">(see </w:t>
      </w:r>
      <w:r w:rsidDel="008E72D6">
        <w:rPr>
          <w:rFonts w:eastAsia="Times New Roman" w:cs="Times New Roman"/>
          <w:szCs w:val="18"/>
          <w:lang w:eastAsia="en-AU"/>
        </w:rPr>
        <w:fldChar w:fldCharType="begin"/>
      </w:r>
      <w:r w:rsidDel="008E72D6">
        <w:rPr>
          <w:rFonts w:eastAsia="Times New Roman" w:cs="Times New Roman"/>
          <w:szCs w:val="18"/>
          <w:lang w:eastAsia="en-AU"/>
        </w:rPr>
        <w:instrText xml:space="preserve"> REF _Ref109818804 \h </w:instrText>
      </w:r>
      <w:r w:rsidDel="008E72D6">
        <w:rPr>
          <w:rFonts w:eastAsia="Times New Roman" w:cs="Times New Roman"/>
          <w:szCs w:val="18"/>
          <w:lang w:eastAsia="en-AU"/>
        </w:rPr>
      </w:r>
      <w:r w:rsidDel="008E72D6">
        <w:rPr>
          <w:rFonts w:eastAsia="Times New Roman" w:cs="Times New Roman"/>
          <w:szCs w:val="18"/>
          <w:lang w:eastAsia="en-AU"/>
        </w:rPr>
        <w:fldChar w:fldCharType="separate"/>
      </w:r>
      <w:r w:rsidDel="008E72D6">
        <w:t xml:space="preserve">Table </w:t>
      </w:r>
      <w:r w:rsidDel="008E72D6">
        <w:rPr>
          <w:noProof/>
        </w:rPr>
        <w:t>1</w:t>
      </w:r>
      <w:r w:rsidDel="008E72D6">
        <w:rPr>
          <w:rFonts w:eastAsia="Times New Roman" w:cs="Times New Roman"/>
          <w:szCs w:val="18"/>
          <w:lang w:eastAsia="en-AU"/>
        </w:rPr>
        <w:fldChar w:fldCharType="end"/>
      </w:r>
      <w:r w:rsidDel="008E72D6">
        <w:rPr>
          <w:rFonts w:eastAsia="Times New Roman" w:cs="Times New Roman"/>
          <w:szCs w:val="18"/>
          <w:lang w:eastAsia="en-AU"/>
        </w:rPr>
        <w:t xml:space="preserve"> and </w:t>
      </w:r>
      <w:r w:rsidDel="008E72D6">
        <w:rPr>
          <w:rFonts w:eastAsia="Times New Roman" w:cs="Times New Roman"/>
          <w:szCs w:val="18"/>
          <w:lang w:eastAsia="en-AU"/>
        </w:rPr>
        <w:fldChar w:fldCharType="begin"/>
      </w:r>
      <w:r w:rsidDel="008E72D6">
        <w:rPr>
          <w:rFonts w:eastAsia="Times New Roman" w:cs="Times New Roman"/>
          <w:szCs w:val="18"/>
          <w:lang w:eastAsia="en-AU"/>
        </w:rPr>
        <w:instrText xml:space="preserve"> REF _Ref112666481 \h </w:instrText>
      </w:r>
      <w:r w:rsidDel="008E72D6">
        <w:rPr>
          <w:rFonts w:eastAsia="Times New Roman" w:cs="Times New Roman"/>
          <w:szCs w:val="18"/>
          <w:lang w:eastAsia="en-AU"/>
        </w:rPr>
      </w:r>
      <w:r w:rsidDel="008E72D6">
        <w:rPr>
          <w:rFonts w:eastAsia="Times New Roman" w:cs="Times New Roman"/>
          <w:szCs w:val="18"/>
          <w:lang w:eastAsia="en-AU"/>
        </w:rPr>
        <w:fldChar w:fldCharType="separate"/>
      </w:r>
      <w:r w:rsidRPr="00CE28E3" w:rsidDel="008E72D6">
        <w:t>Table</w:t>
      </w:r>
      <w:r w:rsidDel="008E72D6">
        <w:t xml:space="preserve"> </w:t>
      </w:r>
      <w:r w:rsidDel="008E72D6">
        <w:rPr>
          <w:noProof/>
        </w:rPr>
        <w:t>2</w:t>
      </w:r>
      <w:r w:rsidDel="008E72D6">
        <w:rPr>
          <w:rFonts w:eastAsia="Times New Roman" w:cs="Times New Roman"/>
          <w:szCs w:val="18"/>
          <w:lang w:eastAsia="en-AU"/>
        </w:rPr>
        <w:fldChar w:fldCharType="end"/>
      </w:r>
      <w:r w:rsidDel="008E72D6">
        <w:rPr>
          <w:rFonts w:eastAsia="Times New Roman" w:cs="Times New Roman"/>
          <w:szCs w:val="18"/>
          <w:lang w:eastAsia="en-AU"/>
        </w:rPr>
        <w:t xml:space="preserve"> for further details)</w:t>
      </w:r>
      <w:r>
        <w:rPr>
          <w:rFonts w:eastAsia="Times New Roman" w:cs="Times New Roman"/>
          <w:szCs w:val="18"/>
          <w:lang w:eastAsia="en-AU"/>
        </w:rPr>
        <w:t xml:space="preserve">. </w:t>
      </w:r>
      <w:r w:rsidR="00843B12">
        <w:t>The ADAR provided justifica</w:t>
      </w:r>
      <w:r w:rsidR="00843B12" w:rsidRPr="00843B12">
        <w:t>tion for the proposed fees</w:t>
      </w:r>
      <w:r w:rsidR="005D7A8C">
        <w:t>, which</w:t>
      </w:r>
      <w:r w:rsidR="00843B12">
        <w:t xml:space="preserve"> </w:t>
      </w:r>
      <w:r w:rsidR="00843B12" w:rsidRPr="00843B12">
        <w:t>include</w:t>
      </w:r>
      <w:r w:rsidR="005D7A8C">
        <w:t>s</w:t>
      </w:r>
      <w:r w:rsidR="00843B12" w:rsidRPr="00843B12">
        <w:t xml:space="preserve"> both operator time and consumables costs, but excludes practi</w:t>
      </w:r>
      <w:r w:rsidR="00843B12">
        <w:t>ti</w:t>
      </w:r>
      <w:r w:rsidR="00843B12" w:rsidRPr="00843B12">
        <w:t>oner time, as the proposed items would be claimed in combination with a consultation item (which is already subsidised).</w:t>
      </w:r>
    </w:p>
    <w:p w14:paraId="34E0B08F" w14:textId="54C52AEE" w:rsidR="00772829" w:rsidRPr="00CE28E3" w:rsidRDefault="008A2C9F" w:rsidP="002A18BE">
      <w:pPr>
        <w:pStyle w:val="Heading2"/>
        <w:numPr>
          <w:ilvl w:val="0"/>
          <w:numId w:val="0"/>
        </w:numPr>
      </w:pPr>
      <w:bookmarkStart w:id="15" w:name="_Toc69491419"/>
      <w:bookmarkEnd w:id="11"/>
      <w:r>
        <w:t>7</w:t>
      </w:r>
      <w:r w:rsidR="00C36633">
        <w:t>.</w:t>
      </w:r>
      <w:r w:rsidR="00C36633">
        <w:tab/>
      </w:r>
      <w:r w:rsidR="00772829" w:rsidRPr="00CE28E3">
        <w:t>Population</w:t>
      </w:r>
      <w:bookmarkEnd w:id="15"/>
      <w:r w:rsidR="00772829" w:rsidRPr="00CE28E3">
        <w:t xml:space="preserve"> </w:t>
      </w:r>
    </w:p>
    <w:p w14:paraId="0E08D242" w14:textId="628AC418" w:rsidR="006219AD" w:rsidRDefault="006219AD" w:rsidP="006219AD">
      <w:bookmarkStart w:id="16" w:name="_Toc69491420"/>
      <w:r>
        <w:t xml:space="preserve">The </w:t>
      </w:r>
      <w:r w:rsidR="0060017B">
        <w:t xml:space="preserve">proposed </w:t>
      </w:r>
      <w:r>
        <w:t xml:space="preserve">population includes symptomatic individuals, or asymptomatic individuals (including those who do not disclose symptoms), at risk of sexually transmitted infection, attending Aboriginal Medical Services or Aboriginal Community Controlled Health Services in regional and remote areas </w:t>
      </w:r>
      <w:r w:rsidRPr="004D109F">
        <w:t>as defined by the</w:t>
      </w:r>
      <w:r>
        <w:t xml:space="preserve"> Australian Bureau of Statistics</w:t>
      </w:r>
      <w:r w:rsidRPr="004D109F">
        <w:t xml:space="preserve"> </w:t>
      </w:r>
      <w:r>
        <w:t>(</w:t>
      </w:r>
      <w:r w:rsidRPr="004D109F">
        <w:t>ABS</w:t>
      </w:r>
      <w:r>
        <w:t>)</w:t>
      </w:r>
      <w:r w:rsidRPr="004D109F">
        <w:t>.</w:t>
      </w:r>
    </w:p>
    <w:p w14:paraId="3163A977" w14:textId="5555F9D0" w:rsidR="006219AD" w:rsidRPr="0036085E" w:rsidRDefault="00CE44AB" w:rsidP="006219AD">
      <w:r w:rsidRPr="002005C6">
        <w:t xml:space="preserve">The National Aboriginal Community Controlled Health Organisation (NACCHO) and The Royal Australian College of General Practitioners (RACGP) </w:t>
      </w:r>
      <w:r w:rsidRPr="002005C6">
        <w:rPr>
          <w:i/>
        </w:rPr>
        <w:t>“National guide to a preventive health assessment for Aboriginal and Torres Strait Islander people (2018)”</w:t>
      </w:r>
      <w:r w:rsidRPr="002005C6">
        <w:t xml:space="preserve"> recommends that all sexually active Aboriginal and Torres Strait Islander people aged ≤30 years or people with risk factors for STIs should be offered annual screening for CT, </w:t>
      </w:r>
      <w:proofErr w:type="gramStart"/>
      <w:r w:rsidRPr="002005C6">
        <w:t>NG</w:t>
      </w:r>
      <w:proofErr w:type="gramEnd"/>
      <w:r w:rsidRPr="002005C6">
        <w:t xml:space="preserve"> and TV.</w:t>
      </w:r>
      <w:r w:rsidRPr="002005C6">
        <w:rPr>
          <w:i/>
        </w:rPr>
        <w:t xml:space="preserve"> </w:t>
      </w:r>
      <w:r w:rsidR="0036085E" w:rsidRPr="0036085E">
        <w:t>An</w:t>
      </w:r>
      <w:r w:rsidR="006219AD" w:rsidRPr="003532EC">
        <w:t>yone</w:t>
      </w:r>
      <w:r w:rsidR="006219AD" w:rsidRPr="0036085E">
        <w:t xml:space="preserve"> attending a regional or remote Aboriginal Medical Service or Aboriginal Community Controlled Health Service with the proposed POC test</w:t>
      </w:r>
      <w:r w:rsidR="001A3399" w:rsidRPr="0036085E">
        <w:t>ing capability</w:t>
      </w:r>
      <w:r w:rsidR="006219AD" w:rsidRPr="0036085E">
        <w:t xml:space="preserve"> would be eligible for </w:t>
      </w:r>
      <w:r w:rsidR="0036085E" w:rsidRPr="0036085E">
        <w:t xml:space="preserve">POC </w:t>
      </w:r>
      <w:r w:rsidR="006219AD" w:rsidRPr="0036085E">
        <w:t>test.</w:t>
      </w:r>
      <w:r w:rsidRPr="0036085E">
        <w:t xml:space="preserve"> The proposed MBS item descriptors do not limit the population to those </w:t>
      </w:r>
      <w:r w:rsidRPr="002005C6">
        <w:t>aged ≤30 years, leaving the broader testing to clinician discretion.</w:t>
      </w:r>
      <w:r w:rsidRPr="0036085E">
        <w:t xml:space="preserve"> </w:t>
      </w:r>
    </w:p>
    <w:p w14:paraId="66BDFCC1" w14:textId="232ED483" w:rsidR="00772829" w:rsidRPr="00CE28E3" w:rsidRDefault="008A2C9F" w:rsidP="002A18BE">
      <w:pPr>
        <w:pStyle w:val="Heading2"/>
        <w:numPr>
          <w:ilvl w:val="0"/>
          <w:numId w:val="0"/>
        </w:numPr>
      </w:pPr>
      <w:r>
        <w:lastRenderedPageBreak/>
        <w:t>8</w:t>
      </w:r>
      <w:r w:rsidR="00C36633">
        <w:t>.</w:t>
      </w:r>
      <w:r w:rsidR="00C36633">
        <w:tab/>
      </w:r>
      <w:r w:rsidR="00772829" w:rsidRPr="00CE28E3">
        <w:t>Comparator</w:t>
      </w:r>
      <w:bookmarkEnd w:id="16"/>
    </w:p>
    <w:p w14:paraId="33B5B298" w14:textId="12E90601" w:rsidR="00B552FC" w:rsidRDefault="00B552FC" w:rsidP="00B552FC">
      <w:bookmarkStart w:id="17" w:name="_Toc69491421"/>
      <w:r>
        <w:t xml:space="preserve">The comparator for POC testing is </w:t>
      </w:r>
      <w:r w:rsidR="00E24972">
        <w:t xml:space="preserve">standard </w:t>
      </w:r>
      <w:r>
        <w:t>laboratory testing, which is the current standard of care (SOC).</w:t>
      </w:r>
      <w:r w:rsidR="00CE44AB">
        <w:t xml:space="preserve"> MBS items </w:t>
      </w:r>
      <w:r w:rsidR="006737C5">
        <w:t xml:space="preserve">relevant to the comparator are shown in </w:t>
      </w:r>
      <w:r w:rsidR="006737C5">
        <w:fldChar w:fldCharType="begin"/>
      </w:r>
      <w:r w:rsidR="006737C5">
        <w:instrText xml:space="preserve"> REF _Ref112666481 \h </w:instrText>
      </w:r>
      <w:r w:rsidR="006737C5">
        <w:fldChar w:fldCharType="separate"/>
      </w:r>
      <w:r w:rsidR="006737C5" w:rsidRPr="00CE28E3">
        <w:t>Table</w:t>
      </w:r>
      <w:r w:rsidR="006737C5">
        <w:t xml:space="preserve"> </w:t>
      </w:r>
      <w:r w:rsidR="006737C5">
        <w:rPr>
          <w:noProof/>
        </w:rPr>
        <w:t>2</w:t>
      </w:r>
      <w:r w:rsidR="006737C5">
        <w:fldChar w:fldCharType="end"/>
      </w:r>
      <w:r w:rsidR="006737C5">
        <w:t xml:space="preserve">. Items 69316, 69317, 69319, and 69494 were added to the MBS on the 01 May 2007. </w:t>
      </w:r>
    </w:p>
    <w:p w14:paraId="29B2D17A" w14:textId="45933017" w:rsidR="00B552FC" w:rsidRDefault="00B552FC" w:rsidP="00B552FC">
      <w:r>
        <w:t>T</w:t>
      </w:r>
      <w:r w:rsidRPr="00B552FC">
        <w:t xml:space="preserve">he patient sample would be sent to a laboratory for </w:t>
      </w:r>
      <w:r>
        <w:t>NAAT testing. This would involve a delay between sample collection and diagnosis.</w:t>
      </w:r>
    </w:p>
    <w:p w14:paraId="627E8E30" w14:textId="77777777" w:rsidR="00AF0BC7" w:rsidRDefault="00B552FC" w:rsidP="00B552FC">
      <w:r>
        <w:t xml:space="preserve">Due to this delay, </w:t>
      </w:r>
      <w:r w:rsidRPr="00B552FC">
        <w:t>patient</w:t>
      </w:r>
      <w:r>
        <w:t>s who are</w:t>
      </w:r>
      <w:r w:rsidRPr="00B552FC">
        <w:t xml:space="preserve"> symptomatic or considered highly likely to have a</w:t>
      </w:r>
      <w:r w:rsidR="00AF0BC7">
        <w:t xml:space="preserve"> CT and/or NG</w:t>
      </w:r>
      <w:r w:rsidRPr="00B552FC">
        <w:t xml:space="preserve"> infection (</w:t>
      </w:r>
      <w:proofErr w:type="gramStart"/>
      <w:r w:rsidR="00AF0BC7">
        <w:t>i.e.</w:t>
      </w:r>
      <w:proofErr w:type="gramEnd"/>
      <w:r w:rsidR="00AF0BC7">
        <w:t xml:space="preserve"> a </w:t>
      </w:r>
      <w:r w:rsidRPr="00B552FC">
        <w:t xml:space="preserve">positive partner), would be offered </w:t>
      </w:r>
      <w:r>
        <w:t>treatment</w:t>
      </w:r>
      <w:r w:rsidRPr="00B552FC">
        <w:t xml:space="preserve"> at the time of the initial consultation as per the appropriate jurisdictional guidelines for the management of symptomatic individuals</w:t>
      </w:r>
      <w:r>
        <w:t xml:space="preserve">, It has been reported that this leads to overtreatment of </w:t>
      </w:r>
      <w:r w:rsidRPr="00B552FC">
        <w:t>symptomatic patients</w:t>
      </w:r>
      <w:r>
        <w:t xml:space="preserve"> by as much as 50%.</w:t>
      </w:r>
      <w:r w:rsidR="00AF0BC7">
        <w:t xml:space="preserve"> T</w:t>
      </w:r>
      <w:r w:rsidRPr="00B552FC">
        <w:t xml:space="preserve">reatment </w:t>
      </w:r>
      <w:r w:rsidR="00AF0BC7">
        <w:t xml:space="preserve">initiation </w:t>
      </w:r>
      <w:r w:rsidRPr="00B552FC">
        <w:t xml:space="preserve">for TV is not recommended until receipt of test results unless abnormal vaginal discharge and a pH test is indicative of infection. Patients who are asymptomatic must wait for receipt of their results </w:t>
      </w:r>
      <w:r w:rsidR="00AF0BC7">
        <w:t>for treatment</w:t>
      </w:r>
      <w:r w:rsidRPr="00B552FC">
        <w:t xml:space="preserve">. </w:t>
      </w:r>
    </w:p>
    <w:p w14:paraId="4E0FE32A" w14:textId="528A9CB2" w:rsidR="0009450E" w:rsidRDefault="0009450E" w:rsidP="0009450E">
      <w:r w:rsidRPr="0009450E">
        <w:t xml:space="preserve">While SOC STI testing results may be delivered within a shorter timescale (~48 hours) to a health clinic in an urban setting, the additional time required for sample transportation to a central pathology laboratory from a regional or remote health clinic means that test results may not be available until around 14 days after the sample has been obtained during consultation at the health clinic.  </w:t>
      </w:r>
      <w:r>
        <w:t>T</w:t>
      </w:r>
      <w:r w:rsidRPr="00B552FC">
        <w:t xml:space="preserve">he mean interval between sample collection and treatment at remote clinics is 22 days (SD 24 days), with a median time to treatment of 13 days (IQR = 7–27). </w:t>
      </w:r>
      <w:r>
        <w:t xml:space="preserve">Contact tracing is not </w:t>
      </w:r>
      <w:r w:rsidRPr="00B552FC">
        <w:t xml:space="preserve">initiated </w:t>
      </w:r>
      <w:r>
        <w:t>until</w:t>
      </w:r>
      <w:r w:rsidRPr="00B552FC">
        <w:t xml:space="preserve"> the patient </w:t>
      </w:r>
      <w:r>
        <w:t>returns to clinic for treatment</w:t>
      </w:r>
      <w:r w:rsidRPr="00B552FC">
        <w:t>.</w:t>
      </w:r>
    </w:p>
    <w:p w14:paraId="186CD2E8" w14:textId="13E65A7B" w:rsidR="00CE44AB" w:rsidRPr="00612A10" w:rsidRDefault="00CE44AB" w:rsidP="002005C6">
      <w:pPr>
        <w:pStyle w:val="TableHeadingCA"/>
        <w:keepNext/>
        <w:ind w:left="0" w:firstLine="0"/>
        <w:jc w:val="left"/>
      </w:pPr>
      <w:bookmarkStart w:id="18" w:name="_Ref112666481"/>
      <w:bookmarkStart w:id="19" w:name="_Ref109825551"/>
      <w:bookmarkStart w:id="20" w:name="_Ref76122752"/>
      <w:r w:rsidRPr="00CE28E3">
        <w:t>Table</w:t>
      </w:r>
      <w:r>
        <w:t xml:space="preserve"> </w:t>
      </w:r>
      <w:r w:rsidR="007D19FE">
        <w:fldChar w:fldCharType="begin"/>
      </w:r>
      <w:r w:rsidR="007D19FE">
        <w:instrText xml:space="preserve"> SEQ Table \* ARABIC </w:instrText>
      </w:r>
      <w:r w:rsidR="007D19FE">
        <w:fldChar w:fldCharType="separate"/>
      </w:r>
      <w:r>
        <w:rPr>
          <w:noProof/>
        </w:rPr>
        <w:t>2</w:t>
      </w:r>
      <w:r w:rsidR="007D19FE">
        <w:rPr>
          <w:noProof/>
        </w:rPr>
        <w:fldChar w:fldCharType="end"/>
      </w:r>
      <w:bookmarkEnd w:id="18"/>
      <w:r w:rsidRPr="00CE28E3">
        <w:tab/>
      </w:r>
      <w:bookmarkEnd w:id="19"/>
      <w:r w:rsidRPr="00612A10">
        <w:t>MBS items claimed for the comparator service</w:t>
      </w:r>
      <w:bookmarkEnd w:id="20"/>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507F6D" w:rsidRPr="00507F6D" w14:paraId="3908C719" w14:textId="77777777" w:rsidTr="002A0A22">
        <w:trPr>
          <w:cantSplit/>
          <w:tblHeader/>
        </w:trPr>
        <w:tc>
          <w:tcPr>
            <w:tcW w:w="9016" w:type="dxa"/>
          </w:tcPr>
          <w:p w14:paraId="21E3BE50" w14:textId="77777777" w:rsidR="00CE44AB" w:rsidRPr="00E739FF" w:rsidRDefault="00CE44AB" w:rsidP="002A0A22">
            <w:pPr>
              <w:pStyle w:val="Tabletext0"/>
            </w:pPr>
            <w:r w:rsidRPr="00E739FF">
              <w:t xml:space="preserve">Category 6 – PATHOLOGY SERVICE </w:t>
            </w:r>
          </w:p>
        </w:tc>
      </w:tr>
      <w:tr w:rsidR="00507F6D" w:rsidRPr="00507F6D" w14:paraId="70FCC7E8" w14:textId="77777777" w:rsidTr="002A0A22">
        <w:trPr>
          <w:cantSplit/>
          <w:tblHeader/>
        </w:trPr>
        <w:tc>
          <w:tcPr>
            <w:tcW w:w="9016" w:type="dxa"/>
          </w:tcPr>
          <w:p w14:paraId="20CAE13A" w14:textId="77777777" w:rsidR="00CE44AB" w:rsidRPr="00E739FF" w:rsidRDefault="00CE44AB" w:rsidP="002A0A22">
            <w:pPr>
              <w:pStyle w:val="Tabletext0"/>
              <w:rPr>
                <w:b/>
                <w:u w:color="FF0000"/>
              </w:rPr>
            </w:pPr>
            <w:r w:rsidRPr="00E739FF">
              <w:rPr>
                <w:b/>
                <w:u w:color="FF0000"/>
              </w:rPr>
              <w:t>69316</w:t>
            </w:r>
          </w:p>
          <w:p w14:paraId="222F2B10" w14:textId="77777777" w:rsidR="00CE44AB" w:rsidRPr="00E739FF" w:rsidRDefault="00CE44AB" w:rsidP="002A0A22">
            <w:pPr>
              <w:pStyle w:val="Tabletext0"/>
              <w:rPr>
                <w:u w:color="FF0000"/>
              </w:rPr>
            </w:pPr>
            <w:r w:rsidRPr="00E739FF">
              <w:rPr>
                <w:u w:color="FF0000"/>
              </w:rPr>
              <w:t xml:space="preserve">Detection of </w:t>
            </w:r>
            <w:r w:rsidRPr="00E739FF">
              <w:rPr>
                <w:i/>
                <w:u w:color="FF0000"/>
              </w:rPr>
              <w:t>Chlamydia trachomatis</w:t>
            </w:r>
            <w:r w:rsidRPr="00E739FF">
              <w:rPr>
                <w:u w:color="FF0000"/>
              </w:rPr>
              <w:t xml:space="preserve"> by any method - 1 test (Item is subject to rule 26) (Item is subject to restrictions in rule PR.9.1 of explanatory notes to this category)</w:t>
            </w:r>
          </w:p>
          <w:p w14:paraId="0693D91C" w14:textId="77777777" w:rsidR="00CE44AB" w:rsidRPr="00E739FF" w:rsidRDefault="00CE44AB" w:rsidP="002A0A22">
            <w:pPr>
              <w:pStyle w:val="Tabletext0"/>
              <w:rPr>
                <w:u w:color="FF0000"/>
              </w:rPr>
            </w:pPr>
            <w:r w:rsidRPr="00E739FF">
              <w:rPr>
                <w:u w:color="FF0000"/>
              </w:rPr>
              <w:t xml:space="preserve">Fee: $28.65 </w:t>
            </w:r>
            <w:r w:rsidRPr="00E739FF">
              <w:rPr>
                <w:bCs/>
                <w:u w:color="FF0000"/>
              </w:rPr>
              <w:t>Benefit</w:t>
            </w:r>
            <w:r w:rsidRPr="00E739FF">
              <w:rPr>
                <w:b/>
                <w:bCs/>
                <w:u w:color="FF0000"/>
              </w:rPr>
              <w:t xml:space="preserve">: </w:t>
            </w:r>
            <w:r w:rsidRPr="00E739FF">
              <w:rPr>
                <w:u w:color="FF0000"/>
              </w:rPr>
              <w:t>75% = $21.50 85% = $24.40</w:t>
            </w:r>
          </w:p>
        </w:tc>
      </w:tr>
      <w:tr w:rsidR="00507F6D" w:rsidRPr="00507F6D" w14:paraId="6C5FD529" w14:textId="77777777" w:rsidTr="002A0A22">
        <w:trPr>
          <w:cantSplit/>
          <w:tblHeader/>
        </w:trPr>
        <w:tc>
          <w:tcPr>
            <w:tcW w:w="9016" w:type="dxa"/>
          </w:tcPr>
          <w:p w14:paraId="6386E49A" w14:textId="77777777" w:rsidR="00CE44AB" w:rsidRPr="00E739FF" w:rsidRDefault="00CE44AB" w:rsidP="002A0A22">
            <w:pPr>
              <w:pStyle w:val="Tabletext0"/>
              <w:rPr>
                <w:b/>
                <w:u w:color="FF0000"/>
              </w:rPr>
            </w:pPr>
            <w:r w:rsidRPr="00E739FF">
              <w:rPr>
                <w:b/>
                <w:u w:color="FF0000"/>
              </w:rPr>
              <w:t>69317</w:t>
            </w:r>
          </w:p>
          <w:p w14:paraId="48FCCC6D" w14:textId="77777777" w:rsidR="00CE44AB" w:rsidRPr="00E739FF" w:rsidRDefault="00CE44AB" w:rsidP="002A0A22">
            <w:pPr>
              <w:pStyle w:val="Tabletext0"/>
              <w:rPr>
                <w:u w:color="FF0000"/>
              </w:rPr>
            </w:pPr>
            <w:r w:rsidRPr="00E739FF">
              <w:rPr>
                <w:u w:color="FF0000"/>
              </w:rPr>
              <w:t xml:space="preserve">1 test described in item 69494 and a test described in 69316. (Item is subject to rule 26) </w:t>
            </w:r>
          </w:p>
          <w:p w14:paraId="253B3B54" w14:textId="77777777" w:rsidR="00CE44AB" w:rsidRPr="00E739FF" w:rsidRDefault="00CE44AB" w:rsidP="002A0A22">
            <w:pPr>
              <w:pStyle w:val="Tabletext0"/>
              <w:rPr>
                <w:u w:color="FF0000"/>
              </w:rPr>
            </w:pPr>
            <w:r w:rsidRPr="00E739FF">
              <w:rPr>
                <w:u w:color="FF0000"/>
              </w:rPr>
              <w:t>Fee: $35.85 Benefit: 75% = $26.90 85% = $30.50</w:t>
            </w:r>
          </w:p>
        </w:tc>
      </w:tr>
      <w:tr w:rsidR="00507F6D" w:rsidRPr="00507F6D" w14:paraId="5F2F41BC" w14:textId="77777777" w:rsidTr="002A0A22">
        <w:trPr>
          <w:cantSplit/>
          <w:tblHeader/>
        </w:trPr>
        <w:tc>
          <w:tcPr>
            <w:tcW w:w="9016" w:type="dxa"/>
          </w:tcPr>
          <w:p w14:paraId="7607D48A" w14:textId="77777777" w:rsidR="00CE44AB" w:rsidRPr="00E739FF" w:rsidRDefault="00CE44AB" w:rsidP="002A0A22">
            <w:pPr>
              <w:pStyle w:val="Tabletext0"/>
              <w:rPr>
                <w:b/>
                <w:u w:color="FF0000"/>
              </w:rPr>
            </w:pPr>
            <w:r w:rsidRPr="00E739FF">
              <w:rPr>
                <w:b/>
                <w:u w:color="FF0000"/>
              </w:rPr>
              <w:t>69319</w:t>
            </w:r>
          </w:p>
          <w:p w14:paraId="2571AE97" w14:textId="77777777" w:rsidR="00CE44AB" w:rsidRPr="00E739FF" w:rsidRDefault="00CE44AB" w:rsidP="002A0A22">
            <w:pPr>
              <w:pStyle w:val="Tabletext0"/>
              <w:rPr>
                <w:u w:color="FF0000"/>
              </w:rPr>
            </w:pPr>
            <w:r w:rsidRPr="00E739FF">
              <w:rPr>
                <w:u w:color="FF0000"/>
              </w:rPr>
              <w:t>2 tests described in item 69494 and a test described in 69316. (Item is subject to rule 26)</w:t>
            </w:r>
          </w:p>
          <w:p w14:paraId="1543A575" w14:textId="77777777" w:rsidR="00CE44AB" w:rsidRPr="00E739FF" w:rsidRDefault="00CE44AB" w:rsidP="002A0A22">
            <w:pPr>
              <w:pStyle w:val="Tabletext0"/>
              <w:rPr>
                <w:u w:color="FF0000"/>
              </w:rPr>
            </w:pPr>
            <w:r w:rsidRPr="00E739FF">
              <w:rPr>
                <w:u w:color="FF0000"/>
              </w:rPr>
              <w:t>Fee: $42.95 Benefit: 75% = $32.25 85% = $36.55</w:t>
            </w:r>
          </w:p>
        </w:tc>
      </w:tr>
      <w:tr w:rsidR="00507F6D" w:rsidRPr="00507F6D" w14:paraId="20266EB3" w14:textId="77777777" w:rsidTr="002A0A22">
        <w:trPr>
          <w:cantSplit/>
          <w:tblHeader/>
        </w:trPr>
        <w:tc>
          <w:tcPr>
            <w:tcW w:w="9016" w:type="dxa"/>
          </w:tcPr>
          <w:p w14:paraId="75B0FCAA" w14:textId="77777777" w:rsidR="00CE44AB" w:rsidRPr="00E739FF" w:rsidRDefault="00CE44AB" w:rsidP="002A0A22">
            <w:pPr>
              <w:pStyle w:val="Tabletext0"/>
              <w:rPr>
                <w:b/>
                <w:u w:color="FF0000"/>
              </w:rPr>
            </w:pPr>
            <w:r w:rsidRPr="00E739FF">
              <w:rPr>
                <w:b/>
                <w:u w:color="FF0000"/>
              </w:rPr>
              <w:t>69494</w:t>
            </w:r>
          </w:p>
          <w:p w14:paraId="21DA0DD4" w14:textId="77777777" w:rsidR="00CE44AB" w:rsidRPr="00E739FF" w:rsidRDefault="00CE44AB" w:rsidP="002A0A22">
            <w:pPr>
              <w:pStyle w:val="Tabletext0"/>
              <w:rPr>
                <w:u w:color="FF0000"/>
              </w:rPr>
            </w:pPr>
            <w:r w:rsidRPr="00E739FF">
              <w:rPr>
                <w:u w:color="FF0000"/>
              </w:rPr>
              <w:t>Detection of a virus or microbial antigen or microbial nucleic acid (not elsewhere specified) 1 test</w:t>
            </w:r>
          </w:p>
          <w:p w14:paraId="45515276" w14:textId="77777777" w:rsidR="00CE44AB" w:rsidRPr="00E739FF" w:rsidRDefault="00CE44AB" w:rsidP="002A0A22">
            <w:pPr>
              <w:pStyle w:val="Tabletext0"/>
              <w:rPr>
                <w:u w:color="FF0000"/>
              </w:rPr>
            </w:pPr>
            <w:r w:rsidRPr="00E739FF">
              <w:rPr>
                <w:u w:color="FF0000"/>
              </w:rPr>
              <w:t>(Item is subject to rule 6 and 26)</w:t>
            </w:r>
          </w:p>
          <w:p w14:paraId="5BD5478A" w14:textId="77777777" w:rsidR="00CE44AB" w:rsidRPr="00E739FF" w:rsidRDefault="00CE44AB" w:rsidP="002A0A22">
            <w:pPr>
              <w:pStyle w:val="Tabletext0"/>
              <w:rPr>
                <w:u w:color="FF0000"/>
              </w:rPr>
            </w:pPr>
            <w:r w:rsidRPr="00E739FF">
              <w:rPr>
                <w:u w:color="FF0000"/>
              </w:rPr>
              <w:t xml:space="preserve">Fee: $28.65 </w:t>
            </w:r>
            <w:r w:rsidRPr="00E739FF">
              <w:rPr>
                <w:b/>
                <w:bCs/>
                <w:u w:color="FF0000"/>
              </w:rPr>
              <w:t xml:space="preserve">Benefit: </w:t>
            </w:r>
            <w:r w:rsidRPr="00E739FF">
              <w:rPr>
                <w:u w:color="FF0000"/>
              </w:rPr>
              <w:t>75% = $21.50 85% = $24.40</w:t>
            </w:r>
          </w:p>
        </w:tc>
      </w:tr>
      <w:tr w:rsidR="00507F6D" w:rsidRPr="00507F6D" w14:paraId="1EB8B0BB" w14:textId="77777777" w:rsidTr="002A0A22">
        <w:trPr>
          <w:cantSplit/>
          <w:tblHeader/>
        </w:trPr>
        <w:tc>
          <w:tcPr>
            <w:tcW w:w="9016" w:type="dxa"/>
          </w:tcPr>
          <w:p w14:paraId="2D4DF851" w14:textId="77777777" w:rsidR="00CE44AB" w:rsidRPr="005F6A90" w:rsidRDefault="00CE44AB" w:rsidP="002A0A22">
            <w:pPr>
              <w:pStyle w:val="Tabletext0"/>
              <w:rPr>
                <w:b/>
                <w:u w:color="FF0000"/>
              </w:rPr>
            </w:pPr>
            <w:r w:rsidRPr="005F6A90">
              <w:rPr>
                <w:b/>
                <w:u w:color="FF0000"/>
              </w:rPr>
              <w:t>73939</w:t>
            </w:r>
          </w:p>
          <w:p w14:paraId="233BFF3D" w14:textId="604137F3" w:rsidR="00CE44AB" w:rsidRPr="005F6A90" w:rsidRDefault="00CE44AB" w:rsidP="002A0A22">
            <w:pPr>
              <w:pStyle w:val="Tabletext0"/>
              <w:rPr>
                <w:u w:color="FF0000"/>
              </w:rPr>
            </w:pPr>
            <w:r w:rsidRPr="005F6A90">
              <w:rPr>
                <w:u w:color="FF0000"/>
              </w:rPr>
              <w:t xml:space="preserve">Initiation of a patient episode by collection of a specimen for 1 or more services (other than those services described in items 73922, 73924 or 73926), if the specimen is collected by or on behalf of the treating practitioner and if: </w:t>
            </w:r>
          </w:p>
          <w:p w14:paraId="4FBB8965" w14:textId="55865E18" w:rsidR="00CE44AB" w:rsidRPr="005F6A90" w:rsidRDefault="00CE44AB" w:rsidP="002A0A22">
            <w:pPr>
              <w:pStyle w:val="Tabletext0"/>
              <w:rPr>
                <w:u w:color="FF0000"/>
              </w:rPr>
            </w:pPr>
            <w:r w:rsidRPr="005F6A90">
              <w:rPr>
                <w:u w:color="FF0000"/>
              </w:rPr>
              <w:t xml:space="preserve">() the service is performed in a prescribed laboratory or </w:t>
            </w:r>
          </w:p>
          <w:p w14:paraId="6892D768" w14:textId="1ED49A49" w:rsidR="00CE44AB" w:rsidRPr="005F6A90" w:rsidRDefault="00CE44AB" w:rsidP="002A0A22">
            <w:pPr>
              <w:pStyle w:val="Tabletext0"/>
              <w:rPr>
                <w:u w:color="FF0000"/>
              </w:rPr>
            </w:pPr>
            <w:r w:rsidRPr="005F6A90">
              <w:rPr>
                <w:u w:color="FF0000"/>
              </w:rPr>
              <w:t xml:space="preserve">() the person is a private patient in a recognised hospital </w:t>
            </w:r>
          </w:p>
          <w:p w14:paraId="645EAA50" w14:textId="77777777" w:rsidR="00CE44AB" w:rsidRPr="005F6A90" w:rsidRDefault="00CE44AB" w:rsidP="002A0A22">
            <w:pPr>
              <w:pStyle w:val="Tabletext0"/>
              <w:rPr>
                <w:b/>
                <w:u w:color="FF0000"/>
              </w:rPr>
            </w:pPr>
            <w:r w:rsidRPr="005F6A90">
              <w:rPr>
                <w:u w:color="FF0000"/>
              </w:rPr>
              <w:t xml:space="preserve">Fee:  $2.40 </w:t>
            </w:r>
            <w:r w:rsidRPr="005F6A90">
              <w:rPr>
                <w:bCs/>
                <w:u w:color="FF0000"/>
              </w:rPr>
              <w:t>Benefit:</w:t>
            </w:r>
            <w:r w:rsidRPr="005F6A90">
              <w:rPr>
                <w:u w:color="FF0000"/>
              </w:rPr>
              <w:t xml:space="preserve"> 75% = $1.80 85% = $2.05</w:t>
            </w:r>
          </w:p>
        </w:tc>
      </w:tr>
    </w:tbl>
    <w:p w14:paraId="7B14C952" w14:textId="03F01DCA" w:rsidR="00CE44AB" w:rsidRPr="00507F6D" w:rsidRDefault="00507F6D" w:rsidP="005F6A90">
      <w:pPr>
        <w:pStyle w:val="TableFooter"/>
      </w:pPr>
      <w:r>
        <w:t xml:space="preserve">Source: Commentary Table 1, </w:t>
      </w:r>
      <w:proofErr w:type="spellStart"/>
      <w:r>
        <w:t>pg</w:t>
      </w:r>
      <w:proofErr w:type="spellEnd"/>
      <w:r>
        <w:t xml:space="preserve"> 35 of MSAC 1627 </w:t>
      </w:r>
      <w:proofErr w:type="spellStart"/>
      <w:r>
        <w:t>ADAR</w:t>
      </w:r>
      <w:r>
        <w:rPr>
          <w:szCs w:val="18"/>
        </w:rPr>
        <w:t>+in-line</w:t>
      </w:r>
      <w:proofErr w:type="spellEnd"/>
      <w:r>
        <w:rPr>
          <w:szCs w:val="18"/>
        </w:rPr>
        <w:t xml:space="preserve"> commentary</w:t>
      </w:r>
    </w:p>
    <w:p w14:paraId="47BC3A84" w14:textId="20C5F213" w:rsidR="00772829" w:rsidRPr="00CE28E3" w:rsidRDefault="008A2C9F" w:rsidP="002A18BE">
      <w:pPr>
        <w:pStyle w:val="Heading2"/>
        <w:numPr>
          <w:ilvl w:val="0"/>
          <w:numId w:val="0"/>
        </w:numPr>
      </w:pPr>
      <w:r>
        <w:lastRenderedPageBreak/>
        <w:t>9</w:t>
      </w:r>
      <w:r w:rsidR="00C36633">
        <w:t>.</w:t>
      </w:r>
      <w:r w:rsidR="00C36633">
        <w:tab/>
      </w:r>
      <w:r w:rsidR="00772829" w:rsidRPr="00CE28E3">
        <w:t xml:space="preserve">Summary of public consultation </w:t>
      </w:r>
      <w:r w:rsidR="0052575D">
        <w:t>input</w:t>
      </w:r>
      <w:bookmarkEnd w:id="17"/>
    </w:p>
    <w:p w14:paraId="4578E319" w14:textId="77777777" w:rsidR="004F3345" w:rsidRPr="00400D69" w:rsidRDefault="004F3345" w:rsidP="004F3345">
      <w:bookmarkStart w:id="21" w:name="_Hlk117151700"/>
      <w:bookmarkStart w:id="22" w:name="_Toc69491422"/>
      <w:r>
        <w:t>T</w:t>
      </w:r>
      <w:r w:rsidRPr="00D33C2C">
        <w:t xml:space="preserve">he Department received responses to the consultation survey </w:t>
      </w:r>
      <w:r w:rsidRPr="00400D69">
        <w:t>from</w:t>
      </w:r>
      <w:r>
        <w:t xml:space="preserve"> nine individuals (four GPs, four registered nurses, one regional sexual health facilitator) and the following twelve</w:t>
      </w:r>
      <w:r w:rsidRPr="00400D69">
        <w:t xml:space="preserve"> organisations:</w:t>
      </w:r>
    </w:p>
    <w:p w14:paraId="49AD0C2D" w14:textId="77777777" w:rsidR="004F3345" w:rsidRDefault="004F3345" w:rsidP="004F3345">
      <w:pPr>
        <w:pStyle w:val="ListParagraph"/>
        <w:numPr>
          <w:ilvl w:val="0"/>
          <w:numId w:val="23"/>
        </w:numPr>
        <w:spacing w:before="0" w:after="200" w:line="276" w:lineRule="auto"/>
      </w:pPr>
      <w:r w:rsidRPr="00400D69">
        <w:t>Australasian Society for HIV, Viral Hepatitis and Sexual Health Medicine (ASHM)</w:t>
      </w:r>
    </w:p>
    <w:p w14:paraId="0EB8F457" w14:textId="77777777" w:rsidR="004F3345" w:rsidRPr="00400D69" w:rsidRDefault="004F3345" w:rsidP="004F3345">
      <w:pPr>
        <w:pStyle w:val="ListParagraph"/>
        <w:numPr>
          <w:ilvl w:val="0"/>
          <w:numId w:val="23"/>
        </w:numPr>
        <w:spacing w:before="0" w:after="200" w:line="276" w:lineRule="auto"/>
      </w:pPr>
      <w:r w:rsidRPr="00530E4E">
        <w:t xml:space="preserve">Australian Pathology (AP) </w:t>
      </w:r>
    </w:p>
    <w:p w14:paraId="688266D9" w14:textId="77777777" w:rsidR="004F3345" w:rsidRPr="00533D82" w:rsidRDefault="004F3345" w:rsidP="004F3345">
      <w:pPr>
        <w:pStyle w:val="ListParagraph"/>
        <w:numPr>
          <w:ilvl w:val="0"/>
          <w:numId w:val="23"/>
        </w:numPr>
        <w:spacing w:before="0" w:after="200" w:line="276" w:lineRule="auto"/>
        <w:rPr>
          <w:rFonts w:asciiTheme="minorHAnsi" w:hAnsiTheme="minorHAnsi" w:cstheme="minorHAnsi"/>
          <w:szCs w:val="16"/>
        </w:rPr>
      </w:pPr>
      <w:proofErr w:type="spellStart"/>
      <w:r w:rsidRPr="00BF635C">
        <w:t>DiaSorin</w:t>
      </w:r>
      <w:proofErr w:type="spellEnd"/>
      <w:r w:rsidRPr="00BF635C">
        <w:t xml:space="preserve"> Australia Pty Ltd </w:t>
      </w:r>
    </w:p>
    <w:p w14:paraId="6DB08A57" w14:textId="77777777" w:rsidR="004F3345" w:rsidRPr="00533D82" w:rsidRDefault="004F3345" w:rsidP="004F3345">
      <w:pPr>
        <w:pStyle w:val="ListParagraph"/>
        <w:numPr>
          <w:ilvl w:val="0"/>
          <w:numId w:val="23"/>
        </w:numPr>
        <w:spacing w:before="0" w:after="200" w:line="276" w:lineRule="auto"/>
        <w:rPr>
          <w:rFonts w:asciiTheme="minorHAnsi" w:hAnsiTheme="minorHAnsi" w:cstheme="minorHAnsi"/>
          <w:szCs w:val="16"/>
        </w:rPr>
      </w:pPr>
      <w:proofErr w:type="spellStart"/>
      <w:r w:rsidRPr="00533D82">
        <w:t>Mawarnkarra</w:t>
      </w:r>
      <w:proofErr w:type="spellEnd"/>
      <w:r w:rsidRPr="00533D82">
        <w:t xml:space="preserve"> Health Service</w:t>
      </w:r>
    </w:p>
    <w:p w14:paraId="28B820F2" w14:textId="77777777" w:rsidR="004F3345" w:rsidRPr="00533D82" w:rsidRDefault="004F3345" w:rsidP="004F3345">
      <w:pPr>
        <w:pStyle w:val="ListParagraph"/>
        <w:numPr>
          <w:ilvl w:val="0"/>
          <w:numId w:val="23"/>
        </w:numPr>
        <w:spacing w:before="0" w:after="200" w:line="276" w:lineRule="auto"/>
        <w:rPr>
          <w:rFonts w:asciiTheme="minorHAnsi" w:hAnsiTheme="minorHAnsi" w:cstheme="minorHAnsi"/>
          <w:szCs w:val="16"/>
        </w:rPr>
      </w:pPr>
      <w:r>
        <w:t xml:space="preserve">National Pathology Accreditation Advisory Council (NPAAC) </w:t>
      </w:r>
    </w:p>
    <w:p w14:paraId="3AD4A8C6" w14:textId="77777777" w:rsidR="004F3345" w:rsidRPr="00533D82" w:rsidRDefault="004F3345" w:rsidP="004F3345">
      <w:pPr>
        <w:pStyle w:val="ListParagraph"/>
        <w:numPr>
          <w:ilvl w:val="0"/>
          <w:numId w:val="23"/>
        </w:numPr>
        <w:spacing w:before="0" w:after="200" w:line="276" w:lineRule="auto"/>
      </w:pPr>
      <w:r w:rsidRPr="00533D82">
        <w:t>Ngaanyatjarra Health Service</w:t>
      </w:r>
    </w:p>
    <w:p w14:paraId="0B5B8B00" w14:textId="77777777" w:rsidR="004F3345" w:rsidRDefault="004F3345" w:rsidP="004F3345">
      <w:pPr>
        <w:pStyle w:val="ListParagraph"/>
        <w:numPr>
          <w:ilvl w:val="0"/>
          <w:numId w:val="23"/>
        </w:numPr>
        <w:spacing w:before="0" w:after="200" w:line="276" w:lineRule="auto"/>
      </w:pPr>
      <w:r w:rsidRPr="00400D69">
        <w:t>Public Pathology Australia (PPA)</w:t>
      </w:r>
      <w:r w:rsidRPr="00533D82">
        <w:t xml:space="preserve"> </w:t>
      </w:r>
    </w:p>
    <w:p w14:paraId="51F03506" w14:textId="77777777" w:rsidR="004F3345" w:rsidRPr="00BF635C" w:rsidRDefault="004F3345" w:rsidP="004F3345">
      <w:pPr>
        <w:pStyle w:val="ListParagraph"/>
        <w:numPr>
          <w:ilvl w:val="0"/>
          <w:numId w:val="23"/>
        </w:numPr>
        <w:spacing w:before="0" w:after="200" w:line="276" w:lineRule="auto"/>
      </w:pPr>
      <w:r w:rsidRPr="00533D82">
        <w:t>The Australian Indigenous Doctors’ Association (AIDA)</w:t>
      </w:r>
    </w:p>
    <w:p w14:paraId="072EFF99" w14:textId="77777777" w:rsidR="004F3345" w:rsidRPr="00533D82" w:rsidRDefault="004F3345" w:rsidP="004F3345">
      <w:pPr>
        <w:pStyle w:val="ListParagraph"/>
        <w:numPr>
          <w:ilvl w:val="0"/>
          <w:numId w:val="23"/>
        </w:numPr>
        <w:spacing w:before="0" w:after="200" w:line="276" w:lineRule="auto"/>
        <w:rPr>
          <w:rFonts w:asciiTheme="minorHAnsi" w:hAnsiTheme="minorHAnsi" w:cstheme="minorHAnsi"/>
          <w:szCs w:val="16"/>
        </w:rPr>
      </w:pPr>
      <w:r>
        <w:t xml:space="preserve">The National Rural Health Alliance (NRHA) </w:t>
      </w:r>
    </w:p>
    <w:p w14:paraId="311050F2" w14:textId="77777777" w:rsidR="004F3345" w:rsidRPr="00533D82" w:rsidRDefault="004F3345" w:rsidP="004F3345">
      <w:pPr>
        <w:pStyle w:val="ListParagraph"/>
        <w:numPr>
          <w:ilvl w:val="0"/>
          <w:numId w:val="23"/>
        </w:numPr>
        <w:spacing w:before="0" w:after="200" w:line="276" w:lineRule="auto"/>
      </w:pPr>
      <w:r w:rsidRPr="00533D82">
        <w:t>The Royal Australian College of General Practitioners (RACGP)</w:t>
      </w:r>
    </w:p>
    <w:p w14:paraId="59FE2EE0" w14:textId="77777777" w:rsidR="004F3345" w:rsidRPr="000D5179" w:rsidRDefault="004F3345" w:rsidP="004F3345">
      <w:pPr>
        <w:pStyle w:val="ListParagraph"/>
        <w:numPr>
          <w:ilvl w:val="0"/>
          <w:numId w:val="23"/>
        </w:numPr>
        <w:spacing w:before="0" w:after="200" w:line="276" w:lineRule="auto"/>
        <w:rPr>
          <w:rFonts w:asciiTheme="minorHAnsi" w:hAnsiTheme="minorHAnsi" w:cstheme="minorHAnsi"/>
          <w:szCs w:val="16"/>
        </w:rPr>
      </w:pPr>
      <w:r>
        <w:t>The Royal Australian College of Physicians (RACP)</w:t>
      </w:r>
    </w:p>
    <w:p w14:paraId="075934D9" w14:textId="77777777" w:rsidR="004F3345" w:rsidRPr="00AC0A63" w:rsidRDefault="004F3345" w:rsidP="004F3345">
      <w:pPr>
        <w:pStyle w:val="ListParagraph"/>
        <w:numPr>
          <w:ilvl w:val="0"/>
          <w:numId w:val="23"/>
        </w:numPr>
        <w:spacing w:before="0" w:after="200" w:line="276" w:lineRule="auto"/>
        <w:rPr>
          <w:rFonts w:asciiTheme="minorHAnsi" w:hAnsiTheme="minorHAnsi" w:cstheme="minorHAnsi"/>
          <w:szCs w:val="16"/>
        </w:rPr>
      </w:pPr>
      <w:r>
        <w:t xml:space="preserve">Aboriginal Health Council of SA </w:t>
      </w:r>
      <w:proofErr w:type="spellStart"/>
      <w:r>
        <w:t>Ltd’s</w:t>
      </w:r>
      <w:proofErr w:type="spellEnd"/>
      <w:r>
        <w:t xml:space="preserve"> Sexual Health and BBV Program </w:t>
      </w:r>
    </w:p>
    <w:p w14:paraId="044D2AC6" w14:textId="77777777" w:rsidR="004F3345" w:rsidRDefault="004F3345" w:rsidP="004F3345">
      <w:r>
        <w:t xml:space="preserve">All feedback was supportive and noted that the STIs considered in the application are a significant public health issue in predominantly Aboriginal and Torres Strait Islander communities in rural and remote Australia. The statements highlighted that increased access to testing will help to close the gap and reduce health inequalities for Aboriginal and Torres Strait Islander people. </w:t>
      </w:r>
    </w:p>
    <w:p w14:paraId="1F6E9B6A" w14:textId="77777777" w:rsidR="004F3345" w:rsidRDefault="004F3345" w:rsidP="004F3345">
      <w:r>
        <w:t xml:space="preserve">The feedback suggested the following advantages of the POC tests: </w:t>
      </w:r>
    </w:p>
    <w:p w14:paraId="714CEECC" w14:textId="77777777" w:rsidR="004F3345" w:rsidRDefault="004F3345" w:rsidP="004F3345">
      <w:pPr>
        <w:pStyle w:val="ListParagraph"/>
        <w:numPr>
          <w:ilvl w:val="0"/>
          <w:numId w:val="22"/>
        </w:numPr>
        <w:spacing w:before="0" w:after="200" w:line="276" w:lineRule="auto"/>
      </w:pPr>
      <w:r>
        <w:t>Decreased turn-around time for the test result will lead to timelier diagnosis, resulting in quicker treatment initiation, improving patient management, reduce unnecessary use of antibiotics and improve patient prognosis with reduction in conditions linked to STIs.</w:t>
      </w:r>
    </w:p>
    <w:p w14:paraId="2F71F847" w14:textId="77777777" w:rsidR="004F3345" w:rsidRDefault="004F3345" w:rsidP="004F3345">
      <w:pPr>
        <w:pStyle w:val="ListParagraph"/>
        <w:numPr>
          <w:ilvl w:val="0"/>
          <w:numId w:val="22"/>
        </w:numPr>
        <w:spacing w:before="0" w:after="200" w:line="276" w:lineRule="auto"/>
      </w:pPr>
      <w:r>
        <w:rPr>
          <w:rFonts w:eastAsia="Times New Roman"/>
        </w:rPr>
        <w:t>POC testing provides a clinical decision-making tool that can provide an accurate diagnosis for patients presenting with unexplained symptoms (</w:t>
      </w:r>
      <w:proofErr w:type="gramStart"/>
      <w:r>
        <w:rPr>
          <w:rFonts w:eastAsia="Times New Roman"/>
        </w:rPr>
        <w:t>e.g.</w:t>
      </w:r>
      <w:proofErr w:type="gramEnd"/>
      <w:r>
        <w:rPr>
          <w:rFonts w:eastAsia="Times New Roman"/>
        </w:rPr>
        <w:t xml:space="preserve"> abdominal pain) within 90 minutes. </w:t>
      </w:r>
    </w:p>
    <w:p w14:paraId="424E927C" w14:textId="77777777" w:rsidR="004F3345" w:rsidRDefault="004F3345" w:rsidP="004F3345">
      <w:pPr>
        <w:pStyle w:val="ListParagraph"/>
        <w:numPr>
          <w:ilvl w:val="0"/>
          <w:numId w:val="22"/>
        </w:numPr>
        <w:spacing w:before="0" w:after="200" w:line="276" w:lineRule="auto"/>
      </w:pPr>
      <w:r>
        <w:t>Potentially improved patient tolerability and awareness around STI testing, with increased agency and reduction in cultural and social stigma surrounding STIs.</w:t>
      </w:r>
    </w:p>
    <w:p w14:paraId="5B567EF4" w14:textId="77777777" w:rsidR="004F3345" w:rsidRDefault="004F3345" w:rsidP="004F3345">
      <w:pPr>
        <w:pStyle w:val="ListParagraph"/>
        <w:numPr>
          <w:ilvl w:val="0"/>
          <w:numId w:val="22"/>
        </w:numPr>
        <w:spacing w:before="0" w:after="200" w:line="276" w:lineRule="auto"/>
      </w:pPr>
      <w:r>
        <w:t>Decreased number of patients lost to follow up, and expedited contact tracing</w:t>
      </w:r>
      <w:r w:rsidRPr="006E57D0">
        <w:t xml:space="preserve"> </w:t>
      </w:r>
      <w:r>
        <w:t xml:space="preserve">(which may reduce further transmission). </w:t>
      </w:r>
    </w:p>
    <w:p w14:paraId="205143AA" w14:textId="77777777" w:rsidR="004F3345" w:rsidRDefault="004F3345" w:rsidP="004F3345">
      <w:pPr>
        <w:pStyle w:val="ListParagraph"/>
        <w:numPr>
          <w:ilvl w:val="0"/>
          <w:numId w:val="22"/>
        </w:numPr>
        <w:spacing w:before="0" w:after="200" w:line="276" w:lineRule="auto"/>
      </w:pPr>
      <w:r>
        <w:t xml:space="preserve">Reduced financial and environmental impacts of flying samples to laboratories and tracing patients who return a positive result from laboratory-based testing. </w:t>
      </w:r>
    </w:p>
    <w:p w14:paraId="689D8F3F" w14:textId="77777777" w:rsidR="004F3345" w:rsidRDefault="004F3345" w:rsidP="004F3345">
      <w:r>
        <w:t xml:space="preserve">Disadvantages stated in the feedback received were: </w:t>
      </w:r>
    </w:p>
    <w:p w14:paraId="7F8D5074" w14:textId="77777777" w:rsidR="004F3345" w:rsidRDefault="004F3345" w:rsidP="004F3345">
      <w:pPr>
        <w:pStyle w:val="ListParagraph"/>
        <w:numPr>
          <w:ilvl w:val="0"/>
          <w:numId w:val="22"/>
        </w:numPr>
        <w:spacing w:before="0" w:after="200" w:line="276" w:lineRule="auto"/>
      </w:pPr>
      <w:r>
        <w:t>90 minutes is a long time for patients to wait for results. However, responses also noted:</w:t>
      </w:r>
    </w:p>
    <w:p w14:paraId="6B5479E9" w14:textId="77777777" w:rsidR="004F3345" w:rsidRDefault="004F3345" w:rsidP="004F3345">
      <w:pPr>
        <w:pStyle w:val="ListParagraph"/>
        <w:numPr>
          <w:ilvl w:val="1"/>
          <w:numId w:val="22"/>
        </w:numPr>
        <w:spacing w:before="0" w:after="200" w:line="276" w:lineRule="auto"/>
      </w:pPr>
      <w:r>
        <w:t xml:space="preserve">the ability to find the patient after 90 minutes is greater than multiple days </w:t>
      </w:r>
    </w:p>
    <w:p w14:paraId="22D5BE95" w14:textId="77777777" w:rsidR="004F3345" w:rsidRDefault="004F3345" w:rsidP="004F3345">
      <w:pPr>
        <w:pStyle w:val="ListParagraph"/>
        <w:numPr>
          <w:ilvl w:val="1"/>
          <w:numId w:val="22"/>
        </w:numPr>
        <w:spacing w:before="0" w:after="200" w:line="276" w:lineRule="auto"/>
      </w:pPr>
      <w:r>
        <w:t xml:space="preserve">the wait can provide an opportunity for sexual health education. </w:t>
      </w:r>
    </w:p>
    <w:p w14:paraId="7CFD12FF" w14:textId="77777777" w:rsidR="004F3345" w:rsidRDefault="004F3345" w:rsidP="004F3345">
      <w:pPr>
        <w:pStyle w:val="ListParagraph"/>
        <w:numPr>
          <w:ilvl w:val="0"/>
          <w:numId w:val="22"/>
        </w:numPr>
        <w:spacing w:before="0" w:after="200" w:line="276" w:lineRule="auto"/>
      </w:pPr>
      <w:r>
        <w:t>T</w:t>
      </w:r>
      <w:r w:rsidRPr="005E0212">
        <w:t xml:space="preserve">raining </w:t>
      </w:r>
      <w:r>
        <w:t xml:space="preserve">is required to deliver this test which can be challenging with high staff turnover. </w:t>
      </w:r>
    </w:p>
    <w:p w14:paraId="7D0272D9" w14:textId="77777777" w:rsidR="004F3345" w:rsidRDefault="004F3345" w:rsidP="00BC0139">
      <w:pPr>
        <w:keepNext/>
        <w:keepLines/>
      </w:pPr>
      <w:r>
        <w:lastRenderedPageBreak/>
        <w:t xml:space="preserve">Other information provided in the consultation feedback included: </w:t>
      </w:r>
    </w:p>
    <w:p w14:paraId="61FCE5F7" w14:textId="77777777" w:rsidR="004F3345" w:rsidRDefault="004F3345" w:rsidP="00BC0139">
      <w:pPr>
        <w:pStyle w:val="ListParagraph"/>
        <w:keepNext/>
        <w:keepLines/>
        <w:numPr>
          <w:ilvl w:val="0"/>
          <w:numId w:val="22"/>
        </w:numPr>
        <w:spacing w:before="0" w:after="200" w:line="276" w:lineRule="auto"/>
      </w:pPr>
      <w:r>
        <w:t xml:space="preserve">Having an overly restrictive item descriptor (for example restricting by Aboriginal or Torres Strait Islander origin or having thresholds for when the POC test should be used) could result in challenges in determining patient eligibility for the POC test. </w:t>
      </w:r>
    </w:p>
    <w:p w14:paraId="3E0F2DBD" w14:textId="77777777" w:rsidR="004F3345" w:rsidRDefault="004F3345" w:rsidP="004F3345">
      <w:pPr>
        <w:pStyle w:val="ListParagraph"/>
        <w:numPr>
          <w:ilvl w:val="0"/>
          <w:numId w:val="22"/>
        </w:numPr>
        <w:spacing w:before="0" w:after="200" w:line="276" w:lineRule="auto"/>
      </w:pPr>
      <w:r>
        <w:t xml:space="preserve">POC tests may also benefit patients in both inner and outer regional areas where access to specialised health services </w:t>
      </w:r>
      <w:proofErr w:type="gramStart"/>
      <w:r>
        <w:t>are</w:t>
      </w:r>
      <w:proofErr w:type="gramEnd"/>
      <w:r>
        <w:t xml:space="preserve"> limited and all populations with high rates of STIs (irrespective of location), including men who have sex with men. </w:t>
      </w:r>
    </w:p>
    <w:p w14:paraId="675A92E9" w14:textId="77777777" w:rsidR="004F3345" w:rsidRDefault="004F3345" w:rsidP="004F3345">
      <w:pPr>
        <w:pStyle w:val="ListParagraph"/>
        <w:numPr>
          <w:ilvl w:val="0"/>
          <w:numId w:val="22"/>
        </w:numPr>
        <w:spacing w:before="0" w:after="200" w:line="276" w:lineRule="auto"/>
      </w:pPr>
      <w:r>
        <w:t xml:space="preserve">There must be adequate quality control and training of providers to ensure effective provision of this service and service providers should have support from a supporting pathology laboratory or clinical microbiologist in case of technical/clinical difficulty. </w:t>
      </w:r>
    </w:p>
    <w:p w14:paraId="45C0757E" w14:textId="77777777" w:rsidR="004F3345" w:rsidRDefault="004F3345" w:rsidP="004F3345">
      <w:pPr>
        <w:pStyle w:val="ListParagraph"/>
        <w:numPr>
          <w:ilvl w:val="1"/>
          <w:numId w:val="22"/>
        </w:numPr>
      </w:pPr>
      <w:r>
        <w:t>The National Pathology Accreditation Advisory Council Standard on Requirements for POC testing in community settings is in final draft and awaiting release and this will replace existing guidelines.</w:t>
      </w:r>
    </w:p>
    <w:p w14:paraId="3D5081F8" w14:textId="7348AA76" w:rsidR="001674BF" w:rsidRDefault="004F3345" w:rsidP="004F3345">
      <w:pPr>
        <w:pStyle w:val="ListParagraph"/>
        <w:numPr>
          <w:ilvl w:val="1"/>
          <w:numId w:val="22"/>
        </w:numPr>
      </w:pPr>
      <w:r>
        <w:t>The Royal College of Pathologists Australia - Quality Assurance Programs will develop a program for STI POC testing in 2022.</w:t>
      </w:r>
    </w:p>
    <w:bookmarkEnd w:id="21"/>
    <w:p w14:paraId="03C7A1F1" w14:textId="48A7F844" w:rsidR="00772829" w:rsidRPr="00CE28E3" w:rsidRDefault="008A2C9F" w:rsidP="002A18BE">
      <w:pPr>
        <w:pStyle w:val="Heading2"/>
        <w:numPr>
          <w:ilvl w:val="0"/>
          <w:numId w:val="0"/>
        </w:numPr>
      </w:pPr>
      <w:r>
        <w:t>10</w:t>
      </w:r>
      <w:r w:rsidR="00C36633">
        <w:t>.</w:t>
      </w:r>
      <w:r w:rsidR="00C36633">
        <w:tab/>
      </w:r>
      <w:r w:rsidR="00772829" w:rsidRPr="00CE28E3">
        <w:t>Characteristics of the evidence base</w:t>
      </w:r>
      <w:bookmarkEnd w:id="22"/>
    </w:p>
    <w:p w14:paraId="77FADDC6" w14:textId="6E1AE997" w:rsidR="00CA478F" w:rsidRPr="00CA478F" w:rsidRDefault="00E03951">
      <w:pPr>
        <w:spacing w:before="0"/>
        <w:rPr>
          <w:rFonts w:eastAsia="Calibri" w:cs="Times New Roman"/>
        </w:rPr>
      </w:pPr>
      <w:bookmarkStart w:id="23" w:name="_Hlk68276176"/>
      <w:r w:rsidRPr="00E03951">
        <w:rPr>
          <w:rFonts w:eastAsia="Calibri" w:cs="Times New Roman"/>
        </w:rPr>
        <w:t xml:space="preserve">Overall, there was relatively limited evidence for every component of the assessment report, except for test accuracy in detection of </w:t>
      </w:r>
      <w:r>
        <w:rPr>
          <w:rFonts w:eastAsia="Calibri" w:cs="Times New Roman"/>
        </w:rPr>
        <w:t xml:space="preserve">CT, </w:t>
      </w:r>
      <w:proofErr w:type="gramStart"/>
      <w:r>
        <w:rPr>
          <w:rFonts w:eastAsia="Calibri" w:cs="Times New Roman"/>
        </w:rPr>
        <w:t>NG</w:t>
      </w:r>
      <w:proofErr w:type="gramEnd"/>
      <w:r>
        <w:rPr>
          <w:rFonts w:eastAsia="Calibri" w:cs="Times New Roman"/>
        </w:rPr>
        <w:t xml:space="preserve"> and TV</w:t>
      </w:r>
      <w:r w:rsidR="00703254">
        <w:rPr>
          <w:rFonts w:eastAsia="Calibri" w:cs="Times New Roman"/>
        </w:rPr>
        <w:t xml:space="preserve"> via POC testing in remote communities</w:t>
      </w:r>
      <w:r w:rsidRPr="00E03951">
        <w:rPr>
          <w:rFonts w:eastAsia="Calibri" w:cs="Times New Roman"/>
        </w:rPr>
        <w:t>. A summary of the key features of the evidence is shown</w:t>
      </w:r>
      <w:r w:rsidR="00FF07A5">
        <w:rPr>
          <w:rFonts w:eastAsia="Calibri" w:cs="Times New Roman"/>
        </w:rPr>
        <w:t xml:space="preserve"> in</w:t>
      </w:r>
      <w:r w:rsidRPr="00E03951">
        <w:rPr>
          <w:rFonts w:eastAsia="Calibri" w:cs="Times New Roman"/>
        </w:rPr>
        <w:t xml:space="preserve"> </w:t>
      </w:r>
      <w:r w:rsidRPr="00E03951">
        <w:rPr>
          <w:rFonts w:eastAsia="Calibri" w:cs="Times New Roman"/>
        </w:rPr>
        <w:fldChar w:fldCharType="begin"/>
      </w:r>
      <w:r w:rsidRPr="00E03951">
        <w:rPr>
          <w:rFonts w:eastAsia="Calibri" w:cs="Times New Roman"/>
        </w:rPr>
        <w:instrText xml:space="preserve"> REF _Ref69725659 \h  \* MERGEFORMAT </w:instrText>
      </w:r>
      <w:r w:rsidRPr="00E03951">
        <w:rPr>
          <w:rFonts w:eastAsia="Calibri" w:cs="Times New Roman"/>
        </w:rPr>
      </w:r>
      <w:r w:rsidRPr="00E03951">
        <w:rPr>
          <w:rFonts w:eastAsia="Calibri" w:cs="Times New Roman"/>
        </w:rPr>
        <w:fldChar w:fldCharType="separate"/>
      </w:r>
      <w:r w:rsidR="00C6578F" w:rsidRPr="00C6578F">
        <w:rPr>
          <w:rFonts w:eastAsia="Calibri" w:cs="Times New Roman"/>
        </w:rPr>
        <w:t>Table</w:t>
      </w:r>
      <w:r w:rsidR="00C6578F">
        <w:t xml:space="preserve"> </w:t>
      </w:r>
      <w:r w:rsidR="00C6578F">
        <w:rPr>
          <w:noProof/>
        </w:rPr>
        <w:t>3</w:t>
      </w:r>
      <w:r w:rsidRPr="00E03951">
        <w:rPr>
          <w:rFonts w:eastAsia="Calibri" w:cs="Times New Roman"/>
        </w:rPr>
        <w:fldChar w:fldCharType="end"/>
      </w:r>
      <w:r w:rsidRPr="00E03951">
        <w:rPr>
          <w:rFonts w:eastAsia="Calibri" w:cs="Times New Roman"/>
        </w:rPr>
        <w:t xml:space="preserve">. </w:t>
      </w:r>
      <w:bookmarkStart w:id="24" w:name="_Ref69725659"/>
      <w:bookmarkEnd w:id="23"/>
      <w:r w:rsidR="00CA478F">
        <w:br w:type="page"/>
      </w:r>
    </w:p>
    <w:p w14:paraId="005968B3" w14:textId="00C09AAF" w:rsidR="00956ACE" w:rsidRPr="00CE28E3" w:rsidRDefault="00956ACE" w:rsidP="009341C9">
      <w:pPr>
        <w:pStyle w:val="TableHeading0"/>
        <w:keepNext/>
        <w:rPr>
          <w:sz w:val="16"/>
          <w:szCs w:val="16"/>
        </w:rPr>
      </w:pPr>
      <w:r w:rsidRPr="00CE28E3">
        <w:lastRenderedPageBreak/>
        <w:t>Table</w:t>
      </w:r>
      <w:r w:rsidR="00703254">
        <w:t xml:space="preserve"> </w:t>
      </w:r>
      <w:r w:rsidR="007D19FE">
        <w:fldChar w:fldCharType="begin"/>
      </w:r>
      <w:r w:rsidR="007D19FE">
        <w:instrText xml:space="preserve"> SEQ Table \* ARABIC </w:instrText>
      </w:r>
      <w:r w:rsidR="007D19FE">
        <w:fldChar w:fldCharType="separate"/>
      </w:r>
      <w:r w:rsidR="00C6578F">
        <w:rPr>
          <w:noProof/>
        </w:rPr>
        <w:t>3</w:t>
      </w:r>
      <w:r w:rsidR="007D19FE">
        <w:rPr>
          <w:noProof/>
        </w:rPr>
        <w:fldChar w:fldCharType="end"/>
      </w:r>
      <w:bookmarkEnd w:id="24"/>
      <w:r w:rsidRPr="00CE28E3">
        <w:tab/>
        <w:t>Key fe</w:t>
      </w:r>
      <w:r w:rsidR="00E03951">
        <w:t>atures of the included evidence</w:t>
      </w:r>
    </w:p>
    <w:tbl>
      <w:tblPr>
        <w:tblStyle w:val="TableGrid1"/>
        <w:tblW w:w="5000" w:type="pct"/>
        <w:tblLook w:val="04A0" w:firstRow="1" w:lastRow="0" w:firstColumn="1" w:lastColumn="0" w:noHBand="0" w:noVBand="1"/>
      </w:tblPr>
      <w:tblGrid>
        <w:gridCol w:w="1816"/>
        <w:gridCol w:w="3325"/>
        <w:gridCol w:w="1938"/>
        <w:gridCol w:w="1937"/>
      </w:tblGrid>
      <w:tr w:rsidR="00956ACE" w:rsidRPr="00CE28E3" w14:paraId="530E3954" w14:textId="77777777" w:rsidTr="00B8535F">
        <w:trPr>
          <w:cnfStyle w:val="100000000000" w:firstRow="1" w:lastRow="0" w:firstColumn="0" w:lastColumn="0" w:oddVBand="0" w:evenVBand="0" w:oddHBand="0" w:evenHBand="0" w:firstRowFirstColumn="0" w:firstRowLastColumn="0" w:lastRowFirstColumn="0" w:lastRowLastColumn="0"/>
          <w:tblHeader/>
        </w:trPr>
        <w:tc>
          <w:tcPr>
            <w:tcW w:w="1007" w:type="pct"/>
            <w:tcBorders>
              <w:top w:val="single" w:sz="4" w:space="0" w:color="auto"/>
              <w:left w:val="single" w:sz="4" w:space="0" w:color="auto"/>
              <w:bottom w:val="single" w:sz="4" w:space="0" w:color="auto"/>
              <w:right w:val="single" w:sz="4" w:space="0" w:color="auto"/>
            </w:tcBorders>
            <w:vAlign w:val="bottom"/>
          </w:tcPr>
          <w:p w14:paraId="0112563A" w14:textId="3CE1178E" w:rsidR="00956ACE" w:rsidRPr="00CE28E3" w:rsidRDefault="00BC4972" w:rsidP="00670650">
            <w:pPr>
              <w:pStyle w:val="TableText"/>
              <w:keepNext/>
              <w:rPr>
                <w:b/>
              </w:rPr>
            </w:pPr>
            <w:bookmarkStart w:id="25" w:name="ColumnTitle_Table4"/>
            <w:bookmarkStart w:id="26" w:name="_Hlk68276288"/>
            <w:bookmarkEnd w:id="25"/>
            <w:r>
              <w:rPr>
                <w:b/>
              </w:rPr>
              <w:t>Criteri</w:t>
            </w:r>
            <w:r w:rsidR="004D4425">
              <w:rPr>
                <w:b/>
              </w:rPr>
              <w:t>on</w:t>
            </w:r>
          </w:p>
        </w:tc>
        <w:tc>
          <w:tcPr>
            <w:tcW w:w="1844"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956ACE" w:rsidRPr="00CE28E3" w:rsidRDefault="00956ACE" w:rsidP="00670650">
            <w:pPr>
              <w:pStyle w:val="TableText"/>
              <w:keepNext/>
              <w:rPr>
                <w:b/>
              </w:rPr>
            </w:pPr>
            <w:r w:rsidRPr="00CE28E3">
              <w:rPr>
                <w:b/>
              </w:rPr>
              <w:t>Type of evidence supplied</w:t>
            </w:r>
          </w:p>
        </w:tc>
        <w:tc>
          <w:tcPr>
            <w:tcW w:w="1075"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956ACE" w:rsidRPr="00CE28E3" w:rsidRDefault="00956ACE" w:rsidP="00670650">
            <w:pPr>
              <w:pStyle w:val="TableText"/>
              <w:keepNext/>
              <w:rPr>
                <w:b/>
              </w:rPr>
            </w:pPr>
            <w:r w:rsidRPr="00CE28E3">
              <w:rPr>
                <w:b/>
              </w:rPr>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3F0C39B2" w14:textId="77777777" w:rsidR="00956ACE" w:rsidRPr="00CE28E3" w:rsidRDefault="00956ACE" w:rsidP="00670650">
            <w:pPr>
              <w:pStyle w:val="TableText"/>
              <w:keepNext/>
              <w:rPr>
                <w:b/>
              </w:rPr>
            </w:pPr>
            <w:r w:rsidRPr="00CE28E3">
              <w:rPr>
                <w:b/>
              </w:rPr>
              <w:t>Overall risk of bias in evidence base</w:t>
            </w:r>
          </w:p>
        </w:tc>
      </w:tr>
      <w:tr w:rsidR="00703254" w:rsidRPr="00CE28E3" w14:paraId="34571304" w14:textId="77777777" w:rsidTr="00F0158A">
        <w:tc>
          <w:tcPr>
            <w:tcW w:w="1007" w:type="pct"/>
            <w:vMerge w:val="restart"/>
            <w:tcBorders>
              <w:top w:val="single" w:sz="4" w:space="0" w:color="auto"/>
              <w:left w:val="single" w:sz="4" w:space="0" w:color="auto"/>
              <w:right w:val="single" w:sz="4" w:space="0" w:color="auto"/>
            </w:tcBorders>
            <w:hideMark/>
          </w:tcPr>
          <w:p w14:paraId="63BA3949" w14:textId="77777777" w:rsidR="00703254" w:rsidRPr="00CE28E3" w:rsidRDefault="00703254" w:rsidP="00645113">
            <w:pPr>
              <w:pStyle w:val="TableText"/>
            </w:pPr>
            <w:r w:rsidRPr="00CE28E3">
              <w:t>Accuracy and performance of the test (cross-sectional accuracy)</w:t>
            </w:r>
          </w:p>
        </w:tc>
        <w:tc>
          <w:tcPr>
            <w:tcW w:w="1844" w:type="pct"/>
            <w:tcBorders>
              <w:top w:val="single" w:sz="4" w:space="0" w:color="auto"/>
              <w:left w:val="single" w:sz="4" w:space="0" w:color="auto"/>
              <w:bottom w:val="single" w:sz="4" w:space="0" w:color="auto"/>
              <w:right w:val="single" w:sz="4" w:space="0" w:color="auto"/>
            </w:tcBorders>
            <w:hideMark/>
          </w:tcPr>
          <w:p w14:paraId="7A348354" w14:textId="4B8AAAE2" w:rsidR="00703254" w:rsidRPr="00CE28E3" w:rsidRDefault="00703254" w:rsidP="00645113">
            <w:pPr>
              <w:pStyle w:val="TableText"/>
            </w:pPr>
            <w:r>
              <w:t xml:space="preserve">Cross-sectional studies </w:t>
            </w:r>
            <w:r w:rsidR="002C7116">
              <w:t>on</w:t>
            </w:r>
            <w:r>
              <w:t xml:space="preserve"> the accuracy of</w:t>
            </w:r>
            <w:r w:rsidRPr="00703254">
              <w:t xml:space="preserve"> POC NAAT compared with LAB NAAT for detection of </w:t>
            </w:r>
            <w:r>
              <w:t>CT</w:t>
            </w:r>
          </w:p>
        </w:tc>
        <w:tc>
          <w:tcPr>
            <w:tcW w:w="1075" w:type="pct"/>
            <w:tcBorders>
              <w:top w:val="single" w:sz="4" w:space="0" w:color="auto"/>
              <w:left w:val="single" w:sz="4" w:space="0" w:color="auto"/>
              <w:bottom w:val="single" w:sz="4" w:space="0" w:color="auto"/>
              <w:right w:val="single" w:sz="4" w:space="0" w:color="auto"/>
            </w:tcBorders>
            <w:hideMark/>
          </w:tcPr>
          <w:p w14:paraId="4B9F173D" w14:textId="2F9B6CDC" w:rsidR="00703254" w:rsidRPr="00CE28E3" w:rsidRDefault="007D19FE" w:rsidP="00645113">
            <w:pPr>
              <w:pStyle w:val="TableText"/>
            </w:pPr>
            <w:sdt>
              <w:sdtPr>
                <w:id w:val="1454910707"/>
                <w14:checkbox>
                  <w14:checked w14:val="1"/>
                  <w14:checkedState w14:val="2612" w14:font="MS Gothic"/>
                  <w14:uncheckedState w14:val="2610" w14:font="MS Gothic"/>
                </w14:checkbox>
              </w:sdtPr>
              <w:sdtEndPr/>
              <w:sdtContent>
                <w:r w:rsidR="00703254">
                  <w:rPr>
                    <w:rFonts w:ascii="MS Gothic" w:eastAsia="MS Gothic" w:hAnsi="MS Gothic" w:hint="eastAsia"/>
                  </w:rPr>
                  <w:t>☒</w:t>
                </w:r>
              </w:sdtContent>
            </w:sdt>
            <w:r w:rsidR="00703254" w:rsidRPr="00CE28E3">
              <w:tab/>
              <w:t>k=</w:t>
            </w:r>
            <w:r w:rsidR="00703254">
              <w:t>8 datasets</w:t>
            </w:r>
            <w:r w:rsidR="00703254" w:rsidRPr="00CE28E3">
              <w:tab/>
              <w:t>n=</w:t>
            </w:r>
            <w:r w:rsidR="00703254">
              <w:t>3,985</w:t>
            </w:r>
          </w:p>
        </w:tc>
        <w:tc>
          <w:tcPr>
            <w:tcW w:w="1074" w:type="pct"/>
            <w:tcBorders>
              <w:top w:val="single" w:sz="4" w:space="0" w:color="auto"/>
              <w:left w:val="single" w:sz="4" w:space="0" w:color="auto"/>
              <w:bottom w:val="single" w:sz="4" w:space="0" w:color="auto"/>
              <w:right w:val="single" w:sz="4" w:space="0" w:color="auto"/>
            </w:tcBorders>
            <w:hideMark/>
          </w:tcPr>
          <w:p w14:paraId="314B6464" w14:textId="67417ADA" w:rsidR="00703254" w:rsidRPr="00703254" w:rsidRDefault="00703254" w:rsidP="00645113">
            <w:pPr>
              <w:pStyle w:val="TableText"/>
            </w:pPr>
            <w:r w:rsidRPr="00703254">
              <w:t>Low risk of bias</w:t>
            </w:r>
          </w:p>
        </w:tc>
      </w:tr>
      <w:tr w:rsidR="00703254" w:rsidRPr="00CE28E3" w14:paraId="7222E4F4" w14:textId="77777777" w:rsidTr="00F0158A">
        <w:tc>
          <w:tcPr>
            <w:tcW w:w="1007" w:type="pct"/>
            <w:vMerge/>
            <w:tcBorders>
              <w:left w:val="single" w:sz="4" w:space="0" w:color="auto"/>
              <w:right w:val="single" w:sz="4" w:space="0" w:color="auto"/>
            </w:tcBorders>
          </w:tcPr>
          <w:p w14:paraId="311B099D" w14:textId="77777777" w:rsidR="00703254" w:rsidRPr="00CE28E3" w:rsidRDefault="00703254" w:rsidP="00E739FF">
            <w:pPr>
              <w:pStyle w:val="TableText"/>
            </w:pPr>
          </w:p>
        </w:tc>
        <w:tc>
          <w:tcPr>
            <w:tcW w:w="1844" w:type="pct"/>
            <w:tcBorders>
              <w:top w:val="single" w:sz="4" w:space="0" w:color="auto"/>
              <w:left w:val="single" w:sz="4" w:space="0" w:color="auto"/>
              <w:bottom w:val="single" w:sz="4" w:space="0" w:color="auto"/>
              <w:right w:val="single" w:sz="4" w:space="0" w:color="auto"/>
            </w:tcBorders>
          </w:tcPr>
          <w:p w14:paraId="754C989C" w14:textId="628C17C2" w:rsidR="00703254" w:rsidRPr="00703254" w:rsidRDefault="00703254" w:rsidP="00E739FF">
            <w:pPr>
              <w:pStyle w:val="TableText"/>
            </w:pPr>
            <w:r w:rsidRPr="00703254">
              <w:t xml:space="preserve">Cross-sectional studies </w:t>
            </w:r>
            <w:r w:rsidR="002C7116">
              <w:t>on</w:t>
            </w:r>
            <w:r w:rsidRPr="00703254">
              <w:t xml:space="preserve"> the accuracy of POC NAAT compared with LAB NAAT for detection of </w:t>
            </w:r>
            <w:r>
              <w:t>NG</w:t>
            </w:r>
          </w:p>
        </w:tc>
        <w:tc>
          <w:tcPr>
            <w:tcW w:w="1075" w:type="pct"/>
            <w:tcBorders>
              <w:top w:val="single" w:sz="4" w:space="0" w:color="auto"/>
              <w:left w:val="single" w:sz="4" w:space="0" w:color="auto"/>
              <w:bottom w:val="single" w:sz="4" w:space="0" w:color="auto"/>
              <w:right w:val="single" w:sz="4" w:space="0" w:color="auto"/>
            </w:tcBorders>
          </w:tcPr>
          <w:p w14:paraId="16878AF1" w14:textId="7F88C6EF" w:rsidR="00703254" w:rsidRDefault="007D19FE" w:rsidP="00E739FF">
            <w:pPr>
              <w:pStyle w:val="TableText"/>
            </w:pPr>
            <w:sdt>
              <w:sdtPr>
                <w:id w:val="1855764722"/>
                <w14:checkbox>
                  <w14:checked w14:val="1"/>
                  <w14:checkedState w14:val="2612" w14:font="MS Gothic"/>
                  <w14:uncheckedState w14:val="2610" w14:font="MS Gothic"/>
                </w14:checkbox>
              </w:sdtPr>
              <w:sdtEndPr/>
              <w:sdtContent>
                <w:r w:rsidR="00703254">
                  <w:rPr>
                    <w:rFonts w:ascii="MS Gothic" w:eastAsia="MS Gothic" w:hAnsi="MS Gothic" w:hint="eastAsia"/>
                  </w:rPr>
                  <w:t>☒</w:t>
                </w:r>
              </w:sdtContent>
            </w:sdt>
            <w:r w:rsidR="00703254" w:rsidRPr="00CE28E3">
              <w:tab/>
              <w:t>k=</w:t>
            </w:r>
            <w:r w:rsidR="00703254">
              <w:t>9 datasets</w:t>
            </w:r>
            <w:r w:rsidR="00703254" w:rsidRPr="00CE28E3">
              <w:tab/>
              <w:t>n=</w:t>
            </w:r>
            <w:r w:rsidR="00703254">
              <w:t>4,431</w:t>
            </w:r>
          </w:p>
        </w:tc>
        <w:tc>
          <w:tcPr>
            <w:tcW w:w="1074" w:type="pct"/>
            <w:tcBorders>
              <w:top w:val="single" w:sz="4" w:space="0" w:color="auto"/>
              <w:left w:val="single" w:sz="4" w:space="0" w:color="auto"/>
              <w:bottom w:val="single" w:sz="4" w:space="0" w:color="auto"/>
              <w:right w:val="single" w:sz="4" w:space="0" w:color="auto"/>
            </w:tcBorders>
          </w:tcPr>
          <w:p w14:paraId="68E9F32D" w14:textId="000DFDD9" w:rsidR="00703254" w:rsidRPr="00BC4972" w:rsidRDefault="00703254" w:rsidP="00E739FF">
            <w:pPr>
              <w:pStyle w:val="TableText"/>
              <w:rPr>
                <w:color w:val="258221"/>
              </w:rPr>
            </w:pPr>
            <w:r w:rsidRPr="00703254">
              <w:t>Low risk of bias</w:t>
            </w:r>
          </w:p>
        </w:tc>
      </w:tr>
      <w:tr w:rsidR="00703254" w:rsidRPr="00CE28E3" w14:paraId="74B1D6E7" w14:textId="77777777" w:rsidTr="00F0158A">
        <w:tc>
          <w:tcPr>
            <w:tcW w:w="1007" w:type="pct"/>
            <w:vMerge/>
            <w:tcBorders>
              <w:left w:val="single" w:sz="4" w:space="0" w:color="auto"/>
              <w:right w:val="single" w:sz="4" w:space="0" w:color="auto"/>
            </w:tcBorders>
          </w:tcPr>
          <w:p w14:paraId="6A548865" w14:textId="77777777" w:rsidR="00703254" w:rsidRPr="00CE28E3" w:rsidRDefault="00703254" w:rsidP="00E739FF">
            <w:pPr>
              <w:pStyle w:val="TableText"/>
            </w:pPr>
          </w:p>
        </w:tc>
        <w:tc>
          <w:tcPr>
            <w:tcW w:w="1844" w:type="pct"/>
            <w:tcBorders>
              <w:top w:val="single" w:sz="4" w:space="0" w:color="auto"/>
              <w:left w:val="single" w:sz="4" w:space="0" w:color="auto"/>
              <w:bottom w:val="single" w:sz="4" w:space="0" w:color="auto"/>
              <w:right w:val="single" w:sz="4" w:space="0" w:color="auto"/>
            </w:tcBorders>
          </w:tcPr>
          <w:p w14:paraId="480189B2" w14:textId="369B4C6F" w:rsidR="00703254" w:rsidRPr="00703254" w:rsidRDefault="00703254" w:rsidP="00E739FF">
            <w:pPr>
              <w:pStyle w:val="TableText"/>
            </w:pPr>
            <w:r w:rsidRPr="00703254">
              <w:t xml:space="preserve">Cross-sectional studies </w:t>
            </w:r>
            <w:r w:rsidR="002C7116">
              <w:t>on</w:t>
            </w:r>
            <w:r w:rsidRPr="00703254">
              <w:t xml:space="preserve"> the accuracy of POC NAAT compared with LAB NAAT for detection of T</w:t>
            </w:r>
            <w:r>
              <w:t>V</w:t>
            </w:r>
          </w:p>
        </w:tc>
        <w:tc>
          <w:tcPr>
            <w:tcW w:w="1075" w:type="pct"/>
            <w:tcBorders>
              <w:top w:val="single" w:sz="4" w:space="0" w:color="auto"/>
              <w:left w:val="single" w:sz="4" w:space="0" w:color="auto"/>
              <w:bottom w:val="single" w:sz="4" w:space="0" w:color="auto"/>
              <w:right w:val="single" w:sz="4" w:space="0" w:color="auto"/>
            </w:tcBorders>
          </w:tcPr>
          <w:p w14:paraId="7E0C46EE" w14:textId="7A5964A4" w:rsidR="00703254" w:rsidRDefault="007D19FE" w:rsidP="00E739FF">
            <w:pPr>
              <w:pStyle w:val="TableText"/>
            </w:pPr>
            <w:sdt>
              <w:sdtPr>
                <w:id w:val="1928381816"/>
                <w14:checkbox>
                  <w14:checked w14:val="1"/>
                  <w14:checkedState w14:val="2612" w14:font="MS Gothic"/>
                  <w14:uncheckedState w14:val="2610" w14:font="MS Gothic"/>
                </w14:checkbox>
              </w:sdtPr>
              <w:sdtEndPr/>
              <w:sdtContent>
                <w:r w:rsidR="00703254">
                  <w:rPr>
                    <w:rFonts w:ascii="MS Gothic" w:eastAsia="MS Gothic" w:hAnsi="MS Gothic" w:hint="eastAsia"/>
                  </w:rPr>
                  <w:t>☒</w:t>
                </w:r>
              </w:sdtContent>
            </w:sdt>
            <w:r w:rsidR="00703254" w:rsidRPr="00CE28E3">
              <w:tab/>
              <w:t>k=</w:t>
            </w:r>
            <w:r w:rsidR="00703254">
              <w:t>4 datasets</w:t>
            </w:r>
            <w:r w:rsidR="00703254" w:rsidRPr="00CE28E3">
              <w:tab/>
              <w:t>n=</w:t>
            </w:r>
            <w:r w:rsidR="00703254">
              <w:t>5,433</w:t>
            </w:r>
          </w:p>
        </w:tc>
        <w:tc>
          <w:tcPr>
            <w:tcW w:w="1074" w:type="pct"/>
            <w:tcBorders>
              <w:top w:val="single" w:sz="4" w:space="0" w:color="auto"/>
              <w:left w:val="single" w:sz="4" w:space="0" w:color="auto"/>
              <w:bottom w:val="single" w:sz="4" w:space="0" w:color="auto"/>
              <w:right w:val="single" w:sz="4" w:space="0" w:color="auto"/>
            </w:tcBorders>
          </w:tcPr>
          <w:p w14:paraId="380A0D6D" w14:textId="33D016AB" w:rsidR="00703254" w:rsidRPr="00BC4972" w:rsidRDefault="00703254" w:rsidP="00E739FF">
            <w:pPr>
              <w:pStyle w:val="TableText"/>
              <w:rPr>
                <w:color w:val="258221"/>
              </w:rPr>
            </w:pPr>
            <w:r w:rsidRPr="00703254">
              <w:t>Low risk of bias</w:t>
            </w:r>
          </w:p>
        </w:tc>
      </w:tr>
      <w:tr w:rsidR="00703254" w:rsidRPr="00CE28E3" w14:paraId="0052C247" w14:textId="77777777" w:rsidTr="00F0158A">
        <w:tc>
          <w:tcPr>
            <w:tcW w:w="1007" w:type="pct"/>
            <w:vMerge/>
            <w:tcBorders>
              <w:left w:val="single" w:sz="4" w:space="0" w:color="auto"/>
              <w:right w:val="single" w:sz="4" w:space="0" w:color="auto"/>
            </w:tcBorders>
          </w:tcPr>
          <w:p w14:paraId="3E9EAE3F" w14:textId="77777777" w:rsidR="00703254" w:rsidRPr="00CE28E3" w:rsidRDefault="00703254" w:rsidP="00E739FF">
            <w:pPr>
              <w:pStyle w:val="TableText"/>
            </w:pPr>
          </w:p>
        </w:tc>
        <w:tc>
          <w:tcPr>
            <w:tcW w:w="1844" w:type="pct"/>
            <w:tcBorders>
              <w:top w:val="single" w:sz="4" w:space="0" w:color="auto"/>
              <w:left w:val="single" w:sz="4" w:space="0" w:color="auto"/>
              <w:bottom w:val="single" w:sz="4" w:space="0" w:color="auto"/>
              <w:right w:val="single" w:sz="4" w:space="0" w:color="auto"/>
            </w:tcBorders>
          </w:tcPr>
          <w:p w14:paraId="688F81D9" w14:textId="3DE3F76A" w:rsidR="00703254" w:rsidRPr="00703254" w:rsidRDefault="00703254" w:rsidP="00E739FF">
            <w:pPr>
              <w:pStyle w:val="TableText"/>
            </w:pPr>
            <w:r w:rsidRPr="00703254">
              <w:t xml:space="preserve">Cross-sectional studies </w:t>
            </w:r>
            <w:r w:rsidR="002C7116">
              <w:t>on</w:t>
            </w:r>
            <w:r w:rsidRPr="00703254">
              <w:t xml:space="preserve"> the Test failure rate for the </w:t>
            </w:r>
            <w:proofErr w:type="spellStart"/>
            <w:r w:rsidR="00626CB0">
              <w:t>X</w:t>
            </w:r>
            <w:r w:rsidRPr="00703254">
              <w:t>pert</w:t>
            </w:r>
            <w:proofErr w:type="spellEnd"/>
            <w:r w:rsidRPr="00703254">
              <w:t xml:space="preserve"> CT/NG assay</w:t>
            </w:r>
          </w:p>
        </w:tc>
        <w:tc>
          <w:tcPr>
            <w:tcW w:w="1075" w:type="pct"/>
            <w:tcBorders>
              <w:top w:val="single" w:sz="4" w:space="0" w:color="auto"/>
              <w:left w:val="single" w:sz="4" w:space="0" w:color="auto"/>
              <w:bottom w:val="single" w:sz="4" w:space="0" w:color="auto"/>
              <w:right w:val="single" w:sz="4" w:space="0" w:color="auto"/>
            </w:tcBorders>
          </w:tcPr>
          <w:p w14:paraId="64754F4D" w14:textId="01A725FE" w:rsidR="00703254" w:rsidRDefault="007D19FE" w:rsidP="00E739FF">
            <w:pPr>
              <w:pStyle w:val="TableText"/>
            </w:pPr>
            <w:sdt>
              <w:sdtPr>
                <w:id w:val="-2037657517"/>
                <w14:checkbox>
                  <w14:checked w14:val="1"/>
                  <w14:checkedState w14:val="2612" w14:font="MS Gothic"/>
                  <w14:uncheckedState w14:val="2610" w14:font="MS Gothic"/>
                </w14:checkbox>
              </w:sdtPr>
              <w:sdtEndPr/>
              <w:sdtContent>
                <w:r w:rsidR="00703254">
                  <w:rPr>
                    <w:rFonts w:ascii="MS Gothic" w:eastAsia="MS Gothic" w:hAnsi="MS Gothic" w:hint="eastAsia"/>
                  </w:rPr>
                  <w:t>☒</w:t>
                </w:r>
              </w:sdtContent>
            </w:sdt>
            <w:r w:rsidR="00703254" w:rsidRPr="00CE28E3">
              <w:tab/>
              <w:t>k=</w:t>
            </w:r>
            <w:r w:rsidR="00703254">
              <w:t>9 datasets</w:t>
            </w:r>
            <w:r w:rsidR="00703254" w:rsidRPr="00CE28E3">
              <w:tab/>
              <w:t>n=</w:t>
            </w:r>
            <w:r w:rsidR="00703254">
              <w:t>12,423</w:t>
            </w:r>
          </w:p>
        </w:tc>
        <w:tc>
          <w:tcPr>
            <w:tcW w:w="1074" w:type="pct"/>
            <w:tcBorders>
              <w:top w:val="single" w:sz="4" w:space="0" w:color="auto"/>
              <w:left w:val="single" w:sz="4" w:space="0" w:color="auto"/>
              <w:bottom w:val="single" w:sz="4" w:space="0" w:color="auto"/>
              <w:right w:val="single" w:sz="4" w:space="0" w:color="auto"/>
            </w:tcBorders>
          </w:tcPr>
          <w:p w14:paraId="03702547" w14:textId="510277BC" w:rsidR="00703254" w:rsidRPr="00BC4972" w:rsidRDefault="00703254" w:rsidP="00E739FF">
            <w:pPr>
              <w:pStyle w:val="TableText"/>
              <w:rPr>
                <w:color w:val="258221"/>
              </w:rPr>
            </w:pPr>
            <w:r w:rsidRPr="00703254">
              <w:t>Low risk of bias</w:t>
            </w:r>
          </w:p>
        </w:tc>
      </w:tr>
      <w:tr w:rsidR="00703254" w:rsidRPr="00CE28E3" w14:paraId="6D683C2B" w14:textId="77777777" w:rsidTr="00F0158A">
        <w:tc>
          <w:tcPr>
            <w:tcW w:w="1007" w:type="pct"/>
            <w:vMerge/>
            <w:tcBorders>
              <w:left w:val="single" w:sz="4" w:space="0" w:color="auto"/>
              <w:bottom w:val="single" w:sz="4" w:space="0" w:color="auto"/>
              <w:right w:val="single" w:sz="4" w:space="0" w:color="auto"/>
            </w:tcBorders>
          </w:tcPr>
          <w:p w14:paraId="5B61C71C" w14:textId="77777777" w:rsidR="00703254" w:rsidRPr="00CE28E3" w:rsidRDefault="00703254" w:rsidP="00E739FF">
            <w:pPr>
              <w:pStyle w:val="TableText"/>
            </w:pPr>
          </w:p>
        </w:tc>
        <w:tc>
          <w:tcPr>
            <w:tcW w:w="1844" w:type="pct"/>
            <w:tcBorders>
              <w:top w:val="single" w:sz="4" w:space="0" w:color="auto"/>
              <w:left w:val="single" w:sz="4" w:space="0" w:color="auto"/>
              <w:bottom w:val="single" w:sz="4" w:space="0" w:color="auto"/>
              <w:right w:val="single" w:sz="4" w:space="0" w:color="auto"/>
            </w:tcBorders>
          </w:tcPr>
          <w:p w14:paraId="512064DF" w14:textId="793B1243" w:rsidR="00703254" w:rsidRPr="00703254" w:rsidRDefault="00703254" w:rsidP="00E739FF">
            <w:pPr>
              <w:pStyle w:val="TableText"/>
            </w:pPr>
            <w:r w:rsidRPr="00703254">
              <w:t xml:space="preserve">Cross-sectional studies </w:t>
            </w:r>
            <w:r w:rsidR="002C7116">
              <w:t>on</w:t>
            </w:r>
            <w:r w:rsidRPr="00703254">
              <w:t xml:space="preserve"> the Test failure rate for the </w:t>
            </w:r>
            <w:proofErr w:type="spellStart"/>
            <w:r w:rsidRPr="00703254">
              <w:t>Xpert</w:t>
            </w:r>
            <w:proofErr w:type="spellEnd"/>
            <w:r w:rsidRPr="00703254">
              <w:t xml:space="preserve"> </w:t>
            </w:r>
            <w:r>
              <w:t>TV</w:t>
            </w:r>
            <w:r w:rsidRPr="00703254">
              <w:t xml:space="preserve"> assay</w:t>
            </w:r>
          </w:p>
        </w:tc>
        <w:tc>
          <w:tcPr>
            <w:tcW w:w="1075" w:type="pct"/>
            <w:tcBorders>
              <w:top w:val="single" w:sz="4" w:space="0" w:color="auto"/>
              <w:left w:val="single" w:sz="4" w:space="0" w:color="auto"/>
              <w:bottom w:val="single" w:sz="4" w:space="0" w:color="auto"/>
              <w:right w:val="single" w:sz="4" w:space="0" w:color="auto"/>
            </w:tcBorders>
          </w:tcPr>
          <w:p w14:paraId="62CAA7D6" w14:textId="4C4AC920" w:rsidR="00703254" w:rsidRDefault="007D19FE" w:rsidP="00E739FF">
            <w:pPr>
              <w:pStyle w:val="TableText"/>
            </w:pPr>
            <w:sdt>
              <w:sdtPr>
                <w:id w:val="1997295739"/>
                <w14:checkbox>
                  <w14:checked w14:val="1"/>
                  <w14:checkedState w14:val="2612" w14:font="MS Gothic"/>
                  <w14:uncheckedState w14:val="2610" w14:font="MS Gothic"/>
                </w14:checkbox>
              </w:sdtPr>
              <w:sdtEndPr/>
              <w:sdtContent>
                <w:r w:rsidR="00703254">
                  <w:rPr>
                    <w:rFonts w:ascii="MS Gothic" w:eastAsia="MS Gothic" w:hAnsi="MS Gothic" w:hint="eastAsia"/>
                  </w:rPr>
                  <w:t>☒</w:t>
                </w:r>
              </w:sdtContent>
            </w:sdt>
            <w:r w:rsidR="00703254" w:rsidRPr="00CE28E3">
              <w:tab/>
              <w:t>k=</w:t>
            </w:r>
            <w:r w:rsidR="00703254">
              <w:t>3 datasets</w:t>
            </w:r>
            <w:r w:rsidR="00703254" w:rsidRPr="00CE28E3">
              <w:tab/>
              <w:t>n=</w:t>
            </w:r>
            <w:r w:rsidR="00703254">
              <w:t>2,601</w:t>
            </w:r>
          </w:p>
        </w:tc>
        <w:tc>
          <w:tcPr>
            <w:tcW w:w="1074" w:type="pct"/>
            <w:tcBorders>
              <w:top w:val="single" w:sz="4" w:space="0" w:color="auto"/>
              <w:left w:val="single" w:sz="4" w:space="0" w:color="auto"/>
              <w:bottom w:val="single" w:sz="4" w:space="0" w:color="auto"/>
              <w:right w:val="single" w:sz="4" w:space="0" w:color="auto"/>
            </w:tcBorders>
          </w:tcPr>
          <w:p w14:paraId="13959B01" w14:textId="66B85810" w:rsidR="00703254" w:rsidRPr="00BC4972" w:rsidRDefault="00703254" w:rsidP="00E739FF">
            <w:pPr>
              <w:pStyle w:val="TableText"/>
              <w:rPr>
                <w:color w:val="258221"/>
              </w:rPr>
            </w:pPr>
            <w:r w:rsidRPr="00703254">
              <w:t>Low risk of bias</w:t>
            </w:r>
          </w:p>
        </w:tc>
      </w:tr>
      <w:tr w:rsidR="00703254" w:rsidRPr="00CE28E3" w14:paraId="020F989B" w14:textId="77777777" w:rsidTr="006737C5">
        <w:tc>
          <w:tcPr>
            <w:tcW w:w="1007" w:type="pct"/>
            <w:tcBorders>
              <w:top w:val="single" w:sz="4" w:space="0" w:color="auto"/>
              <w:left w:val="single" w:sz="4" w:space="0" w:color="auto"/>
              <w:bottom w:val="nil"/>
              <w:right w:val="single" w:sz="4" w:space="0" w:color="auto"/>
            </w:tcBorders>
            <w:hideMark/>
          </w:tcPr>
          <w:p w14:paraId="252A909C" w14:textId="77777777" w:rsidR="00703254" w:rsidRPr="00CE28E3" w:rsidRDefault="00703254" w:rsidP="00703254">
            <w:pPr>
              <w:pStyle w:val="TableText"/>
              <w:keepNext/>
            </w:pPr>
            <w:r w:rsidRPr="00CE28E3">
              <w:t xml:space="preserve">Change in patient management </w:t>
            </w:r>
          </w:p>
        </w:tc>
        <w:tc>
          <w:tcPr>
            <w:tcW w:w="1844" w:type="pct"/>
            <w:tcBorders>
              <w:top w:val="single" w:sz="4" w:space="0" w:color="auto"/>
              <w:left w:val="single" w:sz="4" w:space="0" w:color="auto"/>
              <w:bottom w:val="single" w:sz="4" w:space="0" w:color="auto"/>
              <w:right w:val="single" w:sz="4" w:space="0" w:color="auto"/>
            </w:tcBorders>
            <w:hideMark/>
          </w:tcPr>
          <w:p w14:paraId="6CFA7EE5" w14:textId="22723AD5" w:rsidR="00703254" w:rsidRPr="00CE28E3" w:rsidRDefault="00A63FF7" w:rsidP="00703254">
            <w:pPr>
              <w:pStyle w:val="TableText"/>
              <w:keepNext/>
            </w:pPr>
            <w:r w:rsidRPr="00A63FF7">
              <w:t xml:space="preserve">Studies assessing time to test results for </w:t>
            </w:r>
            <w:proofErr w:type="spellStart"/>
            <w:r w:rsidRPr="00A63FF7">
              <w:t>Xpert</w:t>
            </w:r>
            <w:proofErr w:type="spellEnd"/>
            <w:r w:rsidRPr="00A63FF7">
              <w:t xml:space="preserve"> CT/NG POC versus SOC testing</w:t>
            </w:r>
          </w:p>
        </w:tc>
        <w:tc>
          <w:tcPr>
            <w:tcW w:w="1075" w:type="pct"/>
            <w:tcBorders>
              <w:top w:val="single" w:sz="4" w:space="0" w:color="auto"/>
              <w:left w:val="single" w:sz="4" w:space="0" w:color="auto"/>
              <w:bottom w:val="single" w:sz="4" w:space="0" w:color="auto"/>
              <w:right w:val="single" w:sz="4" w:space="0" w:color="auto"/>
            </w:tcBorders>
            <w:hideMark/>
          </w:tcPr>
          <w:p w14:paraId="60E3094E" w14:textId="0AB12D2D" w:rsidR="00703254" w:rsidRPr="00CE28E3" w:rsidRDefault="007D19FE" w:rsidP="00703254">
            <w:pPr>
              <w:pStyle w:val="TableText"/>
              <w:keepNext/>
            </w:pPr>
            <w:sdt>
              <w:sdtPr>
                <w:id w:val="-1943214893"/>
                <w14:checkbox>
                  <w14:checked w14:val="1"/>
                  <w14:checkedState w14:val="2612" w14:font="MS Gothic"/>
                  <w14:uncheckedState w14:val="2610" w14:font="MS Gothic"/>
                </w14:checkbox>
              </w:sdtPr>
              <w:sdtEndPr/>
              <w:sdtContent>
                <w:r w:rsidR="00A63FF7">
                  <w:rPr>
                    <w:rFonts w:ascii="MS Gothic" w:eastAsia="MS Gothic" w:hAnsi="MS Gothic" w:hint="eastAsia"/>
                  </w:rPr>
                  <w:t>☒</w:t>
                </w:r>
              </w:sdtContent>
            </w:sdt>
            <w:r w:rsidR="00703254" w:rsidRPr="00CE28E3">
              <w:tab/>
              <w:t>k=</w:t>
            </w:r>
            <w:r w:rsidR="00A63FF7">
              <w:t>8 datasets</w:t>
            </w:r>
            <w:r w:rsidR="00703254" w:rsidRPr="00CE28E3">
              <w:tab/>
              <w:t>n=</w:t>
            </w:r>
            <w:r w:rsidR="00A63FF7">
              <w:t>83791</w:t>
            </w:r>
          </w:p>
        </w:tc>
        <w:tc>
          <w:tcPr>
            <w:tcW w:w="1074" w:type="pct"/>
            <w:tcBorders>
              <w:top w:val="single" w:sz="4" w:space="0" w:color="auto"/>
              <w:left w:val="single" w:sz="4" w:space="0" w:color="auto"/>
              <w:bottom w:val="single" w:sz="4" w:space="0" w:color="auto"/>
              <w:right w:val="single" w:sz="4" w:space="0" w:color="auto"/>
            </w:tcBorders>
            <w:vAlign w:val="center"/>
            <w:hideMark/>
          </w:tcPr>
          <w:p w14:paraId="00E8E7C1" w14:textId="5995B00D" w:rsidR="00703254" w:rsidRPr="00CE28E3" w:rsidRDefault="00A63FF7" w:rsidP="00347E47">
            <w:pPr>
              <w:pStyle w:val="TableText"/>
              <w:keepNext/>
            </w:pPr>
            <w:r>
              <w:t>Moderate</w:t>
            </w:r>
            <w:r w:rsidRPr="00703254">
              <w:t xml:space="preserve"> risk of bias</w:t>
            </w:r>
          </w:p>
        </w:tc>
      </w:tr>
      <w:tr w:rsidR="00A63FF7" w:rsidRPr="00CE28E3" w14:paraId="0D7CCE0B" w14:textId="77777777" w:rsidTr="006737C5">
        <w:tc>
          <w:tcPr>
            <w:tcW w:w="1007" w:type="pct"/>
            <w:tcBorders>
              <w:top w:val="nil"/>
              <w:left w:val="single" w:sz="4" w:space="0" w:color="auto"/>
              <w:bottom w:val="nil"/>
              <w:right w:val="single" w:sz="4" w:space="0" w:color="auto"/>
            </w:tcBorders>
          </w:tcPr>
          <w:p w14:paraId="3D7C4996" w14:textId="77777777" w:rsidR="00A63FF7" w:rsidRPr="00CE28E3" w:rsidRDefault="00A63FF7" w:rsidP="00703254">
            <w:pPr>
              <w:pStyle w:val="TableText"/>
              <w:keepNext/>
            </w:pPr>
          </w:p>
        </w:tc>
        <w:tc>
          <w:tcPr>
            <w:tcW w:w="1844" w:type="pct"/>
            <w:tcBorders>
              <w:top w:val="single" w:sz="4" w:space="0" w:color="auto"/>
              <w:left w:val="single" w:sz="4" w:space="0" w:color="auto"/>
              <w:bottom w:val="single" w:sz="4" w:space="0" w:color="auto"/>
              <w:right w:val="single" w:sz="4" w:space="0" w:color="auto"/>
            </w:tcBorders>
          </w:tcPr>
          <w:p w14:paraId="641FE398" w14:textId="7F73492C" w:rsidR="00A63FF7" w:rsidRPr="00A63FF7" w:rsidRDefault="00A63FF7" w:rsidP="00703254">
            <w:pPr>
              <w:pStyle w:val="TableText"/>
              <w:keepNext/>
            </w:pPr>
            <w:r w:rsidRPr="00A63FF7">
              <w:t>Studie</w:t>
            </w:r>
            <w:r>
              <w:t>s assessing time to treatment</w:t>
            </w:r>
            <w:r w:rsidRPr="00A63FF7">
              <w:t xml:space="preserve"> for </w:t>
            </w:r>
            <w:proofErr w:type="spellStart"/>
            <w:r w:rsidRPr="00A63FF7">
              <w:t>Xpert</w:t>
            </w:r>
            <w:proofErr w:type="spellEnd"/>
            <w:r w:rsidRPr="00A63FF7">
              <w:t xml:space="preserve"> CT/NG POC versus SOC testing</w:t>
            </w:r>
          </w:p>
        </w:tc>
        <w:tc>
          <w:tcPr>
            <w:tcW w:w="1075" w:type="pct"/>
            <w:tcBorders>
              <w:top w:val="single" w:sz="4" w:space="0" w:color="auto"/>
              <w:left w:val="single" w:sz="4" w:space="0" w:color="auto"/>
              <w:bottom w:val="single" w:sz="4" w:space="0" w:color="auto"/>
              <w:right w:val="single" w:sz="4" w:space="0" w:color="auto"/>
            </w:tcBorders>
          </w:tcPr>
          <w:p w14:paraId="366B31D6" w14:textId="552DC3AE" w:rsidR="00A63FF7" w:rsidRDefault="007D19FE" w:rsidP="00703254">
            <w:pPr>
              <w:pStyle w:val="TableText"/>
              <w:keepNext/>
            </w:pPr>
            <w:sdt>
              <w:sdtPr>
                <w:id w:val="-1056704593"/>
                <w14:checkbox>
                  <w14:checked w14:val="1"/>
                  <w14:checkedState w14:val="2612" w14:font="MS Gothic"/>
                  <w14:uncheckedState w14:val="2610" w14:font="MS Gothic"/>
                </w14:checkbox>
              </w:sdtPr>
              <w:sdtEndPr/>
              <w:sdtContent>
                <w:r w:rsidR="00A63FF7">
                  <w:rPr>
                    <w:rFonts w:ascii="MS Gothic" w:eastAsia="MS Gothic" w:hAnsi="MS Gothic" w:hint="eastAsia"/>
                  </w:rPr>
                  <w:t>☒</w:t>
                </w:r>
              </w:sdtContent>
            </w:sdt>
            <w:r w:rsidR="00A63FF7" w:rsidRPr="00CE28E3">
              <w:tab/>
              <w:t>k=</w:t>
            </w:r>
            <w:r w:rsidR="00A63FF7">
              <w:t>5 datasets</w:t>
            </w:r>
            <w:r w:rsidR="00A63FF7" w:rsidRPr="00CE28E3">
              <w:tab/>
              <w:t>n=</w:t>
            </w:r>
            <w:r w:rsidR="00347E47">
              <w:t>2898</w:t>
            </w:r>
          </w:p>
        </w:tc>
        <w:tc>
          <w:tcPr>
            <w:tcW w:w="1074" w:type="pct"/>
            <w:tcBorders>
              <w:top w:val="single" w:sz="4" w:space="0" w:color="auto"/>
              <w:left w:val="single" w:sz="4" w:space="0" w:color="auto"/>
              <w:bottom w:val="single" w:sz="4" w:space="0" w:color="auto"/>
              <w:right w:val="single" w:sz="4" w:space="0" w:color="auto"/>
            </w:tcBorders>
            <w:vAlign w:val="center"/>
          </w:tcPr>
          <w:p w14:paraId="49639CA2" w14:textId="2B8C4B3F" w:rsidR="00A63FF7" w:rsidRDefault="00347E47" w:rsidP="00347E47">
            <w:pPr>
              <w:pStyle w:val="TableText"/>
              <w:keepNext/>
            </w:pPr>
            <w:r w:rsidRPr="00347E47">
              <w:t>Moderate risk of bias</w:t>
            </w:r>
          </w:p>
        </w:tc>
      </w:tr>
      <w:tr w:rsidR="00A63FF7" w:rsidRPr="00CE28E3" w14:paraId="6890AFF0" w14:textId="77777777" w:rsidTr="006737C5">
        <w:tc>
          <w:tcPr>
            <w:tcW w:w="1007" w:type="pct"/>
            <w:tcBorders>
              <w:top w:val="nil"/>
              <w:left w:val="single" w:sz="4" w:space="0" w:color="auto"/>
              <w:bottom w:val="nil"/>
              <w:right w:val="single" w:sz="4" w:space="0" w:color="auto"/>
            </w:tcBorders>
          </w:tcPr>
          <w:p w14:paraId="0F17386C" w14:textId="77777777" w:rsidR="00A63FF7" w:rsidRPr="00CE28E3" w:rsidRDefault="00A63FF7" w:rsidP="00703254">
            <w:pPr>
              <w:pStyle w:val="TableText"/>
              <w:keepNext/>
            </w:pPr>
          </w:p>
        </w:tc>
        <w:tc>
          <w:tcPr>
            <w:tcW w:w="1844" w:type="pct"/>
            <w:tcBorders>
              <w:top w:val="single" w:sz="4" w:space="0" w:color="auto"/>
              <w:left w:val="single" w:sz="4" w:space="0" w:color="auto"/>
              <w:bottom w:val="single" w:sz="4" w:space="0" w:color="auto"/>
              <w:right w:val="single" w:sz="4" w:space="0" w:color="auto"/>
            </w:tcBorders>
          </w:tcPr>
          <w:p w14:paraId="08DC3A44" w14:textId="1CF442A1" w:rsidR="00A63FF7" w:rsidRPr="00A63FF7" w:rsidRDefault="008C2AD6" w:rsidP="00703254">
            <w:pPr>
              <w:pStyle w:val="TableText"/>
              <w:keepNext/>
            </w:pPr>
            <w:r w:rsidRPr="008C2AD6">
              <w:t xml:space="preserve">Studies assessing time to treatment for </w:t>
            </w:r>
            <w:proofErr w:type="spellStart"/>
            <w:r w:rsidRPr="008C2AD6">
              <w:t>Xpert</w:t>
            </w:r>
            <w:proofErr w:type="spellEnd"/>
            <w:r w:rsidRPr="008C2AD6">
              <w:t xml:space="preserve"> CT/NG POC versus SOC testing</w:t>
            </w:r>
          </w:p>
        </w:tc>
        <w:tc>
          <w:tcPr>
            <w:tcW w:w="1075" w:type="pct"/>
            <w:tcBorders>
              <w:top w:val="single" w:sz="4" w:space="0" w:color="auto"/>
              <w:left w:val="single" w:sz="4" w:space="0" w:color="auto"/>
              <w:bottom w:val="single" w:sz="4" w:space="0" w:color="auto"/>
              <w:right w:val="single" w:sz="4" w:space="0" w:color="auto"/>
            </w:tcBorders>
          </w:tcPr>
          <w:p w14:paraId="03B3EA92" w14:textId="70958C58" w:rsidR="00A63FF7" w:rsidRDefault="007D19FE" w:rsidP="00703254">
            <w:pPr>
              <w:pStyle w:val="TableText"/>
              <w:keepNext/>
            </w:pPr>
            <w:sdt>
              <w:sdtPr>
                <w:id w:val="-1677805069"/>
                <w14:checkbox>
                  <w14:checked w14:val="1"/>
                  <w14:checkedState w14:val="2612" w14:font="MS Gothic"/>
                  <w14:uncheckedState w14:val="2610" w14:font="MS Gothic"/>
                </w14:checkbox>
              </w:sdtPr>
              <w:sdtEndPr/>
              <w:sdtContent>
                <w:r w:rsidR="00A63FF7">
                  <w:rPr>
                    <w:rFonts w:ascii="MS Gothic" w:eastAsia="MS Gothic" w:hAnsi="MS Gothic" w:hint="eastAsia"/>
                  </w:rPr>
                  <w:t>☒</w:t>
                </w:r>
              </w:sdtContent>
            </w:sdt>
            <w:r w:rsidR="00A63FF7" w:rsidRPr="00CE28E3">
              <w:tab/>
              <w:t>k=</w:t>
            </w:r>
            <w:r w:rsidR="008C2AD6">
              <w:t>3</w:t>
            </w:r>
            <w:r w:rsidR="00A63FF7">
              <w:t xml:space="preserve"> datasets</w:t>
            </w:r>
            <w:r w:rsidR="00A63FF7" w:rsidRPr="00CE28E3">
              <w:tab/>
              <w:t>n=</w:t>
            </w:r>
            <w:r w:rsidR="00A63FF7">
              <w:t>83791</w:t>
            </w:r>
          </w:p>
        </w:tc>
        <w:tc>
          <w:tcPr>
            <w:tcW w:w="1074" w:type="pct"/>
            <w:tcBorders>
              <w:top w:val="single" w:sz="4" w:space="0" w:color="auto"/>
              <w:left w:val="single" w:sz="4" w:space="0" w:color="auto"/>
              <w:bottom w:val="single" w:sz="4" w:space="0" w:color="auto"/>
              <w:right w:val="single" w:sz="4" w:space="0" w:color="auto"/>
            </w:tcBorders>
            <w:vAlign w:val="center"/>
          </w:tcPr>
          <w:p w14:paraId="283A886E" w14:textId="50C3C2B7" w:rsidR="00A63FF7" w:rsidRDefault="008C2AD6" w:rsidP="008C2AD6">
            <w:pPr>
              <w:pStyle w:val="TableText"/>
              <w:keepNext/>
            </w:pPr>
            <w:r w:rsidRPr="008C2AD6">
              <w:t>Moderate risk of bias</w:t>
            </w:r>
          </w:p>
        </w:tc>
      </w:tr>
      <w:tr w:rsidR="00A63FF7" w:rsidRPr="00CE28E3" w14:paraId="23D162B1" w14:textId="77777777" w:rsidTr="006737C5">
        <w:tc>
          <w:tcPr>
            <w:tcW w:w="1007" w:type="pct"/>
            <w:tcBorders>
              <w:top w:val="nil"/>
              <w:left w:val="single" w:sz="4" w:space="0" w:color="auto"/>
              <w:bottom w:val="nil"/>
              <w:right w:val="single" w:sz="4" w:space="0" w:color="auto"/>
            </w:tcBorders>
          </w:tcPr>
          <w:p w14:paraId="70DDF67C" w14:textId="77777777" w:rsidR="00A63FF7" w:rsidRPr="00CE28E3" w:rsidRDefault="00A63FF7" w:rsidP="00703254">
            <w:pPr>
              <w:pStyle w:val="TableText"/>
              <w:keepNext/>
            </w:pPr>
          </w:p>
        </w:tc>
        <w:tc>
          <w:tcPr>
            <w:tcW w:w="1844" w:type="pct"/>
            <w:tcBorders>
              <w:top w:val="single" w:sz="4" w:space="0" w:color="auto"/>
              <w:left w:val="single" w:sz="4" w:space="0" w:color="auto"/>
              <w:bottom w:val="single" w:sz="4" w:space="0" w:color="auto"/>
              <w:right w:val="single" w:sz="4" w:space="0" w:color="auto"/>
            </w:tcBorders>
          </w:tcPr>
          <w:p w14:paraId="0E45E40B" w14:textId="50AD1712" w:rsidR="00A63FF7" w:rsidRPr="00A63FF7" w:rsidRDefault="008C2AD6" w:rsidP="008C2AD6">
            <w:pPr>
              <w:pStyle w:val="TableText"/>
              <w:keepNext/>
            </w:pPr>
            <w:r w:rsidRPr="008C2AD6">
              <w:t xml:space="preserve">Studies assessing </w:t>
            </w:r>
            <w:r>
              <w:t xml:space="preserve">the proportion of infected patients receiving </w:t>
            </w:r>
            <w:r w:rsidRPr="008C2AD6">
              <w:t xml:space="preserve">treatment </w:t>
            </w:r>
            <w:r>
              <w:t xml:space="preserve">within a specified period </w:t>
            </w:r>
            <w:r w:rsidRPr="008C2AD6">
              <w:t xml:space="preserve">for </w:t>
            </w:r>
            <w:proofErr w:type="spellStart"/>
            <w:r w:rsidRPr="008C2AD6">
              <w:t>Xpert</w:t>
            </w:r>
            <w:proofErr w:type="spellEnd"/>
            <w:r w:rsidRPr="008C2AD6">
              <w:t xml:space="preserve"> CT/NG POC versus SOC testing</w:t>
            </w:r>
          </w:p>
        </w:tc>
        <w:tc>
          <w:tcPr>
            <w:tcW w:w="1075" w:type="pct"/>
            <w:tcBorders>
              <w:top w:val="single" w:sz="4" w:space="0" w:color="auto"/>
              <w:left w:val="single" w:sz="4" w:space="0" w:color="auto"/>
              <w:bottom w:val="single" w:sz="4" w:space="0" w:color="auto"/>
              <w:right w:val="single" w:sz="4" w:space="0" w:color="auto"/>
            </w:tcBorders>
          </w:tcPr>
          <w:p w14:paraId="2A4A2A2D" w14:textId="26E100BA" w:rsidR="00A63FF7" w:rsidRDefault="007D19FE" w:rsidP="00703254">
            <w:pPr>
              <w:pStyle w:val="TableText"/>
              <w:keepNext/>
            </w:pPr>
            <w:sdt>
              <w:sdtPr>
                <w:id w:val="1531604546"/>
                <w14:checkbox>
                  <w14:checked w14:val="1"/>
                  <w14:checkedState w14:val="2612" w14:font="MS Gothic"/>
                  <w14:uncheckedState w14:val="2610" w14:font="MS Gothic"/>
                </w14:checkbox>
              </w:sdtPr>
              <w:sdtEndPr/>
              <w:sdtContent>
                <w:r w:rsidR="0008063C">
                  <w:rPr>
                    <w:rFonts w:ascii="MS Gothic" w:eastAsia="MS Gothic" w:hAnsi="MS Gothic" w:hint="eastAsia"/>
                  </w:rPr>
                  <w:t>☒</w:t>
                </w:r>
              </w:sdtContent>
            </w:sdt>
            <w:r w:rsidR="00A63FF7" w:rsidRPr="00CE28E3">
              <w:tab/>
              <w:t>k=</w:t>
            </w:r>
            <w:r w:rsidR="008C2AD6">
              <w:t>3</w:t>
            </w:r>
            <w:r w:rsidR="00A63FF7">
              <w:t xml:space="preserve"> datasets</w:t>
            </w:r>
            <w:r w:rsidR="00A63FF7" w:rsidRPr="00CE28E3">
              <w:tab/>
              <w:t>n=</w:t>
            </w:r>
            <w:r w:rsidR="00501063">
              <w:t>2107</w:t>
            </w:r>
          </w:p>
        </w:tc>
        <w:tc>
          <w:tcPr>
            <w:tcW w:w="1074" w:type="pct"/>
            <w:tcBorders>
              <w:top w:val="single" w:sz="4" w:space="0" w:color="auto"/>
              <w:left w:val="single" w:sz="4" w:space="0" w:color="auto"/>
              <w:bottom w:val="single" w:sz="4" w:space="0" w:color="auto"/>
              <w:right w:val="single" w:sz="4" w:space="0" w:color="auto"/>
            </w:tcBorders>
            <w:vAlign w:val="center"/>
          </w:tcPr>
          <w:p w14:paraId="7A40D251" w14:textId="6B070BF7" w:rsidR="00A63FF7" w:rsidRDefault="00501063" w:rsidP="00501063">
            <w:pPr>
              <w:pStyle w:val="TableText"/>
              <w:keepNext/>
            </w:pPr>
            <w:r w:rsidRPr="00501063">
              <w:t>Moderate risk of bias</w:t>
            </w:r>
          </w:p>
        </w:tc>
      </w:tr>
      <w:tr w:rsidR="0008063C" w:rsidRPr="00CE28E3" w14:paraId="03A4A297" w14:textId="77777777" w:rsidTr="006737C5">
        <w:tc>
          <w:tcPr>
            <w:tcW w:w="1007" w:type="pct"/>
            <w:tcBorders>
              <w:top w:val="nil"/>
              <w:left w:val="single" w:sz="4" w:space="0" w:color="auto"/>
              <w:bottom w:val="nil"/>
              <w:right w:val="single" w:sz="4" w:space="0" w:color="auto"/>
            </w:tcBorders>
          </w:tcPr>
          <w:p w14:paraId="5BA41686" w14:textId="77777777" w:rsidR="0008063C" w:rsidRPr="00CE28E3" w:rsidRDefault="0008063C" w:rsidP="0008063C">
            <w:pPr>
              <w:pStyle w:val="TableText"/>
              <w:keepNext/>
            </w:pPr>
          </w:p>
        </w:tc>
        <w:tc>
          <w:tcPr>
            <w:tcW w:w="1844" w:type="pct"/>
            <w:tcBorders>
              <w:top w:val="single" w:sz="4" w:space="0" w:color="auto"/>
              <w:left w:val="single" w:sz="4" w:space="0" w:color="auto"/>
              <w:bottom w:val="single" w:sz="4" w:space="0" w:color="auto"/>
              <w:right w:val="single" w:sz="4" w:space="0" w:color="auto"/>
            </w:tcBorders>
          </w:tcPr>
          <w:p w14:paraId="4100E6C0" w14:textId="637294E2" w:rsidR="0008063C" w:rsidRPr="00A63FF7" w:rsidRDefault="0008063C" w:rsidP="002C7116">
            <w:pPr>
              <w:pStyle w:val="TableText"/>
              <w:keepNext/>
            </w:pPr>
            <w:r>
              <w:t>Studies assess</w:t>
            </w:r>
            <w:r w:rsidR="002C7116">
              <w:t>ing</w:t>
            </w:r>
            <w:r>
              <w:t xml:space="preserve"> overtreatment of </w:t>
            </w:r>
            <w:r w:rsidR="006F75DF" w:rsidRPr="006F75DF">
              <w:t>CT and/or NG negative</w:t>
            </w:r>
            <w:r>
              <w:t xml:space="preserve"> patients </w:t>
            </w:r>
            <w:r w:rsidRPr="0008063C">
              <w:t xml:space="preserve">for </w:t>
            </w:r>
            <w:proofErr w:type="spellStart"/>
            <w:r w:rsidRPr="0008063C">
              <w:t>Xpert</w:t>
            </w:r>
            <w:proofErr w:type="spellEnd"/>
            <w:r w:rsidRPr="0008063C">
              <w:t xml:space="preserve"> CT/NG POC versus SOC testing</w:t>
            </w:r>
          </w:p>
        </w:tc>
        <w:tc>
          <w:tcPr>
            <w:tcW w:w="1075" w:type="pct"/>
            <w:tcBorders>
              <w:top w:val="single" w:sz="4" w:space="0" w:color="auto"/>
              <w:left w:val="single" w:sz="4" w:space="0" w:color="auto"/>
              <w:bottom w:val="single" w:sz="4" w:space="0" w:color="auto"/>
              <w:right w:val="single" w:sz="4" w:space="0" w:color="auto"/>
            </w:tcBorders>
          </w:tcPr>
          <w:p w14:paraId="5AA125F2" w14:textId="37D0C6BA" w:rsidR="0008063C" w:rsidRDefault="007D19FE" w:rsidP="0008063C">
            <w:pPr>
              <w:pStyle w:val="TableText"/>
              <w:keepNext/>
            </w:pPr>
            <w:sdt>
              <w:sdtPr>
                <w:id w:val="66469438"/>
                <w14:checkbox>
                  <w14:checked w14:val="1"/>
                  <w14:checkedState w14:val="2612" w14:font="MS Gothic"/>
                  <w14:uncheckedState w14:val="2610" w14:font="MS Gothic"/>
                </w14:checkbox>
              </w:sdtPr>
              <w:sdtEndPr/>
              <w:sdtContent>
                <w:r w:rsidR="0008063C">
                  <w:rPr>
                    <w:rFonts w:ascii="MS Gothic" w:eastAsia="MS Gothic" w:hAnsi="MS Gothic" w:hint="eastAsia"/>
                  </w:rPr>
                  <w:t>☒</w:t>
                </w:r>
              </w:sdtContent>
            </w:sdt>
            <w:r w:rsidR="0008063C" w:rsidRPr="00CE28E3">
              <w:tab/>
              <w:t>k=</w:t>
            </w:r>
            <w:r w:rsidR="0008063C">
              <w:t>3 datasets</w:t>
            </w:r>
            <w:r w:rsidR="0008063C" w:rsidRPr="00CE28E3">
              <w:tab/>
              <w:t>n=</w:t>
            </w:r>
            <w:r w:rsidR="005C6598">
              <w:t>824</w:t>
            </w:r>
          </w:p>
        </w:tc>
        <w:tc>
          <w:tcPr>
            <w:tcW w:w="1074" w:type="pct"/>
            <w:tcBorders>
              <w:top w:val="single" w:sz="4" w:space="0" w:color="auto"/>
              <w:left w:val="single" w:sz="4" w:space="0" w:color="auto"/>
              <w:bottom w:val="single" w:sz="4" w:space="0" w:color="auto"/>
              <w:right w:val="single" w:sz="4" w:space="0" w:color="auto"/>
            </w:tcBorders>
            <w:vAlign w:val="center"/>
          </w:tcPr>
          <w:p w14:paraId="733998B7" w14:textId="1C667462" w:rsidR="0008063C" w:rsidRDefault="0008063C" w:rsidP="0008063C">
            <w:pPr>
              <w:pStyle w:val="TableText"/>
              <w:keepNext/>
            </w:pPr>
            <w:r w:rsidRPr="002C465A">
              <w:t>Moderate risk of bias</w:t>
            </w:r>
          </w:p>
        </w:tc>
      </w:tr>
      <w:tr w:rsidR="0008063C" w:rsidRPr="00CE28E3" w14:paraId="223E6C65" w14:textId="77777777" w:rsidTr="006737C5">
        <w:tc>
          <w:tcPr>
            <w:tcW w:w="1007" w:type="pct"/>
            <w:tcBorders>
              <w:top w:val="nil"/>
              <w:left w:val="single" w:sz="4" w:space="0" w:color="auto"/>
              <w:bottom w:val="single" w:sz="4" w:space="0" w:color="auto"/>
              <w:right w:val="single" w:sz="4" w:space="0" w:color="auto"/>
            </w:tcBorders>
          </w:tcPr>
          <w:p w14:paraId="50725ED1" w14:textId="77777777" w:rsidR="0008063C" w:rsidRPr="00CE28E3" w:rsidRDefault="0008063C" w:rsidP="0008063C">
            <w:pPr>
              <w:pStyle w:val="TableText"/>
              <w:keepNext/>
            </w:pPr>
          </w:p>
        </w:tc>
        <w:tc>
          <w:tcPr>
            <w:tcW w:w="1844" w:type="pct"/>
            <w:tcBorders>
              <w:top w:val="single" w:sz="4" w:space="0" w:color="auto"/>
              <w:left w:val="single" w:sz="4" w:space="0" w:color="auto"/>
              <w:bottom w:val="single" w:sz="4" w:space="0" w:color="auto"/>
              <w:right w:val="single" w:sz="4" w:space="0" w:color="auto"/>
            </w:tcBorders>
          </w:tcPr>
          <w:p w14:paraId="4EAC6672" w14:textId="3DC69B1C" w:rsidR="0008063C" w:rsidRPr="00A63FF7" w:rsidRDefault="0008063C" w:rsidP="0008063C">
            <w:pPr>
              <w:pStyle w:val="TableText"/>
              <w:keepNext/>
            </w:pPr>
            <w:r>
              <w:t>Studies assess</w:t>
            </w:r>
            <w:r w:rsidR="002C7116">
              <w:t>ing</w:t>
            </w:r>
            <w:r>
              <w:t xml:space="preserve"> under</w:t>
            </w:r>
            <w:r w:rsidRPr="0008063C">
              <w:t xml:space="preserve">treatment </w:t>
            </w:r>
            <w:r>
              <w:t xml:space="preserve">of </w:t>
            </w:r>
            <w:r w:rsidR="006F75DF">
              <w:t>CT and/or NG positive</w:t>
            </w:r>
            <w:r w:rsidRPr="0008063C">
              <w:t xml:space="preserve"> patients for </w:t>
            </w:r>
            <w:proofErr w:type="spellStart"/>
            <w:r w:rsidRPr="0008063C">
              <w:t>Xpert</w:t>
            </w:r>
            <w:proofErr w:type="spellEnd"/>
            <w:r w:rsidRPr="0008063C">
              <w:t xml:space="preserve"> CT/NG POC versus SOC testing</w:t>
            </w:r>
          </w:p>
        </w:tc>
        <w:tc>
          <w:tcPr>
            <w:tcW w:w="1075" w:type="pct"/>
            <w:tcBorders>
              <w:top w:val="single" w:sz="4" w:space="0" w:color="auto"/>
              <w:left w:val="single" w:sz="4" w:space="0" w:color="auto"/>
              <w:bottom w:val="single" w:sz="4" w:space="0" w:color="auto"/>
              <w:right w:val="single" w:sz="4" w:space="0" w:color="auto"/>
            </w:tcBorders>
          </w:tcPr>
          <w:p w14:paraId="46E2FA2E" w14:textId="518D54CB" w:rsidR="0008063C" w:rsidRDefault="007D19FE" w:rsidP="0008063C">
            <w:pPr>
              <w:pStyle w:val="TableText"/>
              <w:keepNext/>
            </w:pPr>
            <w:sdt>
              <w:sdtPr>
                <w:id w:val="1831320033"/>
                <w14:checkbox>
                  <w14:checked w14:val="1"/>
                  <w14:checkedState w14:val="2612" w14:font="MS Gothic"/>
                  <w14:uncheckedState w14:val="2610" w14:font="MS Gothic"/>
                </w14:checkbox>
              </w:sdtPr>
              <w:sdtEndPr/>
              <w:sdtContent>
                <w:r w:rsidR="005C6598">
                  <w:rPr>
                    <w:rFonts w:ascii="MS Gothic" w:eastAsia="MS Gothic" w:hAnsi="MS Gothic" w:hint="eastAsia"/>
                  </w:rPr>
                  <w:t>☒</w:t>
                </w:r>
              </w:sdtContent>
            </w:sdt>
            <w:r w:rsidR="0008063C" w:rsidRPr="00CE28E3">
              <w:tab/>
              <w:t>k=</w:t>
            </w:r>
            <w:r w:rsidR="0008063C">
              <w:t>2 datasets</w:t>
            </w:r>
            <w:r w:rsidR="0008063C" w:rsidRPr="00CE28E3">
              <w:tab/>
              <w:t>n=</w:t>
            </w:r>
            <w:r w:rsidR="005C6598">
              <w:t>1114</w:t>
            </w:r>
          </w:p>
        </w:tc>
        <w:tc>
          <w:tcPr>
            <w:tcW w:w="1074" w:type="pct"/>
            <w:tcBorders>
              <w:top w:val="single" w:sz="4" w:space="0" w:color="auto"/>
              <w:left w:val="single" w:sz="4" w:space="0" w:color="auto"/>
              <w:bottom w:val="single" w:sz="4" w:space="0" w:color="auto"/>
              <w:right w:val="single" w:sz="4" w:space="0" w:color="auto"/>
            </w:tcBorders>
            <w:vAlign w:val="center"/>
          </w:tcPr>
          <w:p w14:paraId="0CA49D97" w14:textId="218B8E46" w:rsidR="0008063C" w:rsidRDefault="0008063C" w:rsidP="00C76F0D">
            <w:pPr>
              <w:pStyle w:val="TableText"/>
              <w:keepNext/>
            </w:pPr>
            <w:r w:rsidRPr="002C465A">
              <w:t>Moderate risk of bias</w:t>
            </w:r>
          </w:p>
        </w:tc>
      </w:tr>
      <w:tr w:rsidR="00703254" w:rsidRPr="00CE28E3" w14:paraId="0A575DD3" w14:textId="77777777" w:rsidTr="002B739E">
        <w:tc>
          <w:tcPr>
            <w:tcW w:w="1007" w:type="pct"/>
            <w:tcBorders>
              <w:top w:val="single" w:sz="4" w:space="0" w:color="auto"/>
              <w:left w:val="single" w:sz="4" w:space="0" w:color="auto"/>
              <w:bottom w:val="single" w:sz="4" w:space="0" w:color="auto"/>
              <w:right w:val="single" w:sz="4" w:space="0" w:color="auto"/>
            </w:tcBorders>
            <w:hideMark/>
          </w:tcPr>
          <w:p w14:paraId="2B5E1C59" w14:textId="77777777" w:rsidR="00703254" w:rsidRPr="00CE28E3" w:rsidRDefault="00703254" w:rsidP="00703254">
            <w:pPr>
              <w:pStyle w:val="TableText"/>
              <w:keepNext/>
            </w:pPr>
            <w:r w:rsidRPr="00CE28E3">
              <w:t xml:space="preserve">Health outcomes  </w:t>
            </w:r>
          </w:p>
        </w:tc>
        <w:tc>
          <w:tcPr>
            <w:tcW w:w="1844" w:type="pct"/>
            <w:tcBorders>
              <w:top w:val="single" w:sz="4" w:space="0" w:color="auto"/>
              <w:left w:val="single" w:sz="4" w:space="0" w:color="auto"/>
              <w:bottom w:val="single" w:sz="4" w:space="0" w:color="auto"/>
              <w:right w:val="single" w:sz="4" w:space="0" w:color="auto"/>
            </w:tcBorders>
          </w:tcPr>
          <w:p w14:paraId="54723D7C" w14:textId="2CD0228C" w:rsidR="00703254" w:rsidRPr="00CE28E3" w:rsidRDefault="008F6CF0" w:rsidP="008F6CF0">
            <w:pPr>
              <w:pStyle w:val="TableText"/>
              <w:keepNext/>
            </w:pPr>
            <w:r w:rsidRPr="008F6CF0">
              <w:t>Direct evidence comparing infection rates at retesting after POC</w:t>
            </w:r>
            <w:r w:rsidR="00E24972">
              <w:t xml:space="preserve"> vs</w:t>
            </w:r>
            <w:r w:rsidRPr="008F6CF0">
              <w:t xml:space="preserve"> </w:t>
            </w:r>
            <w:r w:rsidR="00E24972">
              <w:t>SOC testing</w:t>
            </w:r>
            <w:r w:rsidRPr="008F6CF0">
              <w:t xml:space="preserve"> NAAT</w:t>
            </w:r>
          </w:p>
        </w:tc>
        <w:tc>
          <w:tcPr>
            <w:tcW w:w="1075" w:type="pct"/>
            <w:tcBorders>
              <w:top w:val="single" w:sz="4" w:space="0" w:color="auto"/>
              <w:left w:val="single" w:sz="4" w:space="0" w:color="auto"/>
              <w:bottom w:val="single" w:sz="4" w:space="0" w:color="auto"/>
              <w:right w:val="single" w:sz="4" w:space="0" w:color="auto"/>
            </w:tcBorders>
          </w:tcPr>
          <w:p w14:paraId="3DADA39D" w14:textId="417A24E7" w:rsidR="00703254" w:rsidRPr="00CE28E3" w:rsidRDefault="007D19FE" w:rsidP="00703254">
            <w:pPr>
              <w:pStyle w:val="TableText"/>
              <w:keepNext/>
            </w:pPr>
            <w:sdt>
              <w:sdtPr>
                <w:id w:val="-605892943"/>
                <w14:checkbox>
                  <w14:checked w14:val="1"/>
                  <w14:checkedState w14:val="2612" w14:font="MS Gothic"/>
                  <w14:uncheckedState w14:val="2610" w14:font="MS Gothic"/>
                </w14:checkbox>
              </w:sdtPr>
              <w:sdtEndPr/>
              <w:sdtContent>
                <w:r w:rsidR="008F6CF0">
                  <w:rPr>
                    <w:rFonts w:ascii="MS Gothic" w:eastAsia="MS Gothic" w:hAnsi="MS Gothic" w:hint="eastAsia"/>
                  </w:rPr>
                  <w:t>☒</w:t>
                </w:r>
              </w:sdtContent>
            </w:sdt>
            <w:r w:rsidR="00703254" w:rsidRPr="00CE28E3">
              <w:tab/>
              <w:t>k=</w:t>
            </w:r>
            <w:r w:rsidR="008F6CF0">
              <w:t>2</w:t>
            </w:r>
            <w:r w:rsidR="00C76F0D">
              <w:t xml:space="preserve"> datasets</w:t>
            </w:r>
            <w:r w:rsidR="00703254" w:rsidRPr="00CE28E3">
              <w:tab/>
              <w:t>n=</w:t>
            </w:r>
            <w:r w:rsidR="00AA4055">
              <w:t>1095</w:t>
            </w:r>
          </w:p>
          <w:p w14:paraId="496A8CDC" w14:textId="77777777" w:rsidR="00703254" w:rsidRPr="00CE28E3" w:rsidRDefault="00703254" w:rsidP="00703254">
            <w:pPr>
              <w:pStyle w:val="TableText"/>
              <w:keepNext/>
            </w:pPr>
          </w:p>
        </w:tc>
        <w:tc>
          <w:tcPr>
            <w:tcW w:w="1074" w:type="pct"/>
            <w:tcBorders>
              <w:top w:val="single" w:sz="4" w:space="0" w:color="auto"/>
              <w:left w:val="single" w:sz="4" w:space="0" w:color="auto"/>
              <w:bottom w:val="single" w:sz="4" w:space="0" w:color="auto"/>
              <w:right w:val="single" w:sz="4" w:space="0" w:color="auto"/>
            </w:tcBorders>
            <w:vAlign w:val="center"/>
            <w:hideMark/>
          </w:tcPr>
          <w:p w14:paraId="17AAB10F" w14:textId="2F4B0D53" w:rsidR="00703254" w:rsidRPr="00CE28E3" w:rsidRDefault="007868EB" w:rsidP="00C76F0D">
            <w:pPr>
              <w:pStyle w:val="TableText"/>
              <w:keepNext/>
            </w:pPr>
            <w:r w:rsidRPr="007868EB">
              <w:t>Moderate risk of bias</w:t>
            </w:r>
          </w:p>
        </w:tc>
      </w:tr>
    </w:tbl>
    <w:p w14:paraId="7C57B6B1" w14:textId="77777777" w:rsidR="000418DE" w:rsidRDefault="000418DE" w:rsidP="00626CB0">
      <w:pPr>
        <w:pStyle w:val="TableFooter"/>
      </w:pPr>
      <w:bookmarkStart w:id="27" w:name="_Hlk68276301"/>
      <w:bookmarkEnd w:id="26"/>
      <w:r>
        <w:t xml:space="preserve">Source: Table 3, </w:t>
      </w:r>
      <w:proofErr w:type="spellStart"/>
      <w:r>
        <w:t>pg</w:t>
      </w:r>
      <w:proofErr w:type="spellEnd"/>
      <w:r>
        <w:t xml:space="preserve"> 7 of MSAC 1627 Commentary Executive Summary</w:t>
      </w:r>
    </w:p>
    <w:p w14:paraId="36B53B57" w14:textId="4667C2D3" w:rsidR="00956ACE" w:rsidRPr="00CE28E3" w:rsidRDefault="00626CB0" w:rsidP="00626CB0">
      <w:pPr>
        <w:pStyle w:val="TableFooter"/>
      </w:pPr>
      <w:r w:rsidRPr="00626CB0">
        <w:t>CT</w:t>
      </w:r>
      <w:r w:rsidR="00760A37">
        <w:t xml:space="preserve"> </w:t>
      </w:r>
      <w:r w:rsidRPr="00626CB0">
        <w:t xml:space="preserve">= </w:t>
      </w:r>
      <w:r w:rsidRPr="00626CB0">
        <w:rPr>
          <w:i/>
        </w:rPr>
        <w:t>Chlamydia trachomatis</w:t>
      </w:r>
      <w:r w:rsidR="00760A37">
        <w:rPr>
          <w:i/>
        </w:rPr>
        <w:t>;</w:t>
      </w:r>
      <w:r w:rsidRPr="00626CB0">
        <w:t xml:space="preserve"> </w:t>
      </w:r>
      <w:r w:rsidRPr="00CE28E3">
        <w:t>k</w:t>
      </w:r>
      <w:r w:rsidR="00760A37">
        <w:t xml:space="preserve"> </w:t>
      </w:r>
      <w:r w:rsidRPr="00CE28E3">
        <w:t>=</w:t>
      </w:r>
      <w:r w:rsidR="00760A37">
        <w:t xml:space="preserve"> </w:t>
      </w:r>
      <w:r w:rsidRPr="00CE28E3">
        <w:t>number o</w:t>
      </w:r>
      <w:r>
        <w:t>f studies</w:t>
      </w:r>
      <w:r w:rsidR="00760A37">
        <w:t>;</w:t>
      </w:r>
      <w:r>
        <w:t xml:space="preserve"> LAB = laboratory-based; n</w:t>
      </w:r>
      <w:r w:rsidR="00760A37">
        <w:t xml:space="preserve"> </w:t>
      </w:r>
      <w:r>
        <w:t>=</w:t>
      </w:r>
      <w:r w:rsidR="00760A37">
        <w:t xml:space="preserve"> </w:t>
      </w:r>
      <w:r>
        <w:t xml:space="preserve">number of patients; </w:t>
      </w:r>
      <w:r w:rsidRPr="00626CB0">
        <w:t>NAAT</w:t>
      </w:r>
      <w:r w:rsidR="00760A37">
        <w:t xml:space="preserve"> </w:t>
      </w:r>
      <w:r w:rsidRPr="00626CB0">
        <w:t>=</w:t>
      </w:r>
      <w:r w:rsidR="00760A37">
        <w:t xml:space="preserve"> </w:t>
      </w:r>
      <w:r w:rsidRPr="00626CB0">
        <w:t>nucleic acid amplification test; NG</w:t>
      </w:r>
      <w:r w:rsidR="00760A37">
        <w:t xml:space="preserve"> </w:t>
      </w:r>
      <w:r w:rsidRPr="00626CB0">
        <w:t>=</w:t>
      </w:r>
      <w:r w:rsidR="00760A37">
        <w:t xml:space="preserve"> </w:t>
      </w:r>
      <w:r w:rsidRPr="00626CB0">
        <w:rPr>
          <w:i/>
        </w:rPr>
        <w:t xml:space="preserve">Neisseria </w:t>
      </w:r>
      <w:r w:rsidR="008F6CF0">
        <w:rPr>
          <w:i/>
        </w:rPr>
        <w:t>gonorrhoea</w:t>
      </w:r>
      <w:r>
        <w:rPr>
          <w:i/>
        </w:rPr>
        <w:t>e</w:t>
      </w:r>
      <w:r w:rsidR="00760A37">
        <w:rPr>
          <w:i/>
        </w:rPr>
        <w:t>;</w:t>
      </w:r>
      <w:r w:rsidRPr="00626CB0">
        <w:t xml:space="preserve"> POC</w:t>
      </w:r>
      <w:r w:rsidR="00760A37">
        <w:t xml:space="preserve"> </w:t>
      </w:r>
      <w:r w:rsidRPr="00626CB0">
        <w:t>=</w:t>
      </w:r>
      <w:r w:rsidR="00760A37">
        <w:t xml:space="preserve"> </w:t>
      </w:r>
      <w:r w:rsidRPr="00626CB0">
        <w:t>point of care</w:t>
      </w:r>
      <w:r w:rsidR="00760A37">
        <w:t>;</w:t>
      </w:r>
      <w:r w:rsidRPr="00626CB0">
        <w:t xml:space="preserve"> </w:t>
      </w:r>
      <w:r w:rsidR="0053479A">
        <w:t xml:space="preserve">SOC = standard of care; </w:t>
      </w:r>
      <w:r>
        <w:t>TV</w:t>
      </w:r>
      <w:r w:rsidR="00760A37">
        <w:t xml:space="preserve"> </w:t>
      </w:r>
      <w:r>
        <w:t>=</w:t>
      </w:r>
      <w:r w:rsidR="00760A37">
        <w:t xml:space="preserve"> </w:t>
      </w:r>
      <w:r w:rsidRPr="00626CB0">
        <w:rPr>
          <w:i/>
        </w:rPr>
        <w:t>Trichomonas vaginalis</w:t>
      </w:r>
    </w:p>
    <w:p w14:paraId="3B9FC2AD" w14:textId="76A40EA8" w:rsidR="00772829" w:rsidRPr="00CE28E3" w:rsidRDefault="008A2C9F" w:rsidP="002A18BE">
      <w:pPr>
        <w:pStyle w:val="Heading2"/>
        <w:numPr>
          <w:ilvl w:val="0"/>
          <w:numId w:val="0"/>
        </w:numPr>
      </w:pPr>
      <w:bookmarkStart w:id="28" w:name="_Toc69491423"/>
      <w:bookmarkEnd w:id="27"/>
      <w:r>
        <w:t>11</w:t>
      </w:r>
      <w:r w:rsidR="00C36633">
        <w:t>.</w:t>
      </w:r>
      <w:r w:rsidR="00C36633">
        <w:tab/>
      </w:r>
      <w:r w:rsidR="00772829" w:rsidRPr="00CE28E3">
        <w:t>Comparative safety</w:t>
      </w:r>
      <w:bookmarkEnd w:id="28"/>
    </w:p>
    <w:p w14:paraId="1A74C7B5" w14:textId="23DF4EDB" w:rsidR="001D74A7" w:rsidRPr="003251C2" w:rsidRDefault="00E03951" w:rsidP="00E44BC9">
      <w:r w:rsidRPr="00E03951">
        <w:t xml:space="preserve">As the same samples need to be taken for all NAAT tests, there are no additional safety concerns with POC NAAT testing compared with </w:t>
      </w:r>
      <w:r w:rsidR="00E24972">
        <w:t xml:space="preserve">standard </w:t>
      </w:r>
      <w:r w:rsidRPr="00E03951">
        <w:t>laboratory NAAT testing.</w:t>
      </w:r>
    </w:p>
    <w:p w14:paraId="3717AA01" w14:textId="58573719" w:rsidR="00772829" w:rsidRDefault="00C36633" w:rsidP="002A18BE">
      <w:pPr>
        <w:pStyle w:val="Heading2"/>
        <w:numPr>
          <w:ilvl w:val="0"/>
          <w:numId w:val="0"/>
        </w:numPr>
      </w:pPr>
      <w:bookmarkStart w:id="29" w:name="_Toc69491424"/>
      <w:r>
        <w:t>1</w:t>
      </w:r>
      <w:r w:rsidR="008A2C9F">
        <w:t>2</w:t>
      </w:r>
      <w:r>
        <w:t>.</w:t>
      </w:r>
      <w:r>
        <w:tab/>
      </w:r>
      <w:r w:rsidR="00772829" w:rsidRPr="00CE28E3">
        <w:t>Comparative effectiveness</w:t>
      </w:r>
      <w:bookmarkEnd w:id="29"/>
    </w:p>
    <w:p w14:paraId="56FE7F45" w14:textId="1C8CB1FA" w:rsidR="005E23B4" w:rsidRDefault="000E5686" w:rsidP="00AC1461">
      <w:r>
        <w:t>A</w:t>
      </w:r>
      <w:r w:rsidR="005E23B4" w:rsidRPr="005E23B4">
        <w:t xml:space="preserve">s the evidence base for diagnostic accuracy and safety </w:t>
      </w:r>
      <w:r w:rsidR="00B541FD">
        <w:t xml:space="preserve">of the </w:t>
      </w:r>
      <w:proofErr w:type="spellStart"/>
      <w:r w:rsidR="00B541FD" w:rsidRPr="00B541FD">
        <w:t>Xpert</w:t>
      </w:r>
      <w:proofErr w:type="spellEnd"/>
      <w:r w:rsidR="00B541FD" w:rsidRPr="00B541FD">
        <w:t xml:space="preserve"> </w:t>
      </w:r>
      <w:r w:rsidR="00B541FD">
        <w:t xml:space="preserve">POC test </w:t>
      </w:r>
      <w:r>
        <w:t>was considered as</w:t>
      </w:r>
      <w:r w:rsidR="005E23B4" w:rsidRPr="005E23B4">
        <w:t xml:space="preserve"> established, the </w:t>
      </w:r>
      <w:r w:rsidR="00B541FD">
        <w:t>ADAR did</w:t>
      </w:r>
      <w:r w:rsidR="005E23B4" w:rsidRPr="005E23B4">
        <w:t xml:space="preserve"> not include analysis of the statistical precision of the evidence or size of the effect related to diagnostic testing. The following analysis has been undertaken to present a complete assessment to inform/support MSAC’s deliberations on the effectiveness of the </w:t>
      </w:r>
      <w:proofErr w:type="spellStart"/>
      <w:r w:rsidR="005E23B4" w:rsidRPr="005E23B4">
        <w:t>Xpert</w:t>
      </w:r>
      <w:proofErr w:type="spellEnd"/>
      <w:r w:rsidR="005E23B4" w:rsidRPr="005E23B4">
        <w:t xml:space="preserve"> POC test</w:t>
      </w:r>
      <w:r w:rsidR="00D006FD">
        <w:t>.</w:t>
      </w:r>
    </w:p>
    <w:p w14:paraId="3EDC2E9C" w14:textId="609F3699" w:rsidR="00AC1461" w:rsidRPr="00AC1461" w:rsidRDefault="00AC1461" w:rsidP="00AC1461">
      <w:r>
        <w:lastRenderedPageBreak/>
        <w:t xml:space="preserve">The clinical effectiveness of POC testing (compared to SOC testing), depends on the accuracy of the test, whether it changes the way the infections are treated (in the individuals being tested, or their sexual partners), and the effectiveness of the treatment. </w:t>
      </w:r>
    </w:p>
    <w:p w14:paraId="349A27F4" w14:textId="274DAFA1" w:rsidR="003406C5" w:rsidRDefault="003406C5" w:rsidP="003406C5">
      <w:pPr>
        <w:pStyle w:val="Heading3"/>
      </w:pPr>
      <w:r>
        <w:t>Analytical validity</w:t>
      </w:r>
    </w:p>
    <w:p w14:paraId="5F6A3B30" w14:textId="4959F67B" w:rsidR="00C9257E" w:rsidRDefault="00C9257E" w:rsidP="00C9257E">
      <w:r w:rsidRPr="00C9257E">
        <w:t xml:space="preserve">Meta-analysis of the sample sets presented in the studies </w:t>
      </w:r>
      <w:r>
        <w:t xml:space="preserve">reporting on the diagnostic accuracy of POC </w:t>
      </w:r>
      <w:proofErr w:type="spellStart"/>
      <w:r>
        <w:t>Xpert</w:t>
      </w:r>
      <w:proofErr w:type="spellEnd"/>
      <w:r>
        <w:t xml:space="preserve"> CT/NG and/or TV testing compared with laboratory NAAT testing </w:t>
      </w:r>
      <w:r w:rsidRPr="00C9257E">
        <w:t xml:space="preserve">was performed using the </w:t>
      </w:r>
      <w:proofErr w:type="spellStart"/>
      <w:r w:rsidRPr="00C9257E">
        <w:t>midas</w:t>
      </w:r>
      <w:proofErr w:type="spellEnd"/>
      <w:r w:rsidRPr="00C9257E">
        <w:t xml:space="preserve"> command in STATA 15.1.</w:t>
      </w:r>
      <w:r>
        <w:t xml:space="preserve"> </w:t>
      </w:r>
      <w:r w:rsidR="00635541">
        <w:t xml:space="preserve">The pooled sensitivity and specificity </w:t>
      </w:r>
      <w:r w:rsidR="00555AEC">
        <w:t>values</w:t>
      </w:r>
      <w:r w:rsidR="00635541">
        <w:t xml:space="preserve"> are presented in </w:t>
      </w:r>
      <w:r w:rsidR="00635541">
        <w:fldChar w:fldCharType="begin"/>
      </w:r>
      <w:r w:rsidR="00635541">
        <w:instrText xml:space="preserve"> REF _Ref109904126 \h </w:instrText>
      </w:r>
      <w:r w:rsidR="00635541">
        <w:fldChar w:fldCharType="separate"/>
      </w:r>
      <w:r w:rsidR="00CE44AB" w:rsidRPr="00C9257E">
        <w:t xml:space="preserve">Table </w:t>
      </w:r>
      <w:r w:rsidR="00CE44AB">
        <w:rPr>
          <w:noProof/>
        </w:rPr>
        <w:t>4</w:t>
      </w:r>
      <w:r w:rsidR="00635541">
        <w:fldChar w:fldCharType="end"/>
      </w:r>
      <w:r w:rsidR="00635541">
        <w:t>.</w:t>
      </w:r>
    </w:p>
    <w:p w14:paraId="0B7F327A" w14:textId="69E5465D" w:rsidR="00C9257E" w:rsidRDefault="00C9257E" w:rsidP="00C9257E">
      <w:r>
        <w:t xml:space="preserve">Subgroup </w:t>
      </w:r>
      <w:r w:rsidR="00635541">
        <w:t>meta-</w:t>
      </w:r>
      <w:r>
        <w:t xml:space="preserve">analysis for different genitourinary or pharyngeal sample types was not possible as less than four datasets were available for analysis. Thus, </w:t>
      </w:r>
      <w:r w:rsidR="00635541">
        <w:t xml:space="preserve">median sensitivity and specificity values were calculated. </w:t>
      </w:r>
      <w:r>
        <w:t>T</w:t>
      </w:r>
      <w:r w:rsidR="004F2CA9" w:rsidRPr="00C9257E">
        <w:t xml:space="preserve">he median sensitivity and specificity for all sample datasets were </w:t>
      </w:r>
      <w:proofErr w:type="gramStart"/>
      <w:r>
        <w:t>similar to</w:t>
      </w:r>
      <w:proofErr w:type="gramEnd"/>
      <w:r w:rsidR="004F2CA9" w:rsidRPr="00C9257E">
        <w:t xml:space="preserve"> the pooled values </w:t>
      </w:r>
      <w:r>
        <w:t>(</w:t>
      </w:r>
      <w:r>
        <w:fldChar w:fldCharType="begin"/>
      </w:r>
      <w:r>
        <w:instrText xml:space="preserve"> REF _Ref109904126 \h </w:instrText>
      </w:r>
      <w:r>
        <w:fldChar w:fldCharType="separate"/>
      </w:r>
      <w:r w:rsidR="00CE44AB" w:rsidRPr="00C9257E">
        <w:t xml:space="preserve">Table </w:t>
      </w:r>
      <w:r w:rsidR="00CE44AB">
        <w:rPr>
          <w:noProof/>
        </w:rPr>
        <w:t>4</w:t>
      </w:r>
      <w:r>
        <w:fldChar w:fldCharType="end"/>
      </w:r>
      <w:r>
        <w:t>)</w:t>
      </w:r>
      <w:r w:rsidR="004F2CA9" w:rsidRPr="00C9257E">
        <w:t xml:space="preserve">. </w:t>
      </w:r>
    </w:p>
    <w:p w14:paraId="09C24103" w14:textId="531DF53D" w:rsidR="00555AEC" w:rsidRPr="00555AEC" w:rsidRDefault="00555AEC" w:rsidP="00C9257E">
      <w:r w:rsidRPr="00555AEC">
        <w:t xml:space="preserve">The median sensitivity </w:t>
      </w:r>
      <w:r>
        <w:t xml:space="preserve">and specificity </w:t>
      </w:r>
      <w:r w:rsidRPr="00555AEC">
        <w:t xml:space="preserve">values of POC testing compared with </w:t>
      </w:r>
      <w:r w:rsidR="00E24972">
        <w:t xml:space="preserve">standard </w:t>
      </w:r>
      <w:r w:rsidRPr="00555AEC">
        <w:t xml:space="preserve">laboratory testing for specific sample types were </w:t>
      </w:r>
      <w:proofErr w:type="gramStart"/>
      <w:r w:rsidRPr="00555AEC">
        <w:t>similar to</w:t>
      </w:r>
      <w:proofErr w:type="gramEnd"/>
      <w:r w:rsidRPr="00555AEC">
        <w:t xml:space="preserve"> the overall pooled and/or median values, varying between 88% and 100%, for all sample types except pharyngeal samples. The sensitivity of detecting CT in pharyngeal samples could not be determined accurately due to the lack of evidence.</w:t>
      </w:r>
    </w:p>
    <w:p w14:paraId="735DBEF9" w14:textId="18D981A5" w:rsidR="00555AEC" w:rsidRDefault="00555AEC" w:rsidP="00555AEC">
      <w:r>
        <w:t xml:space="preserve">When the </w:t>
      </w:r>
      <w:r w:rsidRPr="00555AEC">
        <w:t xml:space="preserve">pooled </w:t>
      </w:r>
      <w:r>
        <w:t xml:space="preserve">and/or median </w:t>
      </w:r>
      <w:r w:rsidRPr="00555AEC">
        <w:t xml:space="preserve">sensitivity and specificity of the POC </w:t>
      </w:r>
      <w:proofErr w:type="spellStart"/>
      <w:r w:rsidRPr="00555AEC">
        <w:t>Xpert</w:t>
      </w:r>
      <w:proofErr w:type="spellEnd"/>
      <w:r w:rsidRPr="00555AEC">
        <w:t xml:space="preserve"> </w:t>
      </w:r>
      <w:r w:rsidR="004B2734">
        <w:t xml:space="preserve">CT/NG </w:t>
      </w:r>
      <w:r>
        <w:t xml:space="preserve">testing compared to laboratory NAAT testing </w:t>
      </w:r>
      <w:r w:rsidR="004B2734">
        <w:t xml:space="preserve">was compared to the pooled values obtained in two systematic reviews (SRs) comparing the </w:t>
      </w:r>
      <w:proofErr w:type="spellStart"/>
      <w:r w:rsidR="004B2734">
        <w:t>Xpert</w:t>
      </w:r>
      <w:proofErr w:type="spellEnd"/>
      <w:r w:rsidR="004B2734">
        <w:t xml:space="preserve"> CT/NG assay to other NAATs, the results were very similar. </w:t>
      </w:r>
      <w:r w:rsidR="004B2734" w:rsidRPr="004B2734">
        <w:t xml:space="preserve">The </w:t>
      </w:r>
      <w:r w:rsidR="004B2734">
        <w:t xml:space="preserve">SRs reported that the pooled </w:t>
      </w:r>
      <w:r w:rsidR="004B2734" w:rsidRPr="004B2734">
        <w:t>sensitivity for various specimen types varied between 90% and 96% and the specificity varied little (99–100%).</w:t>
      </w:r>
    </w:p>
    <w:p w14:paraId="69B8F76F" w14:textId="77F952F5" w:rsidR="00CA478F" w:rsidRPr="00CA478F" w:rsidRDefault="004B2734" w:rsidP="00CA478F">
      <w:proofErr w:type="gramStart"/>
      <w:r>
        <w:t>The majority of</w:t>
      </w:r>
      <w:proofErr w:type="gramEnd"/>
      <w:r>
        <w:t xml:space="preserve"> the</w:t>
      </w:r>
      <w:r w:rsidR="00555AEC">
        <w:t xml:space="preserve"> studies included in the </w:t>
      </w:r>
      <w:r>
        <w:t>SRs did not use</w:t>
      </w:r>
      <w:r w:rsidR="00555AEC">
        <w:t xml:space="preserve"> the </w:t>
      </w:r>
      <w:proofErr w:type="spellStart"/>
      <w:r w:rsidR="00555AEC">
        <w:t>Xpert</w:t>
      </w:r>
      <w:proofErr w:type="spellEnd"/>
      <w:r w:rsidR="00555AEC">
        <w:t xml:space="preserve"> CT/NG assay in a POC setting</w:t>
      </w:r>
      <w:r w:rsidR="00C6578F">
        <w:t>.</w:t>
      </w:r>
      <w:r w:rsidR="00555AEC">
        <w:t xml:space="preserve"> </w:t>
      </w:r>
      <w:r w:rsidR="00C6578F">
        <w:t>As the dia</w:t>
      </w:r>
      <w:r w:rsidR="00161687">
        <w:t>g</w:t>
      </w:r>
      <w:r w:rsidR="00C6578F">
        <w:t xml:space="preserve">nostic accuracy of the test </w:t>
      </w:r>
      <w:r w:rsidR="00161687">
        <w:t xml:space="preserve">was similar </w:t>
      </w:r>
      <w:proofErr w:type="gramStart"/>
      <w:r w:rsidR="00161687">
        <w:t>whether or not</w:t>
      </w:r>
      <w:proofErr w:type="gramEnd"/>
      <w:r w:rsidR="00161687">
        <w:t xml:space="preserve"> studies using the test under laboratory conditions were included</w:t>
      </w:r>
      <w:r w:rsidR="00C6578F">
        <w:t xml:space="preserve">, it </w:t>
      </w:r>
      <w:r w:rsidR="00555AEC">
        <w:t>suggest</w:t>
      </w:r>
      <w:r w:rsidR="00C6578F">
        <w:t>s</w:t>
      </w:r>
      <w:r w:rsidR="00555AEC">
        <w:t xml:space="preserve"> that the accuracy of the assay is little affected when performed by </w:t>
      </w:r>
      <w:r w:rsidR="00161687">
        <w:t xml:space="preserve">either laboratory or </w:t>
      </w:r>
      <w:r w:rsidR="00555AEC">
        <w:t>non-laboratory staff.</w:t>
      </w:r>
      <w:r w:rsidR="00161687">
        <w:t xml:space="preserve"> Thus, the test appears to be sufficiently robust for use as a POC test</w:t>
      </w:r>
      <w:r w:rsidR="0030274C">
        <w:t xml:space="preserve"> in remote communities</w:t>
      </w:r>
      <w:r w:rsidR="00161687">
        <w:t>.</w:t>
      </w:r>
      <w:bookmarkStart w:id="30" w:name="_Ref109904126"/>
      <w:r w:rsidR="00CA478F">
        <w:br w:type="page"/>
      </w:r>
    </w:p>
    <w:p w14:paraId="44E07632" w14:textId="19804A8E" w:rsidR="004F2CA9" w:rsidRPr="00C9257E" w:rsidRDefault="00C9257E" w:rsidP="00C9257E">
      <w:pPr>
        <w:pStyle w:val="TableHeading0"/>
      </w:pPr>
      <w:r w:rsidRPr="00C9257E">
        <w:lastRenderedPageBreak/>
        <w:t xml:space="preserve">Table </w:t>
      </w:r>
      <w:r w:rsidR="007D19FE">
        <w:fldChar w:fldCharType="begin"/>
      </w:r>
      <w:r w:rsidR="007D19FE">
        <w:instrText xml:space="preserve"> SEQ Table \* ARABIC </w:instrText>
      </w:r>
      <w:r w:rsidR="007D19FE">
        <w:fldChar w:fldCharType="separate"/>
      </w:r>
      <w:r w:rsidR="00FF1B3A">
        <w:rPr>
          <w:noProof/>
        </w:rPr>
        <w:t>4</w:t>
      </w:r>
      <w:r w:rsidR="007D19FE">
        <w:rPr>
          <w:noProof/>
        </w:rPr>
        <w:fldChar w:fldCharType="end"/>
      </w:r>
      <w:bookmarkEnd w:id="30"/>
      <w:r w:rsidR="004F2CA9" w:rsidRPr="00C9257E">
        <w:tab/>
        <w:t xml:space="preserve">The pooled (95% CI) or median (range) sensitivity and specificity of POC NAAT compared with </w:t>
      </w:r>
      <w:r w:rsidR="00E24972">
        <w:t xml:space="preserve">standard </w:t>
      </w:r>
      <w:r w:rsidR="004F2CA9" w:rsidRPr="00C9257E">
        <w:t xml:space="preserve">laboratory NAAT testing for specific sample types </w:t>
      </w:r>
    </w:p>
    <w:tbl>
      <w:tblPr>
        <w:tblStyle w:val="HealthConsult3"/>
        <w:tblW w:w="0" w:type="auto"/>
        <w:tblLook w:val="04A0" w:firstRow="1" w:lastRow="0" w:firstColumn="1" w:lastColumn="0" w:noHBand="0" w:noVBand="1"/>
        <w:tblCaption w:val="The pooled (95% CI) or median (range) sensitivity and specificity of POC NAAT compared with laboratory-based NAAT testing for specific sample types "/>
      </w:tblPr>
      <w:tblGrid>
        <w:gridCol w:w="2918"/>
        <w:gridCol w:w="2918"/>
        <w:gridCol w:w="2918"/>
      </w:tblGrid>
      <w:tr w:rsidR="00C9257E" w:rsidRPr="00C9257E" w14:paraId="23C49937" w14:textId="77777777" w:rsidTr="00936B72">
        <w:trPr>
          <w:tblHeader/>
        </w:trPr>
        <w:tc>
          <w:tcPr>
            <w:tcW w:w="2918" w:type="dxa"/>
          </w:tcPr>
          <w:p w14:paraId="72233EC4" w14:textId="77777777" w:rsidR="004F2CA9" w:rsidRPr="004F2CA9" w:rsidRDefault="004F2CA9" w:rsidP="004F2CA9">
            <w:pPr>
              <w:spacing w:before="40" w:after="40"/>
              <w:rPr>
                <w:rFonts w:ascii="Arial Narrow" w:hAnsi="Arial Narrow" w:cstheme="minorHAnsi"/>
                <w:b/>
                <w:sz w:val="20"/>
              </w:rPr>
            </w:pPr>
            <w:r w:rsidRPr="004F2CA9">
              <w:rPr>
                <w:rFonts w:ascii="Arial Narrow" w:hAnsi="Arial Narrow" w:cstheme="minorHAnsi"/>
                <w:b/>
                <w:sz w:val="20"/>
              </w:rPr>
              <w:t>Sample type</w:t>
            </w:r>
          </w:p>
        </w:tc>
        <w:tc>
          <w:tcPr>
            <w:tcW w:w="2918" w:type="dxa"/>
          </w:tcPr>
          <w:p w14:paraId="4D2BE6E7" w14:textId="77777777" w:rsidR="004F2CA9" w:rsidRPr="004F2CA9" w:rsidRDefault="004F2CA9" w:rsidP="004F2CA9">
            <w:pPr>
              <w:spacing w:before="40" w:after="40"/>
              <w:rPr>
                <w:rFonts w:ascii="Arial Narrow" w:hAnsi="Arial Narrow" w:cstheme="minorHAnsi"/>
                <w:b/>
                <w:sz w:val="20"/>
              </w:rPr>
            </w:pPr>
            <w:r w:rsidRPr="004F2CA9">
              <w:rPr>
                <w:rFonts w:ascii="Arial Narrow" w:hAnsi="Arial Narrow" w:cstheme="minorHAnsi"/>
                <w:b/>
                <w:sz w:val="20"/>
              </w:rPr>
              <w:t>Median sensitivity (range)</w:t>
            </w:r>
          </w:p>
        </w:tc>
        <w:tc>
          <w:tcPr>
            <w:tcW w:w="2918" w:type="dxa"/>
          </w:tcPr>
          <w:p w14:paraId="284615F1" w14:textId="77777777" w:rsidR="004F2CA9" w:rsidRPr="004F2CA9" w:rsidRDefault="004F2CA9" w:rsidP="004F2CA9">
            <w:pPr>
              <w:spacing w:before="40" w:after="40"/>
              <w:rPr>
                <w:rFonts w:ascii="Arial Narrow" w:hAnsi="Arial Narrow" w:cstheme="minorHAnsi"/>
                <w:b/>
                <w:sz w:val="20"/>
              </w:rPr>
            </w:pPr>
            <w:r w:rsidRPr="004F2CA9">
              <w:rPr>
                <w:rFonts w:ascii="Arial Narrow" w:hAnsi="Arial Narrow" w:cstheme="minorHAnsi"/>
                <w:b/>
                <w:sz w:val="20"/>
              </w:rPr>
              <w:t>Median specificity (range)</w:t>
            </w:r>
          </w:p>
        </w:tc>
      </w:tr>
      <w:tr w:rsidR="00C9257E" w:rsidRPr="00C9257E" w14:paraId="7354942F" w14:textId="77777777" w:rsidTr="00936B72">
        <w:tc>
          <w:tcPr>
            <w:tcW w:w="8754" w:type="dxa"/>
            <w:gridSpan w:val="3"/>
          </w:tcPr>
          <w:p w14:paraId="4836A494" w14:textId="77777777" w:rsidR="004F2CA9" w:rsidRPr="004F2CA9" w:rsidRDefault="004F2CA9" w:rsidP="004F2CA9">
            <w:pPr>
              <w:spacing w:before="40" w:after="40"/>
              <w:rPr>
                <w:rFonts w:ascii="Arial Narrow" w:hAnsi="Arial Narrow" w:cstheme="minorHAnsi"/>
                <w:b/>
                <w:sz w:val="20"/>
              </w:rPr>
            </w:pPr>
            <w:r w:rsidRPr="004F2CA9">
              <w:rPr>
                <w:rFonts w:ascii="Arial Narrow" w:hAnsi="Arial Narrow" w:cstheme="minorHAnsi"/>
                <w:b/>
                <w:sz w:val="20"/>
              </w:rPr>
              <w:t>Detection of Chlamydia trachomatis</w:t>
            </w:r>
          </w:p>
        </w:tc>
      </w:tr>
      <w:tr w:rsidR="00C9257E" w:rsidRPr="00C9257E" w14:paraId="79F5D599" w14:textId="77777777" w:rsidTr="00936B72">
        <w:tc>
          <w:tcPr>
            <w:tcW w:w="2918" w:type="dxa"/>
          </w:tcPr>
          <w:p w14:paraId="0EC5C7C9" w14:textId="6644ADE5" w:rsidR="004F2CA9" w:rsidRPr="004F2CA9" w:rsidRDefault="004F2CA9" w:rsidP="00C9257E">
            <w:pPr>
              <w:spacing w:before="40" w:after="40"/>
              <w:rPr>
                <w:rFonts w:ascii="Arial Narrow" w:hAnsi="Arial Narrow" w:cstheme="minorHAnsi"/>
                <w:sz w:val="20"/>
              </w:rPr>
            </w:pPr>
            <w:r w:rsidRPr="004F2CA9">
              <w:rPr>
                <w:rFonts w:ascii="Arial Narrow" w:hAnsi="Arial Narrow" w:cstheme="minorHAnsi"/>
                <w:sz w:val="20"/>
              </w:rPr>
              <w:t xml:space="preserve">All (pooled, k=8 </w:t>
            </w:r>
            <w:r w:rsidR="00C9257E">
              <w:rPr>
                <w:rFonts w:ascii="Arial Narrow" w:hAnsi="Arial Narrow" w:cstheme="minorHAnsi"/>
                <w:sz w:val="20"/>
              </w:rPr>
              <w:t>data</w:t>
            </w:r>
            <w:r w:rsidRPr="004F2CA9">
              <w:rPr>
                <w:rFonts w:ascii="Arial Narrow" w:hAnsi="Arial Narrow" w:cstheme="minorHAnsi"/>
                <w:sz w:val="20"/>
              </w:rPr>
              <w:t>sets)</w:t>
            </w:r>
          </w:p>
        </w:tc>
        <w:tc>
          <w:tcPr>
            <w:tcW w:w="2918" w:type="dxa"/>
          </w:tcPr>
          <w:p w14:paraId="548E3579"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94% (95% CI 87, 97)</w:t>
            </w:r>
          </w:p>
        </w:tc>
        <w:tc>
          <w:tcPr>
            <w:tcW w:w="2918" w:type="dxa"/>
          </w:tcPr>
          <w:p w14:paraId="6EA6396C"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 (95% CI 99, 100)</w:t>
            </w:r>
          </w:p>
        </w:tc>
      </w:tr>
      <w:tr w:rsidR="00C9257E" w:rsidRPr="00C9257E" w14:paraId="3829052B" w14:textId="77777777" w:rsidTr="00936B72">
        <w:tc>
          <w:tcPr>
            <w:tcW w:w="2918" w:type="dxa"/>
          </w:tcPr>
          <w:p w14:paraId="6710480A" w14:textId="483BD4CD" w:rsidR="004F2CA9" w:rsidRPr="004F2CA9" w:rsidRDefault="004F2CA9" w:rsidP="00C9257E">
            <w:pPr>
              <w:spacing w:before="40" w:after="40"/>
              <w:rPr>
                <w:rFonts w:ascii="Arial Narrow" w:hAnsi="Arial Narrow" w:cstheme="minorHAnsi"/>
                <w:sz w:val="20"/>
              </w:rPr>
            </w:pPr>
            <w:r w:rsidRPr="004F2CA9">
              <w:rPr>
                <w:rFonts w:ascii="Arial Narrow" w:hAnsi="Arial Narrow" w:cstheme="minorHAnsi"/>
                <w:sz w:val="20"/>
              </w:rPr>
              <w:t xml:space="preserve">All (median, k=8 </w:t>
            </w:r>
            <w:r w:rsidR="00C9257E">
              <w:rPr>
                <w:rFonts w:ascii="Arial Narrow" w:hAnsi="Arial Narrow" w:cstheme="minorHAnsi"/>
                <w:sz w:val="20"/>
              </w:rPr>
              <w:t>dataset</w:t>
            </w:r>
            <w:r w:rsidRPr="004F2CA9">
              <w:rPr>
                <w:rFonts w:ascii="Arial Narrow" w:hAnsi="Arial Narrow" w:cstheme="minorHAnsi"/>
                <w:sz w:val="20"/>
              </w:rPr>
              <w:t>s)</w:t>
            </w:r>
          </w:p>
        </w:tc>
        <w:tc>
          <w:tcPr>
            <w:tcW w:w="2918" w:type="dxa"/>
          </w:tcPr>
          <w:p w14:paraId="76A89267"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95% (50–100)</w:t>
            </w:r>
          </w:p>
        </w:tc>
        <w:tc>
          <w:tcPr>
            <w:tcW w:w="2918" w:type="dxa"/>
          </w:tcPr>
          <w:p w14:paraId="3C057367"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 (96–100)</w:t>
            </w:r>
          </w:p>
        </w:tc>
      </w:tr>
      <w:tr w:rsidR="00C9257E" w:rsidRPr="00C9257E" w14:paraId="03A89FF9" w14:textId="77777777" w:rsidTr="00936B72">
        <w:tc>
          <w:tcPr>
            <w:tcW w:w="2918" w:type="dxa"/>
          </w:tcPr>
          <w:p w14:paraId="18B818CB" w14:textId="77777777"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Rectal swabs (k=3)</w:t>
            </w:r>
          </w:p>
        </w:tc>
        <w:tc>
          <w:tcPr>
            <w:tcW w:w="2918" w:type="dxa"/>
          </w:tcPr>
          <w:p w14:paraId="699BD2E0"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88% (86–97)</w:t>
            </w:r>
          </w:p>
        </w:tc>
        <w:tc>
          <w:tcPr>
            <w:tcW w:w="2918" w:type="dxa"/>
          </w:tcPr>
          <w:p w14:paraId="19F5BEE2"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99% (96–100)</w:t>
            </w:r>
          </w:p>
        </w:tc>
      </w:tr>
      <w:tr w:rsidR="00C9257E" w:rsidRPr="00C9257E" w14:paraId="74D5B3B9" w14:textId="77777777" w:rsidTr="00936B72">
        <w:tc>
          <w:tcPr>
            <w:tcW w:w="2918" w:type="dxa"/>
          </w:tcPr>
          <w:p w14:paraId="770DCBF3" w14:textId="77777777"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Vaginal swabs (k=2)</w:t>
            </w:r>
          </w:p>
        </w:tc>
        <w:tc>
          <w:tcPr>
            <w:tcW w:w="2918" w:type="dxa"/>
          </w:tcPr>
          <w:p w14:paraId="675627D4"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96% (92–100)</w:t>
            </w:r>
          </w:p>
        </w:tc>
        <w:tc>
          <w:tcPr>
            <w:tcW w:w="2918" w:type="dxa"/>
          </w:tcPr>
          <w:p w14:paraId="6F42E846"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99% (98–100)</w:t>
            </w:r>
          </w:p>
        </w:tc>
      </w:tr>
      <w:tr w:rsidR="00C9257E" w:rsidRPr="00C9257E" w14:paraId="78BC2EA7" w14:textId="77777777" w:rsidTr="00936B72">
        <w:tc>
          <w:tcPr>
            <w:tcW w:w="2918" w:type="dxa"/>
          </w:tcPr>
          <w:p w14:paraId="455CA86F" w14:textId="77777777"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Urine sample (k=1)</w:t>
            </w:r>
          </w:p>
        </w:tc>
        <w:tc>
          <w:tcPr>
            <w:tcW w:w="2918" w:type="dxa"/>
          </w:tcPr>
          <w:p w14:paraId="0EB67747"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w:t>
            </w:r>
          </w:p>
        </w:tc>
        <w:tc>
          <w:tcPr>
            <w:tcW w:w="2918" w:type="dxa"/>
          </w:tcPr>
          <w:p w14:paraId="090AA72D"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w:t>
            </w:r>
          </w:p>
        </w:tc>
      </w:tr>
      <w:tr w:rsidR="00C9257E" w:rsidRPr="00C9257E" w14:paraId="56E8F5C8" w14:textId="77777777" w:rsidTr="00936B72">
        <w:tc>
          <w:tcPr>
            <w:tcW w:w="2918" w:type="dxa"/>
          </w:tcPr>
          <w:p w14:paraId="6656BD8B" w14:textId="77777777"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Pharyngeal swab (k=1)</w:t>
            </w:r>
          </w:p>
        </w:tc>
        <w:tc>
          <w:tcPr>
            <w:tcW w:w="2918" w:type="dxa"/>
          </w:tcPr>
          <w:p w14:paraId="28B26785"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50%</w:t>
            </w:r>
          </w:p>
        </w:tc>
        <w:tc>
          <w:tcPr>
            <w:tcW w:w="2918" w:type="dxa"/>
          </w:tcPr>
          <w:p w14:paraId="5F3A33FA"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w:t>
            </w:r>
          </w:p>
        </w:tc>
      </w:tr>
      <w:tr w:rsidR="00C9257E" w:rsidRPr="00C9257E" w14:paraId="5886ED9C" w14:textId="77777777" w:rsidTr="00936B72">
        <w:tc>
          <w:tcPr>
            <w:tcW w:w="8754" w:type="dxa"/>
            <w:gridSpan w:val="3"/>
          </w:tcPr>
          <w:p w14:paraId="4229CC14" w14:textId="77777777" w:rsidR="004F2CA9" w:rsidRPr="004F2CA9" w:rsidRDefault="004F2CA9" w:rsidP="004F2CA9">
            <w:pPr>
              <w:spacing w:before="40" w:after="40"/>
              <w:rPr>
                <w:rFonts w:ascii="Arial Narrow" w:hAnsi="Arial Narrow" w:cstheme="minorHAnsi"/>
                <w:b/>
                <w:sz w:val="20"/>
              </w:rPr>
            </w:pPr>
            <w:r w:rsidRPr="004F2CA9">
              <w:rPr>
                <w:rFonts w:ascii="Arial Narrow" w:hAnsi="Arial Narrow" w:cstheme="minorHAnsi"/>
                <w:b/>
                <w:sz w:val="20"/>
              </w:rPr>
              <w:t>Detection of Neisseria gonorrhoeae</w:t>
            </w:r>
          </w:p>
        </w:tc>
      </w:tr>
      <w:tr w:rsidR="00C9257E" w:rsidRPr="00C9257E" w14:paraId="552C25D7" w14:textId="77777777" w:rsidTr="00936B72">
        <w:tc>
          <w:tcPr>
            <w:tcW w:w="2918" w:type="dxa"/>
          </w:tcPr>
          <w:p w14:paraId="4B566B6A" w14:textId="35DB7B2B"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 xml:space="preserve">All (pooled, k=9 </w:t>
            </w:r>
            <w:r w:rsidR="00C9257E" w:rsidRPr="00C9257E">
              <w:rPr>
                <w:rFonts w:ascii="Arial Narrow" w:hAnsi="Arial Narrow" w:cstheme="minorHAnsi"/>
                <w:sz w:val="20"/>
              </w:rPr>
              <w:t>datasets</w:t>
            </w:r>
            <w:r w:rsidRPr="004F2CA9">
              <w:rPr>
                <w:rFonts w:ascii="Arial Narrow" w:hAnsi="Arial Narrow" w:cstheme="minorHAnsi"/>
                <w:sz w:val="20"/>
              </w:rPr>
              <w:t>)</w:t>
            </w:r>
          </w:p>
        </w:tc>
        <w:tc>
          <w:tcPr>
            <w:tcW w:w="2918" w:type="dxa"/>
          </w:tcPr>
          <w:p w14:paraId="4D639102"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96% (95% CI 88, 99)</w:t>
            </w:r>
          </w:p>
        </w:tc>
        <w:tc>
          <w:tcPr>
            <w:tcW w:w="2918" w:type="dxa"/>
          </w:tcPr>
          <w:p w14:paraId="7FBEC8D9"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 (95% CI 99, 100)</w:t>
            </w:r>
          </w:p>
        </w:tc>
      </w:tr>
      <w:tr w:rsidR="00C9257E" w:rsidRPr="00C9257E" w14:paraId="741F3ED2" w14:textId="77777777" w:rsidTr="00936B72">
        <w:tc>
          <w:tcPr>
            <w:tcW w:w="2918" w:type="dxa"/>
          </w:tcPr>
          <w:p w14:paraId="19B4906F" w14:textId="23F80392"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 xml:space="preserve">All (median, k=9 </w:t>
            </w:r>
            <w:r w:rsidR="00C9257E" w:rsidRPr="00C9257E">
              <w:rPr>
                <w:rFonts w:ascii="Arial Narrow" w:hAnsi="Arial Narrow" w:cstheme="minorHAnsi"/>
                <w:sz w:val="20"/>
              </w:rPr>
              <w:t>datasets</w:t>
            </w:r>
            <w:r w:rsidRPr="004F2CA9">
              <w:rPr>
                <w:rFonts w:ascii="Arial Narrow" w:hAnsi="Arial Narrow" w:cstheme="minorHAnsi"/>
                <w:sz w:val="20"/>
              </w:rPr>
              <w:t>)</w:t>
            </w:r>
          </w:p>
        </w:tc>
        <w:tc>
          <w:tcPr>
            <w:tcW w:w="2918" w:type="dxa"/>
          </w:tcPr>
          <w:p w14:paraId="3F15B84F"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93% (78–100)</w:t>
            </w:r>
          </w:p>
        </w:tc>
        <w:tc>
          <w:tcPr>
            <w:tcW w:w="2918" w:type="dxa"/>
          </w:tcPr>
          <w:p w14:paraId="3F4C7B34"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 (99–100)</w:t>
            </w:r>
          </w:p>
        </w:tc>
      </w:tr>
      <w:tr w:rsidR="00C9257E" w:rsidRPr="00C9257E" w14:paraId="1A76792E" w14:textId="77777777" w:rsidTr="00936B72">
        <w:tc>
          <w:tcPr>
            <w:tcW w:w="2918" w:type="dxa"/>
          </w:tcPr>
          <w:p w14:paraId="6DBA02AF" w14:textId="77777777"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Rectal swabs (k=3)</w:t>
            </w:r>
          </w:p>
        </w:tc>
        <w:tc>
          <w:tcPr>
            <w:tcW w:w="2918" w:type="dxa"/>
          </w:tcPr>
          <w:p w14:paraId="1405F248"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93% (88–100)</w:t>
            </w:r>
          </w:p>
        </w:tc>
        <w:tc>
          <w:tcPr>
            <w:tcW w:w="2918" w:type="dxa"/>
          </w:tcPr>
          <w:p w14:paraId="432C6DA0"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 (99–100)</w:t>
            </w:r>
          </w:p>
        </w:tc>
      </w:tr>
      <w:tr w:rsidR="00C9257E" w:rsidRPr="00C9257E" w14:paraId="5BA3C67F" w14:textId="77777777" w:rsidTr="00936B72">
        <w:tc>
          <w:tcPr>
            <w:tcW w:w="2918" w:type="dxa"/>
          </w:tcPr>
          <w:p w14:paraId="4E139C52" w14:textId="77777777"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Vaginal swabs (k=2)</w:t>
            </w:r>
          </w:p>
        </w:tc>
        <w:tc>
          <w:tcPr>
            <w:tcW w:w="2918" w:type="dxa"/>
          </w:tcPr>
          <w:p w14:paraId="6160E1FC"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93% (86–100)</w:t>
            </w:r>
          </w:p>
        </w:tc>
        <w:tc>
          <w:tcPr>
            <w:tcW w:w="2918" w:type="dxa"/>
          </w:tcPr>
          <w:p w14:paraId="5CCA6579"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 (100–100)</w:t>
            </w:r>
          </w:p>
        </w:tc>
      </w:tr>
      <w:tr w:rsidR="00C9257E" w:rsidRPr="00C9257E" w14:paraId="4C7B04CF" w14:textId="77777777" w:rsidTr="00936B72">
        <w:tc>
          <w:tcPr>
            <w:tcW w:w="2918" w:type="dxa"/>
          </w:tcPr>
          <w:p w14:paraId="3502D36C" w14:textId="77777777"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Urine sample (k=1)</w:t>
            </w:r>
          </w:p>
        </w:tc>
        <w:tc>
          <w:tcPr>
            <w:tcW w:w="2918" w:type="dxa"/>
          </w:tcPr>
          <w:p w14:paraId="4875B58B"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w:t>
            </w:r>
          </w:p>
        </w:tc>
        <w:tc>
          <w:tcPr>
            <w:tcW w:w="2918" w:type="dxa"/>
          </w:tcPr>
          <w:p w14:paraId="66C27122"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w:t>
            </w:r>
          </w:p>
        </w:tc>
      </w:tr>
      <w:tr w:rsidR="00C9257E" w:rsidRPr="00C9257E" w14:paraId="152A7561" w14:textId="77777777" w:rsidTr="00936B72">
        <w:tc>
          <w:tcPr>
            <w:tcW w:w="2918" w:type="dxa"/>
          </w:tcPr>
          <w:p w14:paraId="267462C6" w14:textId="77777777"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Pharyngeal swab (k=2)</w:t>
            </w:r>
          </w:p>
        </w:tc>
        <w:tc>
          <w:tcPr>
            <w:tcW w:w="2918" w:type="dxa"/>
          </w:tcPr>
          <w:p w14:paraId="59FE1D25"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85% (78–91)</w:t>
            </w:r>
          </w:p>
        </w:tc>
        <w:tc>
          <w:tcPr>
            <w:tcW w:w="2918" w:type="dxa"/>
          </w:tcPr>
          <w:p w14:paraId="04B0FEC5"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 (99–100)</w:t>
            </w:r>
          </w:p>
        </w:tc>
      </w:tr>
      <w:tr w:rsidR="00C9257E" w:rsidRPr="00C9257E" w14:paraId="42B70F9D" w14:textId="77777777" w:rsidTr="00936B72">
        <w:tc>
          <w:tcPr>
            <w:tcW w:w="8754" w:type="dxa"/>
            <w:gridSpan w:val="3"/>
          </w:tcPr>
          <w:p w14:paraId="18E5CB5B" w14:textId="77777777" w:rsidR="004F2CA9" w:rsidRPr="004F2CA9" w:rsidRDefault="004F2CA9" w:rsidP="004F2CA9">
            <w:pPr>
              <w:spacing w:before="40" w:after="40"/>
              <w:rPr>
                <w:rFonts w:ascii="Arial Narrow" w:hAnsi="Arial Narrow" w:cstheme="minorHAnsi"/>
                <w:b/>
                <w:sz w:val="20"/>
              </w:rPr>
            </w:pPr>
            <w:r w:rsidRPr="004F2CA9">
              <w:rPr>
                <w:rFonts w:ascii="Arial Narrow" w:hAnsi="Arial Narrow" w:cstheme="minorHAnsi"/>
                <w:b/>
                <w:sz w:val="20"/>
              </w:rPr>
              <w:t>Detection of Trichomonas vaginalis</w:t>
            </w:r>
          </w:p>
        </w:tc>
      </w:tr>
      <w:tr w:rsidR="00C9257E" w:rsidRPr="00C9257E" w14:paraId="03748C66" w14:textId="77777777" w:rsidTr="00936B72">
        <w:tc>
          <w:tcPr>
            <w:tcW w:w="2918" w:type="dxa"/>
          </w:tcPr>
          <w:p w14:paraId="03DEE4AA" w14:textId="08BD6142"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 xml:space="preserve">All (pooled, k=4 </w:t>
            </w:r>
            <w:r w:rsidR="00C9257E">
              <w:rPr>
                <w:rFonts w:ascii="Arial Narrow" w:hAnsi="Arial Narrow" w:cstheme="minorHAnsi"/>
                <w:sz w:val="20"/>
              </w:rPr>
              <w:t>data</w:t>
            </w:r>
            <w:r w:rsidR="00C9257E" w:rsidRPr="004F2CA9">
              <w:rPr>
                <w:rFonts w:ascii="Arial Narrow" w:hAnsi="Arial Narrow" w:cstheme="minorHAnsi"/>
                <w:sz w:val="20"/>
              </w:rPr>
              <w:t>sets</w:t>
            </w:r>
            <w:r w:rsidRPr="004F2CA9">
              <w:rPr>
                <w:rFonts w:ascii="Arial Narrow" w:hAnsi="Arial Narrow" w:cstheme="minorHAnsi"/>
                <w:sz w:val="20"/>
              </w:rPr>
              <w:t>)</w:t>
            </w:r>
          </w:p>
        </w:tc>
        <w:tc>
          <w:tcPr>
            <w:tcW w:w="2918" w:type="dxa"/>
          </w:tcPr>
          <w:p w14:paraId="18F6ED15"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99% (95% CI 92, 100)</w:t>
            </w:r>
          </w:p>
        </w:tc>
        <w:tc>
          <w:tcPr>
            <w:tcW w:w="2918" w:type="dxa"/>
          </w:tcPr>
          <w:p w14:paraId="53F1EF42"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 (95% CI 99, 100)</w:t>
            </w:r>
          </w:p>
        </w:tc>
      </w:tr>
      <w:tr w:rsidR="00C9257E" w:rsidRPr="00C9257E" w14:paraId="6C50FD8E" w14:textId="77777777" w:rsidTr="00936B72">
        <w:tc>
          <w:tcPr>
            <w:tcW w:w="2918" w:type="dxa"/>
          </w:tcPr>
          <w:p w14:paraId="293ADB3B" w14:textId="70971200"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 xml:space="preserve">All (median, k=4 </w:t>
            </w:r>
            <w:r w:rsidR="00C9257E">
              <w:rPr>
                <w:rFonts w:ascii="Arial Narrow" w:hAnsi="Arial Narrow" w:cstheme="minorHAnsi"/>
                <w:sz w:val="20"/>
              </w:rPr>
              <w:t>data</w:t>
            </w:r>
            <w:r w:rsidR="00C9257E" w:rsidRPr="004F2CA9">
              <w:rPr>
                <w:rFonts w:ascii="Arial Narrow" w:hAnsi="Arial Narrow" w:cstheme="minorHAnsi"/>
                <w:sz w:val="20"/>
              </w:rPr>
              <w:t>sets</w:t>
            </w:r>
            <w:r w:rsidRPr="004F2CA9">
              <w:rPr>
                <w:rFonts w:ascii="Arial Narrow" w:hAnsi="Arial Narrow" w:cstheme="minorHAnsi"/>
                <w:sz w:val="20"/>
              </w:rPr>
              <w:t>)</w:t>
            </w:r>
          </w:p>
        </w:tc>
        <w:tc>
          <w:tcPr>
            <w:tcW w:w="2918" w:type="dxa"/>
          </w:tcPr>
          <w:p w14:paraId="51F9266C"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98% (89–100)</w:t>
            </w:r>
          </w:p>
        </w:tc>
        <w:tc>
          <w:tcPr>
            <w:tcW w:w="2918" w:type="dxa"/>
          </w:tcPr>
          <w:p w14:paraId="5E43DBB8"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 (99–100)</w:t>
            </w:r>
          </w:p>
        </w:tc>
      </w:tr>
      <w:tr w:rsidR="00C9257E" w:rsidRPr="00C9257E" w14:paraId="6D13838D" w14:textId="77777777" w:rsidTr="00936B72">
        <w:tc>
          <w:tcPr>
            <w:tcW w:w="2918" w:type="dxa"/>
          </w:tcPr>
          <w:p w14:paraId="7A1C1702" w14:textId="77777777"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Vaginal swabs (k=2)</w:t>
            </w:r>
          </w:p>
        </w:tc>
        <w:tc>
          <w:tcPr>
            <w:tcW w:w="2918" w:type="dxa"/>
          </w:tcPr>
          <w:p w14:paraId="22ABB39F"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93% (89–97)</w:t>
            </w:r>
          </w:p>
        </w:tc>
        <w:tc>
          <w:tcPr>
            <w:tcW w:w="2918" w:type="dxa"/>
          </w:tcPr>
          <w:p w14:paraId="30169309"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 (100–100)</w:t>
            </w:r>
          </w:p>
        </w:tc>
      </w:tr>
      <w:tr w:rsidR="00C9257E" w:rsidRPr="00C9257E" w14:paraId="24FF9362" w14:textId="77777777" w:rsidTr="00936B72">
        <w:tc>
          <w:tcPr>
            <w:tcW w:w="2918" w:type="dxa"/>
          </w:tcPr>
          <w:p w14:paraId="20AABCC6" w14:textId="77777777"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Urine sample (k=2)</w:t>
            </w:r>
          </w:p>
        </w:tc>
        <w:tc>
          <w:tcPr>
            <w:tcW w:w="2918" w:type="dxa"/>
          </w:tcPr>
          <w:p w14:paraId="5118B7D8"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98% (97–99)</w:t>
            </w:r>
          </w:p>
        </w:tc>
        <w:tc>
          <w:tcPr>
            <w:tcW w:w="2918" w:type="dxa"/>
          </w:tcPr>
          <w:p w14:paraId="3C51B0FC"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 (100–100)</w:t>
            </w:r>
          </w:p>
        </w:tc>
      </w:tr>
      <w:tr w:rsidR="00C9257E" w:rsidRPr="00C9257E" w14:paraId="5EFFBEFC" w14:textId="77777777" w:rsidTr="00936B72">
        <w:tc>
          <w:tcPr>
            <w:tcW w:w="2918" w:type="dxa"/>
          </w:tcPr>
          <w:p w14:paraId="7BC5D64A" w14:textId="77777777" w:rsidR="004F2CA9" w:rsidRPr="004F2CA9" w:rsidRDefault="004F2CA9" w:rsidP="004F2CA9">
            <w:pPr>
              <w:spacing w:before="40" w:after="40"/>
              <w:rPr>
                <w:rFonts w:ascii="Arial Narrow" w:hAnsi="Arial Narrow" w:cstheme="minorHAnsi"/>
                <w:sz w:val="20"/>
              </w:rPr>
            </w:pPr>
            <w:r w:rsidRPr="004F2CA9">
              <w:rPr>
                <w:rFonts w:ascii="Arial Narrow" w:hAnsi="Arial Narrow" w:cstheme="minorHAnsi"/>
                <w:sz w:val="20"/>
              </w:rPr>
              <w:t>Endocervical swabs (k=1)</w:t>
            </w:r>
          </w:p>
        </w:tc>
        <w:tc>
          <w:tcPr>
            <w:tcW w:w="2918" w:type="dxa"/>
          </w:tcPr>
          <w:p w14:paraId="6FBABDDB"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100%</w:t>
            </w:r>
          </w:p>
        </w:tc>
        <w:tc>
          <w:tcPr>
            <w:tcW w:w="2918" w:type="dxa"/>
          </w:tcPr>
          <w:p w14:paraId="6A1266D4" w14:textId="77777777" w:rsidR="004F2CA9" w:rsidRPr="004F2CA9" w:rsidRDefault="004F2CA9" w:rsidP="004F2CA9">
            <w:pPr>
              <w:spacing w:before="40" w:after="40"/>
              <w:jc w:val="center"/>
              <w:rPr>
                <w:rFonts w:ascii="Arial Narrow" w:hAnsi="Arial Narrow" w:cstheme="minorHAnsi"/>
                <w:sz w:val="20"/>
              </w:rPr>
            </w:pPr>
            <w:r w:rsidRPr="004F2CA9">
              <w:rPr>
                <w:rFonts w:ascii="Arial Narrow" w:hAnsi="Arial Narrow" w:cstheme="minorHAnsi"/>
                <w:sz w:val="20"/>
              </w:rPr>
              <w:t>99%</w:t>
            </w:r>
          </w:p>
        </w:tc>
      </w:tr>
    </w:tbl>
    <w:p w14:paraId="79D01821" w14:textId="0B855F9A" w:rsidR="00CD2012" w:rsidRDefault="00CD2012" w:rsidP="00C9257E">
      <w:pPr>
        <w:pStyle w:val="TableFooter"/>
      </w:pPr>
      <w:r>
        <w:t xml:space="preserve">Source: Commentary Table 8, </w:t>
      </w:r>
      <w:proofErr w:type="spellStart"/>
      <w:r>
        <w:t>pg</w:t>
      </w:r>
      <w:proofErr w:type="spellEnd"/>
      <w:r>
        <w:t xml:space="preserve"> </w:t>
      </w:r>
      <w:r w:rsidR="00E739FF">
        <w:t>52</w:t>
      </w:r>
      <w:r>
        <w:t xml:space="preserve"> of MSAC 1627 </w:t>
      </w:r>
      <w:proofErr w:type="spellStart"/>
      <w:r>
        <w:t>ADAR+in-line</w:t>
      </w:r>
      <w:proofErr w:type="spellEnd"/>
      <w:r>
        <w:t xml:space="preserve"> </w:t>
      </w:r>
      <w:r w:rsidR="002F1D85">
        <w:t>co</w:t>
      </w:r>
      <w:r>
        <w:t>mmentary</w:t>
      </w:r>
    </w:p>
    <w:p w14:paraId="144EBFF0" w14:textId="67B40C1B" w:rsidR="004F2CA9" w:rsidRPr="004F2CA9" w:rsidRDefault="00760A37" w:rsidP="00C9257E">
      <w:pPr>
        <w:pStyle w:val="TableFooter"/>
      </w:pPr>
      <w:r>
        <w:t xml:space="preserve">k </w:t>
      </w:r>
      <w:r w:rsidR="00915BEB" w:rsidRPr="00CE28E3">
        <w:t>=</w:t>
      </w:r>
      <w:r>
        <w:t xml:space="preserve"> </w:t>
      </w:r>
      <w:r w:rsidR="00915BEB" w:rsidRPr="00CE28E3">
        <w:t>number o</w:t>
      </w:r>
      <w:r w:rsidR="00915BEB">
        <w:t>f studies;</w:t>
      </w:r>
      <w:r w:rsidR="00915BEB" w:rsidRPr="004F2CA9">
        <w:t xml:space="preserve"> </w:t>
      </w:r>
      <w:r w:rsidR="004F2CA9" w:rsidRPr="004F2CA9">
        <w:t>CI = confidence interval; NAAT = nucleic acid amplification test, POC = point of care</w:t>
      </w:r>
    </w:p>
    <w:p w14:paraId="1358D025" w14:textId="7205085B" w:rsidR="003406C5" w:rsidRDefault="003406C5" w:rsidP="003406C5">
      <w:pPr>
        <w:pStyle w:val="Heading3"/>
      </w:pPr>
      <w:r>
        <w:t>Test failure rate</w:t>
      </w:r>
    </w:p>
    <w:p w14:paraId="4C4ADBBE" w14:textId="306AB9BF" w:rsidR="00B1413A" w:rsidRPr="00B1413A" w:rsidRDefault="00B1413A" w:rsidP="00B1413A">
      <w:pPr>
        <w:rPr>
          <w:rFonts w:cstheme="minorHAnsi"/>
        </w:rPr>
      </w:pPr>
      <w:r w:rsidRPr="00B1413A">
        <w:rPr>
          <w:rFonts w:cstheme="minorHAnsi"/>
        </w:rPr>
        <w:t xml:space="preserve">The failure rate of the </w:t>
      </w:r>
      <w:proofErr w:type="spellStart"/>
      <w:r w:rsidRPr="00B1413A">
        <w:rPr>
          <w:rFonts w:cstheme="minorHAnsi"/>
        </w:rPr>
        <w:t>Xpert</w:t>
      </w:r>
      <w:proofErr w:type="spellEnd"/>
      <w:r w:rsidRPr="00B1413A">
        <w:rPr>
          <w:rFonts w:cstheme="minorHAnsi"/>
        </w:rPr>
        <w:t xml:space="preserve"> CT/NG assay was based on failure after repeat testing of samples with initial inconclusive/invalid results. </w:t>
      </w:r>
      <w:r w:rsidRPr="004B2734">
        <w:rPr>
          <w:rFonts w:cstheme="minorHAnsi"/>
        </w:rPr>
        <w:t>The Australian study by Causer et al (2018</w:t>
      </w:r>
      <w:r w:rsidRPr="00B1413A">
        <w:rPr>
          <w:rFonts w:cstheme="minorHAnsi"/>
        </w:rPr>
        <w:t>)</w:t>
      </w:r>
      <w:r w:rsidRPr="00B1413A">
        <w:rPr>
          <w:rStyle w:val="FootnoteReference"/>
          <w:rFonts w:cstheme="minorHAnsi"/>
        </w:rPr>
        <w:footnoteReference w:id="4"/>
      </w:r>
      <w:r w:rsidRPr="004B2734">
        <w:rPr>
          <w:rFonts w:cstheme="minorHAnsi"/>
        </w:rPr>
        <w:t xml:space="preserve"> reported that 3.3% of tests failed at initial testing and the failure rate decreased to 0.9% after retesting. </w:t>
      </w:r>
    </w:p>
    <w:p w14:paraId="5AE00C56" w14:textId="16C1C3BB" w:rsidR="00B1413A" w:rsidRPr="00B1413A" w:rsidRDefault="00B1413A" w:rsidP="004B2734">
      <w:pPr>
        <w:rPr>
          <w:rFonts w:cstheme="minorHAnsi"/>
        </w:rPr>
      </w:pPr>
      <w:r w:rsidRPr="004B2734">
        <w:rPr>
          <w:rFonts w:cstheme="minorHAnsi"/>
        </w:rPr>
        <w:t xml:space="preserve">The </w:t>
      </w:r>
      <w:r w:rsidRPr="00B1413A">
        <w:rPr>
          <w:rFonts w:cstheme="minorHAnsi"/>
        </w:rPr>
        <w:t>median failure rate</w:t>
      </w:r>
      <w:r>
        <w:rPr>
          <w:rFonts w:cstheme="minorHAnsi"/>
        </w:rPr>
        <w:t>s</w:t>
      </w:r>
      <w:r w:rsidRPr="00B1413A">
        <w:rPr>
          <w:rFonts w:cstheme="minorHAnsi"/>
        </w:rPr>
        <w:t xml:space="preserve"> on repeat testing </w:t>
      </w:r>
      <w:r w:rsidR="00264EA5">
        <w:rPr>
          <w:rFonts w:cstheme="minorHAnsi"/>
        </w:rPr>
        <w:t xml:space="preserve">are </w:t>
      </w:r>
      <w:r>
        <w:rPr>
          <w:rFonts w:cstheme="minorHAnsi"/>
        </w:rPr>
        <w:t xml:space="preserve">summarised in </w:t>
      </w:r>
      <w:r>
        <w:rPr>
          <w:rFonts w:cstheme="minorHAnsi"/>
        </w:rPr>
        <w:fldChar w:fldCharType="begin"/>
      </w:r>
      <w:r>
        <w:rPr>
          <w:rFonts w:cstheme="minorHAnsi"/>
        </w:rPr>
        <w:instrText xml:space="preserve"> REF _Ref109907490 \h </w:instrText>
      </w:r>
      <w:r>
        <w:rPr>
          <w:rFonts w:cstheme="minorHAnsi"/>
        </w:rPr>
      </w:r>
      <w:r>
        <w:rPr>
          <w:rFonts w:cstheme="minorHAnsi"/>
        </w:rPr>
        <w:fldChar w:fldCharType="separate"/>
      </w:r>
      <w:r w:rsidR="00CE44AB">
        <w:t xml:space="preserve">Table </w:t>
      </w:r>
      <w:r w:rsidR="00CE44AB">
        <w:rPr>
          <w:noProof/>
        </w:rPr>
        <w:t>5</w:t>
      </w:r>
      <w:r>
        <w:rPr>
          <w:rFonts w:cstheme="minorHAnsi"/>
        </w:rPr>
        <w:fldChar w:fldCharType="end"/>
      </w:r>
      <w:r w:rsidR="00264EA5">
        <w:rPr>
          <w:rFonts w:cstheme="minorHAnsi"/>
        </w:rPr>
        <w:t xml:space="preserve">. The failure rate of the </w:t>
      </w:r>
      <w:proofErr w:type="spellStart"/>
      <w:r w:rsidR="00264EA5">
        <w:rPr>
          <w:rFonts w:cstheme="minorHAnsi"/>
        </w:rPr>
        <w:t>Xpert</w:t>
      </w:r>
      <w:proofErr w:type="spellEnd"/>
      <w:r w:rsidR="00264EA5">
        <w:rPr>
          <w:rFonts w:cstheme="minorHAnsi"/>
        </w:rPr>
        <w:t xml:space="preserve"> CT/NG assay was similar whether conducted in a POC setting or a laboratory setting. However,</w:t>
      </w:r>
      <w:r w:rsidRPr="004B2734">
        <w:rPr>
          <w:rFonts w:cstheme="minorHAnsi"/>
        </w:rPr>
        <w:t xml:space="preserve"> </w:t>
      </w:r>
      <w:r w:rsidR="00264EA5">
        <w:rPr>
          <w:rFonts w:cstheme="minorHAnsi"/>
        </w:rPr>
        <w:t>other</w:t>
      </w:r>
      <w:r w:rsidRPr="004B2734">
        <w:rPr>
          <w:rFonts w:cstheme="minorHAnsi"/>
        </w:rPr>
        <w:t xml:space="preserve"> </w:t>
      </w:r>
      <w:r w:rsidR="00264EA5">
        <w:rPr>
          <w:rFonts w:cstheme="minorHAnsi"/>
        </w:rPr>
        <w:t>laboratory</w:t>
      </w:r>
      <w:r w:rsidRPr="004B2734">
        <w:rPr>
          <w:rFonts w:cstheme="minorHAnsi"/>
        </w:rPr>
        <w:t xml:space="preserve"> </w:t>
      </w:r>
      <w:r w:rsidR="00264EA5">
        <w:rPr>
          <w:rFonts w:cstheme="minorHAnsi"/>
        </w:rPr>
        <w:t xml:space="preserve">CT/NG </w:t>
      </w:r>
      <w:r w:rsidRPr="004B2734">
        <w:rPr>
          <w:rFonts w:cstheme="minorHAnsi"/>
        </w:rPr>
        <w:t>NAAT test</w:t>
      </w:r>
      <w:r w:rsidR="00264EA5">
        <w:rPr>
          <w:rFonts w:cstheme="minorHAnsi"/>
        </w:rPr>
        <w:t>s</w:t>
      </w:r>
      <w:r w:rsidRPr="004B2734">
        <w:rPr>
          <w:rFonts w:cstheme="minorHAnsi"/>
        </w:rPr>
        <w:t xml:space="preserve"> had a lower</w:t>
      </w:r>
      <w:r w:rsidR="00264EA5">
        <w:rPr>
          <w:rFonts w:cstheme="minorHAnsi"/>
        </w:rPr>
        <w:t xml:space="preserve"> failure rate.</w:t>
      </w:r>
      <w:r w:rsidR="00D41821">
        <w:rPr>
          <w:rFonts w:cstheme="minorHAnsi"/>
        </w:rPr>
        <w:t xml:space="preserve"> </w:t>
      </w:r>
      <w:r w:rsidR="00264EA5">
        <w:rPr>
          <w:rFonts w:cstheme="minorHAnsi"/>
        </w:rPr>
        <w:t>T</w:t>
      </w:r>
      <w:r w:rsidR="00264EA5" w:rsidRPr="00264EA5">
        <w:rPr>
          <w:rFonts w:cstheme="minorHAnsi"/>
        </w:rPr>
        <w:t xml:space="preserve">he </w:t>
      </w:r>
      <w:r w:rsidR="00264EA5">
        <w:rPr>
          <w:rFonts w:cstheme="minorHAnsi"/>
        </w:rPr>
        <w:t>median</w:t>
      </w:r>
      <w:r w:rsidR="00264EA5" w:rsidRPr="00264EA5">
        <w:rPr>
          <w:rFonts w:cstheme="minorHAnsi"/>
        </w:rPr>
        <w:t xml:space="preserve"> failure rate</w:t>
      </w:r>
      <w:r w:rsidR="00264EA5">
        <w:rPr>
          <w:rFonts w:cstheme="minorHAnsi"/>
        </w:rPr>
        <w:t xml:space="preserve"> after repeat testing</w:t>
      </w:r>
      <w:r w:rsidR="00264EA5" w:rsidRPr="00264EA5">
        <w:rPr>
          <w:rFonts w:cstheme="minorHAnsi"/>
        </w:rPr>
        <w:t xml:space="preserve"> of the </w:t>
      </w:r>
      <w:proofErr w:type="spellStart"/>
      <w:r w:rsidR="00264EA5" w:rsidRPr="00264EA5">
        <w:rPr>
          <w:rFonts w:cstheme="minorHAnsi"/>
        </w:rPr>
        <w:t>Xpert</w:t>
      </w:r>
      <w:proofErr w:type="spellEnd"/>
      <w:r w:rsidR="00264EA5" w:rsidRPr="00264EA5">
        <w:rPr>
          <w:rFonts w:cstheme="minorHAnsi"/>
        </w:rPr>
        <w:t xml:space="preserve"> TV assay was </w:t>
      </w:r>
      <w:proofErr w:type="gramStart"/>
      <w:r w:rsidR="00264EA5" w:rsidRPr="00264EA5">
        <w:rPr>
          <w:rFonts w:cstheme="minorHAnsi"/>
        </w:rPr>
        <w:t xml:space="preserve">similar </w:t>
      </w:r>
      <w:r w:rsidR="00264EA5">
        <w:rPr>
          <w:rFonts w:cstheme="minorHAnsi"/>
        </w:rPr>
        <w:t>to</w:t>
      </w:r>
      <w:proofErr w:type="gramEnd"/>
      <w:r w:rsidR="00264EA5" w:rsidRPr="00264EA5">
        <w:rPr>
          <w:rFonts w:cstheme="minorHAnsi"/>
        </w:rPr>
        <w:t xml:space="preserve"> the reference test.</w:t>
      </w:r>
    </w:p>
    <w:p w14:paraId="509C545C" w14:textId="185D3A85" w:rsidR="00CA478F" w:rsidRPr="00CA478F" w:rsidRDefault="004B2734" w:rsidP="00CA478F">
      <w:pPr>
        <w:rPr>
          <w:rFonts w:cstheme="minorHAnsi"/>
        </w:rPr>
      </w:pPr>
      <w:r w:rsidRPr="004B2734">
        <w:rPr>
          <w:rFonts w:cstheme="minorHAnsi"/>
        </w:rPr>
        <w:t xml:space="preserve">Thus, POC testing using the </w:t>
      </w:r>
      <w:proofErr w:type="spellStart"/>
      <w:r w:rsidRPr="004B2734">
        <w:rPr>
          <w:rFonts w:cstheme="minorHAnsi"/>
        </w:rPr>
        <w:t>Xpert</w:t>
      </w:r>
      <w:proofErr w:type="spellEnd"/>
      <w:r w:rsidRPr="004B2734">
        <w:rPr>
          <w:rFonts w:cstheme="minorHAnsi"/>
        </w:rPr>
        <w:t xml:space="preserve"> CT/NG and TV assays is reliable </w:t>
      </w:r>
      <w:r w:rsidR="003406C5" w:rsidRPr="00B1413A">
        <w:rPr>
          <w:rFonts w:cstheme="minorHAnsi"/>
        </w:rPr>
        <w:t xml:space="preserve">if initial inconclusive/invalid tests are repeated, </w:t>
      </w:r>
      <w:r w:rsidRPr="004B2734">
        <w:rPr>
          <w:rFonts w:cstheme="minorHAnsi"/>
        </w:rPr>
        <w:t>with no more than 1 in 100 patients not receiving a same-day result.</w:t>
      </w:r>
      <w:bookmarkStart w:id="31" w:name="_Ref109907490"/>
      <w:r w:rsidR="00CA478F">
        <w:br w:type="page"/>
      </w:r>
    </w:p>
    <w:p w14:paraId="4EA98A2D" w14:textId="32F087F3" w:rsidR="004B2734" w:rsidRPr="004B2734" w:rsidRDefault="004B2734" w:rsidP="004B2734">
      <w:pPr>
        <w:pStyle w:val="TableHeading0"/>
        <w:rPr>
          <w:rFonts w:cstheme="minorHAnsi"/>
        </w:rPr>
      </w:pPr>
      <w:r>
        <w:lastRenderedPageBreak/>
        <w:t xml:space="preserve">Table </w:t>
      </w:r>
      <w:r w:rsidR="007D19FE">
        <w:fldChar w:fldCharType="begin"/>
      </w:r>
      <w:r w:rsidR="007D19FE">
        <w:instrText xml:space="preserve"> SEQ Table \* ARABIC </w:instrText>
      </w:r>
      <w:r w:rsidR="007D19FE">
        <w:fldChar w:fldCharType="separate"/>
      </w:r>
      <w:r w:rsidR="00FF1B3A">
        <w:rPr>
          <w:noProof/>
        </w:rPr>
        <w:t>5</w:t>
      </w:r>
      <w:r w:rsidR="007D19FE">
        <w:rPr>
          <w:noProof/>
        </w:rPr>
        <w:fldChar w:fldCharType="end"/>
      </w:r>
      <w:bookmarkEnd w:id="31"/>
      <w:r w:rsidRPr="004B2734">
        <w:tab/>
      </w:r>
      <w:r>
        <w:t>Median f</w:t>
      </w:r>
      <w:r w:rsidRPr="004B2734">
        <w:t xml:space="preserve">ailure rate of the </w:t>
      </w:r>
      <w:proofErr w:type="spellStart"/>
      <w:r w:rsidRPr="004B2734">
        <w:t>Xpert</w:t>
      </w:r>
      <w:proofErr w:type="spellEnd"/>
      <w:r w:rsidRPr="004B2734">
        <w:t xml:space="preserve"> CT/NG and TV assays used in a POC or </w:t>
      </w:r>
      <w:r w:rsidR="00E24972">
        <w:t xml:space="preserve">standard </w:t>
      </w:r>
      <w:r w:rsidRPr="004B2734">
        <w:t xml:space="preserve">laboratory setting, compared to other </w:t>
      </w:r>
      <w:proofErr w:type="gramStart"/>
      <w:r w:rsidR="003406C5">
        <w:t>laboratory-based</w:t>
      </w:r>
      <w:proofErr w:type="gramEnd"/>
      <w:r w:rsidR="003406C5">
        <w:t xml:space="preserve"> </w:t>
      </w:r>
      <w:r w:rsidRPr="004B2734">
        <w:t>NAATs</w:t>
      </w:r>
    </w:p>
    <w:tbl>
      <w:tblPr>
        <w:tblStyle w:val="HealthConsult3"/>
        <w:tblW w:w="8784" w:type="dxa"/>
        <w:tblLook w:val="04A0" w:firstRow="1" w:lastRow="0" w:firstColumn="1" w:lastColumn="0" w:noHBand="0" w:noVBand="1"/>
        <w:tblCaption w:val="Median failure rate of the Xpert CT/NG and TV assays used in a POC or laboratory-based setting, compared to other laboratory-based NAATs"/>
      </w:tblPr>
      <w:tblGrid>
        <w:gridCol w:w="1980"/>
        <w:gridCol w:w="3506"/>
        <w:gridCol w:w="3298"/>
      </w:tblGrid>
      <w:tr w:rsidR="004B2734" w:rsidRPr="004B2734" w14:paraId="28A3305D" w14:textId="77777777" w:rsidTr="004B2734">
        <w:trPr>
          <w:tblHeader/>
        </w:trPr>
        <w:tc>
          <w:tcPr>
            <w:tcW w:w="1980" w:type="dxa"/>
          </w:tcPr>
          <w:p w14:paraId="5926BADC" w14:textId="4BEF9900" w:rsidR="004B2734" w:rsidRPr="004B2734" w:rsidRDefault="004B2734" w:rsidP="004B2734">
            <w:pPr>
              <w:spacing w:before="40" w:after="40"/>
              <w:rPr>
                <w:rFonts w:ascii="Arial Narrow" w:hAnsi="Arial Narrow" w:cstheme="minorHAnsi"/>
                <w:b/>
                <w:sz w:val="20"/>
                <w:szCs w:val="20"/>
              </w:rPr>
            </w:pPr>
            <w:r>
              <w:rPr>
                <w:rFonts w:ascii="Arial Narrow" w:hAnsi="Arial Narrow" w:cstheme="minorHAnsi"/>
                <w:b/>
                <w:sz w:val="20"/>
                <w:szCs w:val="20"/>
              </w:rPr>
              <w:t xml:space="preserve">Setting </w:t>
            </w:r>
          </w:p>
        </w:tc>
        <w:tc>
          <w:tcPr>
            <w:tcW w:w="3506" w:type="dxa"/>
          </w:tcPr>
          <w:p w14:paraId="3DDB73F2" w14:textId="77777777" w:rsidR="004B2734" w:rsidRPr="004B2734" w:rsidRDefault="004B2734" w:rsidP="004B2734">
            <w:pPr>
              <w:spacing w:before="40" w:after="40"/>
              <w:rPr>
                <w:rFonts w:ascii="Arial Narrow" w:hAnsi="Arial Narrow" w:cstheme="minorHAnsi"/>
                <w:b/>
                <w:sz w:val="20"/>
                <w:szCs w:val="20"/>
              </w:rPr>
            </w:pPr>
            <w:proofErr w:type="spellStart"/>
            <w:r w:rsidRPr="004B2734">
              <w:rPr>
                <w:rFonts w:ascii="Arial Narrow" w:hAnsi="Arial Narrow" w:cstheme="minorHAnsi"/>
                <w:b/>
                <w:sz w:val="20"/>
                <w:szCs w:val="20"/>
              </w:rPr>
              <w:t>Xpert</w:t>
            </w:r>
            <w:proofErr w:type="spellEnd"/>
            <w:r w:rsidRPr="004B2734">
              <w:rPr>
                <w:rFonts w:ascii="Arial Narrow" w:hAnsi="Arial Narrow" w:cstheme="minorHAnsi"/>
                <w:b/>
                <w:sz w:val="20"/>
                <w:szCs w:val="20"/>
              </w:rPr>
              <w:t xml:space="preserve"> assay</w:t>
            </w:r>
          </w:p>
        </w:tc>
        <w:tc>
          <w:tcPr>
            <w:tcW w:w="3298" w:type="dxa"/>
          </w:tcPr>
          <w:p w14:paraId="26FBE594" w14:textId="5EBB1EA2" w:rsidR="004B2734" w:rsidRPr="004B2734" w:rsidRDefault="003406C5" w:rsidP="003406C5">
            <w:pPr>
              <w:spacing w:before="40" w:after="40"/>
              <w:rPr>
                <w:rFonts w:ascii="Arial Narrow" w:hAnsi="Arial Narrow" w:cstheme="minorHAnsi"/>
                <w:b/>
                <w:sz w:val="20"/>
                <w:szCs w:val="20"/>
              </w:rPr>
            </w:pPr>
            <w:r>
              <w:rPr>
                <w:rFonts w:ascii="Arial Narrow" w:hAnsi="Arial Narrow" w:cstheme="minorHAnsi"/>
                <w:b/>
                <w:sz w:val="20"/>
                <w:szCs w:val="20"/>
              </w:rPr>
              <w:t xml:space="preserve">Other laboratory </w:t>
            </w:r>
            <w:r w:rsidR="004B2734" w:rsidRPr="004B2734">
              <w:rPr>
                <w:rFonts w:ascii="Arial Narrow" w:hAnsi="Arial Narrow" w:cstheme="minorHAnsi"/>
                <w:b/>
                <w:sz w:val="20"/>
                <w:szCs w:val="20"/>
              </w:rPr>
              <w:t>NAAT test</w:t>
            </w:r>
          </w:p>
        </w:tc>
      </w:tr>
      <w:tr w:rsidR="004B2734" w:rsidRPr="004B2734" w14:paraId="4B5DEE64" w14:textId="77777777" w:rsidTr="004B2734">
        <w:tc>
          <w:tcPr>
            <w:tcW w:w="1980" w:type="dxa"/>
          </w:tcPr>
          <w:p w14:paraId="268CF853" w14:textId="77777777" w:rsidR="004B2734" w:rsidRPr="004B2734" w:rsidRDefault="004B2734" w:rsidP="004B2734">
            <w:pPr>
              <w:keepNext/>
              <w:spacing w:before="40" w:after="40"/>
              <w:rPr>
                <w:rFonts w:ascii="Arial Narrow" w:hAnsi="Arial Narrow" w:cstheme="minorHAnsi"/>
                <w:b/>
                <w:sz w:val="20"/>
                <w:szCs w:val="20"/>
              </w:rPr>
            </w:pPr>
          </w:p>
        </w:tc>
        <w:tc>
          <w:tcPr>
            <w:tcW w:w="3506" w:type="dxa"/>
          </w:tcPr>
          <w:p w14:paraId="091F57A8" w14:textId="77777777" w:rsidR="004B2734" w:rsidRPr="004B2734" w:rsidRDefault="004B2734" w:rsidP="004B2734">
            <w:pPr>
              <w:keepNext/>
              <w:spacing w:before="40" w:after="40"/>
              <w:rPr>
                <w:rFonts w:ascii="Arial Narrow" w:hAnsi="Arial Narrow" w:cstheme="minorHAnsi"/>
                <w:b/>
                <w:sz w:val="20"/>
                <w:szCs w:val="20"/>
              </w:rPr>
            </w:pPr>
            <w:r w:rsidRPr="004B2734">
              <w:rPr>
                <w:rFonts w:ascii="Arial Narrow" w:hAnsi="Arial Narrow" w:cstheme="minorHAnsi"/>
                <w:b/>
                <w:sz w:val="20"/>
                <w:szCs w:val="20"/>
              </w:rPr>
              <w:t>CT/NG assay</w:t>
            </w:r>
          </w:p>
        </w:tc>
        <w:tc>
          <w:tcPr>
            <w:tcW w:w="3298" w:type="dxa"/>
          </w:tcPr>
          <w:p w14:paraId="127270CC" w14:textId="77777777" w:rsidR="004B2734" w:rsidRPr="004B2734" w:rsidRDefault="004B2734" w:rsidP="004B2734">
            <w:pPr>
              <w:keepNext/>
              <w:spacing w:before="40" w:after="40"/>
              <w:rPr>
                <w:rFonts w:ascii="Arial Narrow" w:hAnsi="Arial Narrow" w:cstheme="minorHAnsi"/>
                <w:sz w:val="20"/>
                <w:szCs w:val="20"/>
              </w:rPr>
            </w:pPr>
          </w:p>
        </w:tc>
      </w:tr>
      <w:tr w:rsidR="004B2734" w:rsidRPr="004B2734" w14:paraId="5295AD4C" w14:textId="77777777" w:rsidTr="004B2734">
        <w:tc>
          <w:tcPr>
            <w:tcW w:w="1980" w:type="dxa"/>
          </w:tcPr>
          <w:p w14:paraId="59B21143" w14:textId="7F343EB1" w:rsidR="004B2734" w:rsidRPr="004B2734" w:rsidRDefault="004B2734" w:rsidP="004B2734">
            <w:pPr>
              <w:spacing w:before="40" w:after="40"/>
              <w:rPr>
                <w:rFonts w:ascii="Arial Narrow" w:hAnsi="Arial Narrow" w:cstheme="minorHAnsi"/>
                <w:sz w:val="20"/>
                <w:szCs w:val="20"/>
              </w:rPr>
            </w:pPr>
            <w:r w:rsidRPr="004B2734">
              <w:rPr>
                <w:rFonts w:ascii="Arial Narrow" w:hAnsi="Arial Narrow" w:cstheme="minorHAnsi"/>
                <w:sz w:val="20"/>
                <w:szCs w:val="20"/>
              </w:rPr>
              <w:t>POC setting</w:t>
            </w:r>
          </w:p>
        </w:tc>
        <w:tc>
          <w:tcPr>
            <w:tcW w:w="3506" w:type="dxa"/>
          </w:tcPr>
          <w:p w14:paraId="1F4D2796" w14:textId="77777777" w:rsidR="004B2734" w:rsidRPr="004B2734" w:rsidRDefault="004B2734" w:rsidP="004B2734">
            <w:pPr>
              <w:spacing w:before="40" w:after="40"/>
              <w:rPr>
                <w:rFonts w:ascii="Arial Narrow" w:hAnsi="Arial Narrow" w:cstheme="minorHAnsi"/>
                <w:sz w:val="20"/>
                <w:szCs w:val="20"/>
              </w:rPr>
            </w:pPr>
            <w:r w:rsidRPr="004B2734">
              <w:rPr>
                <w:rFonts w:ascii="Arial Narrow" w:hAnsi="Arial Narrow" w:cstheme="minorHAnsi"/>
                <w:sz w:val="20"/>
                <w:szCs w:val="20"/>
              </w:rPr>
              <w:t>0.9% (range 0.7–1.8%), k=3 datasets</w:t>
            </w:r>
          </w:p>
        </w:tc>
        <w:tc>
          <w:tcPr>
            <w:tcW w:w="3298" w:type="dxa"/>
          </w:tcPr>
          <w:p w14:paraId="6DF45CB6" w14:textId="77777777" w:rsidR="004B2734" w:rsidRPr="004B2734" w:rsidRDefault="004B2734" w:rsidP="004B2734">
            <w:pPr>
              <w:spacing w:before="40" w:after="40"/>
              <w:rPr>
                <w:rFonts w:ascii="Arial Narrow" w:hAnsi="Arial Narrow" w:cstheme="minorHAnsi"/>
                <w:sz w:val="20"/>
                <w:szCs w:val="20"/>
              </w:rPr>
            </w:pPr>
            <w:r w:rsidRPr="004B2734">
              <w:rPr>
                <w:rFonts w:ascii="Arial Narrow" w:hAnsi="Arial Narrow" w:cstheme="minorHAnsi"/>
                <w:sz w:val="20"/>
                <w:szCs w:val="20"/>
              </w:rPr>
              <w:t>0% (range 0–0%), k=2 datasets</w:t>
            </w:r>
          </w:p>
        </w:tc>
      </w:tr>
      <w:tr w:rsidR="004B2734" w:rsidRPr="004B2734" w14:paraId="0C52BA1D" w14:textId="77777777" w:rsidTr="004B2734">
        <w:tc>
          <w:tcPr>
            <w:tcW w:w="1980" w:type="dxa"/>
          </w:tcPr>
          <w:p w14:paraId="337CF9E0" w14:textId="71669F9A" w:rsidR="004B2734" w:rsidRPr="004B2734" w:rsidRDefault="00D41821" w:rsidP="00936B72">
            <w:pPr>
              <w:spacing w:before="40" w:after="40"/>
              <w:rPr>
                <w:rFonts w:ascii="Arial Narrow" w:hAnsi="Arial Narrow" w:cstheme="minorHAnsi"/>
                <w:sz w:val="20"/>
              </w:rPr>
            </w:pPr>
            <w:r>
              <w:rPr>
                <w:rFonts w:ascii="Arial Narrow" w:hAnsi="Arial Narrow" w:cstheme="minorHAnsi"/>
                <w:sz w:val="20"/>
                <w:szCs w:val="20"/>
              </w:rPr>
              <w:t>LAB</w:t>
            </w:r>
            <w:r w:rsidR="004B2734" w:rsidRPr="004B2734">
              <w:rPr>
                <w:rFonts w:ascii="Arial Narrow" w:hAnsi="Arial Narrow" w:cstheme="minorHAnsi"/>
                <w:sz w:val="20"/>
                <w:szCs w:val="20"/>
              </w:rPr>
              <w:t xml:space="preserve"> setting</w:t>
            </w:r>
          </w:p>
        </w:tc>
        <w:tc>
          <w:tcPr>
            <w:tcW w:w="3506" w:type="dxa"/>
          </w:tcPr>
          <w:p w14:paraId="5C8ACAEF" w14:textId="77777777" w:rsidR="004B2734" w:rsidRPr="004B2734" w:rsidRDefault="004B2734" w:rsidP="00936B72">
            <w:pPr>
              <w:tabs>
                <w:tab w:val="left" w:pos="318"/>
              </w:tabs>
              <w:spacing w:before="40" w:after="40"/>
              <w:rPr>
                <w:rFonts w:ascii="Arial Narrow" w:hAnsi="Arial Narrow" w:cstheme="minorHAnsi"/>
                <w:sz w:val="20"/>
                <w:szCs w:val="20"/>
              </w:rPr>
            </w:pPr>
            <w:r w:rsidRPr="004B2734">
              <w:rPr>
                <w:rFonts w:ascii="Arial Narrow" w:hAnsi="Arial Narrow" w:cstheme="minorHAnsi"/>
                <w:sz w:val="20"/>
                <w:szCs w:val="20"/>
              </w:rPr>
              <w:t>1.1% (range 0.3–2.9%), k- 6 datasets</w:t>
            </w:r>
          </w:p>
        </w:tc>
        <w:tc>
          <w:tcPr>
            <w:tcW w:w="3298" w:type="dxa"/>
          </w:tcPr>
          <w:p w14:paraId="53981461" w14:textId="77777777" w:rsidR="004B2734" w:rsidRPr="004B2734" w:rsidRDefault="004B2734" w:rsidP="00936B72">
            <w:pPr>
              <w:spacing w:before="40" w:after="40"/>
              <w:rPr>
                <w:rFonts w:ascii="Arial Narrow" w:hAnsi="Arial Narrow" w:cstheme="minorHAnsi"/>
                <w:sz w:val="20"/>
                <w:szCs w:val="20"/>
              </w:rPr>
            </w:pPr>
            <w:r w:rsidRPr="004B2734">
              <w:rPr>
                <w:rFonts w:ascii="Arial Narrow" w:hAnsi="Arial Narrow" w:cstheme="minorHAnsi"/>
                <w:sz w:val="20"/>
                <w:szCs w:val="20"/>
              </w:rPr>
              <w:t>0.3% (range 0–0.5%), k=7 datasets</w:t>
            </w:r>
          </w:p>
        </w:tc>
      </w:tr>
      <w:tr w:rsidR="00B1413A" w:rsidRPr="004B2734" w14:paraId="3AA95387" w14:textId="77777777" w:rsidTr="004B2734">
        <w:tc>
          <w:tcPr>
            <w:tcW w:w="1980" w:type="dxa"/>
          </w:tcPr>
          <w:p w14:paraId="7E4CE345" w14:textId="4A6BC6D7" w:rsidR="00B1413A" w:rsidRPr="004B2734" w:rsidRDefault="00B1413A" w:rsidP="004B2734">
            <w:pPr>
              <w:spacing w:before="40" w:after="40"/>
              <w:rPr>
                <w:rFonts w:ascii="Arial Narrow" w:hAnsi="Arial Narrow" w:cstheme="minorHAnsi"/>
                <w:sz w:val="20"/>
                <w:szCs w:val="20"/>
              </w:rPr>
            </w:pPr>
            <w:r>
              <w:rPr>
                <w:rFonts w:ascii="Arial Narrow" w:hAnsi="Arial Narrow" w:cstheme="minorHAnsi"/>
                <w:sz w:val="20"/>
                <w:szCs w:val="20"/>
              </w:rPr>
              <w:t>Overall</w:t>
            </w:r>
          </w:p>
        </w:tc>
        <w:tc>
          <w:tcPr>
            <w:tcW w:w="3506" w:type="dxa"/>
          </w:tcPr>
          <w:p w14:paraId="66B7D130" w14:textId="77777777" w:rsidR="00B1413A" w:rsidRPr="00B1413A" w:rsidRDefault="00B1413A" w:rsidP="004B2734">
            <w:pPr>
              <w:spacing w:before="40" w:after="40"/>
              <w:rPr>
                <w:rFonts w:ascii="Arial Narrow" w:hAnsi="Arial Narrow" w:cstheme="minorHAnsi"/>
                <w:sz w:val="20"/>
                <w:szCs w:val="20"/>
              </w:rPr>
            </w:pPr>
          </w:p>
        </w:tc>
        <w:tc>
          <w:tcPr>
            <w:tcW w:w="3298" w:type="dxa"/>
          </w:tcPr>
          <w:p w14:paraId="34E119D8" w14:textId="4F77C38C" w:rsidR="00B1413A" w:rsidRPr="004B2734" w:rsidRDefault="00B1413A" w:rsidP="004B2734">
            <w:pPr>
              <w:spacing w:before="40" w:after="40"/>
              <w:rPr>
                <w:rFonts w:ascii="Arial Narrow" w:hAnsi="Arial Narrow" w:cstheme="minorHAnsi"/>
                <w:sz w:val="20"/>
                <w:szCs w:val="20"/>
              </w:rPr>
            </w:pPr>
            <w:r>
              <w:rPr>
                <w:rFonts w:ascii="Arial Narrow" w:hAnsi="Arial Narrow" w:cstheme="minorHAnsi"/>
                <w:sz w:val="20"/>
                <w:szCs w:val="20"/>
              </w:rPr>
              <w:t>0.2% (range 0–0.5</w:t>
            </w:r>
            <w:proofErr w:type="gramStart"/>
            <w:r>
              <w:rPr>
                <w:rFonts w:ascii="Arial Narrow" w:hAnsi="Arial Narrow" w:cstheme="minorHAnsi"/>
                <w:sz w:val="20"/>
                <w:szCs w:val="20"/>
              </w:rPr>
              <w:t>%(</w:t>
            </w:r>
            <w:proofErr w:type="gramEnd"/>
            <w:r>
              <w:rPr>
                <w:rFonts w:ascii="Arial Narrow" w:hAnsi="Arial Narrow" w:cstheme="minorHAnsi"/>
                <w:sz w:val="20"/>
                <w:szCs w:val="20"/>
              </w:rPr>
              <w:t>, k=9 datasets</w:t>
            </w:r>
          </w:p>
        </w:tc>
      </w:tr>
      <w:tr w:rsidR="004B2734" w:rsidRPr="004B2734" w14:paraId="2E7183FF" w14:textId="77777777" w:rsidTr="004B2734">
        <w:tc>
          <w:tcPr>
            <w:tcW w:w="1980" w:type="dxa"/>
          </w:tcPr>
          <w:p w14:paraId="53262E20" w14:textId="77777777" w:rsidR="004B2734" w:rsidRPr="004B2734" w:rsidRDefault="004B2734" w:rsidP="004B2734">
            <w:pPr>
              <w:spacing w:before="40" w:after="40"/>
              <w:rPr>
                <w:rFonts w:ascii="Arial Narrow" w:hAnsi="Arial Narrow" w:cstheme="minorHAnsi"/>
                <w:sz w:val="20"/>
                <w:szCs w:val="20"/>
              </w:rPr>
            </w:pPr>
          </w:p>
        </w:tc>
        <w:tc>
          <w:tcPr>
            <w:tcW w:w="3506" w:type="dxa"/>
          </w:tcPr>
          <w:p w14:paraId="7AC46294" w14:textId="77777777" w:rsidR="004B2734" w:rsidRPr="004B2734" w:rsidRDefault="004B2734" w:rsidP="004B2734">
            <w:pPr>
              <w:spacing w:before="40" w:after="40"/>
              <w:rPr>
                <w:rFonts w:ascii="Arial Narrow" w:hAnsi="Arial Narrow" w:cstheme="minorHAnsi"/>
                <w:b/>
                <w:sz w:val="20"/>
                <w:szCs w:val="20"/>
              </w:rPr>
            </w:pPr>
            <w:r w:rsidRPr="004B2734">
              <w:rPr>
                <w:rFonts w:ascii="Arial Narrow" w:hAnsi="Arial Narrow" w:cstheme="minorHAnsi"/>
                <w:b/>
                <w:sz w:val="20"/>
                <w:szCs w:val="20"/>
              </w:rPr>
              <w:t>TV assay</w:t>
            </w:r>
          </w:p>
        </w:tc>
        <w:tc>
          <w:tcPr>
            <w:tcW w:w="3298" w:type="dxa"/>
          </w:tcPr>
          <w:p w14:paraId="5B06C99D" w14:textId="77777777" w:rsidR="004B2734" w:rsidRPr="004B2734" w:rsidRDefault="004B2734" w:rsidP="004B2734">
            <w:pPr>
              <w:spacing w:before="40" w:after="40"/>
              <w:rPr>
                <w:rFonts w:ascii="Arial Narrow" w:hAnsi="Arial Narrow" w:cstheme="minorHAnsi"/>
                <w:sz w:val="20"/>
                <w:szCs w:val="20"/>
              </w:rPr>
            </w:pPr>
          </w:p>
        </w:tc>
      </w:tr>
      <w:tr w:rsidR="004B2734" w:rsidRPr="004B2734" w14:paraId="3804D1CD" w14:textId="77777777" w:rsidTr="004B2734">
        <w:tc>
          <w:tcPr>
            <w:tcW w:w="1980" w:type="dxa"/>
          </w:tcPr>
          <w:p w14:paraId="6ED31E6B" w14:textId="13C8A032" w:rsidR="004B2734" w:rsidRPr="004B2734" w:rsidRDefault="004B2734" w:rsidP="004B2734">
            <w:pPr>
              <w:spacing w:before="40" w:after="40"/>
              <w:ind w:right="-57"/>
              <w:rPr>
                <w:rFonts w:ascii="Arial Narrow" w:hAnsi="Arial Narrow" w:cstheme="minorHAnsi"/>
                <w:sz w:val="20"/>
              </w:rPr>
            </w:pPr>
            <w:r w:rsidRPr="004B2734">
              <w:rPr>
                <w:rFonts w:ascii="Arial Narrow" w:hAnsi="Arial Narrow" w:cstheme="minorHAnsi"/>
                <w:sz w:val="20"/>
              </w:rPr>
              <w:t>POC</w:t>
            </w:r>
            <w:r w:rsidR="00D41821">
              <w:rPr>
                <w:rFonts w:ascii="Arial Narrow" w:hAnsi="Arial Narrow" w:cstheme="minorHAnsi"/>
                <w:sz w:val="20"/>
              </w:rPr>
              <w:t>/LAB</w:t>
            </w:r>
            <w:r w:rsidRPr="004B2734">
              <w:rPr>
                <w:rFonts w:ascii="Arial Narrow" w:hAnsi="Arial Narrow" w:cstheme="minorHAnsi"/>
                <w:sz w:val="20"/>
              </w:rPr>
              <w:t xml:space="preserve"> setting</w:t>
            </w:r>
          </w:p>
        </w:tc>
        <w:tc>
          <w:tcPr>
            <w:tcW w:w="3506" w:type="dxa"/>
          </w:tcPr>
          <w:p w14:paraId="3442F080" w14:textId="77777777" w:rsidR="004B2734" w:rsidRPr="004B2734" w:rsidRDefault="004B2734" w:rsidP="004B2734">
            <w:pPr>
              <w:spacing w:before="40" w:after="40"/>
              <w:rPr>
                <w:rFonts w:ascii="Arial Narrow" w:hAnsi="Arial Narrow" w:cstheme="minorHAnsi"/>
                <w:sz w:val="20"/>
                <w:szCs w:val="20"/>
              </w:rPr>
            </w:pPr>
            <w:r w:rsidRPr="004B2734">
              <w:rPr>
                <w:rFonts w:ascii="Arial Narrow" w:hAnsi="Arial Narrow" w:cstheme="minorHAnsi"/>
                <w:sz w:val="20"/>
                <w:szCs w:val="20"/>
              </w:rPr>
              <w:t>0.3% (range 0.1–0.3%), k=3 datasets</w:t>
            </w:r>
          </w:p>
        </w:tc>
        <w:tc>
          <w:tcPr>
            <w:tcW w:w="3298" w:type="dxa"/>
          </w:tcPr>
          <w:p w14:paraId="071126A9" w14:textId="77777777" w:rsidR="004B2734" w:rsidRPr="004B2734" w:rsidRDefault="004B2734" w:rsidP="004B2734">
            <w:pPr>
              <w:spacing w:before="40" w:after="40"/>
              <w:rPr>
                <w:rFonts w:ascii="Arial Narrow" w:hAnsi="Arial Narrow" w:cstheme="minorHAnsi"/>
                <w:sz w:val="20"/>
                <w:szCs w:val="20"/>
              </w:rPr>
            </w:pPr>
            <w:r w:rsidRPr="004B2734">
              <w:rPr>
                <w:rFonts w:ascii="Arial Narrow" w:hAnsi="Arial Narrow" w:cstheme="minorHAnsi"/>
                <w:sz w:val="20"/>
                <w:szCs w:val="20"/>
              </w:rPr>
              <w:t>0.2% (range 0.1–0.5%), k=3 datasets</w:t>
            </w:r>
          </w:p>
        </w:tc>
      </w:tr>
    </w:tbl>
    <w:p w14:paraId="2ADD0237" w14:textId="77777777" w:rsidR="000418DE" w:rsidRDefault="000418DE" w:rsidP="004B2734">
      <w:pPr>
        <w:pStyle w:val="TableFooter"/>
      </w:pPr>
      <w:r>
        <w:t xml:space="preserve">Source: Table 5, </w:t>
      </w:r>
      <w:proofErr w:type="spellStart"/>
      <w:r>
        <w:t>pg</w:t>
      </w:r>
      <w:proofErr w:type="spellEnd"/>
      <w:r>
        <w:t xml:space="preserve"> 10 of MSAC 1627 Commentary Executive Summary</w:t>
      </w:r>
    </w:p>
    <w:p w14:paraId="0771F477" w14:textId="7BAAAEE6" w:rsidR="004B2734" w:rsidRPr="004B2734" w:rsidRDefault="00760A37" w:rsidP="004B2734">
      <w:pPr>
        <w:pStyle w:val="TableFooter"/>
      </w:pPr>
      <w:r w:rsidRPr="00626CB0">
        <w:t xml:space="preserve">CT= </w:t>
      </w:r>
      <w:r w:rsidRPr="00626CB0">
        <w:rPr>
          <w:i/>
        </w:rPr>
        <w:t>Chlamydia trachomatis</w:t>
      </w:r>
      <w:r>
        <w:rPr>
          <w:i/>
        </w:rPr>
        <w:t>;</w:t>
      </w:r>
      <w:r w:rsidRPr="004B2734">
        <w:t xml:space="preserve"> </w:t>
      </w:r>
      <w:r w:rsidR="004B2734" w:rsidRPr="004B2734">
        <w:t xml:space="preserve">k = number of sample sets; </w:t>
      </w:r>
      <w:r w:rsidR="00D41821">
        <w:t xml:space="preserve">LAB = laboratory-based; </w:t>
      </w:r>
      <w:r w:rsidR="004B2734" w:rsidRPr="004B2734">
        <w:t>NAAT = nucleic acid amplification test</w:t>
      </w:r>
      <w:r>
        <w:t>;</w:t>
      </w:r>
      <w:r w:rsidR="004B2734" w:rsidRPr="004B2734">
        <w:t xml:space="preserve"> </w:t>
      </w:r>
      <w:r w:rsidRPr="00626CB0">
        <w:t>NG</w:t>
      </w:r>
      <w:r>
        <w:t xml:space="preserve"> </w:t>
      </w:r>
      <w:r w:rsidRPr="00626CB0">
        <w:t>=</w:t>
      </w:r>
      <w:r>
        <w:t xml:space="preserve"> </w:t>
      </w:r>
      <w:r w:rsidRPr="00626CB0">
        <w:rPr>
          <w:i/>
        </w:rPr>
        <w:t xml:space="preserve">Neisseria </w:t>
      </w:r>
      <w:r w:rsidR="002005C6">
        <w:rPr>
          <w:i/>
        </w:rPr>
        <w:t>gonorrhoea</w:t>
      </w:r>
      <w:r>
        <w:rPr>
          <w:i/>
        </w:rPr>
        <w:t>;</w:t>
      </w:r>
      <w:r>
        <w:t xml:space="preserve"> </w:t>
      </w:r>
      <w:r w:rsidR="004B2734">
        <w:t>POC = point of care</w:t>
      </w:r>
      <w:r>
        <w:t>;</w:t>
      </w:r>
      <w:r w:rsidR="00AA52CB" w:rsidRPr="00626CB0">
        <w:t xml:space="preserve"> </w:t>
      </w:r>
      <w:r w:rsidR="00AA52CB">
        <w:t>TV</w:t>
      </w:r>
      <w:r>
        <w:t xml:space="preserve"> </w:t>
      </w:r>
      <w:r w:rsidR="00AA52CB">
        <w:t>=</w:t>
      </w:r>
      <w:r>
        <w:t xml:space="preserve"> </w:t>
      </w:r>
      <w:r w:rsidR="00AA52CB" w:rsidRPr="00626CB0">
        <w:rPr>
          <w:i/>
        </w:rPr>
        <w:t>Trichomonas vaginalis</w:t>
      </w:r>
    </w:p>
    <w:p w14:paraId="175B0788" w14:textId="35954DD8" w:rsidR="003406C5" w:rsidRDefault="003406C5" w:rsidP="003406C5">
      <w:pPr>
        <w:pStyle w:val="Heading3"/>
      </w:pPr>
      <w:r w:rsidRPr="00F034DE">
        <w:t xml:space="preserve">The predictive value of POC </w:t>
      </w:r>
      <w:proofErr w:type="spellStart"/>
      <w:r w:rsidRPr="00F034DE">
        <w:t>Xpert</w:t>
      </w:r>
      <w:proofErr w:type="spellEnd"/>
      <w:r w:rsidRPr="00F034DE">
        <w:t xml:space="preserve"> CT/NG or TV testing</w:t>
      </w:r>
    </w:p>
    <w:p w14:paraId="3BD82DF0" w14:textId="51423460" w:rsidR="00D41821" w:rsidRDefault="00D41821" w:rsidP="00D41821">
      <w:r>
        <w:t xml:space="preserve">The </w:t>
      </w:r>
      <w:r w:rsidR="00EB0074">
        <w:t xml:space="preserve">estimated </w:t>
      </w:r>
      <w:r>
        <w:t xml:space="preserve">prevalence </w:t>
      </w:r>
      <w:r w:rsidR="00EB0074">
        <w:t xml:space="preserve">rates </w:t>
      </w:r>
      <w:r>
        <w:t xml:space="preserve">of CT, </w:t>
      </w:r>
      <w:proofErr w:type="gramStart"/>
      <w:r>
        <w:t>NG</w:t>
      </w:r>
      <w:proofErr w:type="gramEnd"/>
      <w:r>
        <w:t xml:space="preserve"> and TV </w:t>
      </w:r>
      <w:r w:rsidR="00EB0074">
        <w:t>among</w:t>
      </w:r>
      <w:r w:rsidRPr="00D41821">
        <w:t xml:space="preserve"> </w:t>
      </w:r>
      <w:r w:rsidR="00EB0074">
        <w:t>1</w:t>
      </w:r>
      <w:r w:rsidRPr="00D41821">
        <w:t xml:space="preserve">3,480 predominantly Indigenous Australian patients seen at the remote health services in central and northern Australia, </w:t>
      </w:r>
      <w:r w:rsidR="00EB0074">
        <w:t xml:space="preserve">which </w:t>
      </w:r>
      <w:r w:rsidRPr="00D41821">
        <w:t xml:space="preserve">aligns with the proposed population in the PICO, were used to determine the predictive value of POC </w:t>
      </w:r>
      <w:proofErr w:type="spellStart"/>
      <w:r w:rsidRPr="00D41821">
        <w:t>Xpert</w:t>
      </w:r>
      <w:proofErr w:type="spellEnd"/>
      <w:r w:rsidRPr="00D41821">
        <w:t xml:space="preserve"> testing</w:t>
      </w:r>
      <w:r w:rsidR="00EB0074">
        <w:t xml:space="preserve"> (Guy et al, 2015)</w:t>
      </w:r>
      <w:r w:rsidR="00EB0074">
        <w:rPr>
          <w:rStyle w:val="FootnoteReference"/>
        </w:rPr>
        <w:footnoteReference w:id="5"/>
      </w:r>
      <w:r w:rsidRPr="00D41821">
        <w:t>.</w:t>
      </w:r>
      <w:r w:rsidR="00EB0074">
        <w:t xml:space="preserve"> </w:t>
      </w:r>
    </w:p>
    <w:p w14:paraId="57031B9D" w14:textId="19504E09" w:rsidR="00D41821" w:rsidRPr="00D41821" w:rsidRDefault="00D41821" w:rsidP="00D41821">
      <w:pPr>
        <w:spacing w:before="240" w:after="240"/>
        <w:rPr>
          <w:bCs/>
        </w:rPr>
      </w:pPr>
      <w:r w:rsidRPr="00D41821">
        <w:rPr>
          <w:bCs/>
        </w:rPr>
        <w:t>A summary of the results per 1,000 patients is presented in</w:t>
      </w:r>
      <w:r w:rsidR="00EB0074" w:rsidRPr="00EB0074">
        <w:rPr>
          <w:bCs/>
        </w:rPr>
        <w:t xml:space="preserve"> </w:t>
      </w:r>
      <w:r w:rsidR="00EB0074" w:rsidRPr="00EB0074">
        <w:rPr>
          <w:bCs/>
        </w:rPr>
        <w:fldChar w:fldCharType="begin"/>
      </w:r>
      <w:r w:rsidR="00EB0074" w:rsidRPr="00EB0074">
        <w:rPr>
          <w:bCs/>
        </w:rPr>
        <w:instrText xml:space="preserve"> REF _Ref109909872 \h  \* MERGEFORMAT </w:instrText>
      </w:r>
      <w:r w:rsidR="00EB0074" w:rsidRPr="00EB0074">
        <w:rPr>
          <w:bCs/>
        </w:rPr>
      </w:r>
      <w:r w:rsidR="00EB0074" w:rsidRPr="00EB0074">
        <w:rPr>
          <w:bCs/>
        </w:rPr>
        <w:fldChar w:fldCharType="separate"/>
      </w:r>
      <w:r w:rsidR="00E739FF">
        <w:t xml:space="preserve">Table </w:t>
      </w:r>
      <w:r w:rsidR="00E739FF">
        <w:rPr>
          <w:noProof/>
        </w:rPr>
        <w:t>6</w:t>
      </w:r>
      <w:r w:rsidR="00EB0074" w:rsidRPr="00EB0074">
        <w:rPr>
          <w:bCs/>
        </w:rPr>
        <w:fldChar w:fldCharType="end"/>
      </w:r>
      <w:r w:rsidRPr="00D41821">
        <w:rPr>
          <w:bCs/>
        </w:rPr>
        <w:t xml:space="preserve">. </w:t>
      </w:r>
      <w:r w:rsidR="00D748F9">
        <w:rPr>
          <w:bCs/>
        </w:rPr>
        <w:t>For every 1000 people tested</w:t>
      </w:r>
      <w:r w:rsidR="003678E4">
        <w:rPr>
          <w:bCs/>
        </w:rPr>
        <w:t xml:space="preserve"> with POC rather than SOC</w:t>
      </w:r>
      <w:r w:rsidR="00D748F9">
        <w:rPr>
          <w:bCs/>
        </w:rPr>
        <w:t xml:space="preserve">, it is estimated that </w:t>
      </w:r>
      <w:r w:rsidR="003678E4">
        <w:rPr>
          <w:bCs/>
        </w:rPr>
        <w:t xml:space="preserve">up to 26 people may receive a false positive result, and </w:t>
      </w:r>
      <w:r w:rsidR="00FF07A5">
        <w:rPr>
          <w:bCs/>
        </w:rPr>
        <w:t xml:space="preserve">subsequently </w:t>
      </w:r>
      <w:r w:rsidR="003678E4">
        <w:rPr>
          <w:bCs/>
        </w:rPr>
        <w:t xml:space="preserve">receive </w:t>
      </w:r>
      <w:r w:rsidR="00D748F9">
        <w:rPr>
          <w:bCs/>
        </w:rPr>
        <w:t xml:space="preserve">unnecessary </w:t>
      </w:r>
      <w:r w:rsidRPr="00D41821">
        <w:rPr>
          <w:bCs/>
        </w:rPr>
        <w:t xml:space="preserve">antibiotic treatment. Conversely, </w:t>
      </w:r>
      <w:r w:rsidR="003678E4">
        <w:rPr>
          <w:bCs/>
        </w:rPr>
        <w:t xml:space="preserve">approximately 13 </w:t>
      </w:r>
      <w:r w:rsidRPr="00D41821">
        <w:rPr>
          <w:bCs/>
        </w:rPr>
        <w:t xml:space="preserve">patients </w:t>
      </w:r>
      <w:r w:rsidR="003678E4">
        <w:rPr>
          <w:bCs/>
        </w:rPr>
        <w:t xml:space="preserve">would receive </w:t>
      </w:r>
      <w:r w:rsidRPr="00D41821">
        <w:rPr>
          <w:bCs/>
        </w:rPr>
        <w:t>a false negative result (especially those who are asymptomatic</w:t>
      </w:r>
      <w:proofErr w:type="gramStart"/>
      <w:r w:rsidRPr="00D41821">
        <w:rPr>
          <w:bCs/>
        </w:rPr>
        <w:t>)</w:t>
      </w:r>
      <w:r w:rsidR="003678E4">
        <w:rPr>
          <w:bCs/>
        </w:rPr>
        <w:t>, and</w:t>
      </w:r>
      <w:proofErr w:type="gramEnd"/>
      <w:r w:rsidR="003678E4">
        <w:rPr>
          <w:bCs/>
        </w:rPr>
        <w:t xml:space="preserve"> would</w:t>
      </w:r>
      <w:r w:rsidRPr="00D41821">
        <w:rPr>
          <w:bCs/>
        </w:rPr>
        <w:t xml:space="preserve"> miss out on treatment</w:t>
      </w:r>
      <w:r w:rsidR="00EB0074">
        <w:rPr>
          <w:bCs/>
        </w:rPr>
        <w:t>.</w:t>
      </w:r>
      <w:r w:rsidRPr="00D41821">
        <w:rPr>
          <w:bCs/>
        </w:rPr>
        <w:t xml:space="preserve"> </w:t>
      </w:r>
      <w:r w:rsidR="00EB0074">
        <w:rPr>
          <w:bCs/>
        </w:rPr>
        <w:t>A</w:t>
      </w:r>
      <w:r w:rsidRPr="00D41821">
        <w:rPr>
          <w:bCs/>
        </w:rPr>
        <w:t>dditionally</w:t>
      </w:r>
      <w:r w:rsidR="00EB0074">
        <w:rPr>
          <w:bCs/>
        </w:rPr>
        <w:t>,</w:t>
      </w:r>
      <w:r w:rsidRPr="00D41821">
        <w:rPr>
          <w:bCs/>
        </w:rPr>
        <w:t xml:space="preserve"> contract tracing will not be initiated enabling the further spread of disease.</w:t>
      </w:r>
      <w:r w:rsidR="003678E4">
        <w:rPr>
          <w:bCs/>
        </w:rPr>
        <w:t xml:space="preserve"> </w:t>
      </w:r>
    </w:p>
    <w:p w14:paraId="2D474CF3" w14:textId="53131142" w:rsidR="00D41821" w:rsidRPr="00D41821" w:rsidRDefault="00D41821" w:rsidP="00EB0074">
      <w:pPr>
        <w:pStyle w:val="TableHeading0"/>
      </w:pPr>
      <w:bookmarkStart w:id="32" w:name="_Ref109909872"/>
      <w:r>
        <w:t xml:space="preserve">Table </w:t>
      </w:r>
      <w:r w:rsidR="007D19FE">
        <w:fldChar w:fldCharType="begin"/>
      </w:r>
      <w:r w:rsidR="007D19FE">
        <w:instrText xml:space="preserve"> SEQ Table \* ARABIC </w:instrText>
      </w:r>
      <w:r w:rsidR="007D19FE">
        <w:fldChar w:fldCharType="separate"/>
      </w:r>
      <w:r w:rsidR="00FF1B3A">
        <w:rPr>
          <w:noProof/>
        </w:rPr>
        <w:t>6</w:t>
      </w:r>
      <w:r w:rsidR="007D19FE">
        <w:rPr>
          <w:noProof/>
        </w:rPr>
        <w:fldChar w:fldCharType="end"/>
      </w:r>
      <w:bookmarkEnd w:id="32"/>
      <w:r w:rsidRPr="00D41821">
        <w:tab/>
        <w:t xml:space="preserve">Summary of the </w:t>
      </w:r>
      <w:r w:rsidR="00EB0074">
        <w:t xml:space="preserve">PPV, NPV and the </w:t>
      </w:r>
      <w:r w:rsidRPr="00D41821">
        <w:t>number per 1,000 patients tested for CT, NG or TV who will receive a false positive or false negative result</w:t>
      </w:r>
    </w:p>
    <w:tbl>
      <w:tblPr>
        <w:tblStyle w:val="ASDTable2"/>
        <w:tblW w:w="9016" w:type="dxa"/>
        <w:tblLook w:val="04A0" w:firstRow="1" w:lastRow="0" w:firstColumn="1" w:lastColumn="0" w:noHBand="0" w:noVBand="1"/>
        <w:tblCaption w:val="Summary of the PPV, NPV and the number per 1,000 patients tested for CT, NG or TV who will receive a false positive or false negative result"/>
      </w:tblPr>
      <w:tblGrid>
        <w:gridCol w:w="4531"/>
        <w:gridCol w:w="1495"/>
        <w:gridCol w:w="1495"/>
        <w:gridCol w:w="1495"/>
      </w:tblGrid>
      <w:tr w:rsidR="00D41821" w:rsidRPr="00D41821" w14:paraId="34A92F14" w14:textId="77777777" w:rsidTr="000E7FB6">
        <w:trPr>
          <w:tblHeader/>
        </w:trPr>
        <w:tc>
          <w:tcPr>
            <w:tcW w:w="4531" w:type="dxa"/>
          </w:tcPr>
          <w:p w14:paraId="235FC3DF" w14:textId="77777777" w:rsidR="00D41821" w:rsidRPr="00D41821" w:rsidRDefault="00D41821" w:rsidP="00D41821">
            <w:pPr>
              <w:spacing w:before="40" w:after="40"/>
              <w:rPr>
                <w:rFonts w:ascii="Arial Narrow" w:hAnsi="Arial Narrow"/>
                <w:b/>
                <w:sz w:val="20"/>
              </w:rPr>
            </w:pPr>
            <w:r w:rsidRPr="00D41821">
              <w:rPr>
                <w:rFonts w:ascii="Arial Narrow" w:hAnsi="Arial Narrow"/>
                <w:b/>
                <w:sz w:val="20"/>
              </w:rPr>
              <w:t>Per 1,000 patients tested:</w:t>
            </w:r>
          </w:p>
        </w:tc>
        <w:tc>
          <w:tcPr>
            <w:tcW w:w="1495" w:type="dxa"/>
          </w:tcPr>
          <w:p w14:paraId="2BEA0154" w14:textId="77777777" w:rsidR="00D41821" w:rsidRPr="00D41821" w:rsidRDefault="00D41821" w:rsidP="00D41821">
            <w:pPr>
              <w:spacing w:before="40" w:after="40"/>
              <w:jc w:val="center"/>
              <w:rPr>
                <w:rFonts w:ascii="Arial Narrow" w:hAnsi="Arial Narrow"/>
                <w:b/>
                <w:sz w:val="20"/>
              </w:rPr>
            </w:pPr>
            <w:r w:rsidRPr="00D41821">
              <w:rPr>
                <w:rFonts w:ascii="Arial Narrow" w:hAnsi="Arial Narrow"/>
                <w:b/>
                <w:sz w:val="20"/>
              </w:rPr>
              <w:t>CT</w:t>
            </w:r>
          </w:p>
        </w:tc>
        <w:tc>
          <w:tcPr>
            <w:tcW w:w="1495" w:type="dxa"/>
          </w:tcPr>
          <w:p w14:paraId="4B41B9A6" w14:textId="77777777" w:rsidR="00D41821" w:rsidRPr="00D41821" w:rsidRDefault="00D41821" w:rsidP="00D41821">
            <w:pPr>
              <w:spacing w:before="40" w:after="40"/>
              <w:jc w:val="center"/>
              <w:rPr>
                <w:rFonts w:ascii="Arial Narrow" w:hAnsi="Arial Narrow"/>
                <w:b/>
                <w:sz w:val="20"/>
              </w:rPr>
            </w:pPr>
            <w:r w:rsidRPr="00D41821">
              <w:rPr>
                <w:rFonts w:ascii="Arial Narrow" w:hAnsi="Arial Narrow"/>
                <w:b/>
                <w:sz w:val="20"/>
              </w:rPr>
              <w:t>NG</w:t>
            </w:r>
          </w:p>
        </w:tc>
        <w:tc>
          <w:tcPr>
            <w:tcW w:w="1495" w:type="dxa"/>
          </w:tcPr>
          <w:p w14:paraId="337BEFBF" w14:textId="77777777" w:rsidR="00D41821" w:rsidRPr="00D41821" w:rsidRDefault="00D41821" w:rsidP="00D41821">
            <w:pPr>
              <w:spacing w:before="40" w:after="40"/>
              <w:jc w:val="center"/>
              <w:rPr>
                <w:rFonts w:ascii="Arial Narrow" w:hAnsi="Arial Narrow"/>
                <w:b/>
                <w:sz w:val="20"/>
              </w:rPr>
            </w:pPr>
            <w:r w:rsidRPr="00D41821">
              <w:rPr>
                <w:rFonts w:ascii="Arial Narrow" w:hAnsi="Arial Narrow"/>
                <w:b/>
                <w:sz w:val="20"/>
              </w:rPr>
              <w:t>TV</w:t>
            </w:r>
          </w:p>
        </w:tc>
      </w:tr>
      <w:tr w:rsidR="00D41821" w:rsidRPr="00D41821" w14:paraId="2261C8B7" w14:textId="77777777" w:rsidTr="00936B72">
        <w:tc>
          <w:tcPr>
            <w:tcW w:w="4531" w:type="dxa"/>
          </w:tcPr>
          <w:p w14:paraId="19FA6DE0" w14:textId="71C34A3E" w:rsidR="00D41821" w:rsidRPr="00EB0074" w:rsidRDefault="00D41821" w:rsidP="00D41821">
            <w:pPr>
              <w:spacing w:before="40" w:after="40"/>
              <w:rPr>
                <w:rFonts w:ascii="Arial Narrow" w:hAnsi="Arial Narrow"/>
                <w:sz w:val="20"/>
              </w:rPr>
            </w:pPr>
            <w:r w:rsidRPr="00EB0074">
              <w:rPr>
                <w:rFonts w:ascii="Arial Narrow" w:hAnsi="Arial Narrow"/>
                <w:sz w:val="20"/>
              </w:rPr>
              <w:t>Prevalence reported by Guy et al (2015)</w:t>
            </w:r>
          </w:p>
        </w:tc>
        <w:tc>
          <w:tcPr>
            <w:tcW w:w="1495" w:type="dxa"/>
          </w:tcPr>
          <w:p w14:paraId="3755F860" w14:textId="192D23CA" w:rsidR="00D41821" w:rsidRPr="00EB0074" w:rsidRDefault="00D41821" w:rsidP="00D41821">
            <w:pPr>
              <w:spacing w:before="40" w:after="40"/>
              <w:jc w:val="center"/>
              <w:rPr>
                <w:rFonts w:ascii="Arial Narrow" w:hAnsi="Arial Narrow"/>
                <w:sz w:val="20"/>
              </w:rPr>
            </w:pPr>
            <w:r w:rsidRPr="00EB0074">
              <w:rPr>
                <w:rFonts w:ascii="Arial Narrow" w:hAnsi="Arial Narrow"/>
                <w:sz w:val="20"/>
              </w:rPr>
              <w:t>11.5%</w:t>
            </w:r>
          </w:p>
        </w:tc>
        <w:tc>
          <w:tcPr>
            <w:tcW w:w="1495" w:type="dxa"/>
          </w:tcPr>
          <w:p w14:paraId="78265815" w14:textId="0B1E7CC7" w:rsidR="00D41821" w:rsidRPr="00EB0074" w:rsidRDefault="00D41821" w:rsidP="00D41821">
            <w:pPr>
              <w:spacing w:before="40" w:after="40"/>
              <w:jc w:val="center"/>
              <w:rPr>
                <w:rFonts w:ascii="Arial Narrow" w:hAnsi="Arial Narrow"/>
                <w:sz w:val="20"/>
              </w:rPr>
            </w:pPr>
            <w:r w:rsidRPr="00EB0074">
              <w:rPr>
                <w:rFonts w:ascii="Arial Narrow" w:hAnsi="Arial Narrow"/>
                <w:sz w:val="20"/>
              </w:rPr>
              <w:t>10.1%</w:t>
            </w:r>
          </w:p>
        </w:tc>
        <w:tc>
          <w:tcPr>
            <w:tcW w:w="1495" w:type="dxa"/>
          </w:tcPr>
          <w:p w14:paraId="720E1C54" w14:textId="030E7911" w:rsidR="00D41821" w:rsidRPr="00EB0074" w:rsidRDefault="00D41821" w:rsidP="00D41821">
            <w:pPr>
              <w:spacing w:before="40" w:after="40"/>
              <w:jc w:val="center"/>
              <w:rPr>
                <w:rFonts w:ascii="Arial Narrow" w:hAnsi="Arial Narrow"/>
                <w:sz w:val="20"/>
              </w:rPr>
            </w:pPr>
            <w:r w:rsidRPr="00EB0074">
              <w:rPr>
                <w:rFonts w:ascii="Arial Narrow" w:hAnsi="Arial Narrow"/>
                <w:sz w:val="20"/>
              </w:rPr>
              <w:t>17.6%</w:t>
            </w:r>
          </w:p>
        </w:tc>
      </w:tr>
      <w:tr w:rsidR="00EB0074" w:rsidRPr="00D41821" w14:paraId="17F5101E" w14:textId="77777777" w:rsidTr="00936B72">
        <w:tc>
          <w:tcPr>
            <w:tcW w:w="4531" w:type="dxa"/>
          </w:tcPr>
          <w:p w14:paraId="418698A9" w14:textId="76524B9E" w:rsidR="00EB0074" w:rsidRPr="00EB0074" w:rsidRDefault="00EB0074" w:rsidP="00D41821">
            <w:pPr>
              <w:spacing w:before="40" w:after="40"/>
              <w:rPr>
                <w:rFonts w:ascii="Arial Narrow" w:hAnsi="Arial Narrow"/>
                <w:sz w:val="20"/>
              </w:rPr>
            </w:pPr>
            <w:r>
              <w:rPr>
                <w:rFonts w:ascii="Arial Narrow" w:hAnsi="Arial Narrow"/>
                <w:sz w:val="20"/>
              </w:rPr>
              <w:t>PPV</w:t>
            </w:r>
          </w:p>
        </w:tc>
        <w:tc>
          <w:tcPr>
            <w:tcW w:w="1495" w:type="dxa"/>
          </w:tcPr>
          <w:p w14:paraId="639B690E" w14:textId="06908A1B" w:rsidR="00EB0074" w:rsidRPr="00EB0074" w:rsidRDefault="00EB0074" w:rsidP="00D41821">
            <w:pPr>
              <w:spacing w:before="40" w:after="40"/>
              <w:jc w:val="center"/>
              <w:rPr>
                <w:rFonts w:ascii="Arial Narrow" w:hAnsi="Arial Narrow"/>
                <w:sz w:val="20"/>
              </w:rPr>
            </w:pPr>
            <w:r>
              <w:rPr>
                <w:rFonts w:ascii="Arial Narrow" w:hAnsi="Arial Narrow"/>
                <w:sz w:val="20"/>
              </w:rPr>
              <w:t>92.4%</w:t>
            </w:r>
          </w:p>
        </w:tc>
        <w:tc>
          <w:tcPr>
            <w:tcW w:w="1495" w:type="dxa"/>
          </w:tcPr>
          <w:p w14:paraId="5C1A19DF" w14:textId="45480FA9" w:rsidR="00EB0074" w:rsidRPr="00EB0074" w:rsidRDefault="00EB0074" w:rsidP="00D41821">
            <w:pPr>
              <w:spacing w:before="40" w:after="40"/>
              <w:jc w:val="center"/>
              <w:rPr>
                <w:rFonts w:ascii="Arial Narrow" w:hAnsi="Arial Narrow"/>
                <w:sz w:val="20"/>
              </w:rPr>
            </w:pPr>
            <w:r>
              <w:rPr>
                <w:rFonts w:ascii="Arial Narrow" w:hAnsi="Arial Narrow"/>
                <w:sz w:val="20"/>
              </w:rPr>
              <w:t>91.5%</w:t>
            </w:r>
          </w:p>
        </w:tc>
        <w:tc>
          <w:tcPr>
            <w:tcW w:w="1495" w:type="dxa"/>
          </w:tcPr>
          <w:p w14:paraId="705F6D68" w14:textId="2DDD1F4C" w:rsidR="00EB0074" w:rsidRPr="00EB0074" w:rsidRDefault="00EB0074" w:rsidP="00D41821">
            <w:pPr>
              <w:spacing w:before="40" w:after="40"/>
              <w:jc w:val="center"/>
              <w:rPr>
                <w:rFonts w:ascii="Arial Narrow" w:hAnsi="Arial Narrow"/>
                <w:sz w:val="20"/>
              </w:rPr>
            </w:pPr>
            <w:r>
              <w:rPr>
                <w:rFonts w:ascii="Arial Narrow" w:hAnsi="Arial Narrow"/>
                <w:sz w:val="20"/>
              </w:rPr>
              <w:t>95.5%</w:t>
            </w:r>
          </w:p>
        </w:tc>
      </w:tr>
      <w:tr w:rsidR="00EB0074" w:rsidRPr="00D41821" w14:paraId="7B9D0967" w14:textId="77777777" w:rsidTr="00936B72">
        <w:tc>
          <w:tcPr>
            <w:tcW w:w="4531" w:type="dxa"/>
          </w:tcPr>
          <w:p w14:paraId="169C43B3" w14:textId="4E92B700" w:rsidR="00EB0074" w:rsidRPr="00EB0074" w:rsidRDefault="00EB0074" w:rsidP="00D41821">
            <w:pPr>
              <w:spacing w:before="40" w:after="40"/>
              <w:rPr>
                <w:rFonts w:ascii="Arial Narrow" w:hAnsi="Arial Narrow"/>
                <w:sz w:val="20"/>
              </w:rPr>
            </w:pPr>
            <w:r>
              <w:rPr>
                <w:rFonts w:ascii="Arial Narrow" w:hAnsi="Arial Narrow"/>
                <w:sz w:val="20"/>
              </w:rPr>
              <w:t>NPV</w:t>
            </w:r>
          </w:p>
        </w:tc>
        <w:tc>
          <w:tcPr>
            <w:tcW w:w="1495" w:type="dxa"/>
          </w:tcPr>
          <w:p w14:paraId="03DDD869" w14:textId="5F639C94" w:rsidR="00EB0074" w:rsidRPr="00EB0074" w:rsidRDefault="00EB0074" w:rsidP="00D41821">
            <w:pPr>
              <w:spacing w:before="40" w:after="40"/>
              <w:jc w:val="center"/>
              <w:rPr>
                <w:rFonts w:ascii="Arial Narrow" w:hAnsi="Arial Narrow"/>
                <w:sz w:val="20"/>
              </w:rPr>
            </w:pPr>
            <w:r>
              <w:rPr>
                <w:rFonts w:ascii="Arial Narrow" w:hAnsi="Arial Narrow"/>
                <w:sz w:val="20"/>
              </w:rPr>
              <w:t>99.2%</w:t>
            </w:r>
          </w:p>
        </w:tc>
        <w:tc>
          <w:tcPr>
            <w:tcW w:w="1495" w:type="dxa"/>
          </w:tcPr>
          <w:p w14:paraId="70C3F854" w14:textId="5D96196A" w:rsidR="00EB0074" w:rsidRPr="00EB0074" w:rsidRDefault="00EB0074" w:rsidP="00D41821">
            <w:pPr>
              <w:spacing w:before="40" w:after="40"/>
              <w:jc w:val="center"/>
              <w:rPr>
                <w:rFonts w:ascii="Arial Narrow" w:hAnsi="Arial Narrow"/>
                <w:sz w:val="20"/>
              </w:rPr>
            </w:pPr>
            <w:r>
              <w:rPr>
                <w:rFonts w:ascii="Arial Narrow" w:hAnsi="Arial Narrow"/>
                <w:sz w:val="20"/>
              </w:rPr>
              <w:t>99.5%</w:t>
            </w:r>
          </w:p>
        </w:tc>
        <w:tc>
          <w:tcPr>
            <w:tcW w:w="1495" w:type="dxa"/>
          </w:tcPr>
          <w:p w14:paraId="291A9398" w14:textId="754A3544" w:rsidR="00EB0074" w:rsidRPr="00EB0074" w:rsidRDefault="00EB0074" w:rsidP="00D41821">
            <w:pPr>
              <w:spacing w:before="40" w:after="40"/>
              <w:jc w:val="center"/>
              <w:rPr>
                <w:rFonts w:ascii="Arial Narrow" w:hAnsi="Arial Narrow"/>
                <w:sz w:val="20"/>
              </w:rPr>
            </w:pPr>
            <w:r>
              <w:rPr>
                <w:rFonts w:ascii="Arial Narrow" w:hAnsi="Arial Narrow"/>
                <w:sz w:val="20"/>
              </w:rPr>
              <w:t>99.8%</w:t>
            </w:r>
          </w:p>
        </w:tc>
      </w:tr>
      <w:tr w:rsidR="00D41821" w:rsidRPr="00D41821" w14:paraId="781A7417" w14:textId="77777777" w:rsidTr="00936B72">
        <w:tc>
          <w:tcPr>
            <w:tcW w:w="4531" w:type="dxa"/>
          </w:tcPr>
          <w:p w14:paraId="597FF10C" w14:textId="77777777" w:rsidR="00D41821" w:rsidRPr="00D41821" w:rsidRDefault="00D41821" w:rsidP="00D41821">
            <w:pPr>
              <w:spacing w:before="40" w:after="40"/>
              <w:rPr>
                <w:rFonts w:ascii="Arial Narrow" w:hAnsi="Arial Narrow"/>
                <w:sz w:val="20"/>
              </w:rPr>
            </w:pPr>
            <w:r w:rsidRPr="00D41821">
              <w:rPr>
                <w:rFonts w:ascii="Arial Narrow" w:hAnsi="Arial Narrow"/>
                <w:sz w:val="20"/>
              </w:rPr>
              <w:t>Total number of patients with positive test result (TP + FP)</w:t>
            </w:r>
          </w:p>
        </w:tc>
        <w:tc>
          <w:tcPr>
            <w:tcW w:w="1495" w:type="dxa"/>
          </w:tcPr>
          <w:p w14:paraId="1C4F50F3" w14:textId="77777777" w:rsidR="00D41821" w:rsidRPr="00D41821" w:rsidRDefault="00D41821" w:rsidP="00D41821">
            <w:pPr>
              <w:spacing w:before="40" w:after="40"/>
              <w:jc w:val="center"/>
              <w:rPr>
                <w:rFonts w:ascii="Arial Narrow" w:hAnsi="Arial Narrow"/>
                <w:sz w:val="20"/>
              </w:rPr>
            </w:pPr>
            <w:r w:rsidRPr="00D41821">
              <w:rPr>
                <w:rFonts w:ascii="Arial Narrow" w:hAnsi="Arial Narrow"/>
                <w:sz w:val="20"/>
              </w:rPr>
              <w:t>117</w:t>
            </w:r>
          </w:p>
        </w:tc>
        <w:tc>
          <w:tcPr>
            <w:tcW w:w="1495" w:type="dxa"/>
          </w:tcPr>
          <w:p w14:paraId="29E129DC" w14:textId="77777777" w:rsidR="00D41821" w:rsidRPr="00D41821" w:rsidRDefault="00D41821" w:rsidP="00D41821">
            <w:pPr>
              <w:spacing w:before="40" w:after="40"/>
              <w:jc w:val="center"/>
              <w:rPr>
                <w:rFonts w:ascii="Arial Narrow" w:hAnsi="Arial Narrow"/>
                <w:sz w:val="20"/>
              </w:rPr>
            </w:pPr>
            <w:r w:rsidRPr="00D41821">
              <w:rPr>
                <w:rFonts w:ascii="Arial Narrow" w:hAnsi="Arial Narrow"/>
                <w:sz w:val="20"/>
              </w:rPr>
              <w:t>106</w:t>
            </w:r>
          </w:p>
        </w:tc>
        <w:tc>
          <w:tcPr>
            <w:tcW w:w="1495" w:type="dxa"/>
          </w:tcPr>
          <w:p w14:paraId="3E0F9D83" w14:textId="77777777" w:rsidR="00D41821" w:rsidRPr="00D41821" w:rsidRDefault="00D41821" w:rsidP="00D41821">
            <w:pPr>
              <w:spacing w:before="40" w:after="40"/>
              <w:jc w:val="center"/>
              <w:rPr>
                <w:rFonts w:ascii="Arial Narrow" w:hAnsi="Arial Narrow"/>
                <w:sz w:val="20"/>
              </w:rPr>
            </w:pPr>
            <w:r w:rsidRPr="00D41821">
              <w:rPr>
                <w:rFonts w:ascii="Arial Narrow" w:hAnsi="Arial Narrow"/>
                <w:sz w:val="20"/>
              </w:rPr>
              <w:t>182</w:t>
            </w:r>
          </w:p>
        </w:tc>
      </w:tr>
      <w:tr w:rsidR="00D41821" w:rsidRPr="00D41821" w14:paraId="50D85D3C" w14:textId="77777777" w:rsidTr="00936B72">
        <w:tc>
          <w:tcPr>
            <w:tcW w:w="4531" w:type="dxa"/>
          </w:tcPr>
          <w:p w14:paraId="29E49DD4" w14:textId="77777777" w:rsidR="00D41821" w:rsidRPr="00D41821" w:rsidRDefault="00D41821" w:rsidP="00D41821">
            <w:pPr>
              <w:spacing w:before="40" w:after="40"/>
              <w:rPr>
                <w:rFonts w:ascii="Arial Narrow" w:hAnsi="Arial Narrow"/>
                <w:sz w:val="20"/>
              </w:rPr>
            </w:pPr>
            <w:r w:rsidRPr="00D41821">
              <w:rPr>
                <w:rFonts w:ascii="Arial Narrow" w:hAnsi="Arial Narrow"/>
                <w:sz w:val="20"/>
              </w:rPr>
              <w:t>Number with a false positive test result (FP)</w:t>
            </w:r>
          </w:p>
        </w:tc>
        <w:tc>
          <w:tcPr>
            <w:tcW w:w="1495" w:type="dxa"/>
          </w:tcPr>
          <w:p w14:paraId="42879114" w14:textId="77777777" w:rsidR="00D41821" w:rsidRPr="00D41821" w:rsidRDefault="00D41821" w:rsidP="00D41821">
            <w:pPr>
              <w:spacing w:before="40" w:after="40"/>
              <w:jc w:val="center"/>
              <w:rPr>
                <w:rFonts w:ascii="Arial Narrow" w:hAnsi="Arial Narrow"/>
                <w:sz w:val="20"/>
              </w:rPr>
            </w:pPr>
            <w:r w:rsidRPr="00D41821">
              <w:rPr>
                <w:rFonts w:ascii="Arial Narrow" w:hAnsi="Arial Narrow"/>
                <w:sz w:val="20"/>
              </w:rPr>
              <w:t>9</w:t>
            </w:r>
          </w:p>
        </w:tc>
        <w:tc>
          <w:tcPr>
            <w:tcW w:w="1495" w:type="dxa"/>
          </w:tcPr>
          <w:p w14:paraId="65D5758B" w14:textId="77777777" w:rsidR="00D41821" w:rsidRPr="00D41821" w:rsidRDefault="00D41821" w:rsidP="00D41821">
            <w:pPr>
              <w:spacing w:before="40" w:after="40"/>
              <w:jc w:val="center"/>
              <w:rPr>
                <w:rFonts w:ascii="Arial Narrow" w:hAnsi="Arial Narrow"/>
                <w:sz w:val="20"/>
              </w:rPr>
            </w:pPr>
            <w:r w:rsidRPr="00D41821">
              <w:rPr>
                <w:rFonts w:ascii="Arial Narrow" w:hAnsi="Arial Narrow"/>
                <w:sz w:val="20"/>
              </w:rPr>
              <w:t>9</w:t>
            </w:r>
          </w:p>
        </w:tc>
        <w:tc>
          <w:tcPr>
            <w:tcW w:w="1495" w:type="dxa"/>
          </w:tcPr>
          <w:p w14:paraId="490B4810" w14:textId="77777777" w:rsidR="00D41821" w:rsidRPr="00D41821" w:rsidRDefault="00D41821" w:rsidP="00D41821">
            <w:pPr>
              <w:spacing w:before="40" w:after="40"/>
              <w:jc w:val="center"/>
              <w:rPr>
                <w:rFonts w:ascii="Arial Narrow" w:hAnsi="Arial Narrow"/>
                <w:sz w:val="20"/>
              </w:rPr>
            </w:pPr>
            <w:r w:rsidRPr="00D41821">
              <w:rPr>
                <w:rFonts w:ascii="Arial Narrow" w:hAnsi="Arial Narrow"/>
                <w:sz w:val="20"/>
              </w:rPr>
              <w:t>8</w:t>
            </w:r>
          </w:p>
        </w:tc>
      </w:tr>
      <w:tr w:rsidR="00D41821" w:rsidRPr="00D41821" w14:paraId="2CCE3A9E" w14:textId="77777777" w:rsidTr="00936B72">
        <w:tc>
          <w:tcPr>
            <w:tcW w:w="4531" w:type="dxa"/>
          </w:tcPr>
          <w:p w14:paraId="177DB552" w14:textId="77777777" w:rsidR="00D41821" w:rsidRPr="00D41821" w:rsidRDefault="00D41821" w:rsidP="00D41821">
            <w:pPr>
              <w:spacing w:before="40" w:after="40"/>
              <w:rPr>
                <w:rFonts w:ascii="Arial Narrow" w:hAnsi="Arial Narrow"/>
                <w:sz w:val="20"/>
              </w:rPr>
            </w:pPr>
            <w:r w:rsidRPr="00D41821">
              <w:rPr>
                <w:rFonts w:ascii="Arial Narrow" w:hAnsi="Arial Narrow"/>
                <w:sz w:val="20"/>
              </w:rPr>
              <w:t>Total number with a negative test result (TN + FN)</w:t>
            </w:r>
          </w:p>
        </w:tc>
        <w:tc>
          <w:tcPr>
            <w:tcW w:w="1495" w:type="dxa"/>
          </w:tcPr>
          <w:p w14:paraId="4CA1BB31" w14:textId="77777777" w:rsidR="00D41821" w:rsidRPr="00D41821" w:rsidRDefault="00D41821" w:rsidP="00D41821">
            <w:pPr>
              <w:spacing w:before="40" w:after="40"/>
              <w:jc w:val="center"/>
              <w:rPr>
                <w:rFonts w:ascii="Arial Narrow" w:hAnsi="Arial Narrow"/>
                <w:sz w:val="20"/>
              </w:rPr>
            </w:pPr>
            <w:r w:rsidRPr="00D41821">
              <w:rPr>
                <w:rFonts w:ascii="Arial Narrow" w:hAnsi="Arial Narrow"/>
                <w:sz w:val="20"/>
              </w:rPr>
              <w:t>878</w:t>
            </w:r>
          </w:p>
        </w:tc>
        <w:tc>
          <w:tcPr>
            <w:tcW w:w="1495" w:type="dxa"/>
          </w:tcPr>
          <w:p w14:paraId="73972DAD" w14:textId="77777777" w:rsidR="00D41821" w:rsidRPr="00D41821" w:rsidRDefault="00D41821" w:rsidP="00D41821">
            <w:pPr>
              <w:spacing w:before="40" w:after="40"/>
              <w:jc w:val="center"/>
              <w:rPr>
                <w:rFonts w:ascii="Arial Narrow" w:hAnsi="Arial Narrow"/>
                <w:sz w:val="20"/>
              </w:rPr>
            </w:pPr>
            <w:r w:rsidRPr="00D41821">
              <w:rPr>
                <w:rFonts w:ascii="Arial Narrow" w:hAnsi="Arial Narrow"/>
                <w:sz w:val="20"/>
              </w:rPr>
              <w:t>894</w:t>
            </w:r>
          </w:p>
        </w:tc>
        <w:tc>
          <w:tcPr>
            <w:tcW w:w="1495" w:type="dxa"/>
          </w:tcPr>
          <w:p w14:paraId="09C02EC0" w14:textId="77777777" w:rsidR="00D41821" w:rsidRPr="00D41821" w:rsidRDefault="00D41821" w:rsidP="00D41821">
            <w:pPr>
              <w:spacing w:before="40" w:after="40"/>
              <w:jc w:val="center"/>
              <w:rPr>
                <w:rFonts w:ascii="Arial Narrow" w:hAnsi="Arial Narrow"/>
                <w:sz w:val="20"/>
              </w:rPr>
            </w:pPr>
            <w:r w:rsidRPr="00D41821">
              <w:rPr>
                <w:rFonts w:ascii="Arial Narrow" w:hAnsi="Arial Narrow"/>
                <w:sz w:val="20"/>
              </w:rPr>
              <w:t>818</w:t>
            </w:r>
          </w:p>
        </w:tc>
      </w:tr>
      <w:tr w:rsidR="00D41821" w:rsidRPr="00D41821" w14:paraId="01566960" w14:textId="77777777" w:rsidTr="00936B72">
        <w:tc>
          <w:tcPr>
            <w:tcW w:w="4531" w:type="dxa"/>
          </w:tcPr>
          <w:p w14:paraId="7EAB8215" w14:textId="77777777" w:rsidR="00D41821" w:rsidRPr="00D41821" w:rsidRDefault="00D41821" w:rsidP="00D41821">
            <w:pPr>
              <w:spacing w:before="40" w:after="40"/>
              <w:rPr>
                <w:rFonts w:ascii="Arial Narrow" w:hAnsi="Arial Narrow"/>
                <w:sz w:val="20"/>
              </w:rPr>
            </w:pPr>
            <w:r w:rsidRPr="00D41821">
              <w:rPr>
                <w:rFonts w:ascii="Arial Narrow" w:hAnsi="Arial Narrow"/>
                <w:sz w:val="20"/>
              </w:rPr>
              <w:t>Number with a false negative test result (FN)</w:t>
            </w:r>
          </w:p>
        </w:tc>
        <w:tc>
          <w:tcPr>
            <w:tcW w:w="1495" w:type="dxa"/>
          </w:tcPr>
          <w:p w14:paraId="14AA52CC" w14:textId="77777777" w:rsidR="00D41821" w:rsidRPr="00D41821" w:rsidRDefault="00D41821" w:rsidP="00D41821">
            <w:pPr>
              <w:spacing w:before="40" w:after="40"/>
              <w:jc w:val="center"/>
              <w:rPr>
                <w:rFonts w:ascii="Arial Narrow" w:hAnsi="Arial Narrow"/>
                <w:sz w:val="20"/>
              </w:rPr>
            </w:pPr>
            <w:r w:rsidRPr="00D41821">
              <w:rPr>
                <w:rFonts w:ascii="Arial Narrow" w:hAnsi="Arial Narrow"/>
                <w:sz w:val="20"/>
              </w:rPr>
              <w:t>7</w:t>
            </w:r>
          </w:p>
        </w:tc>
        <w:tc>
          <w:tcPr>
            <w:tcW w:w="1495" w:type="dxa"/>
          </w:tcPr>
          <w:p w14:paraId="653716A0" w14:textId="77777777" w:rsidR="00D41821" w:rsidRPr="00D41821" w:rsidRDefault="00D41821" w:rsidP="00D41821">
            <w:pPr>
              <w:spacing w:before="40" w:after="40"/>
              <w:jc w:val="center"/>
              <w:rPr>
                <w:rFonts w:ascii="Arial Narrow" w:hAnsi="Arial Narrow"/>
                <w:sz w:val="20"/>
              </w:rPr>
            </w:pPr>
            <w:r w:rsidRPr="00D41821">
              <w:rPr>
                <w:rFonts w:ascii="Arial Narrow" w:hAnsi="Arial Narrow"/>
                <w:sz w:val="20"/>
              </w:rPr>
              <w:t>4</w:t>
            </w:r>
          </w:p>
        </w:tc>
        <w:tc>
          <w:tcPr>
            <w:tcW w:w="1495" w:type="dxa"/>
          </w:tcPr>
          <w:p w14:paraId="0D6BF303" w14:textId="77777777" w:rsidR="00D41821" w:rsidRPr="00D41821" w:rsidRDefault="00D41821" w:rsidP="00D41821">
            <w:pPr>
              <w:spacing w:before="40" w:after="40"/>
              <w:jc w:val="center"/>
              <w:rPr>
                <w:rFonts w:ascii="Arial Narrow" w:hAnsi="Arial Narrow"/>
                <w:sz w:val="20"/>
              </w:rPr>
            </w:pPr>
            <w:r w:rsidRPr="00D41821">
              <w:rPr>
                <w:rFonts w:ascii="Arial Narrow" w:hAnsi="Arial Narrow"/>
                <w:sz w:val="20"/>
              </w:rPr>
              <w:t>2</w:t>
            </w:r>
          </w:p>
        </w:tc>
      </w:tr>
    </w:tbl>
    <w:p w14:paraId="6086CF6D" w14:textId="77777777" w:rsidR="000418DE" w:rsidRDefault="000418DE" w:rsidP="00D41821">
      <w:pPr>
        <w:pStyle w:val="TableFooter"/>
      </w:pPr>
      <w:r>
        <w:t xml:space="preserve">Source: Table 6, </w:t>
      </w:r>
      <w:proofErr w:type="spellStart"/>
      <w:r>
        <w:t>pg</w:t>
      </w:r>
      <w:proofErr w:type="spellEnd"/>
      <w:r>
        <w:t xml:space="preserve"> 10 of MSAC 1627 Commentary Executive Summary</w:t>
      </w:r>
    </w:p>
    <w:p w14:paraId="6B152C96" w14:textId="2ED07DA3" w:rsidR="00D41821" w:rsidRPr="00D41821" w:rsidRDefault="00D41821" w:rsidP="00D41821">
      <w:pPr>
        <w:pStyle w:val="TableFooter"/>
        <w:rPr>
          <w:lang w:eastAsia="en-AU"/>
        </w:rPr>
      </w:pPr>
      <w:r w:rsidRPr="00D41821">
        <w:rPr>
          <w:lang w:eastAsia="en-AU"/>
        </w:rPr>
        <w:t xml:space="preserve">The pooled sensitivity and specificity values used to calculate </w:t>
      </w:r>
      <w:r w:rsidR="00EB0074">
        <w:rPr>
          <w:lang w:eastAsia="en-AU"/>
        </w:rPr>
        <w:t>PPV and NPV</w:t>
      </w:r>
      <w:r w:rsidRPr="00D41821">
        <w:rPr>
          <w:lang w:eastAsia="en-AU"/>
        </w:rPr>
        <w:t xml:space="preserve"> are taken from</w:t>
      </w:r>
      <w:r>
        <w:rPr>
          <w:lang w:eastAsia="en-AU"/>
        </w:rPr>
        <w:t xml:space="preserve"> </w:t>
      </w:r>
      <w:r>
        <w:rPr>
          <w:lang w:eastAsia="en-AU"/>
        </w:rPr>
        <w:fldChar w:fldCharType="begin"/>
      </w:r>
      <w:r>
        <w:rPr>
          <w:lang w:eastAsia="en-AU"/>
        </w:rPr>
        <w:instrText xml:space="preserve"> REF _Ref109904126 \h </w:instrText>
      </w:r>
      <w:r>
        <w:rPr>
          <w:lang w:eastAsia="en-AU"/>
        </w:rPr>
      </w:r>
      <w:r>
        <w:rPr>
          <w:lang w:eastAsia="en-AU"/>
        </w:rPr>
        <w:fldChar w:fldCharType="separate"/>
      </w:r>
      <w:r w:rsidR="00FF1B3A" w:rsidRPr="00C9257E">
        <w:t xml:space="preserve">Table </w:t>
      </w:r>
      <w:r w:rsidR="00FF1B3A">
        <w:rPr>
          <w:noProof/>
        </w:rPr>
        <w:t>4</w:t>
      </w:r>
      <w:r>
        <w:rPr>
          <w:lang w:eastAsia="en-AU"/>
        </w:rPr>
        <w:fldChar w:fldCharType="end"/>
      </w:r>
      <w:r>
        <w:rPr>
          <w:lang w:eastAsia="en-AU"/>
        </w:rPr>
        <w:t>.</w:t>
      </w:r>
    </w:p>
    <w:p w14:paraId="265C76D9" w14:textId="37B8A6DD" w:rsidR="00D41821" w:rsidRPr="00D41821" w:rsidRDefault="00D41821" w:rsidP="00D41821">
      <w:pPr>
        <w:pStyle w:val="TableFooter"/>
        <w:rPr>
          <w:b/>
        </w:rPr>
      </w:pPr>
      <w:r w:rsidRPr="00D41821">
        <w:t xml:space="preserve">CT = </w:t>
      </w:r>
      <w:r w:rsidRPr="00E739FF">
        <w:rPr>
          <w:i/>
          <w:iCs/>
        </w:rPr>
        <w:t>Chlamydia trachomatis</w:t>
      </w:r>
      <w:r w:rsidRPr="00D41821">
        <w:t xml:space="preserve">; </w:t>
      </w:r>
      <w:r w:rsidR="00760A37">
        <w:t xml:space="preserve">FN = false negative; FP = false positive; </w:t>
      </w:r>
      <w:r w:rsidRPr="00D41821">
        <w:t xml:space="preserve">NG = </w:t>
      </w:r>
      <w:r w:rsidRPr="00E739FF">
        <w:rPr>
          <w:i/>
          <w:iCs/>
        </w:rPr>
        <w:t xml:space="preserve">Neisseria </w:t>
      </w:r>
      <w:r w:rsidR="002005C6" w:rsidRPr="002005C6">
        <w:rPr>
          <w:i/>
          <w:iCs/>
        </w:rPr>
        <w:t>gonorrhoea</w:t>
      </w:r>
      <w:r w:rsidRPr="00D41821">
        <w:t xml:space="preserve">; </w:t>
      </w:r>
      <w:r w:rsidR="00EB0074">
        <w:t xml:space="preserve">NPV = negative predictive value; PPV = positive predictive value; </w:t>
      </w:r>
      <w:r w:rsidR="00760A37">
        <w:t xml:space="preserve">TN = true negative; TP = true positive; </w:t>
      </w:r>
      <w:r w:rsidRPr="00D41821">
        <w:t xml:space="preserve">TV = </w:t>
      </w:r>
      <w:r w:rsidRPr="00E739FF">
        <w:rPr>
          <w:i/>
          <w:iCs/>
        </w:rPr>
        <w:t>Trichomonas vaginalis</w:t>
      </w:r>
    </w:p>
    <w:p w14:paraId="6CB9CAC0" w14:textId="77777777" w:rsidR="003406C5" w:rsidRPr="007F5FDC" w:rsidRDefault="003406C5" w:rsidP="003406C5">
      <w:pPr>
        <w:pStyle w:val="Heading3"/>
      </w:pPr>
      <w:r w:rsidRPr="007F5FDC">
        <w:lastRenderedPageBreak/>
        <w:t>Antimicrobial resistance</w:t>
      </w:r>
    </w:p>
    <w:p w14:paraId="64936C8A" w14:textId="6460F54C" w:rsidR="004F2CA9" w:rsidRDefault="00EB0074" w:rsidP="00223664">
      <w:pPr>
        <w:tabs>
          <w:tab w:val="left" w:pos="720"/>
          <w:tab w:val="left" w:pos="1140"/>
        </w:tabs>
        <w:spacing w:before="240" w:after="120"/>
      </w:pPr>
      <w:r w:rsidRPr="00EB0074">
        <w:t>NG has been designated as a “high priority antibiotic resistant pathogen” by the World Health Organization (WHO). Conversely, clinically significant resistance to macrolides and tetracycline is rare for CT. Similarly, resistance to metronidazole is thought to be uncommon for TV.</w:t>
      </w:r>
    </w:p>
    <w:p w14:paraId="6E23593A" w14:textId="28312A5E" w:rsidR="00EB0074" w:rsidRDefault="00EB0074" w:rsidP="00EB0074">
      <w:pPr>
        <w:tabs>
          <w:tab w:val="left" w:pos="720"/>
          <w:tab w:val="left" w:pos="1140"/>
        </w:tabs>
        <w:spacing w:before="240" w:after="120"/>
      </w:pPr>
      <w:r>
        <w:t xml:space="preserve">Of strains tested from remote regions, where disease is spread predominantly through heterosexual transmission among Indigenous Australians, 2.5% of strains from the </w:t>
      </w:r>
      <w:r w:rsidR="00AC2F45">
        <w:t>Northern Territory (</w:t>
      </w:r>
      <w:r>
        <w:t>NT</w:t>
      </w:r>
      <w:r w:rsidR="00AC2F45">
        <w:t>)</w:t>
      </w:r>
      <w:r>
        <w:t xml:space="preserve"> and 6.7% of strains from </w:t>
      </w:r>
      <w:r w:rsidR="00AC2F45">
        <w:t>Western Australia (</w:t>
      </w:r>
      <w:r>
        <w:t>WA</w:t>
      </w:r>
      <w:r w:rsidR="00AC2F45">
        <w:t>)</w:t>
      </w:r>
      <w:r>
        <w:t xml:space="preserve"> were penicillin resistant</w:t>
      </w:r>
      <w:r w:rsidRPr="00EB0074">
        <w:t xml:space="preserve"> </w:t>
      </w:r>
      <w:r>
        <w:t>(</w:t>
      </w:r>
      <w:r w:rsidRPr="00EB0074">
        <w:t>AGSP Annual Report 2017</w:t>
      </w:r>
      <w:r>
        <w:t>)</w:t>
      </w:r>
      <w:r>
        <w:rPr>
          <w:rStyle w:val="FootnoteReference"/>
        </w:rPr>
        <w:footnoteReference w:id="6"/>
      </w:r>
      <w:r>
        <w:t xml:space="preserve"> . No resistance to ceftriaxone in remote NT and WA regions was observed. Resistance to azithromycin and ciprofloxacin was also low in remote areas of the NT (0.6% and 1.3%, respectively) and WA (3.4% and 5.0%, respectively).</w:t>
      </w:r>
    </w:p>
    <w:p w14:paraId="5B371292" w14:textId="45E9D74A" w:rsidR="00AC1461" w:rsidRDefault="00EB0074" w:rsidP="00EB0074">
      <w:pPr>
        <w:tabs>
          <w:tab w:val="left" w:pos="720"/>
          <w:tab w:val="left" w:pos="1140"/>
        </w:tabs>
        <w:spacing w:before="240" w:after="120"/>
      </w:pPr>
      <w:r>
        <w:t>Current treatment recommendations for NG for the majority of Australia, is a dual therapeutic strategy of ceftriaxone and azithromycin. With this treatment, between 4% and 6% of patients with a NG infection would initially receive at least partially ineffective treatment based on the POC test, prior to the AMR test results being known.</w:t>
      </w:r>
      <w:r w:rsidR="00AC1461">
        <w:t xml:space="preserve"> </w:t>
      </w:r>
      <w:r w:rsidR="00945F4F">
        <w:t xml:space="preserve">For symptomatic patients with an NG infection, it is assumed that the empiric treatment given in the SOC arm would be the same as the test-directed treatment given in the POC arm. </w:t>
      </w:r>
      <w:r w:rsidR="00AC1461">
        <w:t>Although no comparative evidence was identified, it is hypothesised that asymptomatic patients with infections which are resistant to the standard treatments would be more likely to receive inappropriate antibiotics in the POC arm</w:t>
      </w:r>
      <w:r w:rsidR="008544CD">
        <w:t xml:space="preserve"> than SOC arm, when the resistance profile of the NG infection would be provided at the same time as the test results</w:t>
      </w:r>
      <w:r w:rsidR="00AC1461">
        <w:t xml:space="preserve">. </w:t>
      </w:r>
    </w:p>
    <w:p w14:paraId="6810260E" w14:textId="78714416" w:rsidR="003406C5" w:rsidRDefault="003406C5" w:rsidP="003406C5">
      <w:pPr>
        <w:pStyle w:val="Heading3"/>
      </w:pPr>
      <w:r w:rsidRPr="00870768">
        <w:t>C</w:t>
      </w:r>
      <w:r w:rsidR="00870768" w:rsidRPr="00870768">
        <w:t>hange in management</w:t>
      </w:r>
      <w:r w:rsidRPr="00870768">
        <w:t xml:space="preserve"> outcomes</w:t>
      </w:r>
    </w:p>
    <w:p w14:paraId="2C4DE9A5" w14:textId="7AC01218" w:rsidR="003D71A9" w:rsidRDefault="0099244B" w:rsidP="003D71A9">
      <w:r w:rsidRPr="0099244B">
        <w:t xml:space="preserve">In total, </w:t>
      </w:r>
      <w:r w:rsidR="002F3EC4">
        <w:t>14</w:t>
      </w:r>
      <w:r w:rsidR="003D71A9" w:rsidRPr="0099244B">
        <w:t xml:space="preserve"> studies (9 studies </w:t>
      </w:r>
      <w:r w:rsidR="003E2C82">
        <w:t>included in the</w:t>
      </w:r>
      <w:r w:rsidR="002F3EC4">
        <w:t xml:space="preserve"> ADAR and 5</w:t>
      </w:r>
      <w:r w:rsidR="003D71A9" w:rsidRPr="0099244B">
        <w:t xml:space="preserve"> additional studies identified during </w:t>
      </w:r>
      <w:r w:rsidR="003E2C82">
        <w:t>scoping searches for the</w:t>
      </w:r>
      <w:r w:rsidR="003D71A9" w:rsidRPr="0099244B">
        <w:t xml:space="preserve"> </w:t>
      </w:r>
      <w:r w:rsidR="003E2C82">
        <w:t>Co</w:t>
      </w:r>
      <w:r w:rsidR="003E2C82" w:rsidRPr="0099244B">
        <w:t>mmentary</w:t>
      </w:r>
      <w:r w:rsidR="003D71A9" w:rsidRPr="0099244B">
        <w:t xml:space="preserve">) </w:t>
      </w:r>
      <w:r w:rsidRPr="0099244B">
        <w:t xml:space="preserve">provided evidence to inform </w:t>
      </w:r>
      <w:r w:rsidR="003D71A9" w:rsidRPr="0099244B">
        <w:t xml:space="preserve">change in management </w:t>
      </w:r>
      <w:r w:rsidRPr="0099244B">
        <w:t xml:space="preserve">and health outcomes following </w:t>
      </w:r>
      <w:proofErr w:type="spellStart"/>
      <w:r w:rsidRPr="0099244B">
        <w:t>Xpert</w:t>
      </w:r>
      <w:proofErr w:type="spellEnd"/>
      <w:r w:rsidRPr="0099244B">
        <w:t xml:space="preserve"> CT/NG or TV POC testing</w:t>
      </w:r>
      <w:r>
        <w:t xml:space="preserve"> in comparison to SOC. The TTANGO</w:t>
      </w:r>
      <w:r w:rsidR="00744055">
        <w:rPr>
          <w:rStyle w:val="FootnoteReference"/>
        </w:rPr>
        <w:footnoteReference w:id="7"/>
      </w:r>
      <w:r>
        <w:t xml:space="preserve"> </w:t>
      </w:r>
      <w:r w:rsidR="00AF055E">
        <w:t>randomised controlled trial (</w:t>
      </w:r>
      <w:r>
        <w:t>RCT</w:t>
      </w:r>
      <w:r w:rsidR="00AF055E">
        <w:t>)</w:t>
      </w:r>
      <w:r w:rsidRPr="0099244B">
        <w:rPr>
          <w:rStyle w:val="FootnoteReference"/>
        </w:rPr>
        <w:footnoteReference w:id="8"/>
      </w:r>
      <w:r w:rsidRPr="0099244B">
        <w:t xml:space="preserve"> provided </w:t>
      </w:r>
      <w:r>
        <w:t xml:space="preserve">comparative </w:t>
      </w:r>
      <w:r w:rsidRPr="0099244B">
        <w:t>evidence directly relevant to the proposed PICO. There is currently limited evidence available for assessment from the expanded study TTANGO2.</w:t>
      </w:r>
    </w:p>
    <w:p w14:paraId="68EB59F2" w14:textId="3198BFAA" w:rsidR="00A85965" w:rsidRPr="00A85965" w:rsidRDefault="00A85965" w:rsidP="00A85965">
      <w:r w:rsidRPr="00A85965">
        <w:t>An important clinical management outcome of POC testing for STIs is that they should provide a more rapid test result for the patient and healthcare provider (clinician or nurse). This should allow rapid identification of infections in asymptomatic patients and reduce the need for empiric treatment of symptomatic patients as patients can receive treatment with appropriate antibio</w:t>
      </w:r>
      <w:r>
        <w:t xml:space="preserve">tics based on their POC test </w:t>
      </w:r>
      <w:r w:rsidRPr="00A85965">
        <w:t xml:space="preserve">result </w:t>
      </w:r>
      <w:r>
        <w:t xml:space="preserve">and </w:t>
      </w:r>
      <w:r w:rsidRPr="00A85965">
        <w:t>on the same day as their test.</w:t>
      </w:r>
    </w:p>
    <w:p w14:paraId="33D6DAA7" w14:textId="38226D8A" w:rsidR="003406C5" w:rsidRDefault="00870768" w:rsidP="00870768">
      <w:pPr>
        <w:pStyle w:val="Heading4"/>
      </w:pPr>
      <w:r>
        <w:t>Time to test result</w:t>
      </w:r>
    </w:p>
    <w:p w14:paraId="63E2E0D0" w14:textId="4883AEA6" w:rsidR="00AB0479" w:rsidRPr="00F27248" w:rsidRDefault="00870768" w:rsidP="00870768">
      <w:r w:rsidRPr="00F27248">
        <w:t xml:space="preserve">The mean or median time to obtaining a test result with </w:t>
      </w:r>
      <w:proofErr w:type="spellStart"/>
      <w:r w:rsidRPr="00F27248">
        <w:t>Xpert</w:t>
      </w:r>
      <w:proofErr w:type="spellEnd"/>
      <w:r w:rsidRPr="00F27248">
        <w:t xml:space="preserve"> CT/NG or </w:t>
      </w:r>
      <w:proofErr w:type="spellStart"/>
      <w:r w:rsidRPr="00F27248">
        <w:t>Xpert</w:t>
      </w:r>
      <w:proofErr w:type="spellEnd"/>
      <w:r w:rsidRPr="00F27248">
        <w:t xml:space="preserve"> TV POC testing was consistently shorter than SOC testing. Based on evidence from 8 studies, the median time to test results ranged from 90 minutes to 1 day for </w:t>
      </w:r>
      <w:proofErr w:type="spellStart"/>
      <w:r w:rsidR="00943F31">
        <w:t>Xpert</w:t>
      </w:r>
      <w:proofErr w:type="spellEnd"/>
      <w:r w:rsidR="00943F31">
        <w:t xml:space="preserve"> </w:t>
      </w:r>
      <w:r w:rsidRPr="00F27248">
        <w:t xml:space="preserve">POC testing and 1 to 12 days for SOC </w:t>
      </w:r>
      <w:r w:rsidR="00943F31">
        <w:t xml:space="preserve">NAAT </w:t>
      </w:r>
      <w:r w:rsidRPr="00F27248">
        <w:t xml:space="preserve">testing. </w:t>
      </w:r>
      <w:r w:rsidR="007B4C77">
        <w:t>The shorter turnaround</w:t>
      </w:r>
      <w:r w:rsidR="00D52318" w:rsidRPr="00F27248">
        <w:t xml:space="preserve"> time means that patients </w:t>
      </w:r>
      <w:proofErr w:type="gramStart"/>
      <w:r w:rsidR="00D52318" w:rsidRPr="00F27248">
        <w:t>are able to</w:t>
      </w:r>
      <w:proofErr w:type="gramEnd"/>
      <w:r w:rsidR="00D52318" w:rsidRPr="00F27248">
        <w:t xml:space="preserve"> receive their results on the </w:t>
      </w:r>
      <w:r w:rsidR="00D52318" w:rsidRPr="00F27248">
        <w:lastRenderedPageBreak/>
        <w:t xml:space="preserve">same day </w:t>
      </w:r>
      <w:r w:rsidR="0033369F" w:rsidRPr="00F27248">
        <w:t xml:space="preserve">as their </w:t>
      </w:r>
      <w:r w:rsidR="00943F31">
        <w:t xml:space="preserve">clinic </w:t>
      </w:r>
      <w:r w:rsidR="0033369F" w:rsidRPr="00F27248">
        <w:t xml:space="preserve">consultation. If patients are unwilling or unable to wait for 90 minutes to receive </w:t>
      </w:r>
      <w:r w:rsidR="00943F31">
        <w:t xml:space="preserve">treatment based on </w:t>
      </w:r>
      <w:r w:rsidR="0033369F" w:rsidRPr="00F27248">
        <w:t>their tests results,</w:t>
      </w:r>
      <w:r w:rsidR="00943F31">
        <w:t xml:space="preserve"> symptomatic patients</w:t>
      </w:r>
      <w:r w:rsidR="00F27248" w:rsidRPr="00F27248">
        <w:t xml:space="preserve"> may </w:t>
      </w:r>
      <w:r w:rsidR="00943F31">
        <w:t xml:space="preserve">receive empiric treatment at the clinician’s discretion. Alternatively, patients with an infection identified by the POC testing </w:t>
      </w:r>
      <w:r w:rsidR="0033369F" w:rsidRPr="00F27248">
        <w:t xml:space="preserve">will be required to return to the clinic or arrange another consultation to obtain </w:t>
      </w:r>
      <w:r w:rsidR="00943F31">
        <w:t xml:space="preserve">appropriate test-directed antibiotic </w:t>
      </w:r>
      <w:r w:rsidR="0033369F" w:rsidRPr="00F27248">
        <w:t xml:space="preserve">treatment. </w:t>
      </w:r>
    </w:p>
    <w:p w14:paraId="5314443A" w14:textId="67D8FC99" w:rsidR="003338D7" w:rsidRPr="003338D7" w:rsidRDefault="00A40595" w:rsidP="00661617">
      <w:pPr>
        <w:pStyle w:val="Heading4"/>
      </w:pPr>
      <w:r>
        <w:t>T</w:t>
      </w:r>
      <w:r w:rsidR="003338D7" w:rsidRPr="003338D7">
        <w:t>ime to treatment</w:t>
      </w:r>
    </w:p>
    <w:p w14:paraId="64757840" w14:textId="1E19D4F2" w:rsidR="00A40595" w:rsidRDefault="00EE25CB" w:rsidP="00223664">
      <w:pPr>
        <w:tabs>
          <w:tab w:val="left" w:pos="720"/>
          <w:tab w:val="left" w:pos="1140"/>
        </w:tabs>
        <w:spacing w:before="240" w:after="120"/>
      </w:pPr>
      <w:r>
        <w:t>A reduction in the t</w:t>
      </w:r>
      <w:r w:rsidRPr="00EE25CB">
        <w:t xml:space="preserve">ime to treatment </w:t>
      </w:r>
      <w:r>
        <w:t>with</w:t>
      </w:r>
      <w:r w:rsidRPr="00EE25CB">
        <w:t xml:space="preserve"> </w:t>
      </w:r>
      <w:proofErr w:type="spellStart"/>
      <w:r w:rsidRPr="00EE25CB">
        <w:t>Xpert</w:t>
      </w:r>
      <w:proofErr w:type="spellEnd"/>
      <w:r w:rsidRPr="00EE25CB">
        <w:t xml:space="preserve"> CT/NG POC testing </w:t>
      </w:r>
      <w:r w:rsidR="00943F31">
        <w:t>was repor</w:t>
      </w:r>
      <w:r w:rsidR="007B4C77">
        <w:t>ted by 5 studies</w:t>
      </w:r>
      <w:r w:rsidRPr="00EE25CB">
        <w:t xml:space="preserve">. </w:t>
      </w:r>
      <w:r w:rsidR="00943F31">
        <w:t>T</w:t>
      </w:r>
      <w:r w:rsidR="00943F31" w:rsidRPr="00EE25CB">
        <w:t>he median time to treatment ranged from 0 to 3 days for POC testing and 6 to 18.5 days for SOC testing</w:t>
      </w:r>
      <w:r w:rsidR="00F7511D">
        <w:t xml:space="preserve"> (</w:t>
      </w:r>
      <w:r w:rsidR="00F7511D">
        <w:fldChar w:fldCharType="begin"/>
      </w:r>
      <w:r w:rsidR="00F7511D">
        <w:instrText xml:space="preserve"> REF _Ref111630326 \h </w:instrText>
      </w:r>
      <w:r w:rsidR="00F7511D">
        <w:fldChar w:fldCharType="separate"/>
      </w:r>
      <w:r w:rsidR="00CE44AB">
        <w:t xml:space="preserve">Table </w:t>
      </w:r>
      <w:r w:rsidR="00CE44AB">
        <w:rPr>
          <w:noProof/>
        </w:rPr>
        <w:t>7</w:t>
      </w:r>
      <w:r w:rsidR="00F7511D">
        <w:fldChar w:fldCharType="end"/>
      </w:r>
      <w:r w:rsidR="00F7511D">
        <w:t>)</w:t>
      </w:r>
      <w:r w:rsidR="00943F31" w:rsidRPr="00EE25CB">
        <w:t>.</w:t>
      </w:r>
      <w:r w:rsidR="00943F31">
        <w:t xml:space="preserve"> The</w:t>
      </w:r>
      <w:r w:rsidRPr="00EE25CB">
        <w:t xml:space="preserve"> reduction in </w:t>
      </w:r>
      <w:r w:rsidR="00466E7C">
        <w:t xml:space="preserve">the </w:t>
      </w:r>
      <w:r w:rsidRPr="00EE25CB">
        <w:t xml:space="preserve">time to treatment reflected the reduction in time to receiving the </w:t>
      </w:r>
      <w:proofErr w:type="spellStart"/>
      <w:r w:rsidRPr="00EE25CB">
        <w:t>Xpert</w:t>
      </w:r>
      <w:proofErr w:type="spellEnd"/>
      <w:r w:rsidRPr="00EE25CB">
        <w:t xml:space="preserve"> CT/NG POC test results.</w:t>
      </w:r>
      <w:r w:rsidR="00466E7C">
        <w:t xml:space="preserve"> </w:t>
      </w:r>
    </w:p>
    <w:p w14:paraId="027705D8" w14:textId="5E4FFBD3" w:rsidR="00EC17AE" w:rsidRDefault="00943F31" w:rsidP="00A40595">
      <w:pPr>
        <w:tabs>
          <w:tab w:val="left" w:pos="720"/>
          <w:tab w:val="left" w:pos="1140"/>
        </w:tabs>
        <w:spacing w:before="240" w:after="120"/>
      </w:pPr>
      <w:r>
        <w:t xml:space="preserve">In the </w:t>
      </w:r>
      <w:r w:rsidR="00194018" w:rsidRPr="00A40595">
        <w:t xml:space="preserve">TTANGO study, the time to treatment was lower in the </w:t>
      </w:r>
      <w:proofErr w:type="spellStart"/>
      <w:r w:rsidR="00194018" w:rsidRPr="00A40595">
        <w:t>Xpert</w:t>
      </w:r>
      <w:proofErr w:type="spellEnd"/>
      <w:r w:rsidR="00194018" w:rsidRPr="00A40595">
        <w:t xml:space="preserve"> CT/NG POC test group than the SOC test group (median (interquartile range, IQR), 0 (0–6) vs 7 (0–15) days; </w:t>
      </w:r>
      <w:proofErr w:type="spellStart"/>
      <w:r w:rsidR="00194018" w:rsidRPr="00A40595">
        <w:t>mean±SD</w:t>
      </w:r>
      <w:proofErr w:type="spellEnd"/>
      <w:r w:rsidR="00194018" w:rsidRPr="00A40595">
        <w:t>, 8·7±28 vs. 18·1±40 days).</w:t>
      </w:r>
      <w:r w:rsidR="00A40595" w:rsidRPr="00A40595">
        <w:t xml:space="preserve"> </w:t>
      </w:r>
    </w:p>
    <w:p w14:paraId="3209BB30" w14:textId="167DEE0D" w:rsidR="003406C5" w:rsidRDefault="00466E7C" w:rsidP="00466E7C">
      <w:pPr>
        <w:pStyle w:val="Caption"/>
      </w:pPr>
      <w:bookmarkStart w:id="33" w:name="_Ref111630326"/>
      <w:r>
        <w:t xml:space="preserve">Table </w:t>
      </w:r>
      <w:r w:rsidR="007D19FE">
        <w:fldChar w:fldCharType="begin"/>
      </w:r>
      <w:r w:rsidR="007D19FE">
        <w:instrText xml:space="preserve"> SEQ Table \* ARABIC </w:instrText>
      </w:r>
      <w:r w:rsidR="007D19FE">
        <w:fldChar w:fldCharType="separate"/>
      </w:r>
      <w:r w:rsidR="00FF1B3A">
        <w:rPr>
          <w:noProof/>
        </w:rPr>
        <w:t>7</w:t>
      </w:r>
      <w:r w:rsidR="007D19FE">
        <w:rPr>
          <w:noProof/>
        </w:rPr>
        <w:fldChar w:fldCharType="end"/>
      </w:r>
      <w:bookmarkEnd w:id="33"/>
      <w:r>
        <w:t xml:space="preserve"> Time to treatment</w:t>
      </w:r>
    </w:p>
    <w:tbl>
      <w:tblPr>
        <w:tblStyle w:val="TableGrid1"/>
        <w:tblW w:w="5000" w:type="pct"/>
        <w:tblInd w:w="-5" w:type="dxa"/>
        <w:tblCellMar>
          <w:left w:w="28" w:type="dxa"/>
          <w:right w:w="28" w:type="dxa"/>
        </w:tblCellMar>
        <w:tblLook w:val="04A0" w:firstRow="1" w:lastRow="0" w:firstColumn="1" w:lastColumn="0" w:noHBand="0" w:noVBand="1"/>
      </w:tblPr>
      <w:tblGrid>
        <w:gridCol w:w="2004"/>
        <w:gridCol w:w="3377"/>
        <w:gridCol w:w="1830"/>
        <w:gridCol w:w="1805"/>
      </w:tblGrid>
      <w:tr w:rsidR="00466E7C" w:rsidRPr="00466E7C" w14:paraId="31FD8952" w14:textId="77777777" w:rsidTr="003D71A9">
        <w:trPr>
          <w:cnfStyle w:val="100000000000" w:firstRow="1" w:lastRow="0" w:firstColumn="0" w:lastColumn="0" w:oddVBand="0" w:evenVBand="0" w:oddHBand="0" w:evenHBand="0" w:firstRowFirstColumn="0" w:firstRowLastColumn="0" w:lastRowFirstColumn="0" w:lastRowLastColumn="0"/>
          <w:trHeight w:val="659"/>
          <w:tblHeader/>
        </w:trPr>
        <w:tc>
          <w:tcPr>
            <w:tcW w:w="1111" w:type="pct"/>
          </w:tcPr>
          <w:p w14:paraId="02407592" w14:textId="77777777" w:rsidR="00466E7C" w:rsidRPr="00466E7C" w:rsidRDefault="00466E7C" w:rsidP="00466E7C">
            <w:pPr>
              <w:keepNext/>
              <w:spacing w:before="0" w:after="0"/>
              <w:rPr>
                <w:rFonts w:ascii="Arial Narrow" w:hAnsi="Arial Narrow" w:cs="Arial"/>
                <w:b/>
              </w:rPr>
            </w:pPr>
            <w:r w:rsidRPr="00466E7C">
              <w:rPr>
                <w:rFonts w:ascii="Arial Narrow" w:hAnsi="Arial Narrow" w:cs="Arial"/>
                <w:b/>
              </w:rPr>
              <w:t>Author</w:t>
            </w:r>
          </w:p>
          <w:p w14:paraId="7DEB2579" w14:textId="77777777" w:rsidR="00466E7C" w:rsidRPr="00466E7C" w:rsidRDefault="00466E7C" w:rsidP="00466E7C">
            <w:pPr>
              <w:keepNext/>
              <w:spacing w:before="0" w:after="0"/>
              <w:rPr>
                <w:rFonts w:ascii="Arial Narrow" w:hAnsi="Arial Narrow" w:cs="Arial"/>
                <w:b/>
              </w:rPr>
            </w:pPr>
            <w:r w:rsidRPr="00466E7C">
              <w:rPr>
                <w:rFonts w:ascii="Arial Narrow" w:hAnsi="Arial Narrow" w:cs="Arial"/>
                <w:b/>
              </w:rPr>
              <w:t>Country</w:t>
            </w:r>
          </w:p>
        </w:tc>
        <w:tc>
          <w:tcPr>
            <w:tcW w:w="1873" w:type="pct"/>
          </w:tcPr>
          <w:p w14:paraId="41097F15" w14:textId="77777777" w:rsidR="00466E7C" w:rsidRPr="00466E7C" w:rsidRDefault="00466E7C" w:rsidP="00466E7C">
            <w:pPr>
              <w:keepNext/>
              <w:spacing w:before="0" w:after="0"/>
              <w:rPr>
                <w:rFonts w:ascii="Arial Narrow" w:hAnsi="Arial Narrow" w:cs="Arial"/>
                <w:bCs/>
                <w:snapToGrid w:val="0"/>
              </w:rPr>
            </w:pPr>
            <w:r w:rsidRPr="00466E7C">
              <w:rPr>
                <w:rFonts w:ascii="Arial Narrow" w:hAnsi="Arial Narrow" w:cs="Arial"/>
                <w:b/>
                <w:snapToGrid w:val="0"/>
              </w:rPr>
              <w:t>Outcome</w:t>
            </w:r>
          </w:p>
        </w:tc>
        <w:tc>
          <w:tcPr>
            <w:tcW w:w="1015" w:type="pct"/>
          </w:tcPr>
          <w:p w14:paraId="245D173B" w14:textId="77777777" w:rsidR="00466E7C" w:rsidRPr="00466E7C" w:rsidRDefault="00466E7C" w:rsidP="00466E7C">
            <w:pPr>
              <w:keepNext/>
              <w:spacing w:before="0" w:after="0"/>
              <w:rPr>
                <w:rFonts w:ascii="Arial Narrow" w:hAnsi="Arial Narrow" w:cs="Arial"/>
                <w:b/>
              </w:rPr>
            </w:pPr>
            <w:r w:rsidRPr="00466E7C">
              <w:rPr>
                <w:rFonts w:ascii="Arial Narrow" w:hAnsi="Arial Narrow" w:cs="Arial"/>
                <w:b/>
              </w:rPr>
              <w:t>POC testing</w:t>
            </w:r>
          </w:p>
          <w:p w14:paraId="2250FAAB" w14:textId="77777777" w:rsidR="00466E7C" w:rsidRPr="00466E7C" w:rsidRDefault="00466E7C" w:rsidP="00466E7C">
            <w:pPr>
              <w:keepNext/>
              <w:spacing w:before="0" w:after="0"/>
              <w:rPr>
                <w:rFonts w:ascii="Arial Narrow" w:hAnsi="Arial Narrow" w:cs="Arial"/>
                <w:bCs/>
              </w:rPr>
            </w:pPr>
          </w:p>
        </w:tc>
        <w:tc>
          <w:tcPr>
            <w:tcW w:w="1001" w:type="pct"/>
          </w:tcPr>
          <w:p w14:paraId="17AD297F" w14:textId="77777777" w:rsidR="00466E7C" w:rsidRPr="00466E7C" w:rsidRDefault="00466E7C" w:rsidP="00466E7C">
            <w:pPr>
              <w:keepNext/>
              <w:spacing w:before="0" w:after="0"/>
              <w:rPr>
                <w:rFonts w:ascii="Arial Narrow" w:hAnsi="Arial Narrow" w:cs="Arial"/>
                <w:b/>
              </w:rPr>
            </w:pPr>
            <w:r w:rsidRPr="00466E7C">
              <w:rPr>
                <w:rFonts w:ascii="Arial Narrow" w:hAnsi="Arial Narrow" w:cs="Arial"/>
                <w:b/>
              </w:rPr>
              <w:t>SOC</w:t>
            </w:r>
          </w:p>
          <w:p w14:paraId="691DA987" w14:textId="77777777" w:rsidR="00466E7C" w:rsidRPr="00466E7C" w:rsidRDefault="00466E7C" w:rsidP="00466E7C">
            <w:pPr>
              <w:keepNext/>
              <w:spacing w:before="0" w:after="0"/>
              <w:rPr>
                <w:rFonts w:ascii="Arial Narrow" w:hAnsi="Arial Narrow" w:cs="Arial"/>
              </w:rPr>
            </w:pPr>
          </w:p>
        </w:tc>
      </w:tr>
      <w:tr w:rsidR="00466E7C" w:rsidRPr="00466E7C" w14:paraId="35F5111B" w14:textId="77777777" w:rsidTr="003D71A9">
        <w:trPr>
          <w:cnfStyle w:val="100000000000" w:firstRow="1" w:lastRow="0" w:firstColumn="0" w:lastColumn="0" w:oddVBand="0" w:evenVBand="0" w:oddHBand="0" w:evenHBand="0" w:firstRowFirstColumn="0" w:firstRowLastColumn="0" w:lastRowFirstColumn="0" w:lastRowLastColumn="0"/>
          <w:trHeight w:val="454"/>
          <w:tblHeader/>
        </w:trPr>
        <w:tc>
          <w:tcPr>
            <w:tcW w:w="1111" w:type="pct"/>
            <w:vMerge w:val="restart"/>
          </w:tcPr>
          <w:p w14:paraId="6689CA21" w14:textId="66CA8ACD" w:rsidR="00466E7C" w:rsidRPr="00466E7C" w:rsidRDefault="00466E7C" w:rsidP="00466E7C">
            <w:pPr>
              <w:keepNext/>
              <w:spacing w:before="0" w:after="0"/>
              <w:rPr>
                <w:rFonts w:ascii="Arial Narrow" w:hAnsi="Arial Narrow" w:cs="Arial"/>
                <w:bCs/>
              </w:rPr>
            </w:pPr>
            <w:r w:rsidRPr="00466E7C">
              <w:rPr>
                <w:rFonts w:ascii="Arial Narrow" w:hAnsi="Arial Narrow" w:cs="Arial"/>
                <w:bCs/>
              </w:rPr>
              <w:t>Cohen (2019)</w:t>
            </w:r>
            <w:r w:rsidR="00E739FF">
              <w:rPr>
                <w:rStyle w:val="FootnoteReference"/>
                <w:rFonts w:ascii="Arial Narrow" w:hAnsi="Arial Narrow" w:cs="Arial"/>
                <w:bCs/>
              </w:rPr>
              <w:footnoteReference w:id="9"/>
            </w:r>
          </w:p>
          <w:p w14:paraId="4F1C4ECC"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USA</w:t>
            </w:r>
          </w:p>
          <w:p w14:paraId="0C07B6CA" w14:textId="77777777" w:rsidR="00466E7C" w:rsidRPr="00466E7C" w:rsidDel="00D86415" w:rsidRDefault="00466E7C" w:rsidP="00466E7C">
            <w:pPr>
              <w:keepNext/>
              <w:spacing w:before="0" w:after="0"/>
              <w:rPr>
                <w:rFonts w:ascii="Arial Narrow" w:hAnsi="Arial Narrow" w:cs="Arial"/>
                <w:bCs/>
              </w:rPr>
            </w:pPr>
          </w:p>
        </w:tc>
        <w:tc>
          <w:tcPr>
            <w:tcW w:w="1873" w:type="pct"/>
          </w:tcPr>
          <w:p w14:paraId="1EFC0C39" w14:textId="77777777" w:rsidR="00466E7C" w:rsidRPr="00466E7C" w:rsidRDefault="00466E7C" w:rsidP="00466E7C">
            <w:pPr>
              <w:keepNext/>
              <w:spacing w:before="0" w:after="0"/>
              <w:rPr>
                <w:rFonts w:ascii="Arial Narrow" w:hAnsi="Arial Narrow" w:cs="Arial"/>
                <w:bCs/>
                <w:snapToGrid w:val="0"/>
              </w:rPr>
            </w:pPr>
            <w:r w:rsidRPr="00466E7C">
              <w:rPr>
                <w:rFonts w:ascii="Arial Narrow" w:hAnsi="Arial Narrow" w:cs="Arial"/>
                <w:bCs/>
                <w:snapToGrid w:val="0"/>
              </w:rPr>
              <w:t xml:space="preserve">Median time to treatment, days, </w:t>
            </w:r>
          </w:p>
        </w:tc>
        <w:tc>
          <w:tcPr>
            <w:tcW w:w="1015" w:type="pct"/>
          </w:tcPr>
          <w:p w14:paraId="466D99F5"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1.7</w:t>
            </w:r>
          </w:p>
        </w:tc>
        <w:tc>
          <w:tcPr>
            <w:tcW w:w="1001" w:type="pct"/>
          </w:tcPr>
          <w:p w14:paraId="75B82F22"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6</w:t>
            </w:r>
          </w:p>
        </w:tc>
      </w:tr>
      <w:tr w:rsidR="00466E7C" w:rsidRPr="00466E7C" w14:paraId="3E14FC3B" w14:textId="77777777" w:rsidTr="003D71A9">
        <w:trPr>
          <w:cnfStyle w:val="100000000000" w:firstRow="1" w:lastRow="0" w:firstColumn="0" w:lastColumn="0" w:oddVBand="0" w:evenVBand="0" w:oddHBand="0" w:evenHBand="0" w:firstRowFirstColumn="0" w:firstRowLastColumn="0" w:lastRowFirstColumn="0" w:lastRowLastColumn="0"/>
          <w:trHeight w:val="454"/>
          <w:tblHeader/>
        </w:trPr>
        <w:tc>
          <w:tcPr>
            <w:tcW w:w="1111" w:type="pct"/>
            <w:vMerge/>
          </w:tcPr>
          <w:p w14:paraId="159E0610" w14:textId="77777777" w:rsidR="00466E7C" w:rsidRPr="00466E7C" w:rsidDel="00D86415" w:rsidRDefault="00466E7C" w:rsidP="00466E7C">
            <w:pPr>
              <w:keepNext/>
              <w:spacing w:before="0" w:after="0"/>
              <w:rPr>
                <w:rFonts w:ascii="Arial Narrow" w:hAnsi="Arial Narrow" w:cs="Arial"/>
                <w:bCs/>
              </w:rPr>
            </w:pPr>
          </w:p>
        </w:tc>
        <w:tc>
          <w:tcPr>
            <w:tcW w:w="1873" w:type="pct"/>
          </w:tcPr>
          <w:p w14:paraId="6A5B51B3" w14:textId="77777777" w:rsidR="00466E7C" w:rsidRPr="00466E7C" w:rsidRDefault="00466E7C" w:rsidP="00466E7C">
            <w:pPr>
              <w:keepNext/>
              <w:spacing w:before="0" w:after="0"/>
              <w:rPr>
                <w:rFonts w:ascii="Arial Narrow" w:hAnsi="Arial Narrow" w:cs="Arial"/>
                <w:bCs/>
                <w:snapToGrid w:val="0"/>
              </w:rPr>
            </w:pPr>
            <w:r w:rsidRPr="00466E7C">
              <w:rPr>
                <w:rFonts w:ascii="Arial Narrow" w:hAnsi="Arial Narrow" w:cs="Arial"/>
                <w:bCs/>
                <w:snapToGrid w:val="0"/>
              </w:rPr>
              <w:t>Mean time to treatment, days</w:t>
            </w:r>
          </w:p>
        </w:tc>
        <w:tc>
          <w:tcPr>
            <w:tcW w:w="1015" w:type="pct"/>
          </w:tcPr>
          <w:p w14:paraId="4C5A4194"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0</w:t>
            </w:r>
          </w:p>
        </w:tc>
        <w:tc>
          <w:tcPr>
            <w:tcW w:w="1001" w:type="pct"/>
          </w:tcPr>
          <w:p w14:paraId="3D92A6C7"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4</w:t>
            </w:r>
          </w:p>
        </w:tc>
      </w:tr>
      <w:tr w:rsidR="00466E7C" w:rsidRPr="00466E7C" w14:paraId="2395D9C9" w14:textId="77777777" w:rsidTr="003D71A9">
        <w:trPr>
          <w:cnfStyle w:val="100000000000" w:firstRow="1" w:lastRow="0" w:firstColumn="0" w:lastColumn="0" w:oddVBand="0" w:evenVBand="0" w:oddHBand="0" w:evenHBand="0" w:firstRowFirstColumn="0" w:firstRowLastColumn="0" w:lastRowFirstColumn="0" w:lastRowLastColumn="0"/>
          <w:trHeight w:val="454"/>
          <w:tblHeader/>
        </w:trPr>
        <w:tc>
          <w:tcPr>
            <w:tcW w:w="1111" w:type="pct"/>
            <w:vMerge w:val="restart"/>
          </w:tcPr>
          <w:p w14:paraId="461D3867"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Guy et al, 2018</w:t>
            </w:r>
          </w:p>
          <w:p w14:paraId="6A09A081"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(TTANGO)</w:t>
            </w:r>
          </w:p>
          <w:p w14:paraId="0E5F73F2"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Australia</w:t>
            </w:r>
          </w:p>
        </w:tc>
        <w:tc>
          <w:tcPr>
            <w:tcW w:w="1873" w:type="pct"/>
          </w:tcPr>
          <w:p w14:paraId="7EEFC0C9" w14:textId="77777777" w:rsidR="00466E7C" w:rsidRPr="00466E7C" w:rsidRDefault="00466E7C" w:rsidP="00466E7C">
            <w:pPr>
              <w:keepNext/>
              <w:spacing w:before="0" w:after="0"/>
              <w:rPr>
                <w:rFonts w:ascii="Arial Narrow" w:hAnsi="Arial Narrow" w:cs="Arial"/>
                <w:bCs/>
                <w:snapToGrid w:val="0"/>
              </w:rPr>
            </w:pPr>
            <w:r w:rsidRPr="00466E7C">
              <w:rPr>
                <w:rFonts w:ascii="Arial Narrow" w:hAnsi="Arial Narrow" w:cs="Arial"/>
                <w:bCs/>
                <w:snapToGrid w:val="0"/>
              </w:rPr>
              <w:t>Median time to treatment, days (IQR)</w:t>
            </w:r>
          </w:p>
        </w:tc>
        <w:tc>
          <w:tcPr>
            <w:tcW w:w="1015" w:type="pct"/>
          </w:tcPr>
          <w:p w14:paraId="4EC3CFDC"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0 (0–6)</w:t>
            </w:r>
          </w:p>
        </w:tc>
        <w:tc>
          <w:tcPr>
            <w:tcW w:w="1001" w:type="pct"/>
          </w:tcPr>
          <w:p w14:paraId="490A1A0A"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7 (0–15)</w:t>
            </w:r>
          </w:p>
        </w:tc>
      </w:tr>
      <w:tr w:rsidR="00466E7C" w:rsidRPr="00466E7C" w14:paraId="5A001B27" w14:textId="77777777" w:rsidTr="003D71A9">
        <w:trPr>
          <w:cnfStyle w:val="100000000000" w:firstRow="1" w:lastRow="0" w:firstColumn="0" w:lastColumn="0" w:oddVBand="0" w:evenVBand="0" w:oddHBand="0" w:evenHBand="0" w:firstRowFirstColumn="0" w:firstRowLastColumn="0" w:lastRowFirstColumn="0" w:lastRowLastColumn="0"/>
          <w:trHeight w:val="454"/>
          <w:tblHeader/>
        </w:trPr>
        <w:tc>
          <w:tcPr>
            <w:tcW w:w="1111" w:type="pct"/>
            <w:vMerge/>
          </w:tcPr>
          <w:p w14:paraId="46D0B9ED" w14:textId="77777777" w:rsidR="00466E7C" w:rsidRPr="00466E7C" w:rsidRDefault="00466E7C" w:rsidP="00466E7C">
            <w:pPr>
              <w:keepNext/>
              <w:spacing w:before="0" w:after="0"/>
              <w:rPr>
                <w:rFonts w:ascii="Arial Narrow" w:hAnsi="Arial Narrow" w:cs="Arial"/>
                <w:bCs/>
              </w:rPr>
            </w:pPr>
          </w:p>
        </w:tc>
        <w:tc>
          <w:tcPr>
            <w:tcW w:w="1873" w:type="pct"/>
          </w:tcPr>
          <w:p w14:paraId="5079A4FE" w14:textId="77777777" w:rsidR="00466E7C" w:rsidRPr="00466E7C" w:rsidRDefault="00466E7C" w:rsidP="00466E7C">
            <w:pPr>
              <w:keepNext/>
              <w:spacing w:before="0" w:after="0"/>
              <w:rPr>
                <w:rFonts w:ascii="Arial Narrow" w:hAnsi="Arial Narrow" w:cs="Arial"/>
                <w:bCs/>
                <w:snapToGrid w:val="0"/>
              </w:rPr>
            </w:pPr>
            <w:r w:rsidRPr="00466E7C">
              <w:rPr>
                <w:rFonts w:ascii="Arial Narrow" w:hAnsi="Arial Narrow" w:cs="Arial"/>
                <w:bCs/>
                <w:snapToGrid w:val="0"/>
              </w:rPr>
              <w:t xml:space="preserve">Mean time to treatment, </w:t>
            </w:r>
            <w:proofErr w:type="spellStart"/>
            <w:r w:rsidRPr="00466E7C">
              <w:rPr>
                <w:rFonts w:ascii="Arial Narrow" w:hAnsi="Arial Narrow" w:cs="Arial"/>
                <w:bCs/>
                <w:snapToGrid w:val="0"/>
              </w:rPr>
              <w:t>days±SD</w:t>
            </w:r>
            <w:proofErr w:type="spellEnd"/>
          </w:p>
        </w:tc>
        <w:tc>
          <w:tcPr>
            <w:tcW w:w="1015" w:type="pct"/>
          </w:tcPr>
          <w:p w14:paraId="65BB93B1"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8·7±28</w:t>
            </w:r>
          </w:p>
        </w:tc>
        <w:tc>
          <w:tcPr>
            <w:tcW w:w="1001" w:type="pct"/>
          </w:tcPr>
          <w:p w14:paraId="681DCAF6"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18·1±40</w:t>
            </w:r>
          </w:p>
        </w:tc>
      </w:tr>
      <w:tr w:rsidR="00466E7C" w:rsidRPr="00466E7C" w14:paraId="5EF51270" w14:textId="77777777" w:rsidTr="003D71A9">
        <w:trPr>
          <w:cnfStyle w:val="100000000000" w:firstRow="1" w:lastRow="0" w:firstColumn="0" w:lastColumn="0" w:oddVBand="0" w:evenVBand="0" w:oddHBand="0" w:evenHBand="0" w:firstRowFirstColumn="0" w:firstRowLastColumn="0" w:lastRowFirstColumn="0" w:lastRowLastColumn="0"/>
          <w:trHeight w:val="454"/>
          <w:tblHeader/>
        </w:trPr>
        <w:tc>
          <w:tcPr>
            <w:tcW w:w="1111" w:type="pct"/>
          </w:tcPr>
          <w:p w14:paraId="511E9490" w14:textId="346DC9F5" w:rsidR="00466E7C" w:rsidRPr="00466E7C" w:rsidRDefault="00466E7C" w:rsidP="00466E7C">
            <w:pPr>
              <w:keepNext/>
              <w:spacing w:before="0" w:after="0"/>
              <w:rPr>
                <w:rFonts w:ascii="Arial Narrow" w:hAnsi="Arial Narrow" w:cs="Arial"/>
                <w:bCs/>
              </w:rPr>
            </w:pPr>
            <w:proofErr w:type="spellStart"/>
            <w:r w:rsidRPr="00466E7C">
              <w:rPr>
                <w:rFonts w:ascii="Arial Narrow" w:hAnsi="Arial Narrow" w:cs="Arial"/>
                <w:bCs/>
              </w:rPr>
              <w:t>Keizur</w:t>
            </w:r>
            <w:proofErr w:type="spellEnd"/>
            <w:r w:rsidRPr="00466E7C">
              <w:rPr>
                <w:rFonts w:ascii="Arial Narrow" w:hAnsi="Arial Narrow" w:cs="Arial"/>
                <w:bCs/>
              </w:rPr>
              <w:t>, 2020</w:t>
            </w:r>
            <w:r w:rsidR="00E739FF">
              <w:rPr>
                <w:rStyle w:val="FootnoteReference"/>
                <w:rFonts w:ascii="Arial Narrow" w:hAnsi="Arial Narrow" w:cs="Arial"/>
                <w:bCs/>
              </w:rPr>
              <w:footnoteReference w:id="10"/>
            </w:r>
          </w:p>
          <w:p w14:paraId="1D3639A6"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USA</w:t>
            </w:r>
          </w:p>
        </w:tc>
        <w:tc>
          <w:tcPr>
            <w:tcW w:w="1873" w:type="pct"/>
          </w:tcPr>
          <w:p w14:paraId="444E46E8" w14:textId="77777777" w:rsidR="00466E7C" w:rsidRPr="00466E7C" w:rsidRDefault="00466E7C" w:rsidP="00466E7C">
            <w:pPr>
              <w:keepNext/>
              <w:spacing w:before="0" w:after="0"/>
              <w:rPr>
                <w:rFonts w:ascii="Arial Narrow" w:hAnsi="Arial Narrow" w:cs="Arial"/>
                <w:bCs/>
                <w:snapToGrid w:val="0"/>
              </w:rPr>
            </w:pPr>
            <w:r w:rsidRPr="00466E7C">
              <w:rPr>
                <w:rFonts w:ascii="Arial Narrow" w:hAnsi="Arial Narrow" w:cs="Arial"/>
                <w:bCs/>
                <w:snapToGrid w:val="0"/>
              </w:rPr>
              <w:t>Median time to treatment, days</w:t>
            </w:r>
          </w:p>
        </w:tc>
        <w:tc>
          <w:tcPr>
            <w:tcW w:w="1015" w:type="pct"/>
          </w:tcPr>
          <w:p w14:paraId="0A031591"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3</w:t>
            </w:r>
          </w:p>
        </w:tc>
        <w:tc>
          <w:tcPr>
            <w:tcW w:w="1001" w:type="pct"/>
          </w:tcPr>
          <w:p w14:paraId="335F02A4"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18.5</w:t>
            </w:r>
          </w:p>
        </w:tc>
      </w:tr>
      <w:tr w:rsidR="00466E7C" w:rsidRPr="00466E7C" w14:paraId="44FBF6A6" w14:textId="77777777" w:rsidTr="003D71A9">
        <w:trPr>
          <w:cnfStyle w:val="100000000000" w:firstRow="1" w:lastRow="0" w:firstColumn="0" w:lastColumn="0" w:oddVBand="0" w:evenVBand="0" w:oddHBand="0" w:evenHBand="0" w:firstRowFirstColumn="0" w:firstRowLastColumn="0" w:lastRowFirstColumn="0" w:lastRowLastColumn="0"/>
          <w:trHeight w:val="454"/>
          <w:tblHeader/>
        </w:trPr>
        <w:tc>
          <w:tcPr>
            <w:tcW w:w="1111" w:type="pct"/>
          </w:tcPr>
          <w:p w14:paraId="7AD129C0" w14:textId="35A47DB0" w:rsidR="00466E7C" w:rsidRPr="00466E7C" w:rsidRDefault="00466E7C" w:rsidP="00466E7C">
            <w:pPr>
              <w:keepNext/>
              <w:spacing w:before="0" w:after="0"/>
              <w:rPr>
                <w:rFonts w:ascii="Arial Narrow" w:hAnsi="Arial Narrow" w:cs="Arial"/>
                <w:bCs/>
              </w:rPr>
            </w:pPr>
            <w:proofErr w:type="spellStart"/>
            <w:r w:rsidRPr="00466E7C">
              <w:rPr>
                <w:rFonts w:ascii="Arial Narrow" w:hAnsi="Arial Narrow" w:cs="Arial"/>
                <w:bCs/>
              </w:rPr>
              <w:t>Rivard</w:t>
            </w:r>
            <w:proofErr w:type="spellEnd"/>
            <w:r w:rsidRPr="00466E7C">
              <w:rPr>
                <w:rFonts w:ascii="Arial Narrow" w:hAnsi="Arial Narrow" w:cs="Arial"/>
                <w:bCs/>
              </w:rPr>
              <w:t xml:space="preserve"> (2017)</w:t>
            </w:r>
            <w:r w:rsidR="00E739FF">
              <w:rPr>
                <w:rStyle w:val="FootnoteReference"/>
                <w:rFonts w:ascii="Arial Narrow" w:hAnsi="Arial Narrow" w:cs="Arial"/>
                <w:bCs/>
              </w:rPr>
              <w:footnoteReference w:id="11"/>
            </w:r>
          </w:p>
          <w:p w14:paraId="453BAD80"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USA</w:t>
            </w:r>
          </w:p>
        </w:tc>
        <w:tc>
          <w:tcPr>
            <w:tcW w:w="1873" w:type="pct"/>
          </w:tcPr>
          <w:p w14:paraId="1D7BDFFE" w14:textId="085E8269" w:rsidR="00466E7C" w:rsidRPr="00466E7C" w:rsidRDefault="00466E7C" w:rsidP="00466E7C">
            <w:pPr>
              <w:keepNext/>
              <w:spacing w:before="0" w:after="0"/>
              <w:rPr>
                <w:rFonts w:ascii="Arial Narrow" w:hAnsi="Arial Narrow" w:cs="Arial"/>
                <w:bCs/>
                <w:snapToGrid w:val="0"/>
              </w:rPr>
            </w:pPr>
            <w:r w:rsidRPr="00466E7C">
              <w:rPr>
                <w:rFonts w:ascii="Arial Narrow" w:hAnsi="Arial Narrow" w:cs="Arial"/>
                <w:bCs/>
                <w:snapToGrid w:val="0"/>
              </w:rPr>
              <w:t xml:space="preserve">Time to appropriate treatment for test positive patients, </w:t>
            </w:r>
            <w:proofErr w:type="spellStart"/>
            <w:r w:rsidRPr="00466E7C">
              <w:rPr>
                <w:rFonts w:ascii="Arial Narrow" w:hAnsi="Arial Narrow" w:cs="Arial"/>
                <w:bCs/>
                <w:snapToGrid w:val="0"/>
              </w:rPr>
              <w:t>mean±SD</w:t>
            </w:r>
            <w:proofErr w:type="spellEnd"/>
            <w:r w:rsidR="00835EA8">
              <w:rPr>
                <w:rFonts w:ascii="Arial Narrow" w:hAnsi="Arial Narrow" w:cs="Arial"/>
                <w:bCs/>
                <w:snapToGrid w:val="0"/>
              </w:rPr>
              <w:t xml:space="preserve"> hours</w:t>
            </w:r>
          </w:p>
        </w:tc>
        <w:tc>
          <w:tcPr>
            <w:tcW w:w="1015" w:type="pct"/>
          </w:tcPr>
          <w:p w14:paraId="344CDA9B" w14:textId="4A3312A5" w:rsidR="00466E7C" w:rsidRPr="00466E7C" w:rsidRDefault="00835EA8" w:rsidP="00466E7C">
            <w:pPr>
              <w:keepNext/>
              <w:spacing w:before="0" w:after="0"/>
              <w:rPr>
                <w:rFonts w:ascii="Arial Narrow" w:hAnsi="Arial Narrow" w:cs="Arial"/>
                <w:bCs/>
              </w:rPr>
            </w:pPr>
            <w:r>
              <w:rPr>
                <w:rFonts w:ascii="Arial Narrow" w:hAnsi="Arial Narrow" w:cs="Arial"/>
              </w:rPr>
              <w:t>4.9±21.3</w:t>
            </w:r>
          </w:p>
        </w:tc>
        <w:tc>
          <w:tcPr>
            <w:tcW w:w="1001" w:type="pct"/>
          </w:tcPr>
          <w:p w14:paraId="036B4328" w14:textId="17C37849" w:rsidR="00466E7C" w:rsidRPr="00466E7C" w:rsidRDefault="00835EA8" w:rsidP="00466E7C">
            <w:pPr>
              <w:keepNext/>
              <w:spacing w:before="0" w:after="0"/>
              <w:rPr>
                <w:rFonts w:ascii="Arial Narrow" w:hAnsi="Arial Narrow" w:cs="Arial"/>
                <w:bCs/>
              </w:rPr>
            </w:pPr>
            <w:r>
              <w:rPr>
                <w:rFonts w:ascii="Arial Narrow" w:hAnsi="Arial Narrow" w:cs="Arial"/>
                <w:bCs/>
              </w:rPr>
              <w:t>23.0±56.3</w:t>
            </w:r>
          </w:p>
        </w:tc>
      </w:tr>
      <w:tr w:rsidR="00466E7C" w:rsidRPr="00466E7C" w14:paraId="2AF56358" w14:textId="77777777" w:rsidTr="003D71A9">
        <w:trPr>
          <w:cnfStyle w:val="100000000000" w:firstRow="1" w:lastRow="0" w:firstColumn="0" w:lastColumn="0" w:oddVBand="0" w:evenVBand="0" w:oddHBand="0" w:evenHBand="0" w:firstRowFirstColumn="0" w:firstRowLastColumn="0" w:lastRowFirstColumn="0" w:lastRowLastColumn="0"/>
          <w:trHeight w:val="454"/>
          <w:tblHeader/>
        </w:trPr>
        <w:tc>
          <w:tcPr>
            <w:tcW w:w="1111" w:type="pct"/>
          </w:tcPr>
          <w:p w14:paraId="11322316" w14:textId="58B9229F" w:rsidR="00466E7C" w:rsidRPr="00466E7C" w:rsidRDefault="00466E7C" w:rsidP="00466E7C">
            <w:pPr>
              <w:keepNext/>
              <w:spacing w:before="0" w:after="0"/>
              <w:rPr>
                <w:rFonts w:ascii="Arial Narrow" w:hAnsi="Arial Narrow" w:cs="Arial"/>
                <w:bCs/>
              </w:rPr>
            </w:pPr>
            <w:proofErr w:type="spellStart"/>
            <w:r w:rsidRPr="00466E7C">
              <w:rPr>
                <w:rFonts w:ascii="Arial Narrow" w:hAnsi="Arial Narrow" w:cs="Arial"/>
                <w:bCs/>
              </w:rPr>
              <w:t>Wingrove</w:t>
            </w:r>
            <w:proofErr w:type="spellEnd"/>
            <w:r w:rsidRPr="00466E7C">
              <w:rPr>
                <w:rFonts w:ascii="Arial Narrow" w:hAnsi="Arial Narrow" w:cs="Arial"/>
                <w:bCs/>
              </w:rPr>
              <w:t>, 2014</w:t>
            </w:r>
            <w:r w:rsidR="00E739FF">
              <w:rPr>
                <w:rStyle w:val="FootnoteReference"/>
                <w:rFonts w:ascii="Arial Narrow" w:hAnsi="Arial Narrow" w:cs="Arial"/>
                <w:bCs/>
              </w:rPr>
              <w:footnoteReference w:id="12"/>
            </w:r>
          </w:p>
          <w:p w14:paraId="4B78C23B"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UK</w:t>
            </w:r>
          </w:p>
        </w:tc>
        <w:tc>
          <w:tcPr>
            <w:tcW w:w="1873" w:type="pct"/>
          </w:tcPr>
          <w:p w14:paraId="72C036F5" w14:textId="77777777" w:rsidR="00466E7C" w:rsidRPr="00466E7C" w:rsidRDefault="00466E7C" w:rsidP="00466E7C">
            <w:pPr>
              <w:keepNext/>
              <w:spacing w:before="0" w:after="0"/>
              <w:rPr>
                <w:rFonts w:ascii="Arial Narrow" w:hAnsi="Arial Narrow" w:cs="Arial"/>
                <w:bCs/>
                <w:snapToGrid w:val="0"/>
              </w:rPr>
            </w:pPr>
            <w:r w:rsidRPr="00466E7C">
              <w:rPr>
                <w:rFonts w:ascii="Arial Narrow" w:hAnsi="Arial Narrow" w:cs="Arial"/>
                <w:bCs/>
                <w:snapToGrid w:val="0"/>
              </w:rPr>
              <w:t>Median time from test to treatment, days (IQR)</w:t>
            </w:r>
          </w:p>
        </w:tc>
        <w:tc>
          <w:tcPr>
            <w:tcW w:w="1015" w:type="pct"/>
          </w:tcPr>
          <w:p w14:paraId="530959ED"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2 (1–6)</w:t>
            </w:r>
          </w:p>
        </w:tc>
        <w:tc>
          <w:tcPr>
            <w:tcW w:w="1001" w:type="pct"/>
          </w:tcPr>
          <w:p w14:paraId="28CBBBEE" w14:textId="77777777" w:rsidR="00466E7C" w:rsidRPr="00466E7C" w:rsidRDefault="00466E7C" w:rsidP="00466E7C">
            <w:pPr>
              <w:keepNext/>
              <w:spacing w:before="0" w:after="0"/>
              <w:rPr>
                <w:rFonts w:ascii="Arial Narrow" w:hAnsi="Arial Narrow" w:cs="Arial"/>
                <w:bCs/>
              </w:rPr>
            </w:pPr>
            <w:r w:rsidRPr="00466E7C">
              <w:rPr>
                <w:rFonts w:ascii="Arial Narrow" w:hAnsi="Arial Narrow" w:cs="Arial"/>
                <w:bCs/>
              </w:rPr>
              <w:t>10 (7–11)</w:t>
            </w:r>
          </w:p>
        </w:tc>
      </w:tr>
    </w:tbl>
    <w:p w14:paraId="6067F382" w14:textId="704A1A7D" w:rsidR="00D1079C" w:rsidRDefault="00760A37" w:rsidP="00D1079C">
      <w:pPr>
        <w:widowControl w:val="0"/>
        <w:spacing w:before="0" w:after="0" w:line="240" w:lineRule="auto"/>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Source: </w:t>
      </w:r>
      <w:r w:rsidR="00D1079C">
        <w:rPr>
          <w:rFonts w:ascii="Arial Narrow" w:eastAsia="Times New Roman" w:hAnsi="Arial Narrow" w:cs="Arial"/>
          <w:snapToGrid w:val="0"/>
          <w:sz w:val="18"/>
          <w:szCs w:val="20"/>
        </w:rPr>
        <w:t xml:space="preserve">Commentary Table 15, </w:t>
      </w:r>
      <w:proofErr w:type="spellStart"/>
      <w:r w:rsidR="00D1079C">
        <w:rPr>
          <w:rFonts w:ascii="Arial Narrow" w:eastAsia="Times New Roman" w:hAnsi="Arial Narrow" w:cs="Arial"/>
          <w:snapToGrid w:val="0"/>
          <w:sz w:val="18"/>
          <w:szCs w:val="20"/>
        </w:rPr>
        <w:t>pg</w:t>
      </w:r>
      <w:proofErr w:type="spellEnd"/>
      <w:r w:rsidR="00D1079C">
        <w:rPr>
          <w:rFonts w:ascii="Arial Narrow" w:eastAsia="Times New Roman" w:hAnsi="Arial Narrow" w:cs="Arial"/>
          <w:snapToGrid w:val="0"/>
          <w:sz w:val="18"/>
          <w:szCs w:val="20"/>
        </w:rPr>
        <w:t xml:space="preserve"> 7</w:t>
      </w:r>
      <w:r w:rsidR="00E739FF">
        <w:rPr>
          <w:rFonts w:ascii="Arial Narrow" w:eastAsia="Times New Roman" w:hAnsi="Arial Narrow" w:cs="Arial"/>
          <w:snapToGrid w:val="0"/>
          <w:sz w:val="18"/>
          <w:szCs w:val="20"/>
        </w:rPr>
        <w:t>9</w:t>
      </w:r>
      <w:r w:rsidR="00D1079C">
        <w:rPr>
          <w:rFonts w:ascii="Arial Narrow" w:eastAsia="Times New Roman" w:hAnsi="Arial Narrow" w:cs="Arial"/>
          <w:snapToGrid w:val="0"/>
          <w:sz w:val="18"/>
          <w:szCs w:val="20"/>
        </w:rPr>
        <w:t xml:space="preserve"> of MSAC 1627</w:t>
      </w:r>
      <w:r w:rsidR="00D1079C" w:rsidRPr="00D1079C">
        <w:rPr>
          <w:rFonts w:ascii="Arial Narrow" w:eastAsia="Times New Roman" w:hAnsi="Arial Narrow" w:cs="Arial"/>
          <w:snapToGrid w:val="0"/>
          <w:sz w:val="18"/>
          <w:szCs w:val="20"/>
        </w:rPr>
        <w:t xml:space="preserve"> </w:t>
      </w:r>
      <w:proofErr w:type="spellStart"/>
      <w:r w:rsidR="00D1079C" w:rsidRPr="00D1079C">
        <w:rPr>
          <w:rFonts w:ascii="Arial Narrow" w:eastAsia="Times New Roman" w:hAnsi="Arial Narrow" w:cs="Arial"/>
          <w:snapToGrid w:val="0"/>
          <w:sz w:val="18"/>
          <w:szCs w:val="20"/>
        </w:rPr>
        <w:t>ADAR</w:t>
      </w:r>
      <w:r>
        <w:rPr>
          <w:rFonts w:ascii="Arial Narrow" w:eastAsia="Times New Roman" w:hAnsi="Arial Narrow" w:cs="Arial"/>
          <w:snapToGrid w:val="0"/>
          <w:sz w:val="18"/>
          <w:szCs w:val="20"/>
        </w:rPr>
        <w:t>+in-line</w:t>
      </w:r>
      <w:proofErr w:type="spellEnd"/>
      <w:r>
        <w:rPr>
          <w:rFonts w:ascii="Arial Narrow" w:eastAsia="Times New Roman" w:hAnsi="Arial Narrow" w:cs="Arial"/>
          <w:snapToGrid w:val="0"/>
          <w:sz w:val="18"/>
          <w:szCs w:val="20"/>
        </w:rPr>
        <w:t xml:space="preserve"> commentary</w:t>
      </w:r>
    </w:p>
    <w:p w14:paraId="36181A8C" w14:textId="7886A4AA" w:rsidR="00A40595" w:rsidRPr="003D12FC" w:rsidRDefault="003D12FC" w:rsidP="00D1079C">
      <w:pPr>
        <w:widowControl w:val="0"/>
        <w:spacing w:before="0" w:after="0" w:line="240" w:lineRule="auto"/>
        <w:rPr>
          <w:rFonts w:ascii="Arial Narrow" w:eastAsia="Times New Roman" w:hAnsi="Arial Narrow" w:cs="Arial"/>
          <w:snapToGrid w:val="0"/>
          <w:sz w:val="18"/>
          <w:szCs w:val="20"/>
        </w:rPr>
      </w:pPr>
      <w:r w:rsidRPr="003D12FC">
        <w:rPr>
          <w:rFonts w:ascii="Arial Narrow" w:eastAsia="Times New Roman" w:hAnsi="Arial Narrow" w:cs="Arial"/>
          <w:snapToGrid w:val="0"/>
          <w:sz w:val="18"/>
          <w:szCs w:val="20"/>
        </w:rPr>
        <w:t>IQR = interquartile range; POC = point of care; SD = standard deviation; SOC = standard of care (in this case, testing within a laboratory setting); UK = United Kingdom; USA = United States of America</w:t>
      </w:r>
    </w:p>
    <w:p w14:paraId="424D1406" w14:textId="601ED580" w:rsidR="00EC17AE" w:rsidRPr="00EC17AE" w:rsidRDefault="00EC17AE" w:rsidP="003D12FC">
      <w:r w:rsidRPr="00EC17AE">
        <w:t xml:space="preserve">Three studies provided evidence for the proportion of patients treated on the same day following </w:t>
      </w:r>
      <w:proofErr w:type="spellStart"/>
      <w:r w:rsidRPr="00EC17AE">
        <w:t>Xpert</w:t>
      </w:r>
      <w:proofErr w:type="spellEnd"/>
      <w:r w:rsidRPr="00EC17AE">
        <w:t xml:space="preserve"> CT/NG POC testing</w:t>
      </w:r>
      <w:r w:rsidR="00F7511D">
        <w:t xml:space="preserve"> (</w:t>
      </w:r>
      <w:r w:rsidR="00F7511D">
        <w:fldChar w:fldCharType="begin"/>
      </w:r>
      <w:r w:rsidR="00F7511D">
        <w:instrText xml:space="preserve"> REF _Ref111630426 \h </w:instrText>
      </w:r>
      <w:r w:rsidR="00F7511D">
        <w:fldChar w:fldCharType="separate"/>
      </w:r>
      <w:r w:rsidR="00CE44AB">
        <w:t xml:space="preserve">Table </w:t>
      </w:r>
      <w:r w:rsidR="00CE44AB">
        <w:rPr>
          <w:noProof/>
        </w:rPr>
        <w:t>8</w:t>
      </w:r>
      <w:r w:rsidR="00F7511D">
        <w:fldChar w:fldCharType="end"/>
      </w:r>
      <w:r w:rsidR="00F7511D">
        <w:t>)</w:t>
      </w:r>
      <w:r w:rsidRPr="00EC17AE">
        <w:t xml:space="preserve">. In the TTANGO study </w:t>
      </w:r>
      <w:r w:rsidR="007B5353">
        <w:t>intention to treat (</w:t>
      </w:r>
      <w:r w:rsidRPr="00EC17AE">
        <w:t>ITT</w:t>
      </w:r>
      <w:r w:rsidR="007B5353">
        <w:t>)</w:t>
      </w:r>
      <w:r w:rsidRPr="00EC17AE">
        <w:t xml:space="preserve"> population, significantly more patients in the </w:t>
      </w:r>
      <w:proofErr w:type="spellStart"/>
      <w:r w:rsidRPr="00EC17AE">
        <w:t>Xpert</w:t>
      </w:r>
      <w:proofErr w:type="spellEnd"/>
      <w:r w:rsidRPr="00EC17AE">
        <w:t xml:space="preserve"> CT/NG POC testing group received treatment on the same day as the test than in the SOC group (49% vs. 27%; RR 1·77 (95%CI 1·41, 2·23); p&lt;0·0001). As empiric treatment was also available for the POC testing group, it is not possible to determine </w:t>
      </w:r>
      <w:r w:rsidRPr="00EC17AE">
        <w:lastRenderedPageBreak/>
        <w:t xml:space="preserve">what proportion of patients in this group received empiric treatment or treatment guided by the POC testing. </w:t>
      </w:r>
    </w:p>
    <w:p w14:paraId="2205FC3A" w14:textId="77777777" w:rsidR="00EC17AE" w:rsidRPr="00EC17AE" w:rsidRDefault="00EC17AE" w:rsidP="00EC17AE">
      <w:r w:rsidRPr="00EC17AE">
        <w:t>An improvement in the proportion of patients treated on the same day as the test was maintained in the per protocol (PP) analysis of the TTANGO data (57% vs. 27%; RR 2·10 (95%CI 1·63, 2·62) p&lt;0·0001). This significant difference in the proportion of positive patients treated was maintained for the POC testing group versus the SOC group for the ITT and PP analyses at all the time points (≤2 days, ≤7 days, ≤4 months).</w:t>
      </w:r>
    </w:p>
    <w:p w14:paraId="30772084" w14:textId="673B82AA" w:rsidR="009F5725" w:rsidRDefault="009F5725" w:rsidP="009F5725">
      <w:r w:rsidRPr="009F5725">
        <w:t xml:space="preserve">In addition to published data from the TTANGO study, unpublished data from the TTANGO2 study was included with the ADAR (as supplementary data) for the proportion of pregnant women with a positive STI test who received treatment, by test type and treatment interval. These results do not include the numbers of pregnant patients in each </w:t>
      </w:r>
      <w:proofErr w:type="gramStart"/>
      <w:r w:rsidRPr="009F5725">
        <w:t>group</w:t>
      </w:r>
      <w:proofErr w:type="gramEnd"/>
      <w:r w:rsidRPr="009F5725">
        <w:t xml:space="preserve"> but the percentages were compara</w:t>
      </w:r>
      <w:r w:rsidR="00943EAE">
        <w:t xml:space="preserve">ble with the data for </w:t>
      </w:r>
      <w:r w:rsidRPr="009F5725">
        <w:t>patients in the TTANGO study.</w:t>
      </w:r>
    </w:p>
    <w:p w14:paraId="07D1DB9B" w14:textId="2D547993" w:rsidR="009F5725" w:rsidRPr="005C78D2" w:rsidRDefault="00943EAE" w:rsidP="00943EAE">
      <w:pPr>
        <w:pStyle w:val="Caption"/>
        <w:rPr>
          <w:i/>
        </w:rPr>
      </w:pPr>
      <w:bookmarkStart w:id="34" w:name="_Ref111630426"/>
      <w:r>
        <w:t xml:space="preserve">Table </w:t>
      </w:r>
      <w:r w:rsidR="007D19FE">
        <w:fldChar w:fldCharType="begin"/>
      </w:r>
      <w:r w:rsidR="007D19FE">
        <w:instrText xml:space="preserve"> SEQ Table \* ARABIC </w:instrText>
      </w:r>
      <w:r w:rsidR="007D19FE">
        <w:fldChar w:fldCharType="separate"/>
      </w:r>
      <w:r w:rsidR="00FF1B3A">
        <w:rPr>
          <w:noProof/>
        </w:rPr>
        <w:t>8</w:t>
      </w:r>
      <w:r w:rsidR="007D19FE">
        <w:rPr>
          <w:noProof/>
        </w:rPr>
        <w:fldChar w:fldCharType="end"/>
      </w:r>
      <w:bookmarkEnd w:id="34"/>
      <w:r>
        <w:t xml:space="preserve"> </w:t>
      </w:r>
      <w:r w:rsidR="005C78D2" w:rsidRPr="007B4C77">
        <w:t>Proportion of patients treated within specific periods</w:t>
      </w:r>
      <w:r w:rsidR="005C78D2" w:rsidRPr="005C78D2">
        <w:rPr>
          <w:i/>
        </w:rPr>
        <w:t xml:space="preserve"> </w:t>
      </w:r>
    </w:p>
    <w:tbl>
      <w:tblPr>
        <w:tblStyle w:val="TableGrid1"/>
        <w:tblW w:w="5000" w:type="pct"/>
        <w:tblInd w:w="-5" w:type="dxa"/>
        <w:tblCellMar>
          <w:left w:w="28" w:type="dxa"/>
          <w:right w:w="28" w:type="dxa"/>
        </w:tblCellMar>
        <w:tblLook w:val="04A0" w:firstRow="1" w:lastRow="0" w:firstColumn="1" w:lastColumn="0" w:noHBand="0" w:noVBand="1"/>
      </w:tblPr>
      <w:tblGrid>
        <w:gridCol w:w="1135"/>
        <w:gridCol w:w="2694"/>
        <w:gridCol w:w="1417"/>
        <w:gridCol w:w="1417"/>
        <w:gridCol w:w="2353"/>
      </w:tblGrid>
      <w:tr w:rsidR="009F5725" w:rsidRPr="009F5725" w14:paraId="2D77B522"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tcPr>
          <w:p w14:paraId="76E5D714" w14:textId="77777777" w:rsidR="009F5725" w:rsidRPr="009F5725" w:rsidRDefault="009F5725" w:rsidP="009F5725">
            <w:pPr>
              <w:keepNext/>
              <w:spacing w:before="0" w:after="0"/>
              <w:rPr>
                <w:rFonts w:ascii="Arial Narrow" w:hAnsi="Arial Narrow" w:cs="Arial"/>
                <w:b/>
              </w:rPr>
            </w:pPr>
            <w:r w:rsidRPr="009F5725">
              <w:rPr>
                <w:rFonts w:ascii="Arial Narrow" w:hAnsi="Arial Narrow" w:cs="Arial"/>
                <w:b/>
              </w:rPr>
              <w:t>Author</w:t>
            </w:r>
          </w:p>
          <w:p w14:paraId="6A791AB1" w14:textId="77777777" w:rsidR="009F5725" w:rsidRPr="009F5725" w:rsidRDefault="009F5725" w:rsidP="009F5725">
            <w:pPr>
              <w:keepNext/>
              <w:spacing w:before="0" w:after="0"/>
              <w:rPr>
                <w:rFonts w:ascii="Arial Narrow" w:hAnsi="Arial Narrow" w:cs="Arial"/>
                <w:b/>
              </w:rPr>
            </w:pPr>
            <w:r w:rsidRPr="009F5725">
              <w:rPr>
                <w:rFonts w:ascii="Arial Narrow" w:hAnsi="Arial Narrow" w:cs="Arial"/>
                <w:b/>
              </w:rPr>
              <w:t>Country</w:t>
            </w:r>
          </w:p>
        </w:tc>
        <w:tc>
          <w:tcPr>
            <w:tcW w:w="1494" w:type="pct"/>
          </w:tcPr>
          <w:p w14:paraId="4301DF07" w14:textId="77777777" w:rsidR="009F5725" w:rsidRPr="009F5725" w:rsidRDefault="009F5725" w:rsidP="009F5725">
            <w:pPr>
              <w:keepNext/>
              <w:spacing w:before="0" w:after="0"/>
              <w:rPr>
                <w:rFonts w:ascii="Arial Narrow" w:hAnsi="Arial Narrow" w:cs="Arial"/>
                <w:bCs/>
                <w:snapToGrid w:val="0"/>
                <w:lang w:val="en-GB"/>
              </w:rPr>
            </w:pPr>
            <w:r w:rsidRPr="009F5725">
              <w:rPr>
                <w:rFonts w:ascii="Arial Narrow" w:hAnsi="Arial Narrow" w:cs="Arial"/>
                <w:b/>
                <w:snapToGrid w:val="0"/>
              </w:rPr>
              <w:t>Outcome</w:t>
            </w:r>
          </w:p>
        </w:tc>
        <w:tc>
          <w:tcPr>
            <w:tcW w:w="786" w:type="pct"/>
          </w:tcPr>
          <w:p w14:paraId="39D5EA82" w14:textId="77777777" w:rsidR="009F5725" w:rsidRPr="009F5725" w:rsidRDefault="009F5725" w:rsidP="009F5725">
            <w:pPr>
              <w:keepNext/>
              <w:spacing w:before="0" w:after="0"/>
              <w:rPr>
                <w:rFonts w:ascii="Arial Narrow" w:hAnsi="Arial Narrow" w:cs="Arial"/>
                <w:b/>
              </w:rPr>
            </w:pPr>
            <w:r w:rsidRPr="009F5725">
              <w:rPr>
                <w:rFonts w:ascii="Arial Narrow" w:hAnsi="Arial Narrow" w:cs="Arial"/>
                <w:b/>
              </w:rPr>
              <w:t>POC testing</w:t>
            </w:r>
          </w:p>
          <w:p w14:paraId="5E924455" w14:textId="77777777" w:rsidR="009F5725" w:rsidRPr="009F5725" w:rsidRDefault="009F5725" w:rsidP="009F5725">
            <w:pPr>
              <w:keepNext/>
              <w:spacing w:before="0" w:after="0"/>
              <w:rPr>
                <w:rFonts w:ascii="Arial Narrow" w:hAnsi="Arial Narrow" w:cs="Arial"/>
                <w:lang w:val="en-GB"/>
              </w:rPr>
            </w:pPr>
            <w:r w:rsidRPr="009F5725">
              <w:rPr>
                <w:rFonts w:ascii="Arial Narrow" w:hAnsi="Arial Narrow" w:cs="Arial"/>
                <w:b/>
              </w:rPr>
              <w:t>n/N (%)</w:t>
            </w:r>
          </w:p>
        </w:tc>
        <w:tc>
          <w:tcPr>
            <w:tcW w:w="786" w:type="pct"/>
          </w:tcPr>
          <w:p w14:paraId="2C54592E" w14:textId="77777777" w:rsidR="009F5725" w:rsidRPr="009F5725" w:rsidRDefault="009F5725" w:rsidP="009F5725">
            <w:pPr>
              <w:keepNext/>
              <w:spacing w:before="0" w:after="0"/>
              <w:rPr>
                <w:rFonts w:ascii="Arial Narrow" w:hAnsi="Arial Narrow" w:cs="Arial"/>
                <w:b/>
              </w:rPr>
            </w:pPr>
            <w:r w:rsidRPr="009F5725">
              <w:rPr>
                <w:rFonts w:ascii="Arial Narrow" w:hAnsi="Arial Narrow" w:cs="Arial"/>
                <w:b/>
              </w:rPr>
              <w:t>SOC</w:t>
            </w:r>
          </w:p>
          <w:p w14:paraId="3AEE0D8E" w14:textId="77777777" w:rsidR="009F5725" w:rsidRPr="009F5725" w:rsidRDefault="009F5725" w:rsidP="009F5725">
            <w:pPr>
              <w:keepNext/>
              <w:spacing w:before="0" w:after="0"/>
              <w:rPr>
                <w:rFonts w:ascii="Arial Narrow" w:hAnsi="Arial Narrow" w:cs="Arial"/>
                <w:bCs/>
                <w:lang w:val="en-GB"/>
              </w:rPr>
            </w:pPr>
            <w:r w:rsidRPr="009F5725">
              <w:rPr>
                <w:rFonts w:ascii="Arial Narrow" w:hAnsi="Arial Narrow" w:cs="Arial"/>
                <w:b/>
              </w:rPr>
              <w:t>n/N (%)</w:t>
            </w:r>
          </w:p>
        </w:tc>
        <w:tc>
          <w:tcPr>
            <w:tcW w:w="1305" w:type="pct"/>
          </w:tcPr>
          <w:p w14:paraId="598AE43D" w14:textId="77777777" w:rsidR="009F5725" w:rsidRPr="009F5725" w:rsidRDefault="009F5725" w:rsidP="009F5725">
            <w:pPr>
              <w:keepNext/>
              <w:spacing w:before="0" w:after="0"/>
              <w:rPr>
                <w:rFonts w:ascii="Arial Narrow" w:hAnsi="Arial Narrow" w:cs="Arial"/>
                <w:b/>
              </w:rPr>
            </w:pPr>
            <w:r w:rsidRPr="009F5725">
              <w:rPr>
                <w:rFonts w:ascii="Arial Narrow" w:hAnsi="Arial Narrow" w:cs="Arial"/>
                <w:b/>
              </w:rPr>
              <w:t>RR (95%CI)</w:t>
            </w:r>
          </w:p>
          <w:p w14:paraId="4062E854" w14:textId="77777777" w:rsidR="009F5725" w:rsidRPr="009F5725" w:rsidRDefault="009F5725" w:rsidP="009F5725">
            <w:pPr>
              <w:keepNext/>
              <w:spacing w:before="0" w:after="0"/>
              <w:rPr>
                <w:rFonts w:ascii="Arial Narrow" w:hAnsi="Arial Narrow" w:cs="Arial"/>
                <w:b/>
              </w:rPr>
            </w:pPr>
            <w:r w:rsidRPr="009F5725">
              <w:rPr>
                <w:rFonts w:ascii="Arial Narrow" w:hAnsi="Arial Narrow" w:cs="Arial"/>
                <w:b/>
              </w:rPr>
              <w:t>Difference, %</w:t>
            </w:r>
          </w:p>
        </w:tc>
      </w:tr>
      <w:tr w:rsidR="009F5725" w:rsidRPr="009F5725" w14:paraId="15DD920C"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vMerge w:val="restart"/>
          </w:tcPr>
          <w:p w14:paraId="646CB24A"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rPr>
              <w:t>Guy et al, 2018</w:t>
            </w:r>
          </w:p>
          <w:p w14:paraId="3900B206"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rPr>
              <w:t>(TTANGO)</w:t>
            </w:r>
          </w:p>
          <w:p w14:paraId="20413847" w14:textId="15435EF4" w:rsidR="009F5725" w:rsidRPr="009F5725" w:rsidRDefault="009F5725" w:rsidP="009F5725">
            <w:pPr>
              <w:keepNext/>
              <w:spacing w:before="0" w:after="0"/>
              <w:rPr>
                <w:rFonts w:ascii="Arial Narrow" w:hAnsi="Arial Narrow" w:cs="Arial"/>
                <w:bCs/>
              </w:rPr>
            </w:pPr>
            <w:r w:rsidRPr="009F5725">
              <w:rPr>
                <w:rFonts w:ascii="Arial Narrow" w:hAnsi="Arial Narrow" w:cs="Arial"/>
                <w:bCs/>
              </w:rPr>
              <w:t>Australia</w:t>
            </w:r>
          </w:p>
        </w:tc>
        <w:tc>
          <w:tcPr>
            <w:tcW w:w="1494" w:type="pct"/>
          </w:tcPr>
          <w:p w14:paraId="0118B27F" w14:textId="77777777" w:rsidR="009F5725" w:rsidRPr="009F5725" w:rsidRDefault="009F5725" w:rsidP="009F5725">
            <w:pPr>
              <w:keepNext/>
              <w:spacing w:before="0" w:after="0"/>
              <w:rPr>
                <w:rFonts w:ascii="Arial Narrow" w:hAnsi="Arial Narrow" w:cs="Arial"/>
                <w:bCs/>
                <w:snapToGrid w:val="0"/>
              </w:rPr>
            </w:pPr>
            <w:r w:rsidRPr="009F5725">
              <w:rPr>
                <w:rFonts w:ascii="Arial Narrow" w:hAnsi="Arial Narrow" w:cs="Arial"/>
                <w:bCs/>
                <w:snapToGrid w:val="0"/>
                <w:lang w:val="en-GB"/>
              </w:rPr>
              <w:t>Treated same day, (ITT)</w:t>
            </w:r>
          </w:p>
        </w:tc>
        <w:tc>
          <w:tcPr>
            <w:tcW w:w="786" w:type="pct"/>
          </w:tcPr>
          <w:p w14:paraId="2B84562E"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221/455 (49%)</w:t>
            </w:r>
          </w:p>
        </w:tc>
        <w:tc>
          <w:tcPr>
            <w:tcW w:w="786" w:type="pct"/>
          </w:tcPr>
          <w:p w14:paraId="0EEAE45A"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111/405 (27%)</w:t>
            </w:r>
          </w:p>
        </w:tc>
        <w:tc>
          <w:tcPr>
            <w:tcW w:w="1305" w:type="pct"/>
          </w:tcPr>
          <w:p w14:paraId="6447142B" w14:textId="77777777" w:rsidR="009F5725" w:rsidRPr="009F5725" w:rsidRDefault="009F5725" w:rsidP="009F5725">
            <w:pPr>
              <w:keepNext/>
              <w:spacing w:before="0" w:after="0"/>
              <w:rPr>
                <w:rFonts w:ascii="Arial Narrow" w:hAnsi="Arial Narrow" w:cs="Arial"/>
                <w:bCs/>
                <w:lang w:val="en-GB"/>
              </w:rPr>
            </w:pPr>
            <w:r w:rsidRPr="009F5725">
              <w:rPr>
                <w:rFonts w:ascii="Arial Narrow" w:hAnsi="Arial Narrow"/>
                <w:bCs/>
              </w:rPr>
              <w:t>1·77 (1·41, 2·23); p&lt;0·0001</w:t>
            </w:r>
          </w:p>
        </w:tc>
      </w:tr>
      <w:tr w:rsidR="009F5725" w:rsidRPr="009F5725" w14:paraId="58B8FEEC"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vMerge/>
          </w:tcPr>
          <w:p w14:paraId="70389F0A" w14:textId="77777777" w:rsidR="009F5725" w:rsidRPr="009F5725" w:rsidRDefault="009F5725" w:rsidP="009F5725">
            <w:pPr>
              <w:keepNext/>
              <w:spacing w:before="0" w:after="0"/>
              <w:rPr>
                <w:rFonts w:ascii="Arial Narrow" w:hAnsi="Arial Narrow" w:cs="Arial"/>
                <w:bCs/>
              </w:rPr>
            </w:pPr>
          </w:p>
        </w:tc>
        <w:tc>
          <w:tcPr>
            <w:tcW w:w="1494" w:type="pct"/>
          </w:tcPr>
          <w:p w14:paraId="473A23D1" w14:textId="4B9AC5C6" w:rsidR="009F5725" w:rsidRPr="009F5725" w:rsidRDefault="009F5725" w:rsidP="009F5725">
            <w:pPr>
              <w:keepNext/>
              <w:spacing w:before="0" w:after="0"/>
              <w:rPr>
                <w:rFonts w:ascii="Arial Narrow" w:hAnsi="Arial Narrow" w:cs="Arial"/>
                <w:bCs/>
                <w:snapToGrid w:val="0"/>
              </w:rPr>
            </w:pPr>
            <w:r w:rsidRPr="009F5725">
              <w:rPr>
                <w:rFonts w:ascii="Arial Narrow" w:hAnsi="Arial Narrow" w:cs="Arial"/>
                <w:bCs/>
                <w:snapToGrid w:val="0"/>
                <w:lang w:val="en-GB"/>
              </w:rPr>
              <w:t>Treated in ≤2 days, (ITT)</w:t>
            </w:r>
          </w:p>
        </w:tc>
        <w:tc>
          <w:tcPr>
            <w:tcW w:w="786" w:type="pct"/>
          </w:tcPr>
          <w:p w14:paraId="1C7CD308"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274/455 (60%)</w:t>
            </w:r>
          </w:p>
        </w:tc>
        <w:tc>
          <w:tcPr>
            <w:tcW w:w="786" w:type="pct"/>
          </w:tcPr>
          <w:p w14:paraId="7BB8A608"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122/405 (30%)</w:t>
            </w:r>
          </w:p>
        </w:tc>
        <w:tc>
          <w:tcPr>
            <w:tcW w:w="1305" w:type="pct"/>
          </w:tcPr>
          <w:p w14:paraId="75C66FB9" w14:textId="77777777" w:rsidR="009F5725" w:rsidRPr="009F5725" w:rsidRDefault="009F5725" w:rsidP="009F5725">
            <w:pPr>
              <w:keepNext/>
              <w:spacing w:before="0" w:after="0"/>
              <w:rPr>
                <w:rFonts w:ascii="Arial Narrow" w:hAnsi="Arial Narrow" w:cs="Arial"/>
                <w:bCs/>
                <w:lang w:val="en-GB"/>
              </w:rPr>
            </w:pPr>
            <w:r w:rsidRPr="009F5725">
              <w:rPr>
                <w:rFonts w:ascii="Arial Narrow" w:hAnsi="Arial Narrow"/>
                <w:bCs/>
              </w:rPr>
              <w:t>2·11 (1·64, 2·72); p&lt;0·0001</w:t>
            </w:r>
          </w:p>
        </w:tc>
      </w:tr>
      <w:tr w:rsidR="009F5725" w:rsidRPr="009F5725" w14:paraId="0C56B5AF"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vMerge/>
          </w:tcPr>
          <w:p w14:paraId="4C18812B" w14:textId="77777777" w:rsidR="009F5725" w:rsidRPr="009F5725" w:rsidRDefault="009F5725" w:rsidP="009F5725">
            <w:pPr>
              <w:keepNext/>
              <w:spacing w:before="0" w:after="0"/>
              <w:rPr>
                <w:rFonts w:ascii="Arial Narrow" w:hAnsi="Arial Narrow" w:cs="Arial"/>
                <w:bCs/>
              </w:rPr>
            </w:pPr>
          </w:p>
        </w:tc>
        <w:tc>
          <w:tcPr>
            <w:tcW w:w="1494" w:type="pct"/>
          </w:tcPr>
          <w:p w14:paraId="63203BDD" w14:textId="77777777" w:rsidR="009F5725" w:rsidRPr="009F5725" w:rsidRDefault="009F5725" w:rsidP="009F5725">
            <w:pPr>
              <w:keepNext/>
              <w:spacing w:before="0" w:after="0"/>
              <w:rPr>
                <w:rFonts w:ascii="Arial Narrow" w:hAnsi="Arial Narrow" w:cs="Arial"/>
                <w:bCs/>
                <w:snapToGrid w:val="0"/>
              </w:rPr>
            </w:pPr>
            <w:r w:rsidRPr="009F5725">
              <w:rPr>
                <w:rFonts w:ascii="Arial Narrow" w:hAnsi="Arial Narrow" w:cs="Arial"/>
                <w:bCs/>
                <w:snapToGrid w:val="0"/>
                <w:lang w:val="en-GB"/>
              </w:rPr>
              <w:t>Treated in ≤7 days, (ITT)</w:t>
            </w:r>
          </w:p>
        </w:tc>
        <w:tc>
          <w:tcPr>
            <w:tcW w:w="786" w:type="pct"/>
          </w:tcPr>
          <w:p w14:paraId="66A5870B"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347 (76%)</w:t>
            </w:r>
          </w:p>
        </w:tc>
        <w:tc>
          <w:tcPr>
            <w:tcW w:w="786" w:type="pct"/>
          </w:tcPr>
          <w:p w14:paraId="773A9133"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191 (47%)</w:t>
            </w:r>
          </w:p>
        </w:tc>
        <w:tc>
          <w:tcPr>
            <w:tcW w:w="1305" w:type="pct"/>
          </w:tcPr>
          <w:p w14:paraId="1CE15A6C" w14:textId="77777777" w:rsidR="009F5725" w:rsidRPr="009F5725" w:rsidRDefault="009F5725" w:rsidP="009F5725">
            <w:pPr>
              <w:keepNext/>
              <w:spacing w:before="0" w:after="0"/>
              <w:rPr>
                <w:rFonts w:ascii="Arial Narrow" w:hAnsi="Arial Narrow" w:cs="Arial"/>
                <w:bCs/>
                <w:lang w:val="en-GB"/>
              </w:rPr>
            </w:pPr>
            <w:r w:rsidRPr="009F5725">
              <w:rPr>
                <w:rFonts w:ascii="Arial Narrow" w:hAnsi="Arial Narrow"/>
                <w:bCs/>
              </w:rPr>
              <w:t>1·66, 1·41, 1·93; p&lt;0·0001</w:t>
            </w:r>
          </w:p>
        </w:tc>
      </w:tr>
      <w:tr w:rsidR="009F5725" w:rsidRPr="009F5725" w14:paraId="00E94C06"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vMerge/>
          </w:tcPr>
          <w:p w14:paraId="7584A2E2" w14:textId="77777777" w:rsidR="009F5725" w:rsidRPr="009F5725" w:rsidRDefault="009F5725" w:rsidP="009F5725">
            <w:pPr>
              <w:keepNext/>
              <w:spacing w:before="0" w:after="0"/>
              <w:rPr>
                <w:rFonts w:ascii="Arial Narrow" w:hAnsi="Arial Narrow" w:cs="Arial"/>
                <w:bCs/>
              </w:rPr>
            </w:pPr>
          </w:p>
        </w:tc>
        <w:tc>
          <w:tcPr>
            <w:tcW w:w="1494" w:type="pct"/>
          </w:tcPr>
          <w:p w14:paraId="7C69ADA9" w14:textId="77777777" w:rsidR="009F5725" w:rsidRPr="009F5725" w:rsidRDefault="009F5725" w:rsidP="009F5725">
            <w:pPr>
              <w:keepNext/>
              <w:spacing w:before="0" w:after="0"/>
              <w:rPr>
                <w:rFonts w:ascii="Arial Narrow" w:hAnsi="Arial Narrow" w:cs="Arial"/>
                <w:bCs/>
                <w:snapToGrid w:val="0"/>
              </w:rPr>
            </w:pPr>
            <w:r w:rsidRPr="009F5725">
              <w:rPr>
                <w:rFonts w:ascii="Arial Narrow" w:hAnsi="Arial Narrow" w:cs="Arial"/>
                <w:bCs/>
                <w:snapToGrid w:val="0"/>
                <w:lang w:val="en-GB"/>
              </w:rPr>
              <w:t>Treated in ≤4 months, (ITT)</w:t>
            </w:r>
          </w:p>
        </w:tc>
        <w:tc>
          <w:tcPr>
            <w:tcW w:w="786" w:type="pct"/>
          </w:tcPr>
          <w:p w14:paraId="7D382C72"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427/455 (94%)</w:t>
            </w:r>
          </w:p>
        </w:tc>
        <w:tc>
          <w:tcPr>
            <w:tcW w:w="786" w:type="pct"/>
          </w:tcPr>
          <w:p w14:paraId="6F0DFB96"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347/405 (86%)</w:t>
            </w:r>
          </w:p>
        </w:tc>
        <w:tc>
          <w:tcPr>
            <w:tcW w:w="1305" w:type="pct"/>
          </w:tcPr>
          <w:p w14:paraId="0679922C" w14:textId="77777777" w:rsidR="009F5725" w:rsidRPr="009F5725" w:rsidRDefault="009F5725" w:rsidP="009F5725">
            <w:pPr>
              <w:keepNext/>
              <w:spacing w:before="0" w:after="0"/>
              <w:rPr>
                <w:rFonts w:ascii="Arial Narrow" w:hAnsi="Arial Narrow" w:cs="Arial"/>
                <w:bCs/>
                <w:lang w:val="en-GB"/>
              </w:rPr>
            </w:pPr>
            <w:r w:rsidRPr="009F5725">
              <w:rPr>
                <w:rFonts w:ascii="Arial Narrow" w:hAnsi="Arial Narrow"/>
                <w:bCs/>
              </w:rPr>
              <w:t>1·08 (1·02, 1·15); p=0·019</w:t>
            </w:r>
          </w:p>
        </w:tc>
      </w:tr>
      <w:tr w:rsidR="009F5725" w:rsidRPr="009F5725" w14:paraId="6C6A1450"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vMerge/>
          </w:tcPr>
          <w:p w14:paraId="111631D6" w14:textId="77777777" w:rsidR="009F5725" w:rsidRPr="009F5725" w:rsidRDefault="009F5725" w:rsidP="009F5725">
            <w:pPr>
              <w:keepNext/>
              <w:spacing w:before="0" w:after="0"/>
              <w:rPr>
                <w:rFonts w:ascii="Arial Narrow" w:hAnsi="Arial Narrow" w:cs="Arial"/>
                <w:bCs/>
              </w:rPr>
            </w:pPr>
          </w:p>
        </w:tc>
        <w:tc>
          <w:tcPr>
            <w:tcW w:w="1494" w:type="pct"/>
          </w:tcPr>
          <w:p w14:paraId="1B82A64D" w14:textId="77777777" w:rsidR="009F5725" w:rsidRPr="009F5725" w:rsidRDefault="009F5725" w:rsidP="009F5725">
            <w:pPr>
              <w:keepNext/>
              <w:spacing w:before="0" w:after="0"/>
              <w:rPr>
                <w:rFonts w:ascii="Arial Narrow" w:hAnsi="Arial Narrow" w:cs="Arial"/>
                <w:bCs/>
                <w:snapToGrid w:val="0"/>
              </w:rPr>
            </w:pPr>
            <w:r w:rsidRPr="009F5725">
              <w:rPr>
                <w:rFonts w:ascii="Arial Narrow" w:hAnsi="Arial Narrow" w:cs="Arial"/>
                <w:bCs/>
                <w:snapToGrid w:val="0"/>
                <w:lang w:val="en-GB"/>
              </w:rPr>
              <w:t>Treated same day, (PP)</w:t>
            </w:r>
          </w:p>
        </w:tc>
        <w:tc>
          <w:tcPr>
            <w:tcW w:w="786" w:type="pct"/>
          </w:tcPr>
          <w:p w14:paraId="7E32A8DB"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 xml:space="preserve">180/318 (57%) </w:t>
            </w:r>
          </w:p>
        </w:tc>
        <w:tc>
          <w:tcPr>
            <w:tcW w:w="786" w:type="pct"/>
          </w:tcPr>
          <w:p w14:paraId="7884C9B0"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111/405 (27%)</w:t>
            </w:r>
          </w:p>
        </w:tc>
        <w:tc>
          <w:tcPr>
            <w:tcW w:w="1305" w:type="pct"/>
          </w:tcPr>
          <w:p w14:paraId="193A4B5E" w14:textId="77777777" w:rsidR="009F5725" w:rsidRPr="009F5725" w:rsidRDefault="009F5725" w:rsidP="009F5725">
            <w:pPr>
              <w:keepNext/>
              <w:spacing w:before="0" w:after="0"/>
              <w:rPr>
                <w:rFonts w:ascii="Arial Narrow" w:hAnsi="Arial Narrow" w:cs="Arial"/>
                <w:bCs/>
                <w:lang w:val="en-GB"/>
              </w:rPr>
            </w:pPr>
            <w:r w:rsidRPr="009F5725">
              <w:rPr>
                <w:rFonts w:ascii="Arial Narrow" w:hAnsi="Arial Narrow"/>
                <w:bCs/>
              </w:rPr>
              <w:t>2·10 (1·63, 2·62) p&lt;0·0001</w:t>
            </w:r>
          </w:p>
        </w:tc>
      </w:tr>
      <w:tr w:rsidR="009F5725" w:rsidRPr="009F5725" w14:paraId="4EC37A7C"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vMerge/>
          </w:tcPr>
          <w:p w14:paraId="3C9A1F9F" w14:textId="77777777" w:rsidR="009F5725" w:rsidRPr="009F5725" w:rsidRDefault="009F5725" w:rsidP="009F5725">
            <w:pPr>
              <w:keepNext/>
              <w:spacing w:before="0" w:after="0"/>
              <w:rPr>
                <w:rFonts w:ascii="Arial Narrow" w:hAnsi="Arial Narrow" w:cs="Arial"/>
                <w:bCs/>
              </w:rPr>
            </w:pPr>
          </w:p>
        </w:tc>
        <w:tc>
          <w:tcPr>
            <w:tcW w:w="1494" w:type="pct"/>
          </w:tcPr>
          <w:p w14:paraId="7FBBF997" w14:textId="77777777" w:rsidR="009F5725" w:rsidRPr="009F5725" w:rsidRDefault="009F5725" w:rsidP="009F5725">
            <w:pPr>
              <w:keepNext/>
              <w:spacing w:before="0" w:after="0"/>
              <w:rPr>
                <w:rFonts w:ascii="Arial Narrow" w:hAnsi="Arial Narrow" w:cs="Arial"/>
                <w:bCs/>
                <w:snapToGrid w:val="0"/>
              </w:rPr>
            </w:pPr>
            <w:r w:rsidRPr="009F5725">
              <w:rPr>
                <w:rFonts w:ascii="Arial Narrow" w:hAnsi="Arial Narrow" w:cs="Arial"/>
                <w:bCs/>
                <w:snapToGrid w:val="0"/>
                <w:lang w:val="en-GB"/>
              </w:rPr>
              <w:t>Treated in ≤2 days, (PP)</w:t>
            </w:r>
          </w:p>
        </w:tc>
        <w:tc>
          <w:tcPr>
            <w:tcW w:w="786" w:type="pct"/>
          </w:tcPr>
          <w:p w14:paraId="69630619"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 xml:space="preserve">249/318 (78%) </w:t>
            </w:r>
          </w:p>
        </w:tc>
        <w:tc>
          <w:tcPr>
            <w:tcW w:w="786" w:type="pct"/>
          </w:tcPr>
          <w:p w14:paraId="16EDCAD2"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122/405 (30%)</w:t>
            </w:r>
          </w:p>
        </w:tc>
        <w:tc>
          <w:tcPr>
            <w:tcW w:w="1305" w:type="pct"/>
          </w:tcPr>
          <w:p w14:paraId="3B8A96AF" w14:textId="77777777" w:rsidR="009F5725" w:rsidRPr="009F5725" w:rsidRDefault="009F5725" w:rsidP="009F5725">
            <w:pPr>
              <w:keepNext/>
              <w:spacing w:before="0" w:after="0"/>
              <w:rPr>
                <w:rFonts w:ascii="Arial Narrow" w:hAnsi="Arial Narrow" w:cs="Arial"/>
                <w:bCs/>
                <w:lang w:val="en-GB"/>
              </w:rPr>
            </w:pPr>
            <w:r w:rsidRPr="009F5725">
              <w:rPr>
                <w:rFonts w:ascii="Arial Narrow" w:hAnsi="Arial Narrow"/>
                <w:bCs/>
              </w:rPr>
              <w:t>2·47 (1·84, 3·31) p&lt;0·0001</w:t>
            </w:r>
          </w:p>
        </w:tc>
      </w:tr>
      <w:tr w:rsidR="009F5725" w:rsidRPr="009F5725" w14:paraId="2856AC56"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vMerge/>
          </w:tcPr>
          <w:p w14:paraId="3C3EC8C1" w14:textId="77777777" w:rsidR="009F5725" w:rsidRPr="009F5725" w:rsidRDefault="009F5725" w:rsidP="009F5725">
            <w:pPr>
              <w:keepNext/>
              <w:spacing w:before="0" w:after="0"/>
              <w:rPr>
                <w:rFonts w:ascii="Arial Narrow" w:hAnsi="Arial Narrow" w:cs="Arial"/>
                <w:bCs/>
              </w:rPr>
            </w:pPr>
          </w:p>
        </w:tc>
        <w:tc>
          <w:tcPr>
            <w:tcW w:w="1494" w:type="pct"/>
          </w:tcPr>
          <w:p w14:paraId="4FA8688F" w14:textId="77777777" w:rsidR="009F5725" w:rsidRPr="009F5725" w:rsidRDefault="009F5725" w:rsidP="009F5725">
            <w:pPr>
              <w:keepNext/>
              <w:spacing w:before="0" w:after="0"/>
              <w:rPr>
                <w:rFonts w:ascii="Arial Narrow" w:hAnsi="Arial Narrow" w:cs="Arial"/>
                <w:bCs/>
                <w:snapToGrid w:val="0"/>
              </w:rPr>
            </w:pPr>
            <w:r w:rsidRPr="009F5725">
              <w:rPr>
                <w:rFonts w:ascii="Arial Narrow" w:hAnsi="Arial Narrow" w:cs="Arial"/>
                <w:bCs/>
                <w:snapToGrid w:val="0"/>
                <w:lang w:val="en-GB"/>
              </w:rPr>
              <w:t>Treated in ≤7 days, (PP)</w:t>
            </w:r>
          </w:p>
        </w:tc>
        <w:tc>
          <w:tcPr>
            <w:tcW w:w="786" w:type="pct"/>
          </w:tcPr>
          <w:p w14:paraId="0AC004A1"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 xml:space="preserve">278/318 (87%) </w:t>
            </w:r>
          </w:p>
        </w:tc>
        <w:tc>
          <w:tcPr>
            <w:tcW w:w="786" w:type="pct"/>
          </w:tcPr>
          <w:p w14:paraId="037E3D54"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191/405 (47%)</w:t>
            </w:r>
          </w:p>
        </w:tc>
        <w:tc>
          <w:tcPr>
            <w:tcW w:w="1305" w:type="pct"/>
          </w:tcPr>
          <w:p w14:paraId="1D0372C5" w14:textId="77777777" w:rsidR="009F5725" w:rsidRPr="009F5725" w:rsidRDefault="009F5725" w:rsidP="009F5725">
            <w:pPr>
              <w:keepNext/>
              <w:spacing w:before="0" w:after="0"/>
              <w:rPr>
                <w:rFonts w:ascii="Arial Narrow" w:hAnsi="Arial Narrow" w:cs="Arial"/>
                <w:bCs/>
                <w:lang w:val="en-GB"/>
              </w:rPr>
            </w:pPr>
            <w:r w:rsidRPr="009F5725">
              <w:rPr>
                <w:rFonts w:ascii="Arial Narrow" w:hAnsi="Arial Narrow"/>
                <w:bCs/>
              </w:rPr>
              <w:t>1·88 (1·56, 2·26) p&lt;0·0001</w:t>
            </w:r>
          </w:p>
        </w:tc>
      </w:tr>
      <w:tr w:rsidR="009F5725" w:rsidRPr="009F5725" w14:paraId="1785F77A"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vMerge/>
          </w:tcPr>
          <w:p w14:paraId="201E1EA2" w14:textId="77777777" w:rsidR="009F5725" w:rsidRPr="009F5725" w:rsidRDefault="009F5725" w:rsidP="009F5725">
            <w:pPr>
              <w:keepNext/>
              <w:spacing w:before="0" w:after="0"/>
              <w:rPr>
                <w:rFonts w:ascii="Arial Narrow" w:hAnsi="Arial Narrow" w:cs="Arial"/>
                <w:bCs/>
              </w:rPr>
            </w:pPr>
          </w:p>
        </w:tc>
        <w:tc>
          <w:tcPr>
            <w:tcW w:w="1494" w:type="pct"/>
          </w:tcPr>
          <w:p w14:paraId="3E89F9F4" w14:textId="77777777" w:rsidR="009F5725" w:rsidRPr="009F5725" w:rsidRDefault="009F5725" w:rsidP="009F5725">
            <w:pPr>
              <w:keepNext/>
              <w:spacing w:before="0" w:after="0"/>
              <w:rPr>
                <w:rFonts w:ascii="Arial Narrow" w:hAnsi="Arial Narrow" w:cs="Arial"/>
                <w:bCs/>
                <w:snapToGrid w:val="0"/>
              </w:rPr>
            </w:pPr>
            <w:r w:rsidRPr="009F5725">
              <w:rPr>
                <w:rFonts w:ascii="Arial Narrow" w:hAnsi="Arial Narrow" w:cs="Arial"/>
                <w:bCs/>
                <w:snapToGrid w:val="0"/>
                <w:lang w:val="en-GB"/>
              </w:rPr>
              <w:t>Treated in ≤4 months, (PP)</w:t>
            </w:r>
          </w:p>
        </w:tc>
        <w:tc>
          <w:tcPr>
            <w:tcW w:w="786" w:type="pct"/>
          </w:tcPr>
          <w:p w14:paraId="4E46DBF5"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 xml:space="preserve">308/318 (97%) </w:t>
            </w:r>
          </w:p>
        </w:tc>
        <w:tc>
          <w:tcPr>
            <w:tcW w:w="786" w:type="pct"/>
          </w:tcPr>
          <w:p w14:paraId="0F712970"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lang w:val="en-GB"/>
              </w:rPr>
              <w:t>347/405 (86%)</w:t>
            </w:r>
          </w:p>
        </w:tc>
        <w:tc>
          <w:tcPr>
            <w:tcW w:w="1305" w:type="pct"/>
          </w:tcPr>
          <w:p w14:paraId="034F6297" w14:textId="77777777" w:rsidR="009F5725" w:rsidRPr="009F5725" w:rsidRDefault="009F5725" w:rsidP="009F5725">
            <w:pPr>
              <w:keepNext/>
              <w:spacing w:before="0" w:after="0"/>
              <w:rPr>
                <w:rFonts w:ascii="Arial Narrow" w:hAnsi="Arial Narrow" w:cs="Arial"/>
                <w:bCs/>
                <w:lang w:val="en-GB"/>
              </w:rPr>
            </w:pPr>
            <w:r w:rsidRPr="009F5725">
              <w:rPr>
                <w:rFonts w:ascii="Arial Narrow" w:hAnsi="Arial Narrow"/>
                <w:bCs/>
              </w:rPr>
              <w:t>1·11 (1·04, 1·18) p=0·002</w:t>
            </w:r>
          </w:p>
        </w:tc>
      </w:tr>
      <w:tr w:rsidR="009F5725" w:rsidRPr="009F5725" w14:paraId="7C139A45"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vMerge w:val="restart"/>
          </w:tcPr>
          <w:p w14:paraId="0973B4C7" w14:textId="7DFBBA6E" w:rsidR="009F5725" w:rsidRPr="009F5725" w:rsidRDefault="009F5725" w:rsidP="009F5725">
            <w:pPr>
              <w:keepNext/>
              <w:spacing w:before="0" w:after="0"/>
              <w:rPr>
                <w:rFonts w:ascii="Arial Narrow" w:hAnsi="Arial Narrow" w:cs="Arial"/>
              </w:rPr>
            </w:pPr>
            <w:r w:rsidRPr="009F5725">
              <w:rPr>
                <w:rFonts w:ascii="Arial Narrow" w:hAnsi="Arial Narrow" w:cs="Arial"/>
              </w:rPr>
              <w:t>Martin (2022)</w:t>
            </w:r>
            <w:r w:rsidR="003C5311">
              <w:rPr>
                <w:rStyle w:val="FootnoteReference"/>
                <w:rFonts w:ascii="Arial Narrow" w:hAnsi="Arial Narrow" w:cs="Arial"/>
              </w:rPr>
              <w:footnoteReference w:id="13"/>
            </w:r>
          </w:p>
          <w:p w14:paraId="36EAFC47" w14:textId="77777777" w:rsidR="009F5725" w:rsidRPr="009F5725" w:rsidDel="00F57220" w:rsidRDefault="009F5725" w:rsidP="009F5725">
            <w:pPr>
              <w:keepNext/>
              <w:spacing w:before="0" w:after="0"/>
              <w:rPr>
                <w:rFonts w:ascii="Arial Narrow" w:hAnsi="Arial Narrow" w:cs="Arial"/>
                <w:bCs/>
              </w:rPr>
            </w:pPr>
            <w:r w:rsidRPr="009F5725">
              <w:rPr>
                <w:rFonts w:ascii="Arial Narrow" w:hAnsi="Arial Narrow" w:cs="Arial"/>
              </w:rPr>
              <w:t>Zimbabwe</w:t>
            </w:r>
          </w:p>
        </w:tc>
        <w:tc>
          <w:tcPr>
            <w:tcW w:w="1494" w:type="pct"/>
          </w:tcPr>
          <w:p w14:paraId="6FDCFC4B" w14:textId="77777777" w:rsidR="009F5725" w:rsidRPr="009F5725" w:rsidRDefault="009F5725" w:rsidP="009F5725">
            <w:pPr>
              <w:keepNext/>
              <w:spacing w:before="0" w:after="0"/>
              <w:rPr>
                <w:rFonts w:ascii="Arial Narrow" w:hAnsi="Arial Narrow" w:cs="Arial"/>
                <w:bCs/>
                <w:snapToGrid w:val="0"/>
              </w:rPr>
            </w:pPr>
            <w:r w:rsidRPr="009F5725">
              <w:rPr>
                <w:rFonts w:ascii="Arial Narrow" w:hAnsi="Arial Narrow" w:cs="Arial"/>
                <w:bCs/>
                <w:snapToGrid w:val="0"/>
              </w:rPr>
              <w:t>Proportion of positive results treated</w:t>
            </w:r>
          </w:p>
        </w:tc>
        <w:tc>
          <w:tcPr>
            <w:tcW w:w="786" w:type="pct"/>
          </w:tcPr>
          <w:p w14:paraId="0BC7B48C"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rPr>
              <w:t>39/61 (63.9%)</w:t>
            </w:r>
          </w:p>
        </w:tc>
        <w:tc>
          <w:tcPr>
            <w:tcW w:w="786" w:type="pct"/>
          </w:tcPr>
          <w:p w14:paraId="07661689"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rPr>
              <w:t>66/110 (60.0%)</w:t>
            </w:r>
          </w:p>
        </w:tc>
        <w:tc>
          <w:tcPr>
            <w:tcW w:w="1305" w:type="pct"/>
          </w:tcPr>
          <w:p w14:paraId="727B37AB"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rPr>
              <w:t>3.9%</w:t>
            </w:r>
          </w:p>
        </w:tc>
      </w:tr>
      <w:tr w:rsidR="009F5725" w:rsidRPr="009F5725" w14:paraId="21F43B77"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vMerge/>
          </w:tcPr>
          <w:p w14:paraId="171252B6" w14:textId="77777777" w:rsidR="009F5725" w:rsidRPr="009F5725" w:rsidDel="00F57220" w:rsidRDefault="009F5725" w:rsidP="009F5725">
            <w:pPr>
              <w:keepNext/>
              <w:spacing w:before="0" w:after="0"/>
              <w:rPr>
                <w:rFonts w:ascii="Arial Narrow" w:hAnsi="Arial Narrow" w:cs="Arial"/>
                <w:bCs/>
              </w:rPr>
            </w:pPr>
          </w:p>
        </w:tc>
        <w:tc>
          <w:tcPr>
            <w:tcW w:w="1494" w:type="pct"/>
          </w:tcPr>
          <w:p w14:paraId="34FBDD85" w14:textId="77777777" w:rsidR="009F5725" w:rsidRPr="009F5725" w:rsidRDefault="009F5725" w:rsidP="009F5725">
            <w:pPr>
              <w:keepNext/>
              <w:spacing w:before="0" w:after="0"/>
              <w:rPr>
                <w:rFonts w:ascii="Arial Narrow" w:hAnsi="Arial Narrow" w:cs="Arial"/>
                <w:bCs/>
                <w:snapToGrid w:val="0"/>
              </w:rPr>
            </w:pPr>
            <w:r w:rsidRPr="009F5725">
              <w:rPr>
                <w:rFonts w:ascii="Arial Narrow" w:hAnsi="Arial Narrow" w:cs="Arial"/>
                <w:bCs/>
                <w:snapToGrid w:val="0"/>
              </w:rPr>
              <w:t>Positive patients receiving syndromic treatment</w:t>
            </w:r>
          </w:p>
        </w:tc>
        <w:tc>
          <w:tcPr>
            <w:tcW w:w="786" w:type="pct"/>
          </w:tcPr>
          <w:p w14:paraId="3D6E0325"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rPr>
              <w:t>5/61 (8.2%)</w:t>
            </w:r>
          </w:p>
        </w:tc>
        <w:tc>
          <w:tcPr>
            <w:tcW w:w="786" w:type="pct"/>
          </w:tcPr>
          <w:p w14:paraId="407B7563"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rPr>
              <w:t>0/110 (0.0%)</w:t>
            </w:r>
          </w:p>
        </w:tc>
        <w:tc>
          <w:tcPr>
            <w:tcW w:w="1305" w:type="pct"/>
          </w:tcPr>
          <w:p w14:paraId="5B5333BA"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rPr>
              <w:t>8.2%</w:t>
            </w:r>
          </w:p>
        </w:tc>
      </w:tr>
      <w:tr w:rsidR="009F5725" w:rsidRPr="009F5725" w14:paraId="34C5CBF6"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vMerge/>
          </w:tcPr>
          <w:p w14:paraId="319A165A" w14:textId="77777777" w:rsidR="009F5725" w:rsidRPr="009F5725" w:rsidDel="00F57220" w:rsidRDefault="009F5725" w:rsidP="009F5725">
            <w:pPr>
              <w:keepNext/>
              <w:spacing w:before="0" w:after="0"/>
              <w:rPr>
                <w:rFonts w:ascii="Arial Narrow" w:hAnsi="Arial Narrow" w:cs="Arial"/>
                <w:bCs/>
              </w:rPr>
            </w:pPr>
          </w:p>
        </w:tc>
        <w:tc>
          <w:tcPr>
            <w:tcW w:w="1494" w:type="pct"/>
          </w:tcPr>
          <w:p w14:paraId="7F585787" w14:textId="77777777" w:rsidR="009F5725" w:rsidRPr="009F5725" w:rsidRDefault="009F5725" w:rsidP="009F5725">
            <w:pPr>
              <w:keepNext/>
              <w:spacing w:before="0" w:after="0"/>
              <w:rPr>
                <w:rFonts w:ascii="Arial Narrow" w:hAnsi="Arial Narrow" w:cs="Arial"/>
                <w:bCs/>
                <w:snapToGrid w:val="0"/>
              </w:rPr>
            </w:pPr>
            <w:r w:rsidRPr="009F5725">
              <w:rPr>
                <w:rFonts w:ascii="Arial Narrow" w:hAnsi="Arial Narrow" w:cs="Arial"/>
                <w:bCs/>
                <w:snapToGrid w:val="0"/>
              </w:rPr>
              <w:t xml:space="preserve">Positive patients treated on same day based on </w:t>
            </w:r>
            <w:proofErr w:type="spellStart"/>
            <w:r w:rsidRPr="009F5725">
              <w:rPr>
                <w:rFonts w:ascii="Arial Narrow" w:hAnsi="Arial Narrow" w:cs="Arial"/>
                <w:bCs/>
                <w:snapToGrid w:val="0"/>
              </w:rPr>
              <w:t>Xpert</w:t>
            </w:r>
            <w:proofErr w:type="spellEnd"/>
            <w:r w:rsidRPr="009F5725">
              <w:rPr>
                <w:rFonts w:ascii="Arial Narrow" w:hAnsi="Arial Narrow" w:cs="Arial"/>
                <w:bCs/>
                <w:snapToGrid w:val="0"/>
              </w:rPr>
              <w:t xml:space="preserve"> diagnosis</w:t>
            </w:r>
          </w:p>
        </w:tc>
        <w:tc>
          <w:tcPr>
            <w:tcW w:w="786" w:type="pct"/>
          </w:tcPr>
          <w:p w14:paraId="7B22D844"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rPr>
              <w:t>1/61 (1.6%)</w:t>
            </w:r>
          </w:p>
        </w:tc>
        <w:tc>
          <w:tcPr>
            <w:tcW w:w="786" w:type="pct"/>
          </w:tcPr>
          <w:p w14:paraId="02CF9D38"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rPr>
              <w:t>0/110 (0.0%)</w:t>
            </w:r>
          </w:p>
        </w:tc>
        <w:tc>
          <w:tcPr>
            <w:tcW w:w="1305" w:type="pct"/>
          </w:tcPr>
          <w:p w14:paraId="71CF3233"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rPr>
              <w:t>1.6%</w:t>
            </w:r>
          </w:p>
        </w:tc>
      </w:tr>
      <w:tr w:rsidR="009F5725" w:rsidRPr="009F5725" w14:paraId="474BE1FA"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vMerge/>
          </w:tcPr>
          <w:p w14:paraId="232E6978" w14:textId="77777777" w:rsidR="009F5725" w:rsidRPr="009F5725" w:rsidDel="00F57220" w:rsidRDefault="009F5725" w:rsidP="009F5725">
            <w:pPr>
              <w:keepNext/>
              <w:spacing w:before="0" w:after="0"/>
              <w:rPr>
                <w:rFonts w:ascii="Arial Narrow" w:hAnsi="Arial Narrow" w:cs="Arial"/>
                <w:bCs/>
              </w:rPr>
            </w:pPr>
          </w:p>
        </w:tc>
        <w:tc>
          <w:tcPr>
            <w:tcW w:w="1494" w:type="pct"/>
          </w:tcPr>
          <w:p w14:paraId="4690F6E9" w14:textId="77777777" w:rsidR="009F5725" w:rsidRPr="009F5725" w:rsidRDefault="009F5725" w:rsidP="009F5725">
            <w:pPr>
              <w:keepNext/>
              <w:spacing w:before="0" w:after="0"/>
              <w:rPr>
                <w:rFonts w:ascii="Arial Narrow" w:hAnsi="Arial Narrow" w:cs="Arial"/>
                <w:bCs/>
                <w:snapToGrid w:val="0"/>
              </w:rPr>
            </w:pPr>
            <w:r w:rsidRPr="009F5725">
              <w:rPr>
                <w:rFonts w:ascii="Arial Narrow" w:hAnsi="Arial Narrow" w:cs="Arial"/>
                <w:bCs/>
                <w:snapToGrid w:val="0"/>
              </w:rPr>
              <w:t xml:space="preserve">Positive patients treated on subsequent day based on </w:t>
            </w:r>
            <w:proofErr w:type="spellStart"/>
            <w:r w:rsidRPr="009F5725">
              <w:rPr>
                <w:rFonts w:ascii="Arial Narrow" w:hAnsi="Arial Narrow" w:cs="Arial"/>
                <w:bCs/>
                <w:snapToGrid w:val="0"/>
              </w:rPr>
              <w:t>Xpert</w:t>
            </w:r>
            <w:proofErr w:type="spellEnd"/>
            <w:r w:rsidRPr="009F5725">
              <w:rPr>
                <w:rFonts w:ascii="Arial Narrow" w:hAnsi="Arial Narrow" w:cs="Arial"/>
                <w:bCs/>
                <w:snapToGrid w:val="0"/>
              </w:rPr>
              <w:t xml:space="preserve"> diagnosis</w:t>
            </w:r>
          </w:p>
        </w:tc>
        <w:tc>
          <w:tcPr>
            <w:tcW w:w="786" w:type="pct"/>
          </w:tcPr>
          <w:p w14:paraId="425D2C13"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rPr>
              <w:t>33/61 (54.1%)</w:t>
            </w:r>
          </w:p>
        </w:tc>
        <w:tc>
          <w:tcPr>
            <w:tcW w:w="786" w:type="pct"/>
          </w:tcPr>
          <w:p w14:paraId="0B70B02B"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rPr>
              <w:t>66/110 (60.0%)</w:t>
            </w:r>
          </w:p>
        </w:tc>
        <w:tc>
          <w:tcPr>
            <w:tcW w:w="1305" w:type="pct"/>
          </w:tcPr>
          <w:p w14:paraId="7D231E3C"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rPr>
              <w:t>5.9%</w:t>
            </w:r>
          </w:p>
        </w:tc>
      </w:tr>
      <w:tr w:rsidR="009F5725" w:rsidRPr="009F5725" w14:paraId="33DEA4A2" w14:textId="77777777" w:rsidTr="003D71A9">
        <w:trPr>
          <w:cnfStyle w:val="100000000000" w:firstRow="1" w:lastRow="0" w:firstColumn="0" w:lastColumn="0" w:oddVBand="0" w:evenVBand="0" w:oddHBand="0" w:evenHBand="0" w:firstRowFirstColumn="0" w:firstRowLastColumn="0" w:lastRowFirstColumn="0" w:lastRowLastColumn="0"/>
          <w:trHeight w:val="464"/>
          <w:tblHeader/>
        </w:trPr>
        <w:tc>
          <w:tcPr>
            <w:tcW w:w="629" w:type="pct"/>
          </w:tcPr>
          <w:p w14:paraId="4529092A"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rPr>
              <w:t>Wynn et al (2018)</w:t>
            </w:r>
          </w:p>
          <w:p w14:paraId="525165D3"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rPr>
              <w:t>Botswana</w:t>
            </w:r>
          </w:p>
        </w:tc>
        <w:tc>
          <w:tcPr>
            <w:tcW w:w="1494" w:type="pct"/>
          </w:tcPr>
          <w:p w14:paraId="17BC3A21" w14:textId="77777777" w:rsidR="009F5725" w:rsidRPr="009F5725" w:rsidRDefault="009F5725" w:rsidP="009F5725">
            <w:pPr>
              <w:keepNext/>
              <w:spacing w:before="0" w:after="0"/>
              <w:rPr>
                <w:rFonts w:ascii="Arial Narrow" w:hAnsi="Arial Narrow" w:cs="Arial"/>
                <w:bCs/>
                <w:snapToGrid w:val="0"/>
              </w:rPr>
            </w:pPr>
            <w:r w:rsidRPr="009F5725">
              <w:rPr>
                <w:rFonts w:ascii="Arial Narrow" w:hAnsi="Arial Narrow" w:cs="Arial"/>
                <w:bCs/>
                <w:snapToGrid w:val="0"/>
              </w:rPr>
              <w:t>Patients treated the same day</w:t>
            </w:r>
          </w:p>
        </w:tc>
        <w:tc>
          <w:tcPr>
            <w:tcW w:w="786" w:type="pct"/>
          </w:tcPr>
          <w:p w14:paraId="2B0EBBBD"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rPr>
              <w:t>42/54 (77)</w:t>
            </w:r>
          </w:p>
        </w:tc>
        <w:tc>
          <w:tcPr>
            <w:tcW w:w="786" w:type="pct"/>
          </w:tcPr>
          <w:p w14:paraId="6F44FA87"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rPr>
              <w:t>NA</w:t>
            </w:r>
          </w:p>
        </w:tc>
        <w:tc>
          <w:tcPr>
            <w:tcW w:w="1305" w:type="pct"/>
          </w:tcPr>
          <w:p w14:paraId="444C0813" w14:textId="77777777" w:rsidR="009F5725" w:rsidRPr="009F5725" w:rsidRDefault="009F5725" w:rsidP="009F5725">
            <w:pPr>
              <w:keepNext/>
              <w:spacing w:before="0" w:after="0"/>
              <w:rPr>
                <w:rFonts w:ascii="Arial Narrow" w:hAnsi="Arial Narrow" w:cs="Arial"/>
                <w:bCs/>
              </w:rPr>
            </w:pPr>
            <w:r w:rsidRPr="009F5725">
              <w:rPr>
                <w:rFonts w:ascii="Arial Narrow" w:hAnsi="Arial Narrow" w:cs="Arial"/>
                <w:bCs/>
              </w:rPr>
              <w:t>NA</w:t>
            </w:r>
          </w:p>
        </w:tc>
      </w:tr>
    </w:tbl>
    <w:p w14:paraId="699128D5" w14:textId="5F8E773F" w:rsidR="00D1079C" w:rsidRDefault="00760A37" w:rsidP="005C78D2">
      <w:pPr>
        <w:widowControl w:val="0"/>
        <w:spacing w:after="120" w:line="240" w:lineRule="auto"/>
        <w:contextualSpacing/>
        <w:rPr>
          <w:rFonts w:ascii="Arial Narrow" w:eastAsia="Times New Roman" w:hAnsi="Arial Narrow" w:cs="Arial"/>
          <w:snapToGrid w:val="0"/>
          <w:sz w:val="18"/>
          <w:szCs w:val="20"/>
        </w:rPr>
      </w:pPr>
      <w:r>
        <w:rPr>
          <w:rFonts w:ascii="Arial Narrow" w:eastAsia="Times New Roman" w:hAnsi="Arial Narrow" w:cs="Arial"/>
          <w:snapToGrid w:val="0"/>
          <w:sz w:val="18"/>
          <w:szCs w:val="20"/>
        </w:rPr>
        <w:t xml:space="preserve">Source: </w:t>
      </w:r>
      <w:r w:rsidR="00E739FF">
        <w:rPr>
          <w:rFonts w:ascii="Arial Narrow" w:eastAsia="Times New Roman" w:hAnsi="Arial Narrow" w:cs="Arial"/>
          <w:snapToGrid w:val="0"/>
          <w:sz w:val="18"/>
          <w:szCs w:val="20"/>
        </w:rPr>
        <w:t xml:space="preserve">Commentary Table 17, </w:t>
      </w:r>
      <w:proofErr w:type="spellStart"/>
      <w:r w:rsidR="00E739FF">
        <w:rPr>
          <w:rFonts w:ascii="Arial Narrow" w:eastAsia="Times New Roman" w:hAnsi="Arial Narrow" w:cs="Arial"/>
          <w:snapToGrid w:val="0"/>
          <w:sz w:val="18"/>
          <w:szCs w:val="20"/>
        </w:rPr>
        <w:t>pg</w:t>
      </w:r>
      <w:proofErr w:type="spellEnd"/>
      <w:r w:rsidR="00E739FF">
        <w:rPr>
          <w:rFonts w:ascii="Arial Narrow" w:eastAsia="Times New Roman" w:hAnsi="Arial Narrow" w:cs="Arial"/>
          <w:snapToGrid w:val="0"/>
          <w:sz w:val="18"/>
          <w:szCs w:val="20"/>
        </w:rPr>
        <w:t xml:space="preserve"> 81</w:t>
      </w:r>
      <w:r w:rsidR="00D1079C">
        <w:rPr>
          <w:rFonts w:ascii="Arial Narrow" w:eastAsia="Times New Roman" w:hAnsi="Arial Narrow" w:cs="Arial"/>
          <w:snapToGrid w:val="0"/>
          <w:sz w:val="18"/>
          <w:szCs w:val="20"/>
        </w:rPr>
        <w:t xml:space="preserve"> of MSAC 1627</w:t>
      </w:r>
      <w:r w:rsidR="00D1079C" w:rsidRPr="00D1079C">
        <w:rPr>
          <w:rFonts w:ascii="Arial Narrow" w:eastAsia="Times New Roman" w:hAnsi="Arial Narrow" w:cs="Arial"/>
          <w:snapToGrid w:val="0"/>
          <w:sz w:val="18"/>
          <w:szCs w:val="20"/>
        </w:rPr>
        <w:t xml:space="preserve"> </w:t>
      </w:r>
      <w:proofErr w:type="spellStart"/>
      <w:r w:rsidR="00D1079C" w:rsidRPr="00D1079C">
        <w:rPr>
          <w:rFonts w:ascii="Arial Narrow" w:eastAsia="Times New Roman" w:hAnsi="Arial Narrow" w:cs="Arial"/>
          <w:snapToGrid w:val="0"/>
          <w:sz w:val="18"/>
          <w:szCs w:val="20"/>
        </w:rPr>
        <w:t>ADAR</w:t>
      </w:r>
      <w:r>
        <w:rPr>
          <w:rFonts w:ascii="Arial Narrow" w:eastAsia="Times New Roman" w:hAnsi="Arial Narrow" w:cs="Arial"/>
          <w:snapToGrid w:val="0"/>
          <w:sz w:val="18"/>
          <w:szCs w:val="20"/>
        </w:rPr>
        <w:t>+in-line</w:t>
      </w:r>
      <w:proofErr w:type="spellEnd"/>
      <w:r>
        <w:rPr>
          <w:rFonts w:ascii="Arial Narrow" w:eastAsia="Times New Roman" w:hAnsi="Arial Narrow" w:cs="Arial"/>
          <w:snapToGrid w:val="0"/>
          <w:sz w:val="18"/>
          <w:szCs w:val="20"/>
        </w:rPr>
        <w:t xml:space="preserve"> commentary</w:t>
      </w:r>
    </w:p>
    <w:p w14:paraId="17DDD259" w14:textId="6185EAE4" w:rsidR="005C78D2" w:rsidRPr="002F3EC4" w:rsidRDefault="005C78D2" w:rsidP="005C78D2">
      <w:pPr>
        <w:widowControl w:val="0"/>
        <w:spacing w:after="120" w:line="240" w:lineRule="auto"/>
        <w:contextualSpacing/>
        <w:rPr>
          <w:rFonts w:ascii="Arial Narrow" w:eastAsia="Times New Roman" w:hAnsi="Arial Narrow" w:cs="Arial"/>
          <w:snapToGrid w:val="0"/>
          <w:sz w:val="18"/>
          <w:szCs w:val="20"/>
        </w:rPr>
      </w:pPr>
      <w:r w:rsidRPr="002F3EC4">
        <w:rPr>
          <w:rFonts w:ascii="Arial Narrow" w:eastAsia="Times New Roman" w:hAnsi="Arial Narrow" w:cs="Arial"/>
          <w:snapToGrid w:val="0"/>
          <w:sz w:val="18"/>
          <w:szCs w:val="20"/>
        </w:rPr>
        <w:t>CI = confidence interval; ITT = intention to treat; N = number of patients; NA = not applicable; POC = point of care; PP = per protocol; RR = relative risk; SOC = standard of care (in this case, testing within a laboratory setting)</w:t>
      </w:r>
    </w:p>
    <w:p w14:paraId="3F935EC5" w14:textId="4855B5CC" w:rsidR="00B53AA0" w:rsidRDefault="00B53AA0" w:rsidP="00B53AA0">
      <w:pPr>
        <w:pStyle w:val="Heading4"/>
        <w:rPr>
          <w:snapToGrid w:val="0"/>
        </w:rPr>
      </w:pPr>
      <w:r w:rsidRPr="00B53AA0">
        <w:rPr>
          <w:snapToGrid w:val="0"/>
        </w:rPr>
        <w:lastRenderedPageBreak/>
        <w:t>Overtreatment of CT and/or NG negative patients</w:t>
      </w:r>
    </w:p>
    <w:p w14:paraId="1B2C20F6" w14:textId="4C36B112" w:rsidR="00B53AA0" w:rsidRPr="003D12FC" w:rsidRDefault="003D12FC" w:rsidP="00B53AA0">
      <w:r w:rsidRPr="003D12FC">
        <w:t>Evidence from the Australian TTANGO2 study</w:t>
      </w:r>
      <w:r w:rsidR="009341C9">
        <w:t xml:space="preserve"> (an expansion of the TTANGO study)</w:t>
      </w:r>
      <w:r w:rsidRPr="003D12FC">
        <w:t xml:space="preserve"> and two international RCTs indicated that POC testing reduces “overtreatment” of patients without a CT and/or NG infection with antibiotics</w:t>
      </w:r>
      <w:r w:rsidR="005114B7">
        <w:t xml:space="preserve"> (</w:t>
      </w:r>
      <w:r w:rsidR="005114B7">
        <w:fldChar w:fldCharType="begin"/>
      </w:r>
      <w:r w:rsidR="005114B7">
        <w:instrText xml:space="preserve"> REF _Ref111631228 \h </w:instrText>
      </w:r>
      <w:r w:rsidR="005114B7">
        <w:fldChar w:fldCharType="separate"/>
      </w:r>
      <w:r w:rsidR="00CE44AB">
        <w:t xml:space="preserve">Table </w:t>
      </w:r>
      <w:r w:rsidR="00CE44AB">
        <w:rPr>
          <w:noProof/>
        </w:rPr>
        <w:t>9</w:t>
      </w:r>
      <w:r w:rsidR="005114B7">
        <w:fldChar w:fldCharType="end"/>
      </w:r>
      <w:r w:rsidR="005114B7">
        <w:t>)</w:t>
      </w:r>
      <w:r w:rsidRPr="003D12FC">
        <w:t xml:space="preserve">. The TTANGO2 study suggested that 62% of those treated empirically in a SOC setting </w:t>
      </w:r>
      <w:r w:rsidR="00D35EF7">
        <w:t>were uninfected</w:t>
      </w:r>
      <w:r w:rsidRPr="003D12FC">
        <w:t xml:space="preserve">. The introduction of POC </w:t>
      </w:r>
      <w:r w:rsidR="00D35EF7">
        <w:t>testing made empiric treatment</w:t>
      </w:r>
      <w:r w:rsidRPr="003D12FC">
        <w:t xml:space="preserve"> more selective (49% CT and NG negative). The two</w:t>
      </w:r>
      <w:r w:rsidR="00D35EF7">
        <w:t xml:space="preserve"> international</w:t>
      </w:r>
      <w:r w:rsidRPr="003D12FC">
        <w:t xml:space="preserve"> RCTs reported a reduction in overtreatment of test-negative patients </w:t>
      </w:r>
      <w:r w:rsidR="00D35EF7">
        <w:t>for</w:t>
      </w:r>
      <w:r w:rsidRPr="003D12FC">
        <w:t xml:space="preserve"> POC testing </w:t>
      </w:r>
      <w:r w:rsidR="00D35EF7">
        <w:t xml:space="preserve">versus SOC testing </w:t>
      </w:r>
      <w:r w:rsidRPr="003D12FC">
        <w:t xml:space="preserve">that ranged from 21% to 33%. As </w:t>
      </w:r>
      <w:r w:rsidR="005114B7">
        <w:t>the two international RCTs</w:t>
      </w:r>
      <w:r w:rsidRPr="003D12FC">
        <w:t xml:space="preserve"> were conducted in a different setting (urban emergency departments in the US) and in symptomatic populations, the applicability and generalisability of th</w:t>
      </w:r>
      <w:r w:rsidR="00AF055E">
        <w:t>ese</w:t>
      </w:r>
      <w:r w:rsidRPr="003D12FC">
        <w:t xml:space="preserve"> data to the proposed use in Australia (asymptomatic and symptomatic patients in regional or remote health clinics) is uncertain.</w:t>
      </w:r>
    </w:p>
    <w:p w14:paraId="485309D4" w14:textId="455D6637" w:rsidR="003D12FC" w:rsidRDefault="00916F2B" w:rsidP="00916F2B">
      <w:pPr>
        <w:pStyle w:val="Heading4"/>
      </w:pPr>
      <w:r>
        <w:t>Undertreatment of CT and/or NG positiv</w:t>
      </w:r>
      <w:r w:rsidR="00B53AA0" w:rsidRPr="00916F2B">
        <w:t>e patients</w:t>
      </w:r>
    </w:p>
    <w:p w14:paraId="38B0B463" w14:textId="5CAF6863" w:rsidR="003D12FC" w:rsidRDefault="00916F2B" w:rsidP="00916F2B">
      <w:r w:rsidRPr="00916F2B">
        <w:t xml:space="preserve">Evidence </w:t>
      </w:r>
      <w:r w:rsidR="00DA01F8">
        <w:t xml:space="preserve">for </w:t>
      </w:r>
      <w:r w:rsidR="00D35EF7">
        <w:t>“</w:t>
      </w:r>
      <w:r w:rsidR="00DA01F8" w:rsidRPr="00D35EF7">
        <w:rPr>
          <w:i/>
        </w:rPr>
        <w:t>undertreatment</w:t>
      </w:r>
      <w:r w:rsidR="00D35EF7">
        <w:t>”</w:t>
      </w:r>
      <w:r w:rsidR="00DA01F8">
        <w:t xml:space="preserve"> was</w:t>
      </w:r>
      <w:r w:rsidR="00D35EF7">
        <w:t xml:space="preserve"> available from</w:t>
      </w:r>
      <w:r w:rsidRPr="00916F2B">
        <w:t xml:space="preserve"> the </w:t>
      </w:r>
      <w:r w:rsidR="009341C9">
        <w:t xml:space="preserve">Australian </w:t>
      </w:r>
      <w:r w:rsidRPr="00916F2B">
        <w:t>TTANGO study based on the number of positive patients who did not receive antibiotic treatment at pre-specified time points, as discussed above</w:t>
      </w:r>
      <w:r>
        <w:t xml:space="preserve">. </w:t>
      </w:r>
      <w:r w:rsidR="00C01204">
        <w:t xml:space="preserve">Empiric treatment was permitted in the TTANGO study for patients receiving POC </w:t>
      </w:r>
      <w:proofErr w:type="gramStart"/>
      <w:r w:rsidR="00C01204">
        <w:t>testing</w:t>
      </w:r>
      <w:proofErr w:type="gramEnd"/>
      <w:r w:rsidR="002614D5">
        <w:t xml:space="preserve"> or SOC testing</w:t>
      </w:r>
      <w:r w:rsidR="00D35EF7">
        <w:t xml:space="preserve"> based on the clinician</w:t>
      </w:r>
      <w:r w:rsidR="007B5353">
        <w:t>’</w:t>
      </w:r>
      <w:r w:rsidR="00D35EF7">
        <w:t>s discretion</w:t>
      </w:r>
      <w:r w:rsidR="002614D5">
        <w:t>.</w:t>
      </w:r>
      <w:r w:rsidR="00C01204">
        <w:t xml:space="preserve"> For the </w:t>
      </w:r>
      <w:r w:rsidR="00AF055E">
        <w:t>per-protocol (</w:t>
      </w:r>
      <w:r w:rsidR="00C01204">
        <w:t>PP</w:t>
      </w:r>
      <w:r w:rsidR="00AF055E">
        <w:t>)</w:t>
      </w:r>
      <w:r w:rsidR="00C01204">
        <w:t xml:space="preserve"> population, undertreatment was reduced for </w:t>
      </w:r>
      <w:r w:rsidRPr="00C01204">
        <w:t>CT and/or NG positiv</w:t>
      </w:r>
      <w:r w:rsidR="00B53AA0" w:rsidRPr="00C01204">
        <w:t>e patients</w:t>
      </w:r>
      <w:r w:rsidRPr="00C01204">
        <w:t xml:space="preserve"> receiving</w:t>
      </w:r>
      <w:r w:rsidRPr="00916F2B">
        <w:t xml:space="preserve"> POC test</w:t>
      </w:r>
      <w:r w:rsidR="002614D5">
        <w:t>ing</w:t>
      </w:r>
      <w:r w:rsidR="00C01204">
        <w:t xml:space="preserve"> instead of</w:t>
      </w:r>
      <w:r w:rsidRPr="00916F2B">
        <w:t xml:space="preserve"> the SOC test (</w:t>
      </w:r>
      <w:r w:rsidR="00C01204">
        <w:t xml:space="preserve">PP population: same day, </w:t>
      </w:r>
      <w:r w:rsidRPr="00916F2B">
        <w:t>43% vs 73%</w:t>
      </w:r>
      <w:r w:rsidR="00C01204">
        <w:t xml:space="preserve">; </w:t>
      </w:r>
      <w:r w:rsidRPr="00916F2B">
        <w:t>up to 2 days</w:t>
      </w:r>
      <w:r w:rsidR="00C01204">
        <w:t>, 22% vs, 70%;</w:t>
      </w:r>
      <w:r w:rsidRPr="00916F2B">
        <w:t xml:space="preserve"> up to 7 days</w:t>
      </w:r>
      <w:r w:rsidR="00C01204">
        <w:t xml:space="preserve">, 13% vs. 53%; </w:t>
      </w:r>
      <w:r w:rsidRPr="00916F2B">
        <w:t>up to 4 months</w:t>
      </w:r>
      <w:r w:rsidR="00C01204">
        <w:t xml:space="preserve">, </w:t>
      </w:r>
      <w:r w:rsidRPr="00916F2B">
        <w:t>3% vs. 14%)</w:t>
      </w:r>
      <w:r w:rsidR="00C01204">
        <w:t>.</w:t>
      </w:r>
    </w:p>
    <w:p w14:paraId="6680DC05" w14:textId="7885873A" w:rsidR="00CA478F" w:rsidRPr="00CA478F" w:rsidRDefault="00137A48" w:rsidP="00CA478F">
      <w:r>
        <w:t xml:space="preserve">In </w:t>
      </w:r>
      <w:r w:rsidR="00D340A7">
        <w:t>the</w:t>
      </w:r>
      <w:r>
        <w:t xml:space="preserve"> </w:t>
      </w:r>
      <w:r w:rsidR="002614D5">
        <w:t>RCT</w:t>
      </w:r>
      <w:r w:rsidR="00D340A7">
        <w:t xml:space="preserve"> by Gaydos et al (2019)</w:t>
      </w:r>
      <w:r w:rsidR="00E739FF">
        <w:rPr>
          <w:rStyle w:val="FootnoteReference"/>
        </w:rPr>
        <w:footnoteReference w:id="14"/>
      </w:r>
      <w:r>
        <w:t>,</w:t>
      </w:r>
      <w:r w:rsidRPr="00916F2B">
        <w:t xml:space="preserve"> </w:t>
      </w:r>
      <w:r w:rsidR="00916F2B" w:rsidRPr="00916F2B">
        <w:t>the overall undertreatment rate for</w:t>
      </w:r>
      <w:r w:rsidR="00233C71">
        <w:t xml:space="preserve"> </w:t>
      </w:r>
      <w:r w:rsidR="00916F2B" w:rsidRPr="00916F2B">
        <w:t>both CT and NG</w:t>
      </w:r>
      <w:r w:rsidR="00916F2B">
        <w:t xml:space="preserve"> </w:t>
      </w:r>
      <w:r w:rsidR="005A48EB" w:rsidRPr="005A48EB">
        <w:t xml:space="preserve">(same day treatment) </w:t>
      </w:r>
      <w:proofErr w:type="gramStart"/>
      <w:r w:rsidR="00916F2B">
        <w:t>was</w:t>
      </w:r>
      <w:proofErr w:type="gramEnd"/>
      <w:r w:rsidR="00916F2B">
        <w:t xml:space="preserve"> 0%</w:t>
      </w:r>
      <w:r w:rsidR="00D55FB2">
        <w:t xml:space="preserve"> (0/13)</w:t>
      </w:r>
      <w:r w:rsidR="00916F2B">
        <w:t xml:space="preserve"> </w:t>
      </w:r>
      <w:r w:rsidR="00916F2B" w:rsidRPr="00916F2B">
        <w:t>for the POC test</w:t>
      </w:r>
      <w:r w:rsidR="00916F2B">
        <w:t xml:space="preserve"> group and 43.8%</w:t>
      </w:r>
      <w:r w:rsidR="00D55FB2">
        <w:t xml:space="preserve"> (7/16)</w:t>
      </w:r>
      <w:r w:rsidR="00916F2B" w:rsidRPr="00916F2B">
        <w:t xml:space="preserve"> for the SOC</w:t>
      </w:r>
      <w:r>
        <w:t xml:space="preserve"> group (</w:t>
      </w:r>
      <w:r w:rsidR="00D55FB2">
        <w:t>difference of -</w:t>
      </w:r>
      <w:r>
        <w:t xml:space="preserve">43.8%; 95% CI </w:t>
      </w:r>
      <w:r w:rsidR="00D55FB2">
        <w:t>-</w:t>
      </w:r>
      <w:r>
        <w:t xml:space="preserve">68.1%, </w:t>
      </w:r>
      <w:r w:rsidR="00D55FB2">
        <w:t>-</w:t>
      </w:r>
      <w:r w:rsidR="00916F2B" w:rsidRPr="00916F2B">
        <w:t>19.4%).</w:t>
      </w:r>
      <w:bookmarkStart w:id="35" w:name="_Ref111631228"/>
      <w:r w:rsidR="00CA478F">
        <w:br w:type="page"/>
      </w:r>
    </w:p>
    <w:p w14:paraId="66E47991" w14:textId="0BA22562" w:rsidR="00A96911" w:rsidRDefault="00A96911" w:rsidP="00A96911">
      <w:pPr>
        <w:pStyle w:val="Caption"/>
      </w:pPr>
      <w:r>
        <w:lastRenderedPageBreak/>
        <w:t xml:space="preserve">Table </w:t>
      </w:r>
      <w:r w:rsidR="007D19FE">
        <w:fldChar w:fldCharType="begin"/>
      </w:r>
      <w:r w:rsidR="007D19FE">
        <w:instrText xml:space="preserve"> SEQ Table \* ARABIC </w:instrText>
      </w:r>
      <w:r w:rsidR="007D19FE">
        <w:fldChar w:fldCharType="separate"/>
      </w:r>
      <w:r w:rsidR="00FF1B3A">
        <w:rPr>
          <w:noProof/>
        </w:rPr>
        <w:t>9</w:t>
      </w:r>
      <w:r w:rsidR="007D19FE">
        <w:rPr>
          <w:noProof/>
        </w:rPr>
        <w:fldChar w:fldCharType="end"/>
      </w:r>
      <w:bookmarkEnd w:id="35"/>
      <w:r>
        <w:t xml:space="preserve"> Overtreatment and undertreatment of patients</w:t>
      </w:r>
    </w:p>
    <w:tbl>
      <w:tblPr>
        <w:tblStyle w:val="TableGrid3"/>
        <w:tblW w:w="0" w:type="auto"/>
        <w:tblLook w:val="04A0" w:firstRow="1" w:lastRow="0" w:firstColumn="1" w:lastColumn="0" w:noHBand="0" w:noVBand="1"/>
      </w:tblPr>
      <w:tblGrid>
        <w:gridCol w:w="1696"/>
        <w:gridCol w:w="1560"/>
        <w:gridCol w:w="1417"/>
        <w:gridCol w:w="1559"/>
        <w:gridCol w:w="2784"/>
      </w:tblGrid>
      <w:tr w:rsidR="00A96911" w:rsidRPr="00A96911" w14:paraId="356C7B59" w14:textId="77777777" w:rsidTr="00A830E0">
        <w:tc>
          <w:tcPr>
            <w:tcW w:w="1696" w:type="dxa"/>
          </w:tcPr>
          <w:p w14:paraId="679C3467" w14:textId="77777777" w:rsidR="00A96911" w:rsidRPr="00A96911" w:rsidRDefault="00A96911" w:rsidP="00A96911">
            <w:pPr>
              <w:keepNext/>
              <w:spacing w:before="0"/>
              <w:rPr>
                <w:rFonts w:ascii="Arial Narrow" w:hAnsi="Arial Narrow"/>
                <w:b/>
                <w:sz w:val="20"/>
                <w:szCs w:val="20"/>
              </w:rPr>
            </w:pPr>
            <w:r w:rsidRPr="00A96911">
              <w:rPr>
                <w:rFonts w:ascii="Arial Narrow" w:hAnsi="Arial Narrow"/>
                <w:b/>
                <w:sz w:val="20"/>
                <w:szCs w:val="20"/>
              </w:rPr>
              <w:t>Author</w:t>
            </w:r>
          </w:p>
          <w:p w14:paraId="6E93527E" w14:textId="77777777" w:rsidR="00A96911" w:rsidRPr="00A96911" w:rsidRDefault="00A96911" w:rsidP="00A96911">
            <w:pPr>
              <w:keepNext/>
              <w:spacing w:before="0" w:line="276" w:lineRule="auto"/>
              <w:rPr>
                <w:rFonts w:ascii="Arial Narrow" w:hAnsi="Arial Narrow"/>
                <w:b/>
                <w:sz w:val="20"/>
                <w:szCs w:val="20"/>
              </w:rPr>
            </w:pPr>
            <w:r w:rsidRPr="00A96911">
              <w:rPr>
                <w:rFonts w:ascii="Arial Narrow" w:hAnsi="Arial Narrow"/>
                <w:b/>
                <w:sz w:val="20"/>
                <w:szCs w:val="20"/>
              </w:rPr>
              <w:t>Country</w:t>
            </w:r>
          </w:p>
        </w:tc>
        <w:tc>
          <w:tcPr>
            <w:tcW w:w="1560" w:type="dxa"/>
          </w:tcPr>
          <w:p w14:paraId="24D0AE60" w14:textId="77777777" w:rsidR="00A96911" w:rsidRPr="00A96911" w:rsidRDefault="00A96911" w:rsidP="00A96911">
            <w:pPr>
              <w:spacing w:before="0" w:line="276" w:lineRule="auto"/>
              <w:rPr>
                <w:rFonts w:ascii="Arial Narrow" w:hAnsi="Arial Narrow"/>
                <w:sz w:val="20"/>
                <w:szCs w:val="20"/>
              </w:rPr>
            </w:pPr>
            <w:r w:rsidRPr="00A96911">
              <w:rPr>
                <w:rFonts w:ascii="Arial Narrow" w:hAnsi="Arial Narrow"/>
                <w:b/>
                <w:snapToGrid w:val="0"/>
                <w:sz w:val="20"/>
                <w:szCs w:val="20"/>
              </w:rPr>
              <w:t>Outcome</w:t>
            </w:r>
          </w:p>
        </w:tc>
        <w:tc>
          <w:tcPr>
            <w:tcW w:w="1417" w:type="dxa"/>
          </w:tcPr>
          <w:p w14:paraId="74BE636D" w14:textId="77777777" w:rsidR="00A96911" w:rsidRPr="00A96911" w:rsidRDefault="00A96911" w:rsidP="00A96911">
            <w:pPr>
              <w:keepNext/>
              <w:spacing w:before="0"/>
              <w:rPr>
                <w:rFonts w:ascii="Arial Narrow" w:hAnsi="Arial Narrow"/>
                <w:b/>
                <w:sz w:val="20"/>
                <w:szCs w:val="20"/>
              </w:rPr>
            </w:pPr>
            <w:r w:rsidRPr="00A96911">
              <w:rPr>
                <w:rFonts w:ascii="Arial Narrow" w:hAnsi="Arial Narrow"/>
                <w:b/>
                <w:sz w:val="20"/>
                <w:szCs w:val="20"/>
              </w:rPr>
              <w:t>POC testing</w:t>
            </w:r>
          </w:p>
          <w:p w14:paraId="46F94289" w14:textId="508D8B43" w:rsidR="00A96911" w:rsidRPr="00A96911" w:rsidRDefault="00A96911" w:rsidP="00A96911">
            <w:pPr>
              <w:spacing w:before="0" w:line="276" w:lineRule="auto"/>
              <w:rPr>
                <w:rFonts w:ascii="Arial Narrow" w:hAnsi="Arial Narrow"/>
                <w:sz w:val="20"/>
                <w:szCs w:val="20"/>
              </w:rPr>
            </w:pPr>
            <w:r>
              <w:rPr>
                <w:rFonts w:ascii="Arial Narrow" w:hAnsi="Arial Narrow"/>
                <w:b/>
                <w:sz w:val="20"/>
                <w:szCs w:val="20"/>
              </w:rPr>
              <w:t>n/</w:t>
            </w:r>
            <w:r w:rsidRPr="00A96911">
              <w:rPr>
                <w:rFonts w:ascii="Arial Narrow" w:hAnsi="Arial Narrow"/>
                <w:b/>
                <w:sz w:val="20"/>
                <w:szCs w:val="20"/>
              </w:rPr>
              <w:t>N (%)</w:t>
            </w:r>
          </w:p>
        </w:tc>
        <w:tc>
          <w:tcPr>
            <w:tcW w:w="1559" w:type="dxa"/>
          </w:tcPr>
          <w:p w14:paraId="637A5803" w14:textId="77777777" w:rsidR="00A96911" w:rsidRPr="00A96911" w:rsidRDefault="00A96911" w:rsidP="00A96911">
            <w:pPr>
              <w:keepNext/>
              <w:spacing w:before="0"/>
              <w:rPr>
                <w:rFonts w:ascii="Arial Narrow" w:hAnsi="Arial Narrow"/>
                <w:b/>
                <w:sz w:val="20"/>
                <w:szCs w:val="20"/>
              </w:rPr>
            </w:pPr>
            <w:r w:rsidRPr="00A96911">
              <w:rPr>
                <w:rFonts w:ascii="Arial Narrow" w:hAnsi="Arial Narrow"/>
                <w:b/>
                <w:sz w:val="20"/>
                <w:szCs w:val="20"/>
              </w:rPr>
              <w:t>SOC</w:t>
            </w:r>
          </w:p>
          <w:p w14:paraId="678F478D" w14:textId="3B26D048" w:rsidR="00A96911" w:rsidRPr="00A96911" w:rsidRDefault="00A96911" w:rsidP="00A96911">
            <w:pPr>
              <w:spacing w:before="0" w:line="276" w:lineRule="auto"/>
              <w:rPr>
                <w:rFonts w:ascii="Arial Narrow" w:hAnsi="Arial Narrow"/>
                <w:b/>
                <w:sz w:val="20"/>
                <w:szCs w:val="20"/>
              </w:rPr>
            </w:pPr>
            <w:r>
              <w:rPr>
                <w:rFonts w:ascii="Arial Narrow" w:hAnsi="Arial Narrow"/>
                <w:b/>
                <w:sz w:val="20"/>
                <w:szCs w:val="20"/>
              </w:rPr>
              <w:t>n/</w:t>
            </w:r>
            <w:r w:rsidRPr="00A96911">
              <w:rPr>
                <w:rFonts w:ascii="Arial Narrow" w:hAnsi="Arial Narrow"/>
                <w:b/>
                <w:sz w:val="20"/>
                <w:szCs w:val="20"/>
              </w:rPr>
              <w:t>N (%)</w:t>
            </w:r>
          </w:p>
        </w:tc>
        <w:tc>
          <w:tcPr>
            <w:tcW w:w="2784" w:type="dxa"/>
          </w:tcPr>
          <w:p w14:paraId="7EB8CB9A" w14:textId="77777777" w:rsidR="00A96911" w:rsidRPr="00A96911" w:rsidRDefault="00A96911" w:rsidP="00A96911">
            <w:pPr>
              <w:spacing w:before="0" w:line="276" w:lineRule="auto"/>
              <w:rPr>
                <w:rFonts w:ascii="Arial Narrow" w:hAnsi="Arial Narrow"/>
                <w:b/>
                <w:sz w:val="20"/>
                <w:szCs w:val="20"/>
              </w:rPr>
            </w:pPr>
            <w:r w:rsidRPr="00A96911">
              <w:rPr>
                <w:rFonts w:ascii="Arial Narrow" w:hAnsi="Arial Narrow"/>
                <w:b/>
                <w:sz w:val="20"/>
                <w:szCs w:val="20"/>
              </w:rPr>
              <w:t>Difference</w:t>
            </w:r>
          </w:p>
          <w:p w14:paraId="1267DBEB" w14:textId="77777777" w:rsidR="00A96911" w:rsidRPr="00A96911" w:rsidRDefault="00A96911" w:rsidP="00A96911">
            <w:pPr>
              <w:spacing w:before="0" w:line="276" w:lineRule="auto"/>
              <w:rPr>
                <w:rFonts w:ascii="Arial Narrow" w:hAnsi="Arial Narrow"/>
                <w:b/>
                <w:sz w:val="20"/>
                <w:szCs w:val="20"/>
              </w:rPr>
            </w:pPr>
            <w:r w:rsidRPr="00A96911">
              <w:rPr>
                <w:rFonts w:ascii="Arial Narrow" w:hAnsi="Arial Narrow"/>
                <w:b/>
                <w:sz w:val="20"/>
                <w:szCs w:val="20"/>
              </w:rPr>
              <w:t>RD or RR</w:t>
            </w:r>
          </w:p>
        </w:tc>
      </w:tr>
      <w:tr w:rsidR="00A96911" w:rsidRPr="00A96911" w14:paraId="0E51539B" w14:textId="77777777" w:rsidTr="00A830E0">
        <w:tc>
          <w:tcPr>
            <w:tcW w:w="1696" w:type="dxa"/>
            <w:vMerge w:val="restart"/>
          </w:tcPr>
          <w:p w14:paraId="1DC4C8EB" w14:textId="77777777" w:rsidR="00A96911" w:rsidRPr="00A96911" w:rsidRDefault="00A96911" w:rsidP="00A96911">
            <w:pPr>
              <w:spacing w:before="0"/>
              <w:rPr>
                <w:rFonts w:ascii="Arial Narrow" w:hAnsi="Arial Narrow"/>
                <w:bCs/>
                <w:sz w:val="20"/>
                <w:szCs w:val="20"/>
              </w:rPr>
            </w:pPr>
            <w:r w:rsidRPr="00A96911">
              <w:rPr>
                <w:rFonts w:ascii="Arial Narrow" w:hAnsi="Arial Narrow"/>
                <w:bCs/>
                <w:sz w:val="20"/>
                <w:szCs w:val="20"/>
              </w:rPr>
              <w:t>Gaydos et al, 2019</w:t>
            </w:r>
          </w:p>
          <w:p w14:paraId="215CB311" w14:textId="77777777" w:rsidR="00A96911" w:rsidRPr="00A96911" w:rsidRDefault="00A96911" w:rsidP="00A96911">
            <w:pPr>
              <w:spacing w:before="0"/>
              <w:rPr>
                <w:rFonts w:ascii="Arial Narrow" w:hAnsi="Arial Narrow"/>
                <w:bCs/>
                <w:sz w:val="20"/>
                <w:szCs w:val="20"/>
              </w:rPr>
            </w:pPr>
            <w:r w:rsidRPr="00A96911">
              <w:rPr>
                <w:rFonts w:ascii="Arial Narrow" w:hAnsi="Arial Narrow"/>
                <w:bCs/>
                <w:sz w:val="20"/>
                <w:szCs w:val="20"/>
              </w:rPr>
              <w:t>USA</w:t>
            </w:r>
          </w:p>
          <w:p w14:paraId="7C4E68E4" w14:textId="77777777" w:rsidR="00A96911" w:rsidRPr="00A96911" w:rsidRDefault="00A96911" w:rsidP="00A96911">
            <w:pPr>
              <w:spacing w:before="0" w:line="276" w:lineRule="auto"/>
              <w:rPr>
                <w:rFonts w:ascii="Arial Narrow" w:hAnsi="Arial Narrow"/>
                <w:sz w:val="20"/>
                <w:szCs w:val="20"/>
              </w:rPr>
            </w:pPr>
          </w:p>
        </w:tc>
        <w:tc>
          <w:tcPr>
            <w:tcW w:w="1560" w:type="dxa"/>
          </w:tcPr>
          <w:p w14:paraId="671AEB3C" w14:textId="77777777" w:rsidR="00A96911" w:rsidRPr="00A96911" w:rsidRDefault="00A96911" w:rsidP="00A96911">
            <w:pPr>
              <w:spacing w:before="0" w:line="276" w:lineRule="auto"/>
              <w:rPr>
                <w:rFonts w:ascii="Arial Narrow" w:hAnsi="Arial Narrow"/>
                <w:sz w:val="20"/>
                <w:szCs w:val="20"/>
              </w:rPr>
            </w:pPr>
            <w:r w:rsidRPr="00A96911">
              <w:rPr>
                <w:rFonts w:ascii="Arial Narrow" w:hAnsi="Arial Narrow"/>
                <w:bCs/>
                <w:snapToGrid w:val="0"/>
                <w:sz w:val="20"/>
                <w:szCs w:val="20"/>
              </w:rPr>
              <w:t>Overtreatment</w:t>
            </w:r>
          </w:p>
        </w:tc>
        <w:tc>
          <w:tcPr>
            <w:tcW w:w="1417" w:type="dxa"/>
          </w:tcPr>
          <w:p w14:paraId="0EBF591B"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u w:val="single"/>
              </w:rPr>
              <w:t>CT</w:t>
            </w:r>
          </w:p>
          <w:p w14:paraId="5DCA2165"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27/117 (23.1%)</w:t>
            </w:r>
          </w:p>
          <w:p w14:paraId="2E700F90"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u w:val="single"/>
              </w:rPr>
              <w:t>NG</w:t>
            </w:r>
          </w:p>
          <w:p w14:paraId="1C11C20F" w14:textId="77777777" w:rsidR="00A96911" w:rsidRPr="00A96911" w:rsidRDefault="00A96911" w:rsidP="00A96911">
            <w:pPr>
              <w:spacing w:before="0" w:line="276" w:lineRule="auto"/>
              <w:rPr>
                <w:rFonts w:ascii="Arial Narrow" w:hAnsi="Arial Narrow"/>
                <w:sz w:val="20"/>
                <w:szCs w:val="20"/>
              </w:rPr>
            </w:pPr>
            <w:r w:rsidRPr="00A96911">
              <w:rPr>
                <w:rFonts w:ascii="Arial Narrow" w:hAnsi="Arial Narrow"/>
                <w:bCs/>
                <w:sz w:val="20"/>
                <w:szCs w:val="20"/>
              </w:rPr>
              <w:t>31/122 (25.4%)</w:t>
            </w:r>
          </w:p>
        </w:tc>
        <w:tc>
          <w:tcPr>
            <w:tcW w:w="1559" w:type="dxa"/>
          </w:tcPr>
          <w:p w14:paraId="704E7C82"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u w:val="single"/>
              </w:rPr>
              <w:t>CT</w:t>
            </w:r>
          </w:p>
          <w:p w14:paraId="0E0B76E0"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53/114 (46.5%)</w:t>
            </w:r>
          </w:p>
          <w:p w14:paraId="68DC155D"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u w:val="single"/>
              </w:rPr>
              <w:t>NG</w:t>
            </w:r>
          </w:p>
          <w:p w14:paraId="5E2C6E25" w14:textId="77777777" w:rsidR="00A96911" w:rsidRPr="00A96911" w:rsidRDefault="00A96911" w:rsidP="00A96911">
            <w:pPr>
              <w:spacing w:before="0" w:line="276" w:lineRule="auto"/>
              <w:rPr>
                <w:rFonts w:ascii="Arial Narrow" w:hAnsi="Arial Narrow"/>
                <w:sz w:val="20"/>
                <w:szCs w:val="20"/>
              </w:rPr>
            </w:pPr>
            <w:r w:rsidRPr="00A96911">
              <w:rPr>
                <w:rFonts w:ascii="Arial Narrow" w:hAnsi="Arial Narrow"/>
                <w:bCs/>
                <w:sz w:val="20"/>
                <w:szCs w:val="20"/>
              </w:rPr>
              <w:t>56/120 (46.7%)</w:t>
            </w:r>
          </w:p>
        </w:tc>
        <w:tc>
          <w:tcPr>
            <w:tcW w:w="2784" w:type="dxa"/>
          </w:tcPr>
          <w:p w14:paraId="698A67B7"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u w:val="single"/>
              </w:rPr>
              <w:t>CT</w:t>
            </w:r>
          </w:p>
          <w:p w14:paraId="7DB9D55B"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-23.4% (95% CI -35.3%, -11.5%)</w:t>
            </w:r>
          </w:p>
          <w:p w14:paraId="5D3B0A41"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u w:val="single"/>
              </w:rPr>
              <w:t>NG</w:t>
            </w:r>
          </w:p>
          <w:p w14:paraId="3D0545BE" w14:textId="77777777" w:rsidR="00A96911" w:rsidRPr="00A96911" w:rsidRDefault="00A96911" w:rsidP="00A96911">
            <w:pPr>
              <w:spacing w:before="0" w:line="276" w:lineRule="auto"/>
              <w:rPr>
                <w:rFonts w:ascii="Arial Narrow" w:hAnsi="Arial Narrow"/>
                <w:sz w:val="20"/>
                <w:szCs w:val="20"/>
              </w:rPr>
            </w:pPr>
            <w:r w:rsidRPr="00A96911">
              <w:rPr>
                <w:rFonts w:ascii="Arial Narrow" w:hAnsi="Arial Narrow"/>
                <w:bCs/>
                <w:sz w:val="20"/>
                <w:szCs w:val="20"/>
              </w:rPr>
              <w:t>-21.3% (95% CI -33.1%, -9.5%)</w:t>
            </w:r>
          </w:p>
        </w:tc>
      </w:tr>
      <w:tr w:rsidR="00A96911" w:rsidRPr="00A96911" w14:paraId="3A709C04" w14:textId="77777777" w:rsidTr="00A830E0">
        <w:tc>
          <w:tcPr>
            <w:tcW w:w="1696" w:type="dxa"/>
            <w:vMerge/>
          </w:tcPr>
          <w:p w14:paraId="61012305" w14:textId="77777777" w:rsidR="00A96911" w:rsidRPr="00A96911" w:rsidRDefault="00A96911" w:rsidP="00A96911">
            <w:pPr>
              <w:spacing w:before="0" w:line="276" w:lineRule="auto"/>
              <w:rPr>
                <w:rFonts w:ascii="Arial Narrow" w:hAnsi="Arial Narrow"/>
                <w:sz w:val="20"/>
                <w:szCs w:val="20"/>
              </w:rPr>
            </w:pPr>
          </w:p>
        </w:tc>
        <w:tc>
          <w:tcPr>
            <w:tcW w:w="1560" w:type="dxa"/>
          </w:tcPr>
          <w:p w14:paraId="03A95C20" w14:textId="77777777" w:rsidR="00A96911" w:rsidRPr="00A96911" w:rsidRDefault="00A96911" w:rsidP="00A96911">
            <w:pPr>
              <w:spacing w:before="0" w:line="276" w:lineRule="auto"/>
              <w:rPr>
                <w:rFonts w:ascii="Arial Narrow" w:hAnsi="Arial Narrow"/>
                <w:sz w:val="20"/>
                <w:szCs w:val="20"/>
              </w:rPr>
            </w:pPr>
            <w:r w:rsidRPr="00A96911">
              <w:rPr>
                <w:rFonts w:ascii="Arial Narrow" w:hAnsi="Arial Narrow"/>
                <w:bCs/>
                <w:snapToGrid w:val="0"/>
                <w:sz w:val="20"/>
                <w:szCs w:val="20"/>
              </w:rPr>
              <w:t>Undertreatment</w:t>
            </w:r>
          </w:p>
        </w:tc>
        <w:tc>
          <w:tcPr>
            <w:tcW w:w="1417" w:type="dxa"/>
          </w:tcPr>
          <w:p w14:paraId="133FDAEB"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u w:val="single"/>
              </w:rPr>
              <w:t>CT</w:t>
            </w:r>
          </w:p>
          <w:p w14:paraId="13BE320E" w14:textId="633A083C"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0/10</w:t>
            </w:r>
            <w:r>
              <w:rPr>
                <w:rFonts w:ascii="Arial Narrow" w:hAnsi="Arial Narrow"/>
                <w:bCs/>
                <w:sz w:val="20"/>
                <w:szCs w:val="20"/>
              </w:rPr>
              <w:t xml:space="preserve"> (0%)</w:t>
            </w:r>
          </w:p>
          <w:p w14:paraId="0292FDE9"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u w:val="single"/>
              </w:rPr>
              <w:t>NG</w:t>
            </w:r>
          </w:p>
          <w:p w14:paraId="5C23774F" w14:textId="0B742B9A" w:rsidR="00A96911" w:rsidRPr="00A96911" w:rsidRDefault="00A96911" w:rsidP="00A96911">
            <w:pPr>
              <w:spacing w:before="0" w:line="276" w:lineRule="auto"/>
              <w:rPr>
                <w:rFonts w:ascii="Arial Narrow" w:hAnsi="Arial Narrow"/>
                <w:sz w:val="20"/>
                <w:szCs w:val="20"/>
              </w:rPr>
            </w:pPr>
            <w:r w:rsidRPr="00A96911">
              <w:rPr>
                <w:rFonts w:ascii="Arial Narrow" w:hAnsi="Arial Narrow"/>
                <w:bCs/>
                <w:sz w:val="20"/>
                <w:szCs w:val="20"/>
              </w:rPr>
              <w:t>0/5</w:t>
            </w:r>
            <w:r>
              <w:rPr>
                <w:rFonts w:ascii="Arial Narrow" w:hAnsi="Arial Narrow"/>
                <w:bCs/>
                <w:sz w:val="20"/>
                <w:szCs w:val="20"/>
              </w:rPr>
              <w:t xml:space="preserve"> (0%)</w:t>
            </w:r>
          </w:p>
        </w:tc>
        <w:tc>
          <w:tcPr>
            <w:tcW w:w="1559" w:type="dxa"/>
          </w:tcPr>
          <w:p w14:paraId="57A4FD39"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u w:val="single"/>
              </w:rPr>
              <w:t>CT</w:t>
            </w:r>
          </w:p>
          <w:p w14:paraId="6F935749"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6/13 (46.2%)</w:t>
            </w:r>
          </w:p>
          <w:p w14:paraId="028874B9"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u w:val="single"/>
              </w:rPr>
              <w:t>NG</w:t>
            </w:r>
          </w:p>
          <w:p w14:paraId="47F29195" w14:textId="77777777" w:rsidR="00A96911" w:rsidRPr="00A96911" w:rsidRDefault="00A96911" w:rsidP="00A96911">
            <w:pPr>
              <w:spacing w:before="0" w:line="276" w:lineRule="auto"/>
              <w:rPr>
                <w:rFonts w:ascii="Arial Narrow" w:hAnsi="Arial Narrow"/>
                <w:sz w:val="20"/>
                <w:szCs w:val="20"/>
              </w:rPr>
            </w:pPr>
            <w:r w:rsidRPr="00A96911">
              <w:rPr>
                <w:rFonts w:ascii="Arial Narrow" w:hAnsi="Arial Narrow"/>
                <w:bCs/>
                <w:sz w:val="20"/>
                <w:szCs w:val="20"/>
              </w:rPr>
              <w:t>4/7 (57.1%)</w:t>
            </w:r>
          </w:p>
        </w:tc>
        <w:tc>
          <w:tcPr>
            <w:tcW w:w="2784" w:type="dxa"/>
          </w:tcPr>
          <w:p w14:paraId="3FC7D9B2"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u w:val="single"/>
              </w:rPr>
              <w:t>CT</w:t>
            </w:r>
          </w:p>
          <w:p w14:paraId="70F766F7"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-46.2% (95% CI -73.3</w:t>
            </w:r>
            <w:proofErr w:type="gramStart"/>
            <w:r w:rsidRPr="00A96911">
              <w:rPr>
                <w:rFonts w:ascii="Arial Narrow" w:hAnsi="Arial Narrow"/>
                <w:bCs/>
                <w:sz w:val="20"/>
                <w:szCs w:val="20"/>
              </w:rPr>
              <w:t>% ,</w:t>
            </w:r>
            <w:proofErr w:type="gramEnd"/>
            <w:r w:rsidRPr="00A96911">
              <w:rPr>
                <w:rFonts w:ascii="Arial Narrow" w:hAnsi="Arial Narrow"/>
                <w:bCs/>
                <w:sz w:val="20"/>
                <w:szCs w:val="20"/>
              </w:rPr>
              <w:t xml:space="preserve"> -19.2%)</w:t>
            </w:r>
          </w:p>
          <w:p w14:paraId="5E3601BF"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u w:val="single"/>
              </w:rPr>
              <w:t>NG</w:t>
            </w:r>
          </w:p>
          <w:p w14:paraId="58EDEB81" w14:textId="77777777" w:rsidR="00A96911" w:rsidRPr="00A96911" w:rsidRDefault="00A96911" w:rsidP="00A96911">
            <w:pPr>
              <w:spacing w:before="0" w:line="276" w:lineRule="auto"/>
              <w:rPr>
                <w:rFonts w:ascii="Arial Narrow" w:hAnsi="Arial Narrow"/>
                <w:sz w:val="20"/>
                <w:szCs w:val="20"/>
              </w:rPr>
            </w:pPr>
            <w:r w:rsidRPr="00A96911">
              <w:rPr>
                <w:rFonts w:ascii="Arial Narrow" w:hAnsi="Arial Narrow"/>
                <w:bCs/>
                <w:sz w:val="20"/>
                <w:szCs w:val="20"/>
              </w:rPr>
              <w:t>-57.1% (95% CI -93.8%, -20.5%)</w:t>
            </w:r>
          </w:p>
        </w:tc>
      </w:tr>
      <w:tr w:rsidR="009336F1" w:rsidRPr="00A96911" w14:paraId="7D7AC73C" w14:textId="77777777" w:rsidTr="00A830E0">
        <w:trPr>
          <w:trHeight w:val="398"/>
        </w:trPr>
        <w:tc>
          <w:tcPr>
            <w:tcW w:w="1696" w:type="dxa"/>
            <w:vMerge w:val="restart"/>
          </w:tcPr>
          <w:p w14:paraId="1A932863" w14:textId="77777777" w:rsidR="009336F1" w:rsidRPr="002005C6" w:rsidRDefault="009336F1" w:rsidP="009336F1">
            <w:pPr>
              <w:spacing w:before="0"/>
              <w:rPr>
                <w:rFonts w:ascii="Arial Narrow" w:hAnsi="Arial Narrow"/>
                <w:bCs/>
                <w:sz w:val="20"/>
                <w:szCs w:val="20"/>
              </w:rPr>
            </w:pPr>
            <w:r w:rsidRPr="002005C6">
              <w:rPr>
                <w:rFonts w:ascii="Arial Narrow" w:hAnsi="Arial Narrow"/>
                <w:bCs/>
                <w:sz w:val="20"/>
                <w:szCs w:val="20"/>
              </w:rPr>
              <w:t>Guy et al (2018)</w:t>
            </w:r>
          </w:p>
          <w:p w14:paraId="1A811291" w14:textId="77777777" w:rsidR="009336F1" w:rsidRPr="002005C6" w:rsidRDefault="009336F1" w:rsidP="009336F1">
            <w:pPr>
              <w:spacing w:before="0"/>
              <w:rPr>
                <w:rFonts w:ascii="Arial Narrow" w:hAnsi="Arial Narrow"/>
                <w:bCs/>
                <w:sz w:val="20"/>
                <w:szCs w:val="20"/>
              </w:rPr>
            </w:pPr>
            <w:r w:rsidRPr="002005C6">
              <w:rPr>
                <w:rFonts w:ascii="Arial Narrow" w:hAnsi="Arial Narrow"/>
                <w:bCs/>
                <w:sz w:val="20"/>
                <w:szCs w:val="20"/>
              </w:rPr>
              <w:t>(TTANGO)</w:t>
            </w:r>
          </w:p>
          <w:p w14:paraId="1DB898CC" w14:textId="64B20BC8" w:rsidR="009336F1" w:rsidRPr="009336F1" w:rsidRDefault="009336F1" w:rsidP="009336F1">
            <w:pPr>
              <w:spacing w:before="0"/>
              <w:rPr>
                <w:rFonts w:ascii="Arial Narrow" w:hAnsi="Arial Narrow"/>
                <w:bCs/>
                <w:sz w:val="20"/>
                <w:szCs w:val="20"/>
              </w:rPr>
            </w:pPr>
            <w:r w:rsidRPr="002005C6">
              <w:rPr>
                <w:rFonts w:ascii="Arial Narrow" w:hAnsi="Arial Narrow"/>
                <w:bCs/>
                <w:sz w:val="20"/>
                <w:szCs w:val="20"/>
              </w:rPr>
              <w:t>Australia</w:t>
            </w:r>
          </w:p>
        </w:tc>
        <w:tc>
          <w:tcPr>
            <w:tcW w:w="1560" w:type="dxa"/>
          </w:tcPr>
          <w:p w14:paraId="4DCA8454" w14:textId="1D7ADFF5" w:rsidR="009336F1" w:rsidRPr="009336F1" w:rsidRDefault="009336F1" w:rsidP="009336F1">
            <w:pPr>
              <w:spacing w:before="0" w:line="276" w:lineRule="auto"/>
              <w:rPr>
                <w:rFonts w:ascii="Arial Narrow" w:hAnsi="Arial Narrow"/>
                <w:bCs/>
                <w:snapToGrid w:val="0"/>
                <w:sz w:val="20"/>
                <w:szCs w:val="20"/>
              </w:rPr>
            </w:pPr>
            <w:r w:rsidRPr="002005C6">
              <w:rPr>
                <w:rFonts w:ascii="Arial Narrow" w:hAnsi="Arial Narrow"/>
                <w:bCs/>
                <w:snapToGrid w:val="0"/>
                <w:sz w:val="20"/>
              </w:rPr>
              <w:t>Positive patients not treated on same day, (PP)</w:t>
            </w:r>
          </w:p>
        </w:tc>
        <w:tc>
          <w:tcPr>
            <w:tcW w:w="1417" w:type="dxa"/>
          </w:tcPr>
          <w:p w14:paraId="6D436986" w14:textId="0DEE8DDA" w:rsidR="009336F1" w:rsidRPr="009336F1" w:rsidRDefault="009336F1" w:rsidP="009336F1">
            <w:pPr>
              <w:keepNext/>
              <w:spacing w:before="0"/>
              <w:rPr>
                <w:rFonts w:ascii="Arial Narrow" w:hAnsi="Arial Narrow"/>
                <w:bCs/>
                <w:sz w:val="20"/>
                <w:szCs w:val="20"/>
              </w:rPr>
            </w:pPr>
            <w:r w:rsidRPr="002005C6">
              <w:rPr>
                <w:rFonts w:ascii="Arial Narrow" w:hAnsi="Arial Narrow"/>
                <w:bCs/>
                <w:sz w:val="20"/>
              </w:rPr>
              <w:t xml:space="preserve">138/318 (43%) </w:t>
            </w:r>
          </w:p>
        </w:tc>
        <w:tc>
          <w:tcPr>
            <w:tcW w:w="1559" w:type="dxa"/>
          </w:tcPr>
          <w:p w14:paraId="4E341FCE" w14:textId="13C4A17D" w:rsidR="009336F1" w:rsidRPr="009336F1" w:rsidRDefault="009336F1" w:rsidP="009336F1">
            <w:pPr>
              <w:keepNext/>
              <w:spacing w:before="0"/>
              <w:rPr>
                <w:rFonts w:ascii="Arial Narrow" w:hAnsi="Arial Narrow"/>
                <w:bCs/>
                <w:sz w:val="20"/>
                <w:szCs w:val="20"/>
              </w:rPr>
            </w:pPr>
            <w:r w:rsidRPr="002005C6">
              <w:rPr>
                <w:rFonts w:ascii="Arial Narrow" w:hAnsi="Arial Narrow"/>
                <w:bCs/>
                <w:sz w:val="20"/>
              </w:rPr>
              <w:t>294/405 (73%)</w:t>
            </w:r>
          </w:p>
        </w:tc>
        <w:tc>
          <w:tcPr>
            <w:tcW w:w="2784" w:type="dxa"/>
          </w:tcPr>
          <w:p w14:paraId="40B511DB" w14:textId="79740236" w:rsidR="009336F1" w:rsidRPr="009336F1" w:rsidRDefault="009336F1" w:rsidP="009336F1">
            <w:pPr>
              <w:keepNext/>
              <w:spacing w:before="0"/>
              <w:rPr>
                <w:rFonts w:ascii="Arial Narrow" w:hAnsi="Arial Narrow"/>
                <w:bCs/>
                <w:sz w:val="20"/>
                <w:szCs w:val="20"/>
              </w:rPr>
            </w:pPr>
            <w:r w:rsidRPr="002005C6">
              <w:rPr>
                <w:rFonts w:ascii="Arial Narrow" w:hAnsi="Arial Narrow"/>
                <w:bCs/>
                <w:sz w:val="20"/>
                <w:szCs w:val="20"/>
              </w:rPr>
              <w:t>p&lt;0·0001</w:t>
            </w:r>
          </w:p>
        </w:tc>
      </w:tr>
      <w:tr w:rsidR="009336F1" w:rsidRPr="00A96911" w14:paraId="5AF0C559" w14:textId="77777777" w:rsidTr="00A830E0">
        <w:trPr>
          <w:trHeight w:val="398"/>
        </w:trPr>
        <w:tc>
          <w:tcPr>
            <w:tcW w:w="1696" w:type="dxa"/>
            <w:vMerge/>
          </w:tcPr>
          <w:p w14:paraId="0A47A1A9" w14:textId="77777777" w:rsidR="009336F1" w:rsidRPr="009336F1" w:rsidRDefault="009336F1" w:rsidP="009336F1">
            <w:pPr>
              <w:spacing w:before="0"/>
              <w:rPr>
                <w:rFonts w:ascii="Arial Narrow" w:hAnsi="Arial Narrow"/>
                <w:bCs/>
                <w:sz w:val="20"/>
                <w:szCs w:val="20"/>
              </w:rPr>
            </w:pPr>
          </w:p>
        </w:tc>
        <w:tc>
          <w:tcPr>
            <w:tcW w:w="1560" w:type="dxa"/>
          </w:tcPr>
          <w:p w14:paraId="79117FF9" w14:textId="7285CE98" w:rsidR="009336F1" w:rsidRPr="009336F1" w:rsidRDefault="009336F1" w:rsidP="009336F1">
            <w:pPr>
              <w:spacing w:before="0" w:line="276" w:lineRule="auto"/>
              <w:rPr>
                <w:rFonts w:ascii="Arial Narrow" w:hAnsi="Arial Narrow"/>
                <w:bCs/>
                <w:snapToGrid w:val="0"/>
                <w:sz w:val="20"/>
                <w:szCs w:val="20"/>
              </w:rPr>
            </w:pPr>
            <w:r w:rsidRPr="002005C6">
              <w:rPr>
                <w:rFonts w:ascii="Arial Narrow" w:hAnsi="Arial Narrow"/>
                <w:bCs/>
                <w:snapToGrid w:val="0"/>
                <w:sz w:val="20"/>
              </w:rPr>
              <w:t>Positive patients not treated in ≤2 days, (PP)</w:t>
            </w:r>
          </w:p>
        </w:tc>
        <w:tc>
          <w:tcPr>
            <w:tcW w:w="1417" w:type="dxa"/>
          </w:tcPr>
          <w:p w14:paraId="2F675A69" w14:textId="12539C86" w:rsidR="009336F1" w:rsidRPr="009336F1" w:rsidRDefault="009336F1" w:rsidP="009336F1">
            <w:pPr>
              <w:keepNext/>
              <w:spacing w:before="0"/>
              <w:rPr>
                <w:rFonts w:ascii="Arial Narrow" w:hAnsi="Arial Narrow"/>
                <w:bCs/>
                <w:sz w:val="20"/>
                <w:szCs w:val="20"/>
              </w:rPr>
            </w:pPr>
            <w:r w:rsidRPr="002005C6">
              <w:rPr>
                <w:rFonts w:ascii="Arial Narrow" w:hAnsi="Arial Narrow"/>
                <w:bCs/>
                <w:sz w:val="20"/>
              </w:rPr>
              <w:t xml:space="preserve">69/318 (22%) </w:t>
            </w:r>
          </w:p>
        </w:tc>
        <w:tc>
          <w:tcPr>
            <w:tcW w:w="1559" w:type="dxa"/>
          </w:tcPr>
          <w:p w14:paraId="2B0437CD" w14:textId="2CA88B89" w:rsidR="009336F1" w:rsidRPr="009336F1" w:rsidRDefault="009336F1" w:rsidP="009336F1">
            <w:pPr>
              <w:keepNext/>
              <w:spacing w:before="0"/>
              <w:rPr>
                <w:rFonts w:ascii="Arial Narrow" w:hAnsi="Arial Narrow"/>
                <w:bCs/>
                <w:sz w:val="20"/>
                <w:szCs w:val="20"/>
              </w:rPr>
            </w:pPr>
            <w:r w:rsidRPr="002005C6">
              <w:rPr>
                <w:rFonts w:ascii="Arial Narrow" w:hAnsi="Arial Narrow"/>
                <w:bCs/>
                <w:sz w:val="20"/>
              </w:rPr>
              <w:t>283/405 (70%)</w:t>
            </w:r>
          </w:p>
        </w:tc>
        <w:tc>
          <w:tcPr>
            <w:tcW w:w="2784" w:type="dxa"/>
          </w:tcPr>
          <w:p w14:paraId="5BDD7C27" w14:textId="58FDCBDA" w:rsidR="009336F1" w:rsidRPr="009336F1" w:rsidRDefault="009336F1" w:rsidP="009336F1">
            <w:pPr>
              <w:keepNext/>
              <w:spacing w:before="0"/>
              <w:rPr>
                <w:rFonts w:ascii="Arial Narrow" w:hAnsi="Arial Narrow"/>
                <w:bCs/>
                <w:sz w:val="20"/>
                <w:szCs w:val="20"/>
              </w:rPr>
            </w:pPr>
            <w:r w:rsidRPr="002005C6">
              <w:rPr>
                <w:rFonts w:ascii="Arial Narrow" w:hAnsi="Arial Narrow"/>
                <w:bCs/>
                <w:sz w:val="20"/>
                <w:szCs w:val="20"/>
              </w:rPr>
              <w:t xml:space="preserve"> p&lt;0·0001</w:t>
            </w:r>
          </w:p>
        </w:tc>
      </w:tr>
      <w:tr w:rsidR="009336F1" w:rsidRPr="00A96911" w14:paraId="0EB0898F" w14:textId="77777777" w:rsidTr="00A830E0">
        <w:trPr>
          <w:trHeight w:val="398"/>
        </w:trPr>
        <w:tc>
          <w:tcPr>
            <w:tcW w:w="1696" w:type="dxa"/>
            <w:vMerge/>
          </w:tcPr>
          <w:p w14:paraId="0426183B" w14:textId="77777777" w:rsidR="009336F1" w:rsidRPr="009336F1" w:rsidRDefault="009336F1" w:rsidP="009336F1">
            <w:pPr>
              <w:spacing w:before="0"/>
              <w:rPr>
                <w:rFonts w:ascii="Arial Narrow" w:hAnsi="Arial Narrow"/>
                <w:bCs/>
                <w:sz w:val="20"/>
                <w:szCs w:val="20"/>
              </w:rPr>
            </w:pPr>
          </w:p>
        </w:tc>
        <w:tc>
          <w:tcPr>
            <w:tcW w:w="1560" w:type="dxa"/>
          </w:tcPr>
          <w:p w14:paraId="447C3F9D" w14:textId="1B82562B" w:rsidR="009336F1" w:rsidRPr="009336F1" w:rsidRDefault="009336F1" w:rsidP="009336F1">
            <w:pPr>
              <w:spacing w:before="0" w:line="276" w:lineRule="auto"/>
              <w:rPr>
                <w:rFonts w:ascii="Arial Narrow" w:hAnsi="Arial Narrow"/>
                <w:bCs/>
                <w:snapToGrid w:val="0"/>
                <w:sz w:val="20"/>
                <w:szCs w:val="20"/>
              </w:rPr>
            </w:pPr>
            <w:r w:rsidRPr="002005C6">
              <w:rPr>
                <w:rFonts w:ascii="Arial Narrow" w:hAnsi="Arial Narrow"/>
                <w:bCs/>
                <w:snapToGrid w:val="0"/>
                <w:sz w:val="20"/>
              </w:rPr>
              <w:t>Positive patients not treated in ≤7 days, (PP)</w:t>
            </w:r>
          </w:p>
        </w:tc>
        <w:tc>
          <w:tcPr>
            <w:tcW w:w="1417" w:type="dxa"/>
          </w:tcPr>
          <w:p w14:paraId="6DA13C01" w14:textId="72307FA4" w:rsidR="009336F1" w:rsidRPr="009336F1" w:rsidRDefault="009336F1" w:rsidP="009336F1">
            <w:pPr>
              <w:keepNext/>
              <w:spacing w:before="0"/>
              <w:rPr>
                <w:rFonts w:ascii="Arial Narrow" w:hAnsi="Arial Narrow"/>
                <w:bCs/>
                <w:sz w:val="20"/>
                <w:szCs w:val="20"/>
              </w:rPr>
            </w:pPr>
            <w:r w:rsidRPr="002005C6">
              <w:rPr>
                <w:rFonts w:ascii="Arial Narrow" w:hAnsi="Arial Narrow"/>
                <w:bCs/>
                <w:sz w:val="20"/>
              </w:rPr>
              <w:t xml:space="preserve">40/318 (13%) </w:t>
            </w:r>
          </w:p>
        </w:tc>
        <w:tc>
          <w:tcPr>
            <w:tcW w:w="1559" w:type="dxa"/>
          </w:tcPr>
          <w:p w14:paraId="5D87E7A0" w14:textId="499DB67B" w:rsidR="009336F1" w:rsidRPr="009336F1" w:rsidRDefault="009336F1" w:rsidP="009336F1">
            <w:pPr>
              <w:keepNext/>
              <w:spacing w:before="0"/>
              <w:rPr>
                <w:rFonts w:ascii="Arial Narrow" w:hAnsi="Arial Narrow"/>
                <w:bCs/>
                <w:sz w:val="20"/>
                <w:szCs w:val="20"/>
              </w:rPr>
            </w:pPr>
            <w:r w:rsidRPr="002005C6">
              <w:rPr>
                <w:rFonts w:ascii="Arial Narrow" w:hAnsi="Arial Narrow"/>
                <w:bCs/>
                <w:sz w:val="20"/>
              </w:rPr>
              <w:t>214/405 (53%)</w:t>
            </w:r>
          </w:p>
        </w:tc>
        <w:tc>
          <w:tcPr>
            <w:tcW w:w="2784" w:type="dxa"/>
          </w:tcPr>
          <w:p w14:paraId="41CDC94E" w14:textId="426E68EC" w:rsidR="009336F1" w:rsidRPr="009336F1" w:rsidRDefault="009336F1" w:rsidP="009336F1">
            <w:pPr>
              <w:keepNext/>
              <w:spacing w:before="0"/>
              <w:rPr>
                <w:rFonts w:ascii="Arial Narrow" w:hAnsi="Arial Narrow"/>
                <w:bCs/>
                <w:sz w:val="20"/>
                <w:szCs w:val="20"/>
              </w:rPr>
            </w:pPr>
            <w:r w:rsidRPr="002005C6">
              <w:rPr>
                <w:rFonts w:ascii="Arial Narrow" w:hAnsi="Arial Narrow"/>
                <w:bCs/>
                <w:sz w:val="20"/>
                <w:szCs w:val="20"/>
              </w:rPr>
              <w:t>p&lt;0·0001</w:t>
            </w:r>
          </w:p>
        </w:tc>
      </w:tr>
      <w:tr w:rsidR="00A96911" w:rsidRPr="00A96911" w14:paraId="7C60F0CD" w14:textId="77777777" w:rsidTr="00A830E0">
        <w:trPr>
          <w:trHeight w:val="398"/>
        </w:trPr>
        <w:tc>
          <w:tcPr>
            <w:tcW w:w="1696" w:type="dxa"/>
          </w:tcPr>
          <w:p w14:paraId="0D1E0B5D" w14:textId="5EB5884E" w:rsidR="00A96911" w:rsidRPr="00A96911" w:rsidRDefault="00A96911" w:rsidP="00A96911">
            <w:pPr>
              <w:spacing w:before="0"/>
              <w:rPr>
                <w:rFonts w:ascii="Arial Narrow" w:hAnsi="Arial Narrow"/>
                <w:bCs/>
                <w:sz w:val="20"/>
                <w:szCs w:val="20"/>
              </w:rPr>
            </w:pPr>
            <w:r w:rsidRPr="00A96911">
              <w:rPr>
                <w:rFonts w:ascii="Arial Narrow" w:hAnsi="Arial Narrow"/>
                <w:bCs/>
                <w:sz w:val="20"/>
                <w:szCs w:val="20"/>
              </w:rPr>
              <w:t>May et al (2016)</w:t>
            </w:r>
            <w:r w:rsidR="003C5311">
              <w:rPr>
                <w:rStyle w:val="FootnoteReference"/>
                <w:rFonts w:ascii="Arial Narrow" w:hAnsi="Arial Narrow"/>
                <w:bCs/>
                <w:sz w:val="20"/>
                <w:szCs w:val="20"/>
              </w:rPr>
              <w:footnoteReference w:id="15"/>
            </w:r>
          </w:p>
          <w:p w14:paraId="1A6076D9" w14:textId="26407EF7" w:rsidR="00A96911" w:rsidRPr="00A96911" w:rsidRDefault="00A96911" w:rsidP="00A96911">
            <w:pPr>
              <w:spacing w:before="0"/>
              <w:rPr>
                <w:rFonts w:ascii="Arial Narrow" w:hAnsi="Arial Narrow"/>
                <w:bCs/>
                <w:sz w:val="20"/>
                <w:szCs w:val="20"/>
              </w:rPr>
            </w:pPr>
            <w:r w:rsidRPr="00A96911">
              <w:rPr>
                <w:rFonts w:ascii="Arial Narrow" w:hAnsi="Arial Narrow"/>
                <w:bCs/>
                <w:sz w:val="20"/>
                <w:szCs w:val="20"/>
              </w:rPr>
              <w:t>USA</w:t>
            </w:r>
          </w:p>
        </w:tc>
        <w:tc>
          <w:tcPr>
            <w:tcW w:w="1560" w:type="dxa"/>
          </w:tcPr>
          <w:p w14:paraId="01BC1A22" w14:textId="77777777" w:rsidR="00A96911" w:rsidRPr="00A96911" w:rsidRDefault="00A96911" w:rsidP="00A96911">
            <w:pPr>
              <w:spacing w:before="0" w:line="276" w:lineRule="auto"/>
              <w:rPr>
                <w:rFonts w:ascii="Arial Narrow" w:hAnsi="Arial Narrow"/>
                <w:bCs/>
                <w:snapToGrid w:val="0"/>
                <w:sz w:val="20"/>
                <w:szCs w:val="20"/>
              </w:rPr>
            </w:pPr>
            <w:r w:rsidRPr="00A96911">
              <w:rPr>
                <w:rFonts w:ascii="Arial Narrow" w:hAnsi="Arial Narrow"/>
                <w:bCs/>
                <w:snapToGrid w:val="0"/>
                <w:sz w:val="20"/>
                <w:szCs w:val="20"/>
              </w:rPr>
              <w:t>Overtreatment</w:t>
            </w:r>
          </w:p>
        </w:tc>
        <w:tc>
          <w:tcPr>
            <w:tcW w:w="1417" w:type="dxa"/>
          </w:tcPr>
          <w:p w14:paraId="28433FC7"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rPr>
              <w:t>8/37 (21.6%)</w:t>
            </w:r>
          </w:p>
        </w:tc>
        <w:tc>
          <w:tcPr>
            <w:tcW w:w="1559" w:type="dxa"/>
          </w:tcPr>
          <w:p w14:paraId="36F27C54"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rPr>
              <w:t>11/20 (55.0%)</w:t>
            </w:r>
          </w:p>
        </w:tc>
        <w:tc>
          <w:tcPr>
            <w:tcW w:w="2784" w:type="dxa"/>
          </w:tcPr>
          <w:p w14:paraId="0F98747E"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RD, −33.4; (95% CI, −58.9</w:t>
            </w:r>
            <w:proofErr w:type="gramStart"/>
            <w:r w:rsidRPr="00A96911">
              <w:rPr>
                <w:rFonts w:ascii="Arial Narrow" w:hAnsi="Arial Narrow"/>
                <w:bCs/>
                <w:sz w:val="20"/>
                <w:szCs w:val="20"/>
              </w:rPr>
              <w:t>,  −</w:t>
            </w:r>
            <w:proofErr w:type="gramEnd"/>
            <w:r w:rsidRPr="00A96911">
              <w:rPr>
                <w:rFonts w:ascii="Arial Narrow" w:hAnsi="Arial Narrow"/>
                <w:bCs/>
                <w:sz w:val="20"/>
                <w:szCs w:val="20"/>
              </w:rPr>
              <w:t xml:space="preserve">7.9); </w:t>
            </w:r>
          </w:p>
          <w:p w14:paraId="66B9AE4F" w14:textId="77777777" w:rsidR="00A96911" w:rsidRPr="00A96911" w:rsidRDefault="00A96911" w:rsidP="00A96911">
            <w:pPr>
              <w:keepNext/>
              <w:spacing w:before="0"/>
              <w:rPr>
                <w:rFonts w:ascii="Arial Narrow" w:hAnsi="Arial Narrow"/>
                <w:bCs/>
                <w:sz w:val="20"/>
                <w:szCs w:val="20"/>
                <w:u w:val="single"/>
              </w:rPr>
            </w:pPr>
            <w:r w:rsidRPr="00A96911">
              <w:rPr>
                <w:rFonts w:ascii="Arial Narrow" w:hAnsi="Arial Narrow"/>
                <w:bCs/>
                <w:sz w:val="20"/>
                <w:szCs w:val="20"/>
              </w:rPr>
              <w:t>RR, 0.39; (95% CI, 0.19, 0.82)</w:t>
            </w:r>
          </w:p>
        </w:tc>
      </w:tr>
      <w:tr w:rsidR="00A96911" w:rsidRPr="00A96911" w14:paraId="74F329B9" w14:textId="77777777" w:rsidTr="00A830E0">
        <w:tc>
          <w:tcPr>
            <w:tcW w:w="1696" w:type="dxa"/>
          </w:tcPr>
          <w:p w14:paraId="2E02DC17" w14:textId="1F9DD12B" w:rsidR="00A96911" w:rsidRPr="00A96911" w:rsidRDefault="00A96911" w:rsidP="00A96911">
            <w:pPr>
              <w:spacing w:before="0"/>
              <w:rPr>
                <w:rFonts w:ascii="Arial Narrow" w:hAnsi="Arial Narrow"/>
                <w:bCs/>
                <w:sz w:val="20"/>
                <w:szCs w:val="20"/>
              </w:rPr>
            </w:pPr>
            <w:r w:rsidRPr="00A96911">
              <w:rPr>
                <w:rFonts w:ascii="Arial Narrow" w:hAnsi="Arial Narrow"/>
                <w:bCs/>
                <w:sz w:val="20"/>
                <w:szCs w:val="20"/>
              </w:rPr>
              <w:t>Smith et al. (2019)</w:t>
            </w:r>
            <w:r w:rsidR="006D4F4F">
              <w:rPr>
                <w:rStyle w:val="FootnoteReference"/>
                <w:rFonts w:ascii="Arial Narrow" w:hAnsi="Arial Narrow"/>
                <w:bCs/>
                <w:sz w:val="20"/>
                <w:szCs w:val="20"/>
              </w:rPr>
              <w:footnoteReference w:id="16"/>
            </w:r>
          </w:p>
          <w:p w14:paraId="3EC21C52" w14:textId="77777777" w:rsidR="00A96911" w:rsidRPr="00A96911" w:rsidRDefault="00A96911" w:rsidP="00A96911">
            <w:pPr>
              <w:spacing w:before="0"/>
              <w:rPr>
                <w:rFonts w:ascii="Arial Narrow" w:hAnsi="Arial Narrow"/>
                <w:bCs/>
                <w:sz w:val="20"/>
                <w:szCs w:val="20"/>
              </w:rPr>
            </w:pPr>
            <w:r w:rsidRPr="00A96911">
              <w:rPr>
                <w:rFonts w:ascii="Arial Narrow" w:hAnsi="Arial Narrow"/>
                <w:bCs/>
                <w:sz w:val="20"/>
                <w:szCs w:val="20"/>
              </w:rPr>
              <w:t>Australia</w:t>
            </w:r>
          </w:p>
          <w:p w14:paraId="37C557F2" w14:textId="57B69747" w:rsidR="00A96911" w:rsidRPr="00A96911" w:rsidRDefault="00A96911" w:rsidP="00A96911">
            <w:pPr>
              <w:spacing w:before="0"/>
              <w:rPr>
                <w:rFonts w:ascii="Arial Narrow" w:hAnsi="Arial Narrow"/>
                <w:bCs/>
                <w:sz w:val="20"/>
                <w:szCs w:val="20"/>
              </w:rPr>
            </w:pPr>
            <w:r>
              <w:rPr>
                <w:rFonts w:ascii="Arial Narrow" w:hAnsi="Arial Narrow"/>
                <w:bCs/>
                <w:sz w:val="20"/>
                <w:szCs w:val="20"/>
              </w:rPr>
              <w:t>(</w:t>
            </w:r>
            <w:r w:rsidRPr="00A96911">
              <w:rPr>
                <w:rFonts w:ascii="Arial Narrow" w:hAnsi="Arial Narrow"/>
                <w:bCs/>
                <w:sz w:val="20"/>
                <w:szCs w:val="20"/>
              </w:rPr>
              <w:t>TTANGO2</w:t>
            </w:r>
            <w:r>
              <w:rPr>
                <w:rFonts w:ascii="Arial Narrow" w:hAnsi="Arial Narrow"/>
                <w:bCs/>
                <w:sz w:val="20"/>
                <w:szCs w:val="20"/>
              </w:rPr>
              <w:t>)</w:t>
            </w:r>
          </w:p>
          <w:p w14:paraId="28CBB6CF" w14:textId="77777777" w:rsidR="00A96911" w:rsidRPr="00A96911" w:rsidDel="00F57220" w:rsidRDefault="00A96911" w:rsidP="00A96911">
            <w:pPr>
              <w:spacing w:before="0"/>
              <w:rPr>
                <w:rFonts w:ascii="Arial Narrow" w:hAnsi="Arial Narrow"/>
                <w:bCs/>
                <w:sz w:val="20"/>
                <w:szCs w:val="20"/>
              </w:rPr>
            </w:pPr>
            <w:r w:rsidRPr="00A96911">
              <w:rPr>
                <w:rFonts w:ascii="Arial Narrow" w:hAnsi="Arial Narrow"/>
                <w:bCs/>
                <w:sz w:val="20"/>
                <w:szCs w:val="20"/>
              </w:rPr>
              <w:t>Conference presentation</w:t>
            </w:r>
          </w:p>
        </w:tc>
        <w:tc>
          <w:tcPr>
            <w:tcW w:w="1560" w:type="dxa"/>
          </w:tcPr>
          <w:p w14:paraId="2A30D926" w14:textId="3194DF4C" w:rsidR="00A96911" w:rsidRPr="00A96911" w:rsidRDefault="00A96911" w:rsidP="00104751">
            <w:pPr>
              <w:spacing w:before="0" w:line="276" w:lineRule="auto"/>
              <w:rPr>
                <w:rFonts w:ascii="Arial Narrow" w:hAnsi="Arial Narrow"/>
                <w:bCs/>
                <w:snapToGrid w:val="0"/>
                <w:sz w:val="20"/>
                <w:szCs w:val="20"/>
              </w:rPr>
            </w:pPr>
            <w:r w:rsidRPr="00A96911">
              <w:rPr>
                <w:rFonts w:ascii="Arial Narrow" w:hAnsi="Arial Narrow"/>
                <w:bCs/>
                <w:snapToGrid w:val="0"/>
                <w:sz w:val="20"/>
                <w:szCs w:val="20"/>
              </w:rPr>
              <w:t>Overtreatment</w:t>
            </w:r>
            <w:r>
              <w:rPr>
                <w:rFonts w:ascii="Arial Narrow" w:hAnsi="Arial Narrow"/>
                <w:bCs/>
                <w:snapToGrid w:val="0"/>
                <w:sz w:val="20"/>
                <w:szCs w:val="20"/>
              </w:rPr>
              <w:t xml:space="preserve"> (o</w:t>
            </w:r>
            <w:r w:rsidRPr="00A96911">
              <w:rPr>
                <w:rFonts w:ascii="Arial Narrow" w:hAnsi="Arial Narrow"/>
                <w:bCs/>
                <w:snapToGrid w:val="0"/>
                <w:sz w:val="20"/>
                <w:szCs w:val="20"/>
              </w:rPr>
              <w:t xml:space="preserve">f those </w:t>
            </w:r>
            <w:r w:rsidR="00104751">
              <w:rPr>
                <w:rFonts w:ascii="Arial Narrow" w:hAnsi="Arial Narrow"/>
                <w:bCs/>
                <w:snapToGrid w:val="0"/>
                <w:sz w:val="20"/>
                <w:szCs w:val="20"/>
              </w:rPr>
              <w:t>empirically</w:t>
            </w:r>
            <w:r>
              <w:rPr>
                <w:rFonts w:ascii="Arial Narrow" w:hAnsi="Arial Narrow"/>
                <w:bCs/>
                <w:snapToGrid w:val="0"/>
                <w:sz w:val="20"/>
                <w:szCs w:val="20"/>
              </w:rPr>
              <w:t xml:space="preserve"> treated on the same day)</w:t>
            </w:r>
          </w:p>
        </w:tc>
        <w:tc>
          <w:tcPr>
            <w:tcW w:w="1417" w:type="dxa"/>
          </w:tcPr>
          <w:p w14:paraId="47D17A19"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49% CT &amp; NG negative</w:t>
            </w:r>
          </w:p>
          <w:p w14:paraId="4A45EBAC"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10% CT &amp; NG positive</w:t>
            </w:r>
          </w:p>
          <w:p w14:paraId="776EF01C"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13% CT positive</w:t>
            </w:r>
          </w:p>
          <w:p w14:paraId="75FE5F13"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28% NG positive</w:t>
            </w:r>
          </w:p>
        </w:tc>
        <w:tc>
          <w:tcPr>
            <w:tcW w:w="1559" w:type="dxa"/>
          </w:tcPr>
          <w:p w14:paraId="1AB95702"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62% CT &amp; NG negative</w:t>
            </w:r>
          </w:p>
          <w:p w14:paraId="534BA850"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10% CT &amp; NG positive</w:t>
            </w:r>
          </w:p>
          <w:p w14:paraId="1884F4EF"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6% CT positive</w:t>
            </w:r>
          </w:p>
          <w:p w14:paraId="3FB52F91"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22% NG positive</w:t>
            </w:r>
          </w:p>
        </w:tc>
        <w:tc>
          <w:tcPr>
            <w:tcW w:w="2784" w:type="dxa"/>
          </w:tcPr>
          <w:p w14:paraId="24EEB71A" w14:textId="77777777" w:rsidR="00A96911" w:rsidRPr="00A96911" w:rsidRDefault="00A96911" w:rsidP="00A96911">
            <w:pPr>
              <w:keepNext/>
              <w:spacing w:before="0"/>
              <w:rPr>
                <w:rFonts w:ascii="Arial Narrow" w:hAnsi="Arial Narrow"/>
                <w:bCs/>
                <w:sz w:val="20"/>
                <w:szCs w:val="20"/>
              </w:rPr>
            </w:pPr>
            <w:r w:rsidRPr="00A96911">
              <w:rPr>
                <w:rFonts w:ascii="Arial Narrow" w:hAnsi="Arial Narrow"/>
                <w:bCs/>
                <w:sz w:val="20"/>
                <w:szCs w:val="20"/>
              </w:rPr>
              <w:t>Pre and post POC proportions p&lt;0.01</w:t>
            </w:r>
          </w:p>
        </w:tc>
      </w:tr>
    </w:tbl>
    <w:p w14:paraId="354E7D3A" w14:textId="7B624631" w:rsidR="00D1079C" w:rsidRDefault="00760A37" w:rsidP="00585030">
      <w:pPr>
        <w:widowControl w:val="0"/>
        <w:snapToGrid w:val="0"/>
        <w:spacing w:after="240" w:line="240" w:lineRule="auto"/>
        <w:contextualSpacing/>
        <w:jc w:val="both"/>
        <w:rPr>
          <w:rFonts w:ascii="Arial Narrow" w:eastAsia="Times New Roman" w:hAnsi="Arial Narrow" w:cs="Arial"/>
          <w:sz w:val="18"/>
          <w:szCs w:val="20"/>
        </w:rPr>
      </w:pPr>
      <w:r>
        <w:rPr>
          <w:rFonts w:ascii="Arial Narrow" w:eastAsia="Times New Roman" w:hAnsi="Arial Narrow" w:cs="Arial"/>
          <w:sz w:val="18"/>
          <w:szCs w:val="20"/>
        </w:rPr>
        <w:t xml:space="preserve">Source: </w:t>
      </w:r>
      <w:r w:rsidR="00D1079C">
        <w:rPr>
          <w:rFonts w:ascii="Arial Narrow" w:eastAsia="Times New Roman" w:hAnsi="Arial Narrow" w:cs="Arial"/>
          <w:sz w:val="18"/>
          <w:szCs w:val="20"/>
        </w:rPr>
        <w:t xml:space="preserve">Commentary Table 18, </w:t>
      </w:r>
      <w:proofErr w:type="spellStart"/>
      <w:r w:rsidR="00D1079C">
        <w:rPr>
          <w:rFonts w:ascii="Arial Narrow" w:eastAsia="Times New Roman" w:hAnsi="Arial Narrow" w:cs="Arial"/>
          <w:sz w:val="18"/>
          <w:szCs w:val="20"/>
        </w:rPr>
        <w:t>pg</w:t>
      </w:r>
      <w:proofErr w:type="spellEnd"/>
      <w:r w:rsidR="00D1079C">
        <w:rPr>
          <w:rFonts w:ascii="Arial Narrow" w:eastAsia="Times New Roman" w:hAnsi="Arial Narrow" w:cs="Arial"/>
          <w:sz w:val="18"/>
          <w:szCs w:val="20"/>
        </w:rPr>
        <w:t xml:space="preserve"> </w:t>
      </w:r>
      <w:r w:rsidR="00E739FF">
        <w:rPr>
          <w:rFonts w:ascii="Arial Narrow" w:eastAsia="Times New Roman" w:hAnsi="Arial Narrow" w:cs="Arial"/>
          <w:sz w:val="18"/>
          <w:szCs w:val="20"/>
        </w:rPr>
        <w:t>83</w:t>
      </w:r>
      <w:r w:rsidR="00D1079C">
        <w:rPr>
          <w:rFonts w:ascii="Arial Narrow" w:eastAsia="Times New Roman" w:hAnsi="Arial Narrow" w:cs="Arial"/>
          <w:sz w:val="18"/>
          <w:szCs w:val="20"/>
        </w:rPr>
        <w:t xml:space="preserve"> of the MSAC 1627</w:t>
      </w:r>
      <w:r w:rsidR="00D1079C" w:rsidRPr="00D1079C">
        <w:rPr>
          <w:rFonts w:ascii="Arial Narrow" w:eastAsia="Times New Roman" w:hAnsi="Arial Narrow" w:cs="Arial"/>
          <w:sz w:val="18"/>
          <w:szCs w:val="20"/>
        </w:rPr>
        <w:t xml:space="preserve"> </w:t>
      </w:r>
      <w:proofErr w:type="spellStart"/>
      <w:r w:rsidR="00D1079C" w:rsidRPr="00D1079C">
        <w:rPr>
          <w:rFonts w:ascii="Arial Narrow" w:eastAsia="Times New Roman" w:hAnsi="Arial Narrow" w:cs="Arial"/>
          <w:sz w:val="18"/>
          <w:szCs w:val="20"/>
        </w:rPr>
        <w:t>ADAR</w:t>
      </w:r>
      <w:r>
        <w:rPr>
          <w:rFonts w:ascii="Arial Narrow" w:eastAsia="Times New Roman" w:hAnsi="Arial Narrow" w:cs="Arial"/>
          <w:sz w:val="18"/>
          <w:szCs w:val="20"/>
        </w:rPr>
        <w:t>+in-line</w:t>
      </w:r>
      <w:proofErr w:type="spellEnd"/>
      <w:r>
        <w:rPr>
          <w:rFonts w:ascii="Arial Narrow" w:eastAsia="Times New Roman" w:hAnsi="Arial Narrow" w:cs="Arial"/>
          <w:sz w:val="18"/>
          <w:szCs w:val="20"/>
        </w:rPr>
        <w:t xml:space="preserve"> commentary</w:t>
      </w:r>
    </w:p>
    <w:p w14:paraId="67177DC0" w14:textId="6801C843" w:rsidR="00F574F5" w:rsidRPr="002005C6" w:rsidRDefault="00F574F5" w:rsidP="00F574F5">
      <w:pPr>
        <w:widowControl w:val="0"/>
        <w:snapToGrid w:val="0"/>
        <w:spacing w:after="240" w:line="240" w:lineRule="auto"/>
        <w:contextualSpacing/>
        <w:jc w:val="both"/>
        <w:rPr>
          <w:rFonts w:ascii="Arial Narrow" w:eastAsia="Times New Roman" w:hAnsi="Arial Narrow" w:cs="Arial"/>
          <w:sz w:val="18"/>
          <w:szCs w:val="20"/>
        </w:rPr>
      </w:pPr>
      <w:r w:rsidRPr="002005C6">
        <w:rPr>
          <w:rFonts w:ascii="Arial Narrow" w:eastAsia="Times New Roman" w:hAnsi="Arial Narrow" w:cs="Arial"/>
          <w:sz w:val="18"/>
          <w:szCs w:val="20"/>
        </w:rPr>
        <w:t xml:space="preserve">CT = </w:t>
      </w:r>
      <w:r w:rsidR="002005C6" w:rsidRPr="002005C6">
        <w:rPr>
          <w:rFonts w:ascii="Arial Narrow" w:eastAsia="Times New Roman" w:hAnsi="Arial Narrow" w:cs="Arial"/>
          <w:i/>
          <w:sz w:val="18"/>
          <w:szCs w:val="20"/>
        </w:rPr>
        <w:t>C</w:t>
      </w:r>
      <w:r w:rsidRPr="002005C6">
        <w:rPr>
          <w:rFonts w:ascii="Arial Narrow" w:eastAsia="Times New Roman" w:hAnsi="Arial Narrow" w:cs="Arial"/>
          <w:i/>
          <w:sz w:val="18"/>
          <w:szCs w:val="20"/>
        </w:rPr>
        <w:t>hlamydia trachomatis</w:t>
      </w:r>
      <w:r w:rsidRPr="002005C6">
        <w:rPr>
          <w:rFonts w:ascii="Arial Narrow" w:eastAsia="Times New Roman" w:hAnsi="Arial Narrow" w:cs="Arial"/>
          <w:sz w:val="18"/>
          <w:szCs w:val="20"/>
        </w:rPr>
        <w:t xml:space="preserve">; N = number of patients; NA = not available; NG = </w:t>
      </w:r>
      <w:r w:rsidRPr="002005C6">
        <w:rPr>
          <w:rFonts w:ascii="Arial Narrow" w:eastAsia="Times New Roman" w:hAnsi="Arial Narrow" w:cs="Arial"/>
          <w:i/>
          <w:sz w:val="18"/>
          <w:szCs w:val="20"/>
        </w:rPr>
        <w:t xml:space="preserve">Neisseria </w:t>
      </w:r>
      <w:r w:rsidR="002005C6" w:rsidRPr="002005C6">
        <w:rPr>
          <w:rFonts w:ascii="Arial Narrow" w:eastAsia="Times New Roman" w:hAnsi="Arial Narrow" w:cs="Arial"/>
          <w:i/>
          <w:sz w:val="18"/>
          <w:szCs w:val="20"/>
        </w:rPr>
        <w:t>gonorrhoea</w:t>
      </w:r>
      <w:r w:rsidRPr="002005C6">
        <w:rPr>
          <w:rFonts w:ascii="Arial Narrow" w:eastAsia="Times New Roman" w:hAnsi="Arial Narrow" w:cs="Arial"/>
          <w:sz w:val="18"/>
          <w:szCs w:val="20"/>
        </w:rPr>
        <w:t>; POC = point of care; PP = per protocol population; RD = risk difference; RR = relative risk; SOC = standard of care (in this case, testing within a laboratory setting); USA = United States of America</w:t>
      </w:r>
    </w:p>
    <w:p w14:paraId="76377EC5" w14:textId="488D4B99" w:rsidR="005C78D2" w:rsidRPr="005C78D2" w:rsidRDefault="00F26A3A" w:rsidP="00F26A3A">
      <w:pPr>
        <w:pStyle w:val="Heading4"/>
        <w:rPr>
          <w:snapToGrid w:val="0"/>
        </w:rPr>
      </w:pPr>
      <w:r>
        <w:rPr>
          <w:snapToGrid w:val="0"/>
        </w:rPr>
        <w:t xml:space="preserve">Retesting </w:t>
      </w:r>
      <w:r w:rsidR="00237881">
        <w:rPr>
          <w:snapToGrid w:val="0"/>
        </w:rPr>
        <w:t xml:space="preserve">patients </w:t>
      </w:r>
      <w:r>
        <w:rPr>
          <w:snapToGrid w:val="0"/>
        </w:rPr>
        <w:t>for reinfection or cure</w:t>
      </w:r>
    </w:p>
    <w:p w14:paraId="740D0B19" w14:textId="5856DDB6" w:rsidR="00237881" w:rsidRPr="00237881" w:rsidRDefault="00237881" w:rsidP="00237881">
      <w:r>
        <w:t>I</w:t>
      </w:r>
      <w:r w:rsidRPr="00237881">
        <w:t xml:space="preserve">t is uncertain whether </w:t>
      </w:r>
      <w:proofErr w:type="spellStart"/>
      <w:r w:rsidRPr="00237881">
        <w:t>Xpert</w:t>
      </w:r>
      <w:proofErr w:type="spellEnd"/>
      <w:r w:rsidRPr="00237881">
        <w:t xml:space="preserve"> CT/NG POC testing in comparison to SOC testing has a positive impact on the rate of retesting to determine reinfection or treatment resolution.</w:t>
      </w:r>
      <w:r>
        <w:t xml:space="preserve"> </w:t>
      </w:r>
      <w:r w:rsidRPr="00237881">
        <w:t xml:space="preserve">Only the TTANGO study reported </w:t>
      </w:r>
      <w:r w:rsidR="00B80FC0">
        <w:t xml:space="preserve">data for the number of positive patients retested at 3 weeks to 3 months after treatment following an </w:t>
      </w:r>
      <w:proofErr w:type="spellStart"/>
      <w:r w:rsidRPr="00237881">
        <w:t>Xpert</w:t>
      </w:r>
      <w:proofErr w:type="spellEnd"/>
      <w:r w:rsidRPr="00237881">
        <w:t xml:space="preserve"> NG/CT and SOC </w:t>
      </w:r>
      <w:r w:rsidR="00B80FC0">
        <w:t>test to diagnose the initial STI.</w:t>
      </w:r>
      <w:r w:rsidRPr="00237881">
        <w:t xml:space="preserve"> Retesting rates repo</w:t>
      </w:r>
      <w:r w:rsidR="00137A48">
        <w:t xml:space="preserve">rted for the </w:t>
      </w:r>
      <w:r w:rsidRPr="00237881">
        <w:t xml:space="preserve">TTANGO study were low and </w:t>
      </w:r>
      <w:r w:rsidR="00137A48">
        <w:t>comparable</w:t>
      </w:r>
      <w:r w:rsidRPr="00237881">
        <w:t xml:space="preserve"> between the </w:t>
      </w:r>
      <w:proofErr w:type="spellStart"/>
      <w:r w:rsidR="00B80FC0" w:rsidRPr="00B80FC0">
        <w:t>Xpert</w:t>
      </w:r>
      <w:proofErr w:type="spellEnd"/>
      <w:r w:rsidR="00B80FC0" w:rsidRPr="00B80FC0">
        <w:t xml:space="preserve"> NG/CT </w:t>
      </w:r>
      <w:r>
        <w:t>POC test and SOC test</w:t>
      </w:r>
      <w:r w:rsidRPr="00237881">
        <w:t xml:space="preserve"> groups (14% vs 17%)</w:t>
      </w:r>
      <w:r>
        <w:t>.</w:t>
      </w:r>
    </w:p>
    <w:p w14:paraId="1729E8A1" w14:textId="48748096" w:rsidR="003406C5" w:rsidRDefault="003406C5" w:rsidP="003406C5">
      <w:pPr>
        <w:pStyle w:val="Heading3"/>
      </w:pPr>
      <w:r>
        <w:lastRenderedPageBreak/>
        <w:t>Health outcomes</w:t>
      </w:r>
    </w:p>
    <w:p w14:paraId="3875D6E1" w14:textId="643F9946" w:rsidR="004508DF" w:rsidRPr="004508DF" w:rsidRDefault="004508DF" w:rsidP="004508DF">
      <w:pPr>
        <w:pStyle w:val="Heading4"/>
      </w:pPr>
      <w:r>
        <w:t>STI reinfection after treatment</w:t>
      </w:r>
    </w:p>
    <w:p w14:paraId="2EE35749" w14:textId="46871B27" w:rsidR="00137A48" w:rsidRDefault="00137A48" w:rsidP="00137A48">
      <w:r>
        <w:t>Direct comparative test to health outcome</w:t>
      </w:r>
      <w:r w:rsidR="00AF055E">
        <w:t>s</w:t>
      </w:r>
      <w:r>
        <w:t xml:space="preserve"> </w:t>
      </w:r>
      <w:r w:rsidR="00AF055E">
        <w:t xml:space="preserve">evidence </w:t>
      </w:r>
      <w:r>
        <w:t>was available from the TTANGO study and another international RCT</w:t>
      </w:r>
      <w:r w:rsidR="00333262">
        <w:t xml:space="preserve"> (</w:t>
      </w:r>
      <w:proofErr w:type="spellStart"/>
      <w:r w:rsidR="00333262">
        <w:t>Keizur</w:t>
      </w:r>
      <w:proofErr w:type="spellEnd"/>
      <w:r w:rsidR="00333262">
        <w:t xml:space="preserve"> et al, 2020)</w:t>
      </w:r>
      <w:r w:rsidR="00944DEE">
        <w:rPr>
          <w:rStyle w:val="FootnoteReference"/>
        </w:rPr>
        <w:footnoteReference w:id="17"/>
      </w:r>
      <w:r>
        <w:t>. The health outcome was the rate of patient reinfection or failure to resolve the STI infection after antibiotic treatment.</w:t>
      </w:r>
    </w:p>
    <w:p w14:paraId="2AABCCA8" w14:textId="67C50BC7" w:rsidR="00137A48" w:rsidRPr="00137A48" w:rsidRDefault="00137A48" w:rsidP="00137A48">
      <w:r w:rsidRPr="00137A48">
        <w:t xml:space="preserve">Retesting of patients is recommended in the Australian STI management guidelines to </w:t>
      </w:r>
      <w:r>
        <w:t xml:space="preserve">confirm that patients </w:t>
      </w:r>
      <w:r w:rsidRPr="00137A48">
        <w:t xml:space="preserve">have not been reinfected or that the infection has resolved following treatment. </w:t>
      </w:r>
    </w:p>
    <w:p w14:paraId="7A4EB066" w14:textId="178465F6" w:rsidR="00137A48" w:rsidRPr="00DB7EC9" w:rsidRDefault="00137A48" w:rsidP="00137A48">
      <w:r w:rsidRPr="00137A48">
        <w:t xml:space="preserve">Data from the TTANGO study </w:t>
      </w:r>
      <w:r w:rsidR="00AF055E" w:rsidRPr="00137A48">
        <w:t>suggest</w:t>
      </w:r>
      <w:r w:rsidR="00AF055E">
        <w:t>ed</w:t>
      </w:r>
      <w:r w:rsidR="00AF055E" w:rsidRPr="00137A48">
        <w:t xml:space="preserve"> </w:t>
      </w:r>
      <w:r w:rsidRPr="00137A48">
        <w:t xml:space="preserve">that </w:t>
      </w:r>
      <w:r w:rsidR="007B5353">
        <w:t xml:space="preserve">the </w:t>
      </w:r>
      <w:r w:rsidR="00AF055E">
        <w:t>majority of patients were uninfected at retesting (</w:t>
      </w:r>
      <w:proofErr w:type="gramStart"/>
      <w:r w:rsidR="00AF055E">
        <w:t>i.e.</w:t>
      </w:r>
      <w:proofErr w:type="gramEnd"/>
      <w:r w:rsidR="00AF055E">
        <w:t xml:space="preserve"> cured, and not reinfected)</w:t>
      </w:r>
      <w:r w:rsidRPr="00137A48">
        <w:t xml:space="preserve"> (81% for </w:t>
      </w:r>
      <w:proofErr w:type="spellStart"/>
      <w:r w:rsidRPr="00137A48">
        <w:t>Xpert</w:t>
      </w:r>
      <w:proofErr w:type="spellEnd"/>
      <w:r w:rsidRPr="00137A48">
        <w:t xml:space="preserve"> CT/NG POC testing; 87% for SOC testing). However, there was no significant difference in the proportion </w:t>
      </w:r>
      <w:r w:rsidR="00173D62">
        <w:t>of</w:t>
      </w:r>
      <w:r w:rsidRPr="00137A48">
        <w:t xml:space="preserve"> patients </w:t>
      </w:r>
      <w:r w:rsidR="00AF055E">
        <w:t>who</w:t>
      </w:r>
      <w:r w:rsidR="00AF055E" w:rsidRPr="00137A48">
        <w:t xml:space="preserve"> </w:t>
      </w:r>
      <w:r w:rsidRPr="00137A48">
        <w:t xml:space="preserve">were infected (and therefore the proportion reinfected) between the </w:t>
      </w:r>
      <w:proofErr w:type="spellStart"/>
      <w:r w:rsidRPr="00137A48">
        <w:t>Xpert</w:t>
      </w:r>
      <w:proofErr w:type="spellEnd"/>
      <w:r w:rsidRPr="00137A48">
        <w:t xml:space="preserve"> CT/NG POC test and SOC test groups (RR 1·42, 95% CI 0·64, 3·13; p=0·40</w:t>
      </w:r>
      <w:r w:rsidR="00173D62">
        <w:t>)</w:t>
      </w:r>
      <w:r w:rsidRPr="00137A48">
        <w:t>. The proportion of patients presenting for a retest was low in both groups</w:t>
      </w:r>
      <w:r w:rsidR="00A82F00">
        <w:t>, and the lack of statistical significance may be due to the small sample size</w:t>
      </w:r>
      <w:r w:rsidR="00DB7EC9">
        <w:t>. There was no</w:t>
      </w:r>
      <w:r w:rsidR="00DB7EC9" w:rsidRPr="00DB7EC9">
        <w:t xml:space="preserve"> significant difference in participant reinfection or failure to resolve the initial infection between the POC and SOC testing groups</w:t>
      </w:r>
      <w:r w:rsidR="00DB7EC9">
        <w:t xml:space="preserve"> in the international RCT</w:t>
      </w:r>
      <w:r w:rsidR="00DB7EC9" w:rsidRPr="00DB7EC9">
        <w:t xml:space="preserve"> (12% vs </w:t>
      </w:r>
      <w:proofErr w:type="gramStart"/>
      <w:r w:rsidR="00DB7EC9" w:rsidRPr="00DB7EC9">
        <w:t>20%;</w:t>
      </w:r>
      <w:proofErr w:type="gramEnd"/>
      <w:r w:rsidR="00DB7EC9" w:rsidRPr="00DB7EC9">
        <w:t xml:space="preserve"> RR 0.60, 95% CI 0.33, 1.09)</w:t>
      </w:r>
      <w:r w:rsidR="00DB7EC9">
        <w:t>.</w:t>
      </w:r>
    </w:p>
    <w:p w14:paraId="745F4AAE" w14:textId="7F1835A5" w:rsidR="00137A48" w:rsidRDefault="00DB7EC9" w:rsidP="00137A48">
      <w:r>
        <w:t>Two noncomparative studies</w:t>
      </w:r>
      <w:r w:rsidR="00333262">
        <w:t xml:space="preserve"> (Garrett et al, 2018</w:t>
      </w:r>
      <w:r w:rsidR="006116B3">
        <w:rPr>
          <w:rStyle w:val="FootnoteReference"/>
        </w:rPr>
        <w:footnoteReference w:id="18"/>
      </w:r>
      <w:r w:rsidR="00333262">
        <w:t>; Wynn et al, 2018</w:t>
      </w:r>
      <w:r w:rsidR="006116B3">
        <w:rPr>
          <w:rStyle w:val="FootnoteReference"/>
        </w:rPr>
        <w:footnoteReference w:id="19"/>
      </w:r>
      <w:r w:rsidR="00333262">
        <w:t>)</w:t>
      </w:r>
      <w:r>
        <w:t xml:space="preserve"> reported a reduction in reinfection on retesting (59% at baseline vs 4% on retesting at 12 weeks after treatment; ~10% of infected patients positive on retesting at ≥4 weeks after treatment)</w:t>
      </w:r>
      <w:r w:rsidR="000322AD">
        <w:t xml:space="preserve">. In both studies, a higher proportion of </w:t>
      </w:r>
      <w:r w:rsidR="004508DF">
        <w:t>patients were retested than in the TTANGO study.</w:t>
      </w:r>
    </w:p>
    <w:p w14:paraId="6DE9512C" w14:textId="0263DF0E" w:rsidR="004508DF" w:rsidRDefault="004508DF" w:rsidP="004508DF">
      <w:pPr>
        <w:pStyle w:val="Heading4"/>
      </w:pPr>
      <w:r w:rsidRPr="004508DF">
        <w:t>Reductions in adverse reproducti</w:t>
      </w:r>
      <w:r w:rsidR="005A32B6">
        <w:t>ve</w:t>
      </w:r>
      <w:r w:rsidRPr="004508DF">
        <w:t xml:space="preserve"> health outcomes</w:t>
      </w:r>
    </w:p>
    <w:p w14:paraId="10EA6E24" w14:textId="7F450F38" w:rsidR="00137A48" w:rsidRDefault="004508DF" w:rsidP="002F3EC4">
      <w:pPr>
        <w:pStyle w:val="NormalBeforeBullet"/>
      </w:pPr>
      <w:r>
        <w:rPr>
          <w:rFonts w:ascii="Franklin Gothic Book" w:hAnsi="Franklin Gothic Book"/>
        </w:rPr>
        <w:t>Evidence supporting the</w:t>
      </w:r>
      <w:r w:rsidRPr="004508DF">
        <w:rPr>
          <w:rFonts w:ascii="Franklin Gothic Book" w:hAnsi="Franklin Gothic Book"/>
        </w:rPr>
        <w:t xml:space="preserve"> impact of </w:t>
      </w:r>
      <w:proofErr w:type="spellStart"/>
      <w:r w:rsidRPr="004508DF">
        <w:rPr>
          <w:rFonts w:ascii="Franklin Gothic Book" w:hAnsi="Franklin Gothic Book"/>
        </w:rPr>
        <w:t>Xpert</w:t>
      </w:r>
      <w:proofErr w:type="spellEnd"/>
      <w:r w:rsidRPr="004508DF">
        <w:rPr>
          <w:rFonts w:ascii="Franklin Gothic Book" w:hAnsi="Franklin Gothic Book"/>
        </w:rPr>
        <w:t xml:space="preserve"> CT/NG and </w:t>
      </w:r>
      <w:proofErr w:type="spellStart"/>
      <w:r w:rsidRPr="004508DF">
        <w:rPr>
          <w:rFonts w:ascii="Franklin Gothic Book" w:hAnsi="Franklin Gothic Book"/>
        </w:rPr>
        <w:t>Xpert</w:t>
      </w:r>
      <w:proofErr w:type="spellEnd"/>
      <w:r w:rsidRPr="004508DF">
        <w:rPr>
          <w:rFonts w:ascii="Franklin Gothic Book" w:hAnsi="Franklin Gothic Book"/>
        </w:rPr>
        <w:t xml:space="preserve"> TV POC testing on the prevalence of </w:t>
      </w:r>
      <w:proofErr w:type="gramStart"/>
      <w:r w:rsidRPr="004508DF">
        <w:rPr>
          <w:rFonts w:ascii="Franklin Gothic Book" w:hAnsi="Franklin Gothic Book"/>
        </w:rPr>
        <w:t>PID</w:t>
      </w:r>
      <w:proofErr w:type="gramEnd"/>
      <w:r w:rsidRPr="004508DF">
        <w:rPr>
          <w:rFonts w:ascii="Franklin Gothic Book" w:hAnsi="Franklin Gothic Book"/>
        </w:rPr>
        <w:t xml:space="preserve"> </w:t>
      </w:r>
      <w:r w:rsidR="005A32B6">
        <w:rPr>
          <w:rFonts w:ascii="Franklin Gothic Book" w:hAnsi="Franklin Gothic Book"/>
        </w:rPr>
        <w:t>and antenatal care</w:t>
      </w:r>
      <w:r>
        <w:rPr>
          <w:rFonts w:ascii="Franklin Gothic Book" w:hAnsi="Franklin Gothic Book"/>
        </w:rPr>
        <w:t xml:space="preserve"> was not included in the ADAR</w:t>
      </w:r>
      <w:r w:rsidRPr="004508DF">
        <w:rPr>
          <w:rFonts w:ascii="Franklin Gothic Book" w:hAnsi="Franklin Gothic Book"/>
        </w:rPr>
        <w:t>.</w:t>
      </w:r>
      <w:r>
        <w:rPr>
          <w:rFonts w:ascii="Franklin Gothic Book" w:hAnsi="Franklin Gothic Book"/>
        </w:rPr>
        <w:t xml:space="preserve"> However, </w:t>
      </w:r>
      <w:r w:rsidR="006575BE">
        <w:rPr>
          <w:rFonts w:ascii="Franklin Gothic Book" w:hAnsi="Franklin Gothic Book"/>
        </w:rPr>
        <w:t xml:space="preserve">the ADAR claimed </w:t>
      </w:r>
      <w:r>
        <w:rPr>
          <w:rFonts w:ascii="Franklin Gothic Book" w:hAnsi="Franklin Gothic Book"/>
        </w:rPr>
        <w:t>i</w:t>
      </w:r>
      <w:r w:rsidRPr="004508DF">
        <w:rPr>
          <w:rFonts w:ascii="Franklin Gothic Book" w:hAnsi="Franklin Gothic Book"/>
        </w:rPr>
        <w:t xml:space="preserve">t </w:t>
      </w:r>
      <w:r w:rsidR="006575BE">
        <w:rPr>
          <w:rFonts w:ascii="Franklin Gothic Book" w:hAnsi="Franklin Gothic Book"/>
        </w:rPr>
        <w:t>was</w:t>
      </w:r>
      <w:r w:rsidR="006575BE" w:rsidRPr="004508DF">
        <w:rPr>
          <w:rFonts w:ascii="Franklin Gothic Book" w:hAnsi="Franklin Gothic Book"/>
        </w:rPr>
        <w:t xml:space="preserve"> </w:t>
      </w:r>
      <w:r w:rsidRPr="004508DF">
        <w:rPr>
          <w:rFonts w:ascii="Franklin Gothic Book" w:hAnsi="Franklin Gothic Book"/>
        </w:rPr>
        <w:t xml:space="preserve">reasonable to conclude that appropriately treating CT and NG </w:t>
      </w:r>
      <w:r w:rsidR="00661617">
        <w:rPr>
          <w:rFonts w:ascii="Franklin Gothic Book" w:hAnsi="Franklin Gothic Book"/>
        </w:rPr>
        <w:t xml:space="preserve">infections </w:t>
      </w:r>
      <w:r w:rsidRPr="004508DF">
        <w:rPr>
          <w:rFonts w:ascii="Franklin Gothic Book" w:hAnsi="Franklin Gothic Book"/>
        </w:rPr>
        <w:t>in a timely manner is likely to re</w:t>
      </w:r>
      <w:r>
        <w:rPr>
          <w:rFonts w:ascii="Franklin Gothic Book" w:hAnsi="Franklin Gothic Book"/>
        </w:rPr>
        <w:t xml:space="preserve">duce the risk of PID </w:t>
      </w:r>
      <w:r w:rsidR="005A32B6">
        <w:rPr>
          <w:rFonts w:ascii="Franklin Gothic Book" w:hAnsi="Franklin Gothic Book"/>
        </w:rPr>
        <w:t>developing and other negative reproductive outcomes</w:t>
      </w:r>
      <w:r>
        <w:rPr>
          <w:rFonts w:ascii="Franklin Gothic Book" w:hAnsi="Franklin Gothic Book"/>
        </w:rPr>
        <w:t>.</w:t>
      </w:r>
    </w:p>
    <w:p w14:paraId="213924C6" w14:textId="4730605F" w:rsidR="00772829" w:rsidRPr="00223664" w:rsidRDefault="00772829" w:rsidP="003406C5">
      <w:pPr>
        <w:pStyle w:val="Heading3"/>
      </w:pPr>
      <w:r w:rsidRPr="00223664">
        <w:t>Clinical claim</w:t>
      </w:r>
    </w:p>
    <w:p w14:paraId="62ACD5FB" w14:textId="327D2CA4" w:rsidR="004F2CA9" w:rsidRDefault="00640628" w:rsidP="00640628">
      <w:pPr>
        <w:tabs>
          <w:tab w:val="left" w:pos="720"/>
          <w:tab w:val="left" w:pos="1140"/>
        </w:tabs>
        <w:spacing w:before="240" w:after="120"/>
      </w:pPr>
      <w:r>
        <w:t xml:space="preserve">The ADAR was inconsistent regarding whether the clinical claim was that use of </w:t>
      </w:r>
      <w:r w:rsidR="004F2CA9">
        <w:t xml:space="preserve">Cepheid GeneXpert CT/NG and TV assays in a POC setting results in </w:t>
      </w:r>
      <w:r w:rsidR="004F2CA9" w:rsidRPr="004F2CA9">
        <w:rPr>
          <w:u w:val="single"/>
        </w:rPr>
        <w:t>noninferior effectiveness</w:t>
      </w:r>
      <w:r w:rsidR="004F2CA9">
        <w:t xml:space="preserve"> compared with laboratory NAAT testing</w:t>
      </w:r>
      <w:r>
        <w:t>, or superior effectiveness compared with laboratory NAAT testing</w:t>
      </w:r>
      <w:r w:rsidR="004F2CA9">
        <w:t>.</w:t>
      </w:r>
    </w:p>
    <w:p w14:paraId="6D0F406F" w14:textId="5FFD83D1" w:rsidR="00640628" w:rsidRDefault="00640628" w:rsidP="00640628">
      <w:pPr>
        <w:tabs>
          <w:tab w:val="left" w:pos="720"/>
          <w:tab w:val="left" w:pos="1140"/>
        </w:tabs>
        <w:spacing w:before="240" w:after="120"/>
      </w:pPr>
      <w:r w:rsidRPr="008B7174">
        <w:t xml:space="preserve">The analysis of the data during evaluation supported </w:t>
      </w:r>
      <w:r>
        <w:t>the claim of non-inferior effectiveness</w:t>
      </w:r>
      <w:r w:rsidRPr="008B7174">
        <w:t>.</w:t>
      </w:r>
      <w:r>
        <w:t xml:space="preserve"> Although the use of POC testing is</w:t>
      </w:r>
      <w:r w:rsidRPr="00D06077">
        <w:rPr>
          <w:i/>
        </w:rPr>
        <w:t xml:space="preserve"> likely</w:t>
      </w:r>
      <w:r>
        <w:t xml:space="preserve"> to be superior to SOC testing (due to faster treatment of </w:t>
      </w:r>
      <w:r>
        <w:lastRenderedPageBreak/>
        <w:t xml:space="preserve">asymptomatic patients with infections, and the fact that treatment of STIs should reduce the rate of longer-term sequelae), the evidence that POC reduces the infection rate at follow-up was </w:t>
      </w:r>
      <w:r w:rsidR="003079A5">
        <w:t>highly uncertain (</w:t>
      </w:r>
      <w:r w:rsidR="005A32B6">
        <w:t>limited retesting data</w:t>
      </w:r>
      <w:r w:rsidR="003079A5">
        <w:t xml:space="preserve"> with non-statistically significant differences)</w:t>
      </w:r>
      <w:r>
        <w:t>.</w:t>
      </w:r>
    </w:p>
    <w:p w14:paraId="68B5444A" w14:textId="68FBA69E" w:rsidR="00772829" w:rsidRPr="003251C2" w:rsidRDefault="00640628" w:rsidP="002F3EC4">
      <w:pPr>
        <w:tabs>
          <w:tab w:val="left" w:pos="720"/>
          <w:tab w:val="left" w:pos="1140"/>
        </w:tabs>
        <w:spacing w:before="240" w:after="120"/>
      </w:pPr>
      <w:r>
        <w:t xml:space="preserve">The ADAR claimed that the </w:t>
      </w:r>
      <w:r w:rsidR="004F2CA9">
        <w:t xml:space="preserve">use of the Cepheid GeneXpert CT/NG and TV assays in a POC setting results in </w:t>
      </w:r>
      <w:r w:rsidR="004F2CA9" w:rsidRPr="004F2CA9">
        <w:rPr>
          <w:u w:val="single"/>
        </w:rPr>
        <w:t>noninferior safety</w:t>
      </w:r>
      <w:r w:rsidR="004F2CA9">
        <w:t xml:space="preserve"> compared with laboratory NAAT testing.</w:t>
      </w:r>
      <w:r w:rsidR="005A32B6" w:rsidRPr="005A32B6">
        <w:t xml:space="preserve"> </w:t>
      </w:r>
      <w:r w:rsidR="005A32B6">
        <w:t xml:space="preserve">This claim was appropriate. </w:t>
      </w:r>
    </w:p>
    <w:p w14:paraId="0D09C9E4" w14:textId="2F66BBB6" w:rsidR="00772829" w:rsidRPr="00CE28E3" w:rsidRDefault="00C36633" w:rsidP="002A18BE">
      <w:pPr>
        <w:pStyle w:val="Heading2"/>
        <w:numPr>
          <w:ilvl w:val="0"/>
          <w:numId w:val="0"/>
        </w:numPr>
      </w:pPr>
      <w:bookmarkStart w:id="36" w:name="_Toc69491425"/>
      <w:r>
        <w:t>1</w:t>
      </w:r>
      <w:r w:rsidR="008A2C9F">
        <w:t>3</w:t>
      </w:r>
      <w:r>
        <w:t>.</w:t>
      </w:r>
      <w:r>
        <w:tab/>
      </w:r>
      <w:r w:rsidR="00772829" w:rsidRPr="00CE28E3">
        <w:t>Economic evaluation</w:t>
      </w:r>
      <w:bookmarkEnd w:id="36"/>
    </w:p>
    <w:p w14:paraId="75BD76B6" w14:textId="77777777" w:rsidR="00E30C57" w:rsidRDefault="00E30C57" w:rsidP="00E30C57">
      <w:pPr>
        <w:pStyle w:val="Instructionaltext"/>
        <w:rPr>
          <w:color w:val="auto"/>
        </w:rPr>
      </w:pPr>
      <w:bookmarkStart w:id="37" w:name="_Toc69491427"/>
      <w:r w:rsidRPr="00520873">
        <w:rPr>
          <w:color w:val="auto"/>
        </w:rPr>
        <w:t>The ADAR presented a cost-utility analysis</w:t>
      </w:r>
      <w:r>
        <w:rPr>
          <w:color w:val="auto"/>
        </w:rPr>
        <w:t xml:space="preserve"> based on</w:t>
      </w:r>
      <w:r w:rsidRPr="00520873">
        <w:rPr>
          <w:color w:val="auto"/>
        </w:rPr>
        <w:t xml:space="preserve"> the reduced time to treatment obs</w:t>
      </w:r>
      <w:r>
        <w:rPr>
          <w:color w:val="auto"/>
        </w:rPr>
        <w:t>erved in the TTANGO trial, and on this basis, a</w:t>
      </w:r>
      <w:r w:rsidRPr="00520873">
        <w:rPr>
          <w:color w:val="auto"/>
        </w:rPr>
        <w:t xml:space="preserve"> reduction in infection sequelae </w:t>
      </w:r>
      <w:r>
        <w:rPr>
          <w:color w:val="auto"/>
        </w:rPr>
        <w:t>was</w:t>
      </w:r>
      <w:r w:rsidRPr="00520873">
        <w:rPr>
          <w:color w:val="auto"/>
        </w:rPr>
        <w:t xml:space="preserve"> modelled. </w:t>
      </w:r>
      <w:r>
        <w:rPr>
          <w:color w:val="auto"/>
        </w:rPr>
        <w:t>The Commentary noted that w</w:t>
      </w:r>
      <w:r w:rsidRPr="00520873">
        <w:rPr>
          <w:color w:val="auto"/>
        </w:rPr>
        <w:t xml:space="preserve">hile data from TTANGO </w:t>
      </w:r>
      <w:r>
        <w:rPr>
          <w:color w:val="auto"/>
        </w:rPr>
        <w:t xml:space="preserve">may </w:t>
      </w:r>
      <w:r w:rsidRPr="00520873">
        <w:rPr>
          <w:color w:val="auto"/>
        </w:rPr>
        <w:t xml:space="preserve">support a reduced time to treatment with POC testing, when a sample of patients were retested three weeks to three months after treatment, no difference in infection rates </w:t>
      </w:r>
      <w:r>
        <w:rPr>
          <w:color w:val="auto"/>
        </w:rPr>
        <w:t>was</w:t>
      </w:r>
      <w:r w:rsidRPr="00520873">
        <w:rPr>
          <w:color w:val="auto"/>
        </w:rPr>
        <w:t xml:space="preserve"> observed between trial arms. The ADAR </w:t>
      </w:r>
      <w:r>
        <w:rPr>
          <w:color w:val="auto"/>
        </w:rPr>
        <w:t>did not address how this observation appeared</w:t>
      </w:r>
      <w:r w:rsidRPr="00520873">
        <w:rPr>
          <w:color w:val="auto"/>
        </w:rPr>
        <w:t xml:space="preserve"> inconsistent with the reduction in infection sequelae modelled.</w:t>
      </w:r>
    </w:p>
    <w:p w14:paraId="00802A51" w14:textId="4D4855D9" w:rsidR="00E30C57" w:rsidRDefault="00E30C57" w:rsidP="00E30C57">
      <w:pPr>
        <w:pStyle w:val="Instructionaltext"/>
        <w:rPr>
          <w:color w:val="auto"/>
        </w:rPr>
      </w:pPr>
      <w:r>
        <w:rPr>
          <w:color w:val="auto"/>
        </w:rPr>
        <w:t xml:space="preserve">The population modelled </w:t>
      </w:r>
      <w:r w:rsidRPr="00520873">
        <w:rPr>
          <w:color w:val="auto"/>
        </w:rPr>
        <w:t>appear</w:t>
      </w:r>
      <w:r>
        <w:rPr>
          <w:color w:val="auto"/>
        </w:rPr>
        <w:t>ed</w:t>
      </w:r>
      <w:r w:rsidRPr="00520873">
        <w:rPr>
          <w:color w:val="auto"/>
        </w:rPr>
        <w:t xml:space="preserve"> to represent a cross section of people eligible for testing who present repeatedly over the </w:t>
      </w:r>
      <w:proofErr w:type="gramStart"/>
      <w:r w:rsidRPr="00520873">
        <w:rPr>
          <w:color w:val="auto"/>
        </w:rPr>
        <w:t>10 year</w:t>
      </w:r>
      <w:proofErr w:type="gramEnd"/>
      <w:r w:rsidRPr="00520873">
        <w:rPr>
          <w:color w:val="auto"/>
        </w:rPr>
        <w:t xml:space="preserve"> time horizon. This result</w:t>
      </w:r>
      <w:r>
        <w:rPr>
          <w:color w:val="auto"/>
        </w:rPr>
        <w:t>ed</w:t>
      </w:r>
      <w:r w:rsidRPr="00520873">
        <w:rPr>
          <w:color w:val="auto"/>
        </w:rPr>
        <w:t xml:space="preserve"> in </w:t>
      </w:r>
      <w:r>
        <w:rPr>
          <w:color w:val="auto"/>
        </w:rPr>
        <w:t xml:space="preserve">an </w:t>
      </w:r>
      <w:r w:rsidRPr="00520873">
        <w:rPr>
          <w:color w:val="auto"/>
        </w:rPr>
        <w:t xml:space="preserve">accrual of costs and consequences that are not reflective of a single </w:t>
      </w:r>
      <w:proofErr w:type="gramStart"/>
      <w:r w:rsidRPr="00520873">
        <w:rPr>
          <w:color w:val="auto"/>
        </w:rPr>
        <w:t>test, but</w:t>
      </w:r>
      <w:proofErr w:type="gramEnd"/>
      <w:r w:rsidRPr="00520873">
        <w:rPr>
          <w:color w:val="auto"/>
        </w:rPr>
        <w:t xml:space="preserve"> reflect a series of testing episodes within a ten-year block of time.</w:t>
      </w:r>
      <w:r>
        <w:rPr>
          <w:color w:val="auto"/>
        </w:rPr>
        <w:t xml:space="preserve"> </w:t>
      </w:r>
      <w:r w:rsidRPr="00475774">
        <w:rPr>
          <w:color w:val="auto"/>
        </w:rPr>
        <w:t xml:space="preserve">While the probability of long-term infection-related consequences increase over the cycles with repeated infection exposure, the nature of the ‘recycling’ population (i.e. inputs such as the proportion with infections, uptake of testing, proportion who are symptomatic, etc.) does not change over time despite the fact that </w:t>
      </w:r>
      <w:r w:rsidR="009705B5" w:rsidRPr="009705B5">
        <w:rPr>
          <w:color w:val="auto"/>
        </w:rPr>
        <w:t xml:space="preserve">behaviours within </w:t>
      </w:r>
      <w:r w:rsidRPr="00475774">
        <w:rPr>
          <w:color w:val="auto"/>
        </w:rPr>
        <w:t xml:space="preserve">the population </w:t>
      </w:r>
      <w:r w:rsidR="009705B5" w:rsidRPr="009705B5">
        <w:rPr>
          <w:color w:val="auto"/>
        </w:rPr>
        <w:t>change over time due to ageing (such as a reduction in the number of partners and reproductive planning) or infection history (such as increased preventative measures or seeking prompt treatment)</w:t>
      </w:r>
      <w:r w:rsidRPr="00475774">
        <w:rPr>
          <w:color w:val="auto"/>
        </w:rPr>
        <w:t>.</w:t>
      </w:r>
      <w:r>
        <w:rPr>
          <w:color w:val="auto"/>
        </w:rPr>
        <w:t xml:space="preserve"> </w:t>
      </w:r>
    </w:p>
    <w:p w14:paraId="4FE42530" w14:textId="77777777" w:rsidR="00E30C57" w:rsidRDefault="00E30C57" w:rsidP="00E30C57">
      <w:pPr>
        <w:pStyle w:val="Instructionaltext"/>
        <w:rPr>
          <w:color w:val="auto"/>
        </w:rPr>
      </w:pPr>
      <w:r w:rsidRPr="00475774">
        <w:rPr>
          <w:color w:val="auto"/>
        </w:rPr>
        <w:t>MSAC may be more interested in an assessment question that addresses the cost-effectiveness of the proposed intervention relative to standard of care for the average eligible person at the time of model entry.</w:t>
      </w:r>
      <w:r>
        <w:rPr>
          <w:color w:val="auto"/>
        </w:rPr>
        <w:t xml:space="preserve"> </w:t>
      </w:r>
      <w:r w:rsidRPr="00475774">
        <w:rPr>
          <w:color w:val="auto"/>
        </w:rPr>
        <w:t>Given that testing in subsequent years is for the identification of new infections only, a reasonable simplification of the model may be to exclude new infections (and re-testing for these new infections) in subsequent years. This approach may also avoid the need for more complex microsimulation modelling that requires large numbers of simulations to generate stability in the results.</w:t>
      </w:r>
    </w:p>
    <w:p w14:paraId="7E739261" w14:textId="04D07486" w:rsidR="00E30C57" w:rsidRPr="00E30C57" w:rsidRDefault="00E30C57" w:rsidP="009705B5">
      <w:r>
        <w:t xml:space="preserve">A summary of the key components of the economic evaluation is </w:t>
      </w:r>
      <w:r w:rsidRPr="00FF1B3A">
        <w:t xml:space="preserve">presented in </w:t>
      </w:r>
      <w:r w:rsidRPr="00FF1B3A">
        <w:fldChar w:fldCharType="begin"/>
      </w:r>
      <w:r w:rsidRPr="00FF1B3A">
        <w:instrText xml:space="preserve"> REF _Ref69725820 \h </w:instrText>
      </w:r>
      <w:r w:rsidR="00FF1B3A" w:rsidRPr="00FF1B3A">
        <w:instrText xml:space="preserve"> \* MERGEFORMAT </w:instrText>
      </w:r>
      <w:r w:rsidRPr="00FF1B3A">
        <w:fldChar w:fldCharType="separate"/>
      </w:r>
      <w:r w:rsidR="00FF1B3A" w:rsidRPr="00FF1B3A">
        <w:t>Table 10</w:t>
      </w:r>
      <w:r w:rsidRPr="00FF1B3A">
        <w:fldChar w:fldCharType="end"/>
      </w:r>
      <w:r w:rsidRPr="002F1D85">
        <w:t xml:space="preserve">. </w:t>
      </w:r>
    </w:p>
    <w:p w14:paraId="32C386C7" w14:textId="5C31F12E" w:rsidR="00E30C57" w:rsidRPr="00E30C57" w:rsidRDefault="00E30C57" w:rsidP="00E30C57">
      <w:pPr>
        <w:pStyle w:val="Caption"/>
        <w:tabs>
          <w:tab w:val="left" w:pos="1134"/>
        </w:tabs>
        <w:ind w:left="1134" w:hanging="1134"/>
      </w:pPr>
      <w:bookmarkStart w:id="38" w:name="_Ref69725820"/>
      <w:r w:rsidRPr="00E30C57">
        <w:t>Table</w:t>
      </w:r>
      <w:r w:rsidR="00FF1B3A">
        <w:t xml:space="preserve"> </w:t>
      </w:r>
      <w:r w:rsidRPr="00E30C57">
        <w:rPr>
          <w:noProof/>
        </w:rPr>
        <w:fldChar w:fldCharType="begin"/>
      </w:r>
      <w:r w:rsidRPr="00E30C57">
        <w:rPr>
          <w:noProof/>
        </w:rPr>
        <w:instrText xml:space="preserve"> SEQ Table \* ARABIC </w:instrText>
      </w:r>
      <w:r w:rsidRPr="00E30C57">
        <w:rPr>
          <w:noProof/>
        </w:rPr>
        <w:fldChar w:fldCharType="separate"/>
      </w:r>
      <w:r w:rsidR="00FF1B3A">
        <w:rPr>
          <w:noProof/>
        </w:rPr>
        <w:t>10</w:t>
      </w:r>
      <w:r w:rsidRPr="00E30C57">
        <w:rPr>
          <w:noProof/>
        </w:rPr>
        <w:fldChar w:fldCharType="end"/>
      </w:r>
      <w:bookmarkEnd w:id="38"/>
      <w:r w:rsidRPr="00E30C57">
        <w:tab/>
        <w:t xml:space="preserve">Summary of the economic evaluation </w:t>
      </w:r>
    </w:p>
    <w:tbl>
      <w:tblPr>
        <w:tblStyle w:val="TableGrid1"/>
        <w:tblW w:w="5000" w:type="pct"/>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837"/>
        <w:gridCol w:w="7179"/>
      </w:tblGrid>
      <w:tr w:rsidR="00E30C57" w:rsidRPr="00CE28E3" w14:paraId="207E4653" w14:textId="77777777" w:rsidTr="00D748F9">
        <w:trPr>
          <w:cnfStyle w:val="100000000000" w:firstRow="1" w:lastRow="0" w:firstColumn="0" w:lastColumn="0" w:oddVBand="0" w:evenVBand="0" w:oddHBand="0" w:evenHBand="0" w:firstRowFirstColumn="0" w:firstRowLastColumn="0" w:lastRowFirstColumn="0" w:lastRowLastColumn="0"/>
          <w:cantSplit/>
          <w:tblHeader/>
        </w:trPr>
        <w:tc>
          <w:tcPr>
            <w:tcW w:w="1019" w:type="pct"/>
          </w:tcPr>
          <w:p w14:paraId="12165DBB" w14:textId="77777777" w:rsidR="00E30C57" w:rsidRPr="000449D1" w:rsidRDefault="00E30C57" w:rsidP="00D748F9">
            <w:pPr>
              <w:pStyle w:val="TableHeading"/>
              <w:keepNext w:val="0"/>
              <w:rPr>
                <w:rFonts w:cs="Calibri Light"/>
              </w:rPr>
            </w:pPr>
            <w:bookmarkStart w:id="39" w:name="Title_Table5"/>
            <w:bookmarkStart w:id="40" w:name="Title_Table32" w:colFirst="0" w:colLast="0"/>
            <w:bookmarkStart w:id="41" w:name="_Hlk68276459"/>
            <w:bookmarkEnd w:id="39"/>
            <w:r w:rsidRPr="000449D1">
              <w:rPr>
                <w:rFonts w:cs="Calibri Light"/>
              </w:rPr>
              <w:t>Component</w:t>
            </w:r>
          </w:p>
        </w:tc>
        <w:tc>
          <w:tcPr>
            <w:tcW w:w="3981" w:type="pct"/>
          </w:tcPr>
          <w:p w14:paraId="7F1695D0" w14:textId="77777777" w:rsidR="00E30C57" w:rsidRPr="000449D1" w:rsidRDefault="00E30C57" w:rsidP="00D748F9">
            <w:pPr>
              <w:pStyle w:val="TableHeading"/>
              <w:keepNext w:val="0"/>
              <w:rPr>
                <w:rFonts w:cs="Calibri Light"/>
              </w:rPr>
            </w:pPr>
            <w:r w:rsidRPr="000449D1">
              <w:rPr>
                <w:rFonts w:cs="Calibri Light"/>
              </w:rPr>
              <w:t>Description</w:t>
            </w:r>
          </w:p>
        </w:tc>
      </w:tr>
      <w:bookmarkEnd w:id="40"/>
      <w:tr w:rsidR="00E30C57" w:rsidRPr="000449D1" w14:paraId="6CCD53E1" w14:textId="77777777" w:rsidTr="00D748F9">
        <w:trPr>
          <w:cantSplit/>
        </w:trPr>
        <w:tc>
          <w:tcPr>
            <w:tcW w:w="1019" w:type="pct"/>
          </w:tcPr>
          <w:p w14:paraId="275C9813" w14:textId="77777777" w:rsidR="00E30C57" w:rsidRPr="000449D1" w:rsidRDefault="00E30C57" w:rsidP="00D748F9">
            <w:pPr>
              <w:pStyle w:val="TableText"/>
              <w:rPr>
                <w:rFonts w:cs="Calibri Light"/>
              </w:rPr>
            </w:pPr>
            <w:r w:rsidRPr="000449D1">
              <w:rPr>
                <w:rFonts w:cs="Calibri Light"/>
              </w:rPr>
              <w:t>Perspective</w:t>
            </w:r>
          </w:p>
        </w:tc>
        <w:tc>
          <w:tcPr>
            <w:tcW w:w="3981" w:type="pct"/>
          </w:tcPr>
          <w:p w14:paraId="2642D40A" w14:textId="77777777" w:rsidR="00E30C57" w:rsidRPr="00D45CCB" w:rsidRDefault="00E30C57" w:rsidP="00D748F9">
            <w:pPr>
              <w:pStyle w:val="TableText"/>
              <w:rPr>
                <w:rFonts w:cs="Calibri Light"/>
              </w:rPr>
            </w:pPr>
            <w:r w:rsidRPr="00D45CCB">
              <w:rPr>
                <w:rFonts w:cs="Calibri Light"/>
              </w:rPr>
              <w:t xml:space="preserve">Health care system perspective. </w:t>
            </w:r>
            <w:r>
              <w:rPr>
                <w:rFonts w:cs="Calibri Light"/>
              </w:rPr>
              <w:t>The Commentary considered that c</w:t>
            </w:r>
            <w:r w:rsidRPr="00D45CCB">
              <w:rPr>
                <w:rFonts w:cs="Calibri Light"/>
              </w:rPr>
              <w:t xml:space="preserve">osts not typically presented in MSAC analyses </w:t>
            </w:r>
            <w:r>
              <w:rPr>
                <w:rFonts w:cs="Calibri Light"/>
              </w:rPr>
              <w:t>were</w:t>
            </w:r>
            <w:r w:rsidRPr="00D45CCB">
              <w:rPr>
                <w:rFonts w:cs="Calibri Light"/>
              </w:rPr>
              <w:t xml:space="preserve"> included (air evacuation, staff costs to locate and retrieve patients for follow-up appointments). MSAC may wish to consider whether these cost inclusions are reasonable in the circumstances of providing care in remote communities.</w:t>
            </w:r>
          </w:p>
        </w:tc>
      </w:tr>
      <w:tr w:rsidR="00E30C57" w:rsidRPr="000449D1" w14:paraId="77CF3CBF" w14:textId="77777777" w:rsidTr="00D748F9">
        <w:trPr>
          <w:cantSplit/>
          <w:tblHeader/>
        </w:trPr>
        <w:tc>
          <w:tcPr>
            <w:tcW w:w="1019" w:type="pct"/>
          </w:tcPr>
          <w:p w14:paraId="1C17CD2F" w14:textId="77777777" w:rsidR="00E30C57" w:rsidRPr="000449D1" w:rsidRDefault="00E30C57" w:rsidP="00D748F9">
            <w:pPr>
              <w:pStyle w:val="TableText"/>
              <w:rPr>
                <w:rFonts w:cs="Calibri Light"/>
              </w:rPr>
            </w:pPr>
            <w:r w:rsidRPr="000449D1">
              <w:rPr>
                <w:rFonts w:cs="Calibri Light"/>
              </w:rPr>
              <w:t>Population</w:t>
            </w:r>
          </w:p>
        </w:tc>
        <w:tc>
          <w:tcPr>
            <w:tcW w:w="3981" w:type="pct"/>
          </w:tcPr>
          <w:p w14:paraId="7EA795A1" w14:textId="151351FF" w:rsidR="009705B5" w:rsidRDefault="00E30C57" w:rsidP="009705B5">
            <w:pPr>
              <w:pStyle w:val="TableText"/>
              <w:rPr>
                <w:rFonts w:cs="Calibri Light"/>
              </w:rPr>
            </w:pPr>
            <w:r w:rsidRPr="00D45CCB">
              <w:rPr>
                <w:rFonts w:cs="Calibri Light"/>
              </w:rPr>
              <w:t>Population consisted of women and men</w:t>
            </w:r>
            <w:r w:rsidR="00A54E43">
              <w:rPr>
                <w:rFonts w:cs="Calibri Light"/>
              </w:rPr>
              <w:t>, aged 16−29,</w:t>
            </w:r>
            <w:r w:rsidRPr="00D45CCB">
              <w:rPr>
                <w:rFonts w:cs="Calibri Light"/>
              </w:rPr>
              <w:t xml:space="preserve"> at high risk of STI infection attending Aboriginal medical services and Aboriginal Community Controlled Health Services. Pathways for men and women were separate due to different outcomes of infection. The pathways included patients presenting with symptomatic or asymptomatic infection and for women symptoms suspicious of PID. </w:t>
            </w:r>
          </w:p>
          <w:p w14:paraId="58275406" w14:textId="6FD5F868" w:rsidR="00E30C57" w:rsidRPr="00F82B48" w:rsidRDefault="00E30C57" w:rsidP="009705B5">
            <w:pPr>
              <w:pStyle w:val="TableText"/>
              <w:rPr>
                <w:rFonts w:cs="Calibri Light"/>
              </w:rPr>
            </w:pPr>
            <w:r w:rsidRPr="00D45CCB">
              <w:rPr>
                <w:rFonts w:cs="Calibri Light"/>
              </w:rPr>
              <w:t xml:space="preserve">The </w:t>
            </w:r>
            <w:r>
              <w:rPr>
                <w:rFonts w:cs="Calibri Light"/>
              </w:rPr>
              <w:t xml:space="preserve">Commentary noted that the </w:t>
            </w:r>
            <w:r w:rsidRPr="00D45CCB">
              <w:rPr>
                <w:rFonts w:cs="Calibri Light"/>
              </w:rPr>
              <w:t>proposed MBS item descriptors do not restrict by age. Use in less disease-prevalent persons will likely reduce the cos</w:t>
            </w:r>
            <w:r>
              <w:rPr>
                <w:rFonts w:cs="Calibri Light"/>
              </w:rPr>
              <w:t>t-effectiveness of POC testing.</w:t>
            </w:r>
          </w:p>
        </w:tc>
      </w:tr>
      <w:tr w:rsidR="00E30C57" w:rsidRPr="000449D1" w14:paraId="2694F3E7" w14:textId="77777777" w:rsidTr="00D748F9">
        <w:trPr>
          <w:cantSplit/>
        </w:trPr>
        <w:tc>
          <w:tcPr>
            <w:tcW w:w="1019" w:type="pct"/>
          </w:tcPr>
          <w:p w14:paraId="645A7208" w14:textId="77777777" w:rsidR="00E30C57" w:rsidRPr="000449D1" w:rsidRDefault="00E30C57" w:rsidP="00D748F9">
            <w:pPr>
              <w:pStyle w:val="TableText"/>
              <w:rPr>
                <w:rFonts w:cs="Calibri Light"/>
              </w:rPr>
            </w:pPr>
            <w:r w:rsidRPr="000449D1">
              <w:rPr>
                <w:rFonts w:cs="Calibri Light"/>
              </w:rPr>
              <w:lastRenderedPageBreak/>
              <w:t>Comparator</w:t>
            </w:r>
          </w:p>
        </w:tc>
        <w:tc>
          <w:tcPr>
            <w:tcW w:w="3981" w:type="pct"/>
          </w:tcPr>
          <w:p w14:paraId="7CD5867A" w14:textId="77777777" w:rsidR="00E30C57" w:rsidRPr="00D45CCB" w:rsidRDefault="00E30C57" w:rsidP="00D748F9">
            <w:pPr>
              <w:pStyle w:val="TableText"/>
              <w:rPr>
                <w:rFonts w:cs="Calibri Light"/>
              </w:rPr>
            </w:pPr>
            <w:r w:rsidRPr="00D45CCB">
              <w:rPr>
                <w:rFonts w:cs="Calibri Light"/>
              </w:rPr>
              <w:t xml:space="preserve">Laboratory testing </w:t>
            </w:r>
          </w:p>
        </w:tc>
      </w:tr>
      <w:tr w:rsidR="00E30C57" w:rsidRPr="000449D1" w14:paraId="7CB1C51E" w14:textId="77777777" w:rsidTr="00D748F9">
        <w:trPr>
          <w:cantSplit/>
        </w:trPr>
        <w:tc>
          <w:tcPr>
            <w:tcW w:w="1019" w:type="pct"/>
          </w:tcPr>
          <w:p w14:paraId="3B5DA8E1" w14:textId="77777777" w:rsidR="00E30C57" w:rsidRPr="000449D1" w:rsidRDefault="00E30C57" w:rsidP="00D748F9">
            <w:pPr>
              <w:pStyle w:val="TableText"/>
              <w:rPr>
                <w:rFonts w:cs="Calibri Light"/>
              </w:rPr>
            </w:pPr>
            <w:r w:rsidRPr="000449D1">
              <w:rPr>
                <w:rFonts w:cs="Calibri Light"/>
              </w:rPr>
              <w:t>Type(s) of analysis</w:t>
            </w:r>
          </w:p>
        </w:tc>
        <w:tc>
          <w:tcPr>
            <w:tcW w:w="3981" w:type="pct"/>
          </w:tcPr>
          <w:p w14:paraId="13248FEA" w14:textId="213D5F95" w:rsidR="00E30C57" w:rsidRPr="00D45CCB" w:rsidRDefault="00E30C57" w:rsidP="00A54E43">
            <w:pPr>
              <w:pStyle w:val="TableText"/>
              <w:rPr>
                <w:rFonts w:cs="Calibri Light"/>
              </w:rPr>
            </w:pPr>
            <w:r w:rsidRPr="00D45CCB">
              <w:rPr>
                <w:rFonts w:cs="Calibri Light"/>
              </w:rPr>
              <w:t>Cost-</w:t>
            </w:r>
            <w:r w:rsidR="00A54E43">
              <w:rPr>
                <w:rFonts w:cs="Calibri Light"/>
              </w:rPr>
              <w:t>utility</w:t>
            </w:r>
            <w:r w:rsidR="00A54E43" w:rsidRPr="00D45CCB">
              <w:rPr>
                <w:rFonts w:cs="Calibri Light"/>
              </w:rPr>
              <w:t xml:space="preserve"> </w:t>
            </w:r>
            <w:r w:rsidRPr="00D45CCB">
              <w:rPr>
                <w:rFonts w:cs="Calibri Light"/>
              </w:rPr>
              <w:t xml:space="preserve">analysis. </w:t>
            </w:r>
          </w:p>
        </w:tc>
      </w:tr>
      <w:tr w:rsidR="00E30C57" w:rsidRPr="000449D1" w14:paraId="0073B5EE" w14:textId="77777777" w:rsidTr="00D748F9">
        <w:trPr>
          <w:cantSplit/>
        </w:trPr>
        <w:tc>
          <w:tcPr>
            <w:tcW w:w="1019" w:type="pct"/>
          </w:tcPr>
          <w:p w14:paraId="4AE40A2E" w14:textId="77777777" w:rsidR="00E30C57" w:rsidRPr="000449D1" w:rsidRDefault="00E30C57" w:rsidP="00D748F9">
            <w:pPr>
              <w:pStyle w:val="TableText"/>
              <w:rPr>
                <w:rFonts w:cs="Calibri Light"/>
              </w:rPr>
            </w:pPr>
            <w:r w:rsidRPr="000449D1">
              <w:rPr>
                <w:rFonts w:cs="Calibri Light"/>
              </w:rPr>
              <w:t>Outcomes</w:t>
            </w:r>
          </w:p>
        </w:tc>
        <w:tc>
          <w:tcPr>
            <w:tcW w:w="3981" w:type="pct"/>
          </w:tcPr>
          <w:p w14:paraId="29677156" w14:textId="77777777" w:rsidR="00E30C57" w:rsidRPr="00D45CCB" w:rsidRDefault="00E30C57" w:rsidP="00D748F9">
            <w:pPr>
              <w:pStyle w:val="TableText"/>
              <w:rPr>
                <w:rFonts w:cs="Calibri Light"/>
              </w:rPr>
            </w:pPr>
            <w:r w:rsidRPr="00D45CCB">
              <w:rPr>
                <w:rFonts w:cs="Calibri Light"/>
              </w:rPr>
              <w:t xml:space="preserve">Quality-adjusted life years. </w:t>
            </w:r>
            <w:r>
              <w:rPr>
                <w:rFonts w:cs="Calibri Light"/>
              </w:rPr>
              <w:t xml:space="preserve">The Commentary noted that </w:t>
            </w:r>
            <w:r w:rsidRPr="00D45CCB">
              <w:rPr>
                <w:rFonts w:cs="Calibri Light"/>
              </w:rPr>
              <w:t>MSAC may also be interested in other outcomes, such as the incremental cost per additionally treated person within 7 days of sampling (as per the TTANGO trial) and incremental cost per infection sequelae avoided.</w:t>
            </w:r>
          </w:p>
        </w:tc>
      </w:tr>
      <w:tr w:rsidR="00E30C57" w:rsidRPr="000449D1" w14:paraId="626F5B01" w14:textId="77777777" w:rsidTr="00D748F9">
        <w:trPr>
          <w:cantSplit/>
        </w:trPr>
        <w:tc>
          <w:tcPr>
            <w:tcW w:w="1019" w:type="pct"/>
          </w:tcPr>
          <w:p w14:paraId="72171C16" w14:textId="77777777" w:rsidR="00E30C57" w:rsidRPr="000449D1" w:rsidRDefault="00E30C57" w:rsidP="00D748F9">
            <w:pPr>
              <w:pStyle w:val="TableText"/>
              <w:rPr>
                <w:rFonts w:cs="Calibri Light"/>
              </w:rPr>
            </w:pPr>
            <w:r w:rsidRPr="000449D1">
              <w:rPr>
                <w:rFonts w:cs="Calibri Light"/>
              </w:rPr>
              <w:t>Time horizon</w:t>
            </w:r>
          </w:p>
        </w:tc>
        <w:tc>
          <w:tcPr>
            <w:tcW w:w="3981" w:type="pct"/>
          </w:tcPr>
          <w:p w14:paraId="7B9D73C6" w14:textId="77777777" w:rsidR="00E30C57" w:rsidRPr="00D45CCB" w:rsidRDefault="00E30C57" w:rsidP="00D748F9">
            <w:pPr>
              <w:pStyle w:val="TableText"/>
              <w:rPr>
                <w:rFonts w:cs="Calibri Light"/>
              </w:rPr>
            </w:pPr>
            <w:r w:rsidRPr="00D45CCB">
              <w:rPr>
                <w:rFonts w:cs="Calibri Light"/>
              </w:rPr>
              <w:t xml:space="preserve">10 years. </w:t>
            </w:r>
            <w:r>
              <w:rPr>
                <w:rFonts w:cs="Calibri Light"/>
              </w:rPr>
              <w:t>The Commentary noted that w</w:t>
            </w:r>
            <w:r w:rsidRPr="00D45CCB">
              <w:rPr>
                <w:iCs/>
                <w:szCs w:val="24"/>
              </w:rPr>
              <w:t xml:space="preserve">hile this may be </w:t>
            </w:r>
            <w:proofErr w:type="gramStart"/>
            <w:r w:rsidRPr="00D45CCB">
              <w:rPr>
                <w:iCs/>
                <w:szCs w:val="24"/>
              </w:rPr>
              <w:t>similar to</w:t>
            </w:r>
            <w:proofErr w:type="gramEnd"/>
            <w:r w:rsidRPr="00D45CCB">
              <w:rPr>
                <w:iCs/>
                <w:szCs w:val="24"/>
              </w:rPr>
              <w:t xml:space="preserve"> a previously published economic evaluation, given the uncertainty in the extent of the reduction in infection-related sequelae resulting from the use of POC testing in the proposed population, extended time horizons may not be appropriate.</w:t>
            </w:r>
          </w:p>
        </w:tc>
      </w:tr>
      <w:tr w:rsidR="00E30C57" w:rsidRPr="000449D1" w14:paraId="199C93DE" w14:textId="77777777" w:rsidTr="00D748F9">
        <w:trPr>
          <w:cantSplit/>
        </w:trPr>
        <w:tc>
          <w:tcPr>
            <w:tcW w:w="1019" w:type="pct"/>
          </w:tcPr>
          <w:p w14:paraId="65031ABD" w14:textId="77777777" w:rsidR="00E30C57" w:rsidRPr="000449D1" w:rsidRDefault="00E30C57" w:rsidP="00D748F9">
            <w:pPr>
              <w:pStyle w:val="TableText"/>
              <w:rPr>
                <w:rFonts w:cs="Calibri Light"/>
              </w:rPr>
            </w:pPr>
            <w:r w:rsidRPr="000449D1">
              <w:rPr>
                <w:rFonts w:cs="Calibri Light"/>
              </w:rPr>
              <w:t>Computational method</w:t>
            </w:r>
          </w:p>
        </w:tc>
        <w:tc>
          <w:tcPr>
            <w:tcW w:w="3981" w:type="pct"/>
          </w:tcPr>
          <w:p w14:paraId="4325BBA5" w14:textId="77777777" w:rsidR="00E30C57" w:rsidRPr="00D45CCB" w:rsidRDefault="00E30C57" w:rsidP="00D748F9">
            <w:pPr>
              <w:pStyle w:val="TableText"/>
              <w:rPr>
                <w:rFonts w:cs="Calibri Light"/>
              </w:rPr>
            </w:pPr>
            <w:r w:rsidRPr="00D45CCB">
              <w:rPr>
                <w:rFonts w:cs="Calibri Light"/>
              </w:rPr>
              <w:t xml:space="preserve">Markov model using both microsimulation and probabilistic sampling simultaneously. </w:t>
            </w:r>
            <w:r>
              <w:rPr>
                <w:rFonts w:cs="Calibri Light"/>
              </w:rPr>
              <w:t>The Commentary noted that it wa</w:t>
            </w:r>
            <w:r w:rsidRPr="00D45CCB">
              <w:rPr>
                <w:rFonts w:cs="Calibri Light"/>
              </w:rPr>
              <w:t>s unclear whether probabilistic sampling was applied in the base case, as results could not be verified, due to the use of random seeding.</w:t>
            </w:r>
          </w:p>
        </w:tc>
      </w:tr>
      <w:tr w:rsidR="00E30C57" w:rsidRPr="000449D1" w14:paraId="373777BD" w14:textId="77777777" w:rsidTr="00D748F9">
        <w:trPr>
          <w:cantSplit/>
        </w:trPr>
        <w:tc>
          <w:tcPr>
            <w:tcW w:w="1019" w:type="pct"/>
          </w:tcPr>
          <w:p w14:paraId="26E166D8" w14:textId="77777777" w:rsidR="00E30C57" w:rsidRPr="000449D1" w:rsidRDefault="00E30C57" w:rsidP="00D748F9">
            <w:pPr>
              <w:pStyle w:val="TableText"/>
              <w:rPr>
                <w:rFonts w:cs="Calibri Light"/>
              </w:rPr>
            </w:pPr>
            <w:r w:rsidRPr="000449D1">
              <w:rPr>
                <w:rFonts w:cs="Calibri Light"/>
              </w:rPr>
              <w:t>Generation of the base case</w:t>
            </w:r>
          </w:p>
        </w:tc>
        <w:tc>
          <w:tcPr>
            <w:tcW w:w="3981" w:type="pct"/>
          </w:tcPr>
          <w:p w14:paraId="303332FA" w14:textId="77777777" w:rsidR="00E30C57" w:rsidRPr="00D45CCB" w:rsidRDefault="00E30C57" w:rsidP="00D748F9">
            <w:pPr>
              <w:pStyle w:val="TableText"/>
              <w:rPr>
                <w:rFonts w:cs="Calibri Light"/>
              </w:rPr>
            </w:pPr>
            <w:r w:rsidRPr="00D45CCB">
              <w:rPr>
                <w:rFonts w:cs="Calibri Light"/>
              </w:rPr>
              <w:t xml:space="preserve">Modelled evaluation based on trial data from the TTANGO trial which compared time to treatment using POC with laboratory testing and TTANGO2 data related to health service attendance and testing uptake. Other variables beyond the time of the trial related to health outcomes were obtained from published data. </w:t>
            </w:r>
            <w:r>
              <w:rPr>
                <w:rFonts w:cs="Calibri Light"/>
              </w:rPr>
              <w:t xml:space="preserve">The Commentary noted that </w:t>
            </w:r>
            <w:r w:rsidRPr="00D45CCB">
              <w:rPr>
                <w:rFonts w:cs="Calibri Light"/>
              </w:rPr>
              <w:t>MSAC may be interested in a stepped presentation of the results where extrapolations of the trial data are incorporated separately in a transparent manner to allow the effects of these on the results to be distinguished.</w:t>
            </w:r>
          </w:p>
        </w:tc>
      </w:tr>
      <w:tr w:rsidR="00E30C57" w:rsidRPr="000449D1" w14:paraId="047EE7ED" w14:textId="77777777" w:rsidTr="00D748F9">
        <w:trPr>
          <w:cantSplit/>
        </w:trPr>
        <w:tc>
          <w:tcPr>
            <w:tcW w:w="1019" w:type="pct"/>
          </w:tcPr>
          <w:p w14:paraId="65F95C1C" w14:textId="77777777" w:rsidR="00E30C57" w:rsidRPr="000449D1" w:rsidRDefault="00E30C57" w:rsidP="00D748F9">
            <w:pPr>
              <w:pStyle w:val="TableText"/>
              <w:rPr>
                <w:rFonts w:cs="Calibri Light"/>
              </w:rPr>
            </w:pPr>
            <w:r w:rsidRPr="000449D1">
              <w:rPr>
                <w:rFonts w:cs="Calibri Light"/>
              </w:rPr>
              <w:t>Health states</w:t>
            </w:r>
          </w:p>
        </w:tc>
        <w:tc>
          <w:tcPr>
            <w:tcW w:w="3981" w:type="pct"/>
          </w:tcPr>
          <w:p w14:paraId="2A4F7ED5" w14:textId="77777777" w:rsidR="00E30C57" w:rsidRPr="00D45CCB" w:rsidRDefault="00E30C57" w:rsidP="00D748F9">
            <w:pPr>
              <w:pStyle w:val="TableText"/>
              <w:rPr>
                <w:rFonts w:cs="Calibri Light"/>
              </w:rPr>
            </w:pPr>
            <w:r w:rsidRPr="00D45CCB">
              <w:rPr>
                <w:rFonts w:cs="Calibri Light"/>
              </w:rPr>
              <w:t xml:space="preserve">Health states for women </w:t>
            </w:r>
          </w:p>
          <w:p w14:paraId="46C170FE" w14:textId="75061949" w:rsidR="00E30C57" w:rsidRPr="00D45CCB" w:rsidRDefault="00E30C57" w:rsidP="00E30C57">
            <w:pPr>
              <w:pStyle w:val="TableText"/>
              <w:numPr>
                <w:ilvl w:val="0"/>
                <w:numId w:val="18"/>
              </w:numPr>
              <w:ind w:left="457" w:hanging="283"/>
              <w:rPr>
                <w:rFonts w:cs="Calibri Light"/>
              </w:rPr>
            </w:pPr>
            <w:r w:rsidRPr="00D45CCB">
              <w:rPr>
                <w:rFonts w:cs="Calibri Light"/>
              </w:rPr>
              <w:t xml:space="preserve">Women attending a clinic who may have a STI. It is expected that a STI test will be conducted if a patient discloses symptoms and opportunistic testing may be conducted </w:t>
            </w:r>
          </w:p>
          <w:p w14:paraId="0618A249" w14:textId="77777777" w:rsidR="00E30C57" w:rsidRPr="00D45CCB" w:rsidRDefault="00E30C57" w:rsidP="00E30C57">
            <w:pPr>
              <w:pStyle w:val="TableText"/>
              <w:numPr>
                <w:ilvl w:val="0"/>
                <w:numId w:val="18"/>
              </w:numPr>
              <w:ind w:left="457" w:hanging="283"/>
              <w:rPr>
                <w:rFonts w:cs="Calibri Light"/>
              </w:rPr>
            </w:pPr>
            <w:r w:rsidRPr="00D45CCB">
              <w:rPr>
                <w:rFonts w:cs="Calibri Light"/>
              </w:rPr>
              <w:t>Infection may clear and sequelae related to non-treatment and risk of PID</w:t>
            </w:r>
          </w:p>
          <w:p w14:paraId="7A166E1B" w14:textId="77777777" w:rsidR="00E30C57" w:rsidRPr="00D45CCB" w:rsidRDefault="00E30C57" w:rsidP="00E30C57">
            <w:pPr>
              <w:pStyle w:val="TableText"/>
              <w:numPr>
                <w:ilvl w:val="0"/>
                <w:numId w:val="18"/>
              </w:numPr>
              <w:ind w:left="457" w:hanging="283"/>
              <w:rPr>
                <w:rFonts w:cs="Calibri Light"/>
              </w:rPr>
            </w:pPr>
            <w:r w:rsidRPr="00D45CCB">
              <w:rPr>
                <w:rFonts w:cs="Calibri Light"/>
              </w:rPr>
              <w:t xml:space="preserve">Sequelae related to non-treatment such as chronic pain, </w:t>
            </w:r>
            <w:proofErr w:type="gramStart"/>
            <w:r w:rsidRPr="00D45CCB">
              <w:rPr>
                <w:rFonts w:cs="Calibri Light"/>
              </w:rPr>
              <w:t>infertility</w:t>
            </w:r>
            <w:proofErr w:type="gramEnd"/>
            <w:r w:rsidRPr="00D45CCB">
              <w:rPr>
                <w:rFonts w:cs="Calibri Light"/>
              </w:rPr>
              <w:t xml:space="preserve"> and ectopic pregnancy</w:t>
            </w:r>
          </w:p>
          <w:p w14:paraId="498B0CBA" w14:textId="77777777" w:rsidR="00E30C57" w:rsidRPr="00D45CCB" w:rsidRDefault="00E30C57" w:rsidP="00E30C57">
            <w:pPr>
              <w:pStyle w:val="TableText"/>
              <w:numPr>
                <w:ilvl w:val="0"/>
                <w:numId w:val="18"/>
              </w:numPr>
              <w:ind w:left="457" w:hanging="283"/>
              <w:rPr>
                <w:rFonts w:cs="Calibri Light"/>
              </w:rPr>
            </w:pPr>
            <w:r w:rsidRPr="00D45CCB">
              <w:rPr>
                <w:rFonts w:cs="Calibri Light"/>
              </w:rPr>
              <w:t xml:space="preserve">Sequelae related to longer term consequences of untreated CT/NG.  </w:t>
            </w:r>
          </w:p>
          <w:p w14:paraId="76740C6A" w14:textId="77777777" w:rsidR="00E30C57" w:rsidRPr="00D45CCB" w:rsidRDefault="00E30C57" w:rsidP="00D748F9">
            <w:pPr>
              <w:pStyle w:val="TableText"/>
              <w:rPr>
                <w:rFonts w:cs="Calibri Light"/>
              </w:rPr>
            </w:pPr>
            <w:r w:rsidRPr="00D45CCB">
              <w:rPr>
                <w:rFonts w:cs="Calibri Light"/>
              </w:rPr>
              <w:t>Health states for men</w:t>
            </w:r>
          </w:p>
          <w:p w14:paraId="5D0D3E56" w14:textId="77777777" w:rsidR="00E30C57" w:rsidRPr="00D45CCB" w:rsidRDefault="00E30C57" w:rsidP="00E30C57">
            <w:pPr>
              <w:pStyle w:val="TableText"/>
              <w:numPr>
                <w:ilvl w:val="0"/>
                <w:numId w:val="19"/>
              </w:numPr>
              <w:ind w:left="457" w:hanging="283"/>
              <w:rPr>
                <w:rFonts w:cs="Calibri Light"/>
              </w:rPr>
            </w:pPr>
            <w:r w:rsidRPr="00D45CCB">
              <w:rPr>
                <w:rFonts w:cs="Calibri Light"/>
              </w:rPr>
              <w:t xml:space="preserve">Male attending a clinic who may have an STI. It is expected that and STI test will be conducted if a patient discloses symptoms and opportunistic testing may be conducted </w:t>
            </w:r>
          </w:p>
          <w:p w14:paraId="601D3E95" w14:textId="77777777" w:rsidR="00E30C57" w:rsidRPr="00D45CCB" w:rsidRDefault="00E30C57" w:rsidP="00E30C57">
            <w:pPr>
              <w:pStyle w:val="TableText"/>
              <w:numPr>
                <w:ilvl w:val="0"/>
                <w:numId w:val="19"/>
              </w:numPr>
              <w:ind w:left="457" w:hanging="283"/>
              <w:rPr>
                <w:rFonts w:cs="Calibri Light"/>
              </w:rPr>
            </w:pPr>
            <w:r w:rsidRPr="00D45CCB">
              <w:rPr>
                <w:rFonts w:cs="Calibri Light"/>
              </w:rPr>
              <w:t>Infection may clear and sequelae related to non-treatment and risk of epididymitis</w:t>
            </w:r>
          </w:p>
          <w:p w14:paraId="5CF6D60F" w14:textId="77777777" w:rsidR="00E30C57" w:rsidRPr="00D45CCB" w:rsidRDefault="00E30C57" w:rsidP="00D748F9">
            <w:pPr>
              <w:pStyle w:val="TableText"/>
              <w:rPr>
                <w:rFonts w:cs="Calibri Light"/>
              </w:rPr>
            </w:pPr>
            <w:r w:rsidRPr="00D45CCB">
              <w:rPr>
                <w:rFonts w:cs="Calibri Light"/>
              </w:rPr>
              <w:t xml:space="preserve">Events related to infection sequelae are modelled within health states. </w:t>
            </w:r>
            <w:r>
              <w:rPr>
                <w:rFonts w:cs="Calibri Light"/>
              </w:rPr>
              <w:t xml:space="preserve">The Commentary noted that </w:t>
            </w:r>
            <w:proofErr w:type="gramStart"/>
            <w:r>
              <w:rPr>
                <w:rFonts w:cs="Calibri Light"/>
              </w:rPr>
              <w:t>a</w:t>
            </w:r>
            <w:r w:rsidRPr="00D45CCB">
              <w:rPr>
                <w:rFonts w:cs="Calibri Light"/>
              </w:rPr>
              <w:t xml:space="preserve"> number of</w:t>
            </w:r>
            <w:proofErr w:type="gramEnd"/>
            <w:r w:rsidRPr="00D45CCB">
              <w:rPr>
                <w:rFonts w:cs="Calibri Light"/>
              </w:rPr>
              <w:t xml:space="preserve"> assumptions were made regarding the types of events experienced, durations in health states following events and subsequent transitions.</w:t>
            </w:r>
          </w:p>
        </w:tc>
      </w:tr>
      <w:tr w:rsidR="00E30C57" w:rsidRPr="000449D1" w14:paraId="4B04CD0F" w14:textId="77777777" w:rsidTr="00D748F9">
        <w:trPr>
          <w:cantSplit/>
        </w:trPr>
        <w:tc>
          <w:tcPr>
            <w:tcW w:w="1019" w:type="pct"/>
          </w:tcPr>
          <w:p w14:paraId="139426D9" w14:textId="77777777" w:rsidR="00E30C57" w:rsidRPr="000449D1" w:rsidRDefault="00E30C57" w:rsidP="00D748F9">
            <w:pPr>
              <w:pStyle w:val="TableText"/>
              <w:rPr>
                <w:rFonts w:cs="Calibri Light"/>
              </w:rPr>
            </w:pPr>
            <w:r w:rsidRPr="000449D1">
              <w:rPr>
                <w:rFonts w:cs="Calibri Light"/>
              </w:rPr>
              <w:t>Cycle length</w:t>
            </w:r>
          </w:p>
        </w:tc>
        <w:tc>
          <w:tcPr>
            <w:tcW w:w="3981" w:type="pct"/>
          </w:tcPr>
          <w:p w14:paraId="35A30BB4" w14:textId="77777777" w:rsidR="00E30C57" w:rsidRPr="00D45CCB" w:rsidRDefault="00E30C57" w:rsidP="00D748F9">
            <w:pPr>
              <w:pStyle w:val="TableText"/>
              <w:rPr>
                <w:rFonts w:cs="Calibri Light"/>
              </w:rPr>
            </w:pPr>
            <w:r w:rsidRPr="00D45CCB">
              <w:rPr>
                <w:rFonts w:cs="Calibri Light"/>
              </w:rPr>
              <w:t xml:space="preserve">One year. The </w:t>
            </w:r>
            <w:r>
              <w:rPr>
                <w:rFonts w:cs="Calibri Light"/>
              </w:rPr>
              <w:t>Commentary noted that this wa</w:t>
            </w:r>
            <w:r w:rsidRPr="00D45CCB">
              <w:rPr>
                <w:rFonts w:cs="Calibri Light"/>
              </w:rPr>
              <w:t>s relatively long and not necessarily aligned with health state durations or events; within a cycle, patients may experience events which resolve. In addition, utility values were accrued in month units which may not reflect the duration of events experienced.</w:t>
            </w:r>
          </w:p>
        </w:tc>
      </w:tr>
      <w:tr w:rsidR="00E30C57" w:rsidRPr="000449D1" w14:paraId="3892D0C3" w14:textId="77777777" w:rsidTr="00D748F9">
        <w:trPr>
          <w:cantSplit/>
        </w:trPr>
        <w:tc>
          <w:tcPr>
            <w:tcW w:w="1019" w:type="pct"/>
          </w:tcPr>
          <w:p w14:paraId="123B9C08" w14:textId="77777777" w:rsidR="00E30C57" w:rsidRPr="000449D1" w:rsidRDefault="00E30C57" w:rsidP="00D748F9">
            <w:pPr>
              <w:pStyle w:val="TableText"/>
              <w:rPr>
                <w:rFonts w:cs="Calibri Light"/>
              </w:rPr>
            </w:pPr>
            <w:r w:rsidRPr="000449D1">
              <w:rPr>
                <w:rFonts w:cs="Calibri Light"/>
              </w:rPr>
              <w:t>Transition probabilities</w:t>
            </w:r>
          </w:p>
        </w:tc>
        <w:tc>
          <w:tcPr>
            <w:tcW w:w="3981" w:type="pct"/>
          </w:tcPr>
          <w:p w14:paraId="13DDA1BF" w14:textId="77777777" w:rsidR="00E30C57" w:rsidRPr="00D45CCB" w:rsidRDefault="00E30C57" w:rsidP="00D748F9">
            <w:pPr>
              <w:pStyle w:val="TableText"/>
              <w:rPr>
                <w:rFonts w:cs="Calibri Light"/>
              </w:rPr>
            </w:pPr>
            <w:r w:rsidRPr="00D45CCB">
              <w:rPr>
                <w:rFonts w:cs="Calibri Light"/>
              </w:rPr>
              <w:t xml:space="preserve">Expert advice and published literature. Time from sampling to treatment data were derived from </w:t>
            </w:r>
            <w:proofErr w:type="spellStart"/>
            <w:r w:rsidRPr="00D45CCB">
              <w:rPr>
                <w:rFonts w:cs="Calibri Light"/>
              </w:rPr>
              <w:t>TTANGO</w:t>
            </w:r>
            <w:r w:rsidRPr="00E45671">
              <w:rPr>
                <w:rFonts w:cs="Calibri Light"/>
                <w:vertAlign w:val="superscript"/>
              </w:rPr>
              <w:t>a</w:t>
            </w:r>
            <w:proofErr w:type="spellEnd"/>
            <w:r w:rsidRPr="00D45CCB">
              <w:rPr>
                <w:rFonts w:cs="Calibri Light"/>
              </w:rPr>
              <w:t xml:space="preserve"> and TTANGO2</w:t>
            </w:r>
            <w:r w:rsidRPr="00E45671">
              <w:rPr>
                <w:rFonts w:cs="Calibri Light"/>
                <w:vertAlign w:val="superscript"/>
              </w:rPr>
              <w:t>b</w:t>
            </w:r>
          </w:p>
        </w:tc>
      </w:tr>
      <w:tr w:rsidR="00E30C57" w:rsidRPr="000449D1" w14:paraId="7A2AB56C" w14:textId="77777777" w:rsidTr="00D748F9">
        <w:trPr>
          <w:cantSplit/>
        </w:trPr>
        <w:tc>
          <w:tcPr>
            <w:tcW w:w="1019" w:type="pct"/>
          </w:tcPr>
          <w:p w14:paraId="735FA167" w14:textId="77777777" w:rsidR="00E30C57" w:rsidRPr="000449D1" w:rsidRDefault="00E30C57" w:rsidP="00D748F9">
            <w:pPr>
              <w:pStyle w:val="TableText"/>
              <w:rPr>
                <w:rFonts w:cs="Calibri Light"/>
              </w:rPr>
            </w:pPr>
            <w:r w:rsidRPr="000449D1">
              <w:rPr>
                <w:rFonts w:cs="Calibri Light"/>
              </w:rPr>
              <w:t>Discount rate</w:t>
            </w:r>
          </w:p>
        </w:tc>
        <w:tc>
          <w:tcPr>
            <w:tcW w:w="3981" w:type="pct"/>
          </w:tcPr>
          <w:p w14:paraId="36BFE115" w14:textId="77777777" w:rsidR="00E30C57" w:rsidRPr="00D45CCB" w:rsidRDefault="00E30C57" w:rsidP="00D748F9">
            <w:pPr>
              <w:pStyle w:val="TableText"/>
              <w:rPr>
                <w:rFonts w:cs="Calibri Light"/>
              </w:rPr>
            </w:pPr>
            <w:r w:rsidRPr="00D45CCB">
              <w:rPr>
                <w:rFonts w:cs="Calibri Light"/>
              </w:rPr>
              <w:t>5% for both costs and outcomes</w:t>
            </w:r>
          </w:p>
        </w:tc>
      </w:tr>
      <w:tr w:rsidR="00E30C57" w:rsidRPr="000449D1" w14:paraId="5D2336E2" w14:textId="77777777" w:rsidTr="00D748F9">
        <w:trPr>
          <w:cantSplit/>
        </w:trPr>
        <w:tc>
          <w:tcPr>
            <w:tcW w:w="1019" w:type="pct"/>
          </w:tcPr>
          <w:p w14:paraId="537EE56C" w14:textId="77777777" w:rsidR="00E30C57" w:rsidRPr="000449D1" w:rsidRDefault="00E30C57" w:rsidP="00D748F9">
            <w:pPr>
              <w:pStyle w:val="TableText"/>
              <w:rPr>
                <w:rFonts w:cs="Calibri Light"/>
              </w:rPr>
            </w:pPr>
            <w:r w:rsidRPr="000449D1">
              <w:rPr>
                <w:rFonts w:cs="Calibri Light"/>
              </w:rPr>
              <w:t>Software</w:t>
            </w:r>
          </w:p>
        </w:tc>
        <w:tc>
          <w:tcPr>
            <w:tcW w:w="3981" w:type="pct"/>
          </w:tcPr>
          <w:p w14:paraId="46343D5F" w14:textId="77777777" w:rsidR="00E30C57" w:rsidRPr="00D45CCB" w:rsidRDefault="00E30C57" w:rsidP="00D748F9">
            <w:pPr>
              <w:pStyle w:val="TableText"/>
              <w:rPr>
                <w:rFonts w:cs="Calibri Light"/>
              </w:rPr>
            </w:pPr>
            <w:proofErr w:type="spellStart"/>
            <w:r w:rsidRPr="00D45CCB">
              <w:rPr>
                <w:rFonts w:cs="Calibri Light"/>
              </w:rPr>
              <w:t>TreeAge</w:t>
            </w:r>
            <w:proofErr w:type="spellEnd"/>
            <w:r w:rsidRPr="00D45CCB">
              <w:rPr>
                <w:rFonts w:cs="Calibri Light"/>
              </w:rPr>
              <w:t xml:space="preserve"> Pro</w:t>
            </w:r>
          </w:p>
        </w:tc>
      </w:tr>
    </w:tbl>
    <w:p w14:paraId="2AFD5FFC" w14:textId="77777777" w:rsidR="00E30C57" w:rsidRDefault="00E30C57" w:rsidP="00E30C57">
      <w:pPr>
        <w:pStyle w:val="TableFooter"/>
        <w:spacing w:before="0" w:after="120"/>
      </w:pPr>
      <w:r>
        <w:t>Source: Compiled from Table 11, p64 of the MSAC 1627 ADAR with commentary added during the evaluation.</w:t>
      </w:r>
    </w:p>
    <w:p w14:paraId="5557FEE4" w14:textId="77777777" w:rsidR="00E30C57" w:rsidRDefault="00E30C57" w:rsidP="00E30C57">
      <w:pPr>
        <w:pStyle w:val="TableFooter"/>
        <w:spacing w:before="0" w:after="120"/>
      </w:pPr>
      <w:r w:rsidRPr="005F2557">
        <w:t>CT</w:t>
      </w:r>
      <w:r>
        <w:t xml:space="preserve"> </w:t>
      </w:r>
      <w:r w:rsidRPr="005F2557">
        <w:t xml:space="preserve">= </w:t>
      </w:r>
      <w:r w:rsidRPr="00602500">
        <w:t>Chlamydia trachomatis;</w:t>
      </w:r>
      <w:r w:rsidRPr="005F2557">
        <w:t xml:space="preserve"> PID</w:t>
      </w:r>
      <w:r>
        <w:t xml:space="preserve"> </w:t>
      </w:r>
      <w:r w:rsidRPr="005F2557">
        <w:t>=</w:t>
      </w:r>
      <w:r>
        <w:t xml:space="preserve"> </w:t>
      </w:r>
      <w:r w:rsidRPr="005F2557">
        <w:t>pelvic inflammatory disease</w:t>
      </w:r>
      <w:r>
        <w:t>;</w:t>
      </w:r>
      <w:r w:rsidRPr="005F2557">
        <w:t xml:space="preserve"> NG</w:t>
      </w:r>
      <w:r>
        <w:t xml:space="preserve"> </w:t>
      </w:r>
      <w:r w:rsidRPr="005F2557">
        <w:t>=</w:t>
      </w:r>
      <w:r>
        <w:t xml:space="preserve"> </w:t>
      </w:r>
      <w:r w:rsidRPr="00602500">
        <w:t>Neisseria gonorrhoea;</w:t>
      </w:r>
      <w:r w:rsidRPr="005F2557">
        <w:t xml:space="preserve"> POC</w:t>
      </w:r>
      <w:r>
        <w:t xml:space="preserve"> </w:t>
      </w:r>
      <w:r w:rsidRPr="005F2557">
        <w:t>=</w:t>
      </w:r>
      <w:r>
        <w:t xml:space="preserve"> </w:t>
      </w:r>
      <w:r w:rsidRPr="005F2557">
        <w:t>point of care</w:t>
      </w:r>
      <w:r>
        <w:t>;</w:t>
      </w:r>
      <w:r w:rsidRPr="005F2557">
        <w:t xml:space="preserve"> STI</w:t>
      </w:r>
      <w:r>
        <w:t xml:space="preserve"> </w:t>
      </w:r>
      <w:r w:rsidRPr="005F2557">
        <w:t>=</w:t>
      </w:r>
      <w:r>
        <w:t xml:space="preserve"> </w:t>
      </w:r>
      <w:r w:rsidRPr="005F2557">
        <w:t>sexually transmitted infection</w:t>
      </w:r>
      <w:r>
        <w:t>;</w:t>
      </w:r>
      <w:r w:rsidRPr="005F2557">
        <w:t xml:space="preserve"> TV</w:t>
      </w:r>
      <w:r>
        <w:t xml:space="preserve"> </w:t>
      </w:r>
      <w:r w:rsidRPr="005F2557">
        <w:t>=</w:t>
      </w:r>
      <w:r>
        <w:t xml:space="preserve"> </w:t>
      </w:r>
      <w:r w:rsidRPr="00602500">
        <w:t>Trichomonas vaginalis.</w:t>
      </w:r>
    </w:p>
    <w:p w14:paraId="2BDA6172" w14:textId="77777777" w:rsidR="00E30C57" w:rsidRDefault="00E30C57" w:rsidP="00E30C57">
      <w:pPr>
        <w:pStyle w:val="TableFooter"/>
        <w:spacing w:before="0" w:after="120"/>
      </w:pPr>
      <w:r w:rsidRPr="00E45671">
        <w:rPr>
          <w:b/>
          <w:vertAlign w:val="superscript"/>
        </w:rPr>
        <w:t>a</w:t>
      </w:r>
      <w:r>
        <w:t xml:space="preserve"> </w:t>
      </w:r>
      <w:r w:rsidRPr="00C84CED">
        <w:t xml:space="preserve">Guy, RJ, Ward, J, Causer, LM, </w:t>
      </w:r>
      <w:proofErr w:type="spellStart"/>
      <w:r w:rsidRPr="00C84CED">
        <w:t>Natoli</w:t>
      </w:r>
      <w:proofErr w:type="spellEnd"/>
      <w:r w:rsidRPr="00C84CED">
        <w:t xml:space="preserve">, L, Badman, SG, </w:t>
      </w:r>
      <w:proofErr w:type="spellStart"/>
      <w:r w:rsidRPr="00C84CED">
        <w:t>Tangey</w:t>
      </w:r>
      <w:proofErr w:type="spellEnd"/>
      <w:r w:rsidRPr="00C84CED">
        <w:t xml:space="preserve">, A, </w:t>
      </w:r>
      <w:proofErr w:type="spellStart"/>
      <w:r w:rsidRPr="00C84CED">
        <w:t>Hengel</w:t>
      </w:r>
      <w:proofErr w:type="spellEnd"/>
      <w:r w:rsidRPr="00C84CED">
        <w:t>, B, Wand, H, Whiley, D, Tabrizi, SN, Shephard, M, Fairley, CK, Donovan, B, Anderson, DA, Regan, DG, Maher, L &amp; Kaldor, JM 2018, 'Molecular point-of-care testing for chlamydia and gonorrhoea in Indigenous Australians attending remote primary health services (TTANGO): a cluster-randomised, controlled, crossover trial', Lancet Infect Dis, vol. 18, no. 10, Oct, pp. 1117-1126.</w:t>
      </w:r>
    </w:p>
    <w:p w14:paraId="6D8C2AE5" w14:textId="5D2029A5" w:rsidR="00E30C57" w:rsidRPr="005F2557" w:rsidRDefault="00E30C57" w:rsidP="00E30C57">
      <w:pPr>
        <w:pStyle w:val="TableFooter"/>
        <w:spacing w:before="0" w:after="120"/>
      </w:pPr>
      <w:r w:rsidRPr="00E45671">
        <w:rPr>
          <w:vertAlign w:val="superscript"/>
        </w:rPr>
        <w:t>b</w:t>
      </w:r>
      <w:r>
        <w:t xml:space="preserve"> </w:t>
      </w:r>
      <w:r w:rsidRPr="00E45671">
        <w:t>‘</w:t>
      </w:r>
      <w:proofErr w:type="spellStart"/>
      <w:r w:rsidRPr="00E45671">
        <w:t>ADAR_Supplementary</w:t>
      </w:r>
      <w:proofErr w:type="spellEnd"/>
      <w:r w:rsidRPr="00E45671">
        <w:t xml:space="preserve"> documents.pdf’</w:t>
      </w:r>
      <w:r>
        <w:t xml:space="preserve"> file included in the ADAR.</w:t>
      </w:r>
    </w:p>
    <w:bookmarkEnd w:id="41"/>
    <w:p w14:paraId="355686A8" w14:textId="0604FE15" w:rsidR="00E30C57" w:rsidRPr="00520873" w:rsidRDefault="00E30C57" w:rsidP="00800A84">
      <w:pPr>
        <w:spacing w:before="240"/>
      </w:pPr>
      <w:r w:rsidRPr="00520873">
        <w:t>The Commentary noted that results presented in the ADAR could not be verified during the evaluation</w:t>
      </w:r>
      <w:r>
        <w:t>, due to the use of random seeding. A nominal base case w</w:t>
      </w:r>
      <w:r w:rsidRPr="00442213">
        <w:t>as applied during the evaluation using a microsimulation of 10,000 trials with a fixed seed (seed 1)</w:t>
      </w:r>
      <w:r>
        <w:t xml:space="preserve"> </w:t>
      </w:r>
      <w:r w:rsidRPr="00FF1B3A">
        <w:t>(</w:t>
      </w:r>
      <w:r w:rsidRPr="00FF1B3A">
        <w:rPr>
          <w:highlight w:val="yellow"/>
        </w:rPr>
        <w:fldChar w:fldCharType="begin"/>
      </w:r>
      <w:r w:rsidRPr="00FF1B3A">
        <w:instrText xml:space="preserve"> REF _Ref110430143 \h </w:instrText>
      </w:r>
      <w:r w:rsidR="00FF1B3A" w:rsidRPr="00FF1B3A">
        <w:rPr>
          <w:highlight w:val="yellow"/>
        </w:rPr>
        <w:instrText xml:space="preserve"> \* MERGEFORMAT </w:instrText>
      </w:r>
      <w:r w:rsidRPr="00FF1B3A">
        <w:rPr>
          <w:highlight w:val="yellow"/>
        </w:rPr>
      </w:r>
      <w:r w:rsidRPr="00FF1B3A">
        <w:rPr>
          <w:highlight w:val="yellow"/>
        </w:rPr>
        <w:fldChar w:fldCharType="separate"/>
      </w:r>
      <w:r w:rsidR="00FF1B3A" w:rsidRPr="00FF1B3A">
        <w:t>Table 11</w:t>
      </w:r>
      <w:r w:rsidRPr="00FF1B3A">
        <w:rPr>
          <w:highlight w:val="yellow"/>
        </w:rPr>
        <w:fldChar w:fldCharType="end"/>
      </w:r>
      <w:r w:rsidRPr="00306337">
        <w:t xml:space="preserve">). </w:t>
      </w:r>
      <w:r>
        <w:t xml:space="preserve">However, </w:t>
      </w:r>
      <w:proofErr w:type="gramStart"/>
      <w:r>
        <w:t>a number of</w:t>
      </w:r>
      <w:proofErr w:type="gramEnd"/>
      <w:r>
        <w:t xml:space="preserve"> errors were also identified, particularly with regard to how QALYs were </w:t>
      </w:r>
      <w:r>
        <w:lastRenderedPageBreak/>
        <w:t xml:space="preserve">accrued over a model cycle, and so </w:t>
      </w:r>
      <w:r w:rsidR="004B01BC">
        <w:t xml:space="preserve">the ADAR </w:t>
      </w:r>
      <w:r>
        <w:t xml:space="preserve">analyses were revised during the evaluation to correct for these. </w:t>
      </w:r>
      <w:r w:rsidRPr="00195B1A">
        <w:t xml:space="preserve">The analysis was then restricted to reflect a single episode of testing. This was noted to be substantially higher than the expected value for a cohort passing through the model. When the microsimulation was performed repeatedly, wide variation in the results was observed, which suggested that the number of trials run was insufficient – which </w:t>
      </w:r>
      <w:r w:rsidR="009705B5">
        <w:t>may be</w:t>
      </w:r>
      <w:r w:rsidR="009705B5" w:rsidRPr="00195B1A">
        <w:t xml:space="preserve"> </w:t>
      </w:r>
      <w:r w:rsidRPr="00195B1A">
        <w:t xml:space="preserve">unsurprising given the small incremental benefit observed. Given that adjustments to the model no longer necessitated individual-based modelling, the </w:t>
      </w:r>
      <w:r w:rsidR="004B01BC">
        <w:t xml:space="preserve">revised </w:t>
      </w:r>
      <w:r w:rsidRPr="00195B1A">
        <w:t>base case presented in the Commentary adopt</w:t>
      </w:r>
      <w:r>
        <w:t>ed</w:t>
      </w:r>
      <w:r w:rsidRPr="00195B1A">
        <w:t xml:space="preserve"> the cohort expected value approach. The </w:t>
      </w:r>
      <w:r w:rsidR="004B01BC">
        <w:t xml:space="preserve">revised </w:t>
      </w:r>
      <w:r w:rsidRPr="00195B1A">
        <w:t>base case ICER was observed to be $20,453 per additional QALY gained.</w:t>
      </w:r>
    </w:p>
    <w:p w14:paraId="5378B16C" w14:textId="264B57CB" w:rsidR="00E30C57" w:rsidRPr="00E30C57" w:rsidRDefault="00E30C57" w:rsidP="00CA478F">
      <w:pPr>
        <w:pStyle w:val="Caption"/>
        <w:spacing w:before="0"/>
      </w:pPr>
      <w:bookmarkStart w:id="42" w:name="_Ref110430143"/>
      <w:r w:rsidRPr="00E30C57">
        <w:t>Table</w:t>
      </w:r>
      <w:r w:rsidR="00FF1B3A">
        <w:t xml:space="preserve"> </w:t>
      </w:r>
      <w:r w:rsidRPr="00E30C57">
        <w:rPr>
          <w:noProof/>
        </w:rPr>
        <w:fldChar w:fldCharType="begin"/>
      </w:r>
      <w:r w:rsidRPr="00E30C57">
        <w:rPr>
          <w:noProof/>
        </w:rPr>
        <w:instrText xml:space="preserve"> SEQ Table \* ARABIC </w:instrText>
      </w:r>
      <w:r w:rsidRPr="00E30C57">
        <w:rPr>
          <w:noProof/>
        </w:rPr>
        <w:fldChar w:fldCharType="separate"/>
      </w:r>
      <w:r w:rsidR="00FF1B3A">
        <w:rPr>
          <w:noProof/>
        </w:rPr>
        <w:t>11</w:t>
      </w:r>
      <w:r w:rsidRPr="00E30C57">
        <w:rPr>
          <w:noProof/>
        </w:rPr>
        <w:fldChar w:fldCharType="end"/>
      </w:r>
      <w:bookmarkEnd w:id="42"/>
      <w:r w:rsidRPr="00E30C57">
        <w:tab/>
        <w:t>Stepped changes to generate the base case in the Commentary</w:t>
      </w:r>
    </w:p>
    <w:tbl>
      <w:tblPr>
        <w:tblStyle w:val="TableGrid1"/>
        <w:tblW w:w="5000" w:type="pct"/>
        <w:tblLook w:val="04A0" w:firstRow="1" w:lastRow="0" w:firstColumn="1" w:lastColumn="0" w:noHBand="0" w:noVBand="1"/>
        <w:tblCaption w:val="Stepped changes to generate the base case in the Commentary"/>
        <w:tblDescription w:val="Stepped changes to generate the base case in the Commentary"/>
      </w:tblPr>
      <w:tblGrid>
        <w:gridCol w:w="5193"/>
        <w:gridCol w:w="1275"/>
        <w:gridCol w:w="1275"/>
        <w:gridCol w:w="1273"/>
      </w:tblGrid>
      <w:tr w:rsidR="00E30C57" w:rsidRPr="00AA4065" w14:paraId="5526E57F" w14:textId="77777777" w:rsidTr="009705B5">
        <w:trPr>
          <w:cnfStyle w:val="100000000000" w:firstRow="1" w:lastRow="0" w:firstColumn="0" w:lastColumn="0" w:oddVBand="0" w:evenVBand="0" w:oddHBand="0" w:evenHBand="0" w:firstRowFirstColumn="0" w:firstRowLastColumn="0" w:lastRowFirstColumn="0" w:lastRowLastColumn="0"/>
          <w:trHeight w:val="300"/>
          <w:tblHeader/>
        </w:trPr>
        <w:tc>
          <w:tcPr>
            <w:tcW w:w="2880" w:type="pct"/>
            <w:tcBorders>
              <w:bottom w:val="single" w:sz="4" w:space="0" w:color="auto"/>
            </w:tcBorders>
            <w:noWrap/>
            <w:hideMark/>
          </w:tcPr>
          <w:p w14:paraId="583B66A2" w14:textId="77777777" w:rsidR="00E30C57" w:rsidRPr="00AA4065" w:rsidRDefault="00E30C57" w:rsidP="00D748F9">
            <w:pPr>
              <w:pStyle w:val="TableHeading"/>
              <w:rPr>
                <w:rFonts w:eastAsiaTheme="minorHAnsi" w:cstheme="minorBidi"/>
                <w:szCs w:val="22"/>
                <w:lang w:eastAsia="en-US"/>
              </w:rPr>
            </w:pPr>
          </w:p>
        </w:tc>
        <w:tc>
          <w:tcPr>
            <w:tcW w:w="707" w:type="pct"/>
            <w:tcBorders>
              <w:bottom w:val="single" w:sz="4" w:space="0" w:color="auto"/>
            </w:tcBorders>
            <w:noWrap/>
            <w:hideMark/>
          </w:tcPr>
          <w:p w14:paraId="79DD2BFD" w14:textId="77777777" w:rsidR="00E30C57" w:rsidRPr="00AA4065" w:rsidRDefault="00E30C57" w:rsidP="00D748F9">
            <w:pPr>
              <w:pStyle w:val="TableHeading"/>
              <w:jc w:val="center"/>
              <w:rPr>
                <w:rFonts w:eastAsiaTheme="minorHAnsi" w:cstheme="minorBidi"/>
                <w:szCs w:val="22"/>
                <w:lang w:eastAsia="en-US"/>
              </w:rPr>
            </w:pPr>
            <w:r w:rsidRPr="00AA4065">
              <w:rPr>
                <w:rFonts w:eastAsiaTheme="minorHAnsi" w:cstheme="minorBidi"/>
                <w:szCs w:val="22"/>
                <w:lang w:eastAsia="en-US"/>
              </w:rPr>
              <w:t>POC</w:t>
            </w:r>
          </w:p>
        </w:tc>
        <w:tc>
          <w:tcPr>
            <w:tcW w:w="707" w:type="pct"/>
            <w:tcBorders>
              <w:bottom w:val="single" w:sz="4" w:space="0" w:color="auto"/>
            </w:tcBorders>
            <w:noWrap/>
            <w:hideMark/>
          </w:tcPr>
          <w:p w14:paraId="34ED92A1" w14:textId="77777777" w:rsidR="00E30C57" w:rsidRPr="00AA4065" w:rsidRDefault="00E30C57" w:rsidP="00D748F9">
            <w:pPr>
              <w:pStyle w:val="TableHeading"/>
              <w:jc w:val="center"/>
              <w:rPr>
                <w:rFonts w:eastAsiaTheme="minorHAnsi" w:cstheme="minorBidi"/>
                <w:szCs w:val="22"/>
                <w:lang w:eastAsia="en-US"/>
              </w:rPr>
            </w:pPr>
            <w:r w:rsidRPr="00AA4065">
              <w:rPr>
                <w:rFonts w:eastAsiaTheme="minorHAnsi" w:cstheme="minorBidi"/>
                <w:szCs w:val="22"/>
                <w:lang w:eastAsia="en-US"/>
              </w:rPr>
              <w:t>SOC</w:t>
            </w:r>
          </w:p>
        </w:tc>
        <w:tc>
          <w:tcPr>
            <w:tcW w:w="706" w:type="pct"/>
            <w:tcBorders>
              <w:bottom w:val="single" w:sz="4" w:space="0" w:color="auto"/>
            </w:tcBorders>
            <w:noWrap/>
            <w:hideMark/>
          </w:tcPr>
          <w:p w14:paraId="191EFEEF" w14:textId="77777777" w:rsidR="00E30C57" w:rsidRPr="00AA4065" w:rsidRDefault="00E30C57" w:rsidP="00D748F9">
            <w:pPr>
              <w:pStyle w:val="TableHeading"/>
              <w:jc w:val="center"/>
              <w:rPr>
                <w:rFonts w:eastAsiaTheme="minorHAnsi" w:cstheme="minorBidi"/>
                <w:szCs w:val="22"/>
                <w:lang w:eastAsia="en-US"/>
              </w:rPr>
            </w:pPr>
            <w:r w:rsidRPr="00AA4065">
              <w:rPr>
                <w:rFonts w:eastAsiaTheme="minorHAnsi" w:cstheme="minorBidi"/>
                <w:szCs w:val="22"/>
                <w:lang w:eastAsia="en-US"/>
              </w:rPr>
              <w:t>Increment</w:t>
            </w:r>
          </w:p>
        </w:tc>
      </w:tr>
      <w:tr w:rsidR="00E30C57" w:rsidRPr="00AA4065" w14:paraId="652CA953" w14:textId="77777777" w:rsidTr="00D748F9">
        <w:trPr>
          <w:trHeight w:val="300"/>
        </w:trPr>
        <w:tc>
          <w:tcPr>
            <w:tcW w:w="2880" w:type="pct"/>
            <w:tcBorders>
              <w:right w:val="nil"/>
            </w:tcBorders>
            <w:noWrap/>
            <w:hideMark/>
          </w:tcPr>
          <w:p w14:paraId="503F2EB3" w14:textId="77777777" w:rsidR="00E30C57" w:rsidRPr="00AA4065" w:rsidRDefault="00E30C57" w:rsidP="00D748F9">
            <w:pPr>
              <w:pStyle w:val="TableText"/>
              <w:keepNext/>
              <w:rPr>
                <w:rFonts w:eastAsiaTheme="minorHAnsi" w:cstheme="minorBidi"/>
                <w:b/>
                <w:lang w:eastAsia="en-US"/>
              </w:rPr>
            </w:pPr>
            <w:r w:rsidRPr="00AA4065">
              <w:rPr>
                <w:rFonts w:eastAsiaTheme="minorHAnsi" w:cstheme="minorBidi"/>
                <w:b/>
                <w:lang w:eastAsia="en-US"/>
              </w:rPr>
              <w:t>ADAR base case [10,000 trials; seed 1]</w:t>
            </w:r>
          </w:p>
        </w:tc>
        <w:tc>
          <w:tcPr>
            <w:tcW w:w="707" w:type="pct"/>
            <w:tcBorders>
              <w:left w:val="nil"/>
              <w:right w:val="nil"/>
            </w:tcBorders>
            <w:noWrap/>
            <w:hideMark/>
          </w:tcPr>
          <w:p w14:paraId="22EF62A5" w14:textId="77777777" w:rsidR="00E30C57" w:rsidRPr="00AA4065" w:rsidRDefault="00E30C57" w:rsidP="00D748F9">
            <w:pPr>
              <w:pStyle w:val="TableText"/>
              <w:keepNext/>
              <w:rPr>
                <w:rFonts w:eastAsiaTheme="minorHAnsi" w:cstheme="minorBidi"/>
                <w:b/>
                <w:lang w:eastAsia="en-US"/>
              </w:rPr>
            </w:pPr>
          </w:p>
        </w:tc>
        <w:tc>
          <w:tcPr>
            <w:tcW w:w="707" w:type="pct"/>
            <w:tcBorders>
              <w:left w:val="nil"/>
              <w:right w:val="nil"/>
            </w:tcBorders>
            <w:noWrap/>
            <w:hideMark/>
          </w:tcPr>
          <w:p w14:paraId="54A810B5" w14:textId="77777777" w:rsidR="00E30C57" w:rsidRPr="00AA4065" w:rsidRDefault="00E30C57" w:rsidP="00D748F9">
            <w:pPr>
              <w:pStyle w:val="TableText"/>
              <w:keepNext/>
              <w:rPr>
                <w:rFonts w:eastAsiaTheme="minorHAnsi" w:cstheme="minorBidi"/>
                <w:b/>
                <w:lang w:eastAsia="en-US"/>
              </w:rPr>
            </w:pPr>
          </w:p>
        </w:tc>
        <w:tc>
          <w:tcPr>
            <w:tcW w:w="706" w:type="pct"/>
            <w:tcBorders>
              <w:left w:val="nil"/>
            </w:tcBorders>
            <w:noWrap/>
            <w:hideMark/>
          </w:tcPr>
          <w:p w14:paraId="4E95D582" w14:textId="77777777" w:rsidR="00E30C57" w:rsidRPr="00AA4065" w:rsidRDefault="00E30C57" w:rsidP="00D748F9">
            <w:pPr>
              <w:pStyle w:val="TableText"/>
              <w:keepNext/>
              <w:rPr>
                <w:rFonts w:eastAsiaTheme="minorHAnsi" w:cstheme="minorBidi"/>
                <w:b/>
                <w:lang w:eastAsia="en-US"/>
              </w:rPr>
            </w:pPr>
          </w:p>
        </w:tc>
      </w:tr>
      <w:tr w:rsidR="00E30C57" w:rsidRPr="00AA4065" w14:paraId="4860FA8A" w14:textId="77777777" w:rsidTr="00D748F9">
        <w:trPr>
          <w:trHeight w:val="300"/>
        </w:trPr>
        <w:tc>
          <w:tcPr>
            <w:tcW w:w="2880" w:type="pct"/>
            <w:noWrap/>
            <w:hideMark/>
          </w:tcPr>
          <w:p w14:paraId="7D68D1D4"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Cost</w:t>
            </w:r>
          </w:p>
        </w:tc>
        <w:tc>
          <w:tcPr>
            <w:tcW w:w="707" w:type="pct"/>
            <w:noWrap/>
            <w:hideMark/>
          </w:tcPr>
          <w:p w14:paraId="3946BBCF" w14:textId="77777777" w:rsidR="00E30C57" w:rsidRPr="00AA4065" w:rsidRDefault="00E30C57" w:rsidP="00D748F9">
            <w:pPr>
              <w:pStyle w:val="TableText"/>
              <w:keepNext/>
              <w:jc w:val="right"/>
              <w:rPr>
                <w:rFonts w:eastAsiaTheme="minorHAnsi" w:cstheme="minorBidi"/>
                <w:lang w:eastAsia="en-US"/>
              </w:rPr>
            </w:pPr>
            <w:r w:rsidRPr="00AA4065">
              <w:t>$3,763.55</w:t>
            </w:r>
          </w:p>
        </w:tc>
        <w:tc>
          <w:tcPr>
            <w:tcW w:w="707" w:type="pct"/>
            <w:noWrap/>
            <w:hideMark/>
          </w:tcPr>
          <w:p w14:paraId="699FCF89" w14:textId="77777777" w:rsidR="00E30C57" w:rsidRPr="00AA4065" w:rsidRDefault="00E30C57" w:rsidP="00D748F9">
            <w:pPr>
              <w:pStyle w:val="TableText"/>
              <w:keepNext/>
              <w:jc w:val="right"/>
              <w:rPr>
                <w:rFonts w:eastAsiaTheme="minorHAnsi" w:cstheme="minorBidi"/>
                <w:lang w:eastAsia="en-US"/>
              </w:rPr>
            </w:pPr>
            <w:r w:rsidRPr="00AA4065">
              <w:t>$3,516.70</w:t>
            </w:r>
          </w:p>
        </w:tc>
        <w:tc>
          <w:tcPr>
            <w:tcW w:w="706" w:type="pct"/>
            <w:noWrap/>
            <w:hideMark/>
          </w:tcPr>
          <w:p w14:paraId="32E9A4B8" w14:textId="77777777" w:rsidR="00E30C57" w:rsidRPr="00AA4065" w:rsidRDefault="00E30C57" w:rsidP="00D748F9">
            <w:pPr>
              <w:pStyle w:val="TableText"/>
              <w:keepNext/>
              <w:jc w:val="right"/>
              <w:rPr>
                <w:rFonts w:eastAsiaTheme="minorHAnsi" w:cstheme="minorBidi"/>
                <w:lang w:eastAsia="en-US"/>
              </w:rPr>
            </w:pPr>
            <w:r w:rsidRPr="00AA4065">
              <w:t>$246.85</w:t>
            </w:r>
          </w:p>
        </w:tc>
      </w:tr>
      <w:tr w:rsidR="00E30C57" w:rsidRPr="00AA4065" w14:paraId="50DAACB0" w14:textId="77777777" w:rsidTr="00D748F9">
        <w:trPr>
          <w:trHeight w:val="300"/>
        </w:trPr>
        <w:tc>
          <w:tcPr>
            <w:tcW w:w="2880" w:type="pct"/>
            <w:tcBorders>
              <w:bottom w:val="single" w:sz="4" w:space="0" w:color="auto"/>
            </w:tcBorders>
            <w:noWrap/>
            <w:hideMark/>
          </w:tcPr>
          <w:p w14:paraId="4B7855DA"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QALYs</w:t>
            </w:r>
          </w:p>
        </w:tc>
        <w:tc>
          <w:tcPr>
            <w:tcW w:w="707" w:type="pct"/>
            <w:tcBorders>
              <w:bottom w:val="single" w:sz="4" w:space="0" w:color="auto"/>
            </w:tcBorders>
            <w:noWrap/>
            <w:hideMark/>
          </w:tcPr>
          <w:p w14:paraId="62825E3D" w14:textId="77777777" w:rsidR="00E30C57" w:rsidRPr="00AA4065" w:rsidRDefault="00E30C57" w:rsidP="00D748F9">
            <w:pPr>
              <w:pStyle w:val="TableText"/>
              <w:keepNext/>
              <w:jc w:val="right"/>
              <w:rPr>
                <w:rFonts w:eastAsiaTheme="minorHAnsi" w:cstheme="minorBidi"/>
                <w:lang w:eastAsia="en-US"/>
              </w:rPr>
            </w:pPr>
            <w:r w:rsidRPr="00AA4065">
              <w:t>8.4654</w:t>
            </w:r>
          </w:p>
        </w:tc>
        <w:tc>
          <w:tcPr>
            <w:tcW w:w="707" w:type="pct"/>
            <w:tcBorders>
              <w:bottom w:val="single" w:sz="4" w:space="0" w:color="auto"/>
            </w:tcBorders>
            <w:noWrap/>
            <w:hideMark/>
          </w:tcPr>
          <w:p w14:paraId="3E664664" w14:textId="77777777" w:rsidR="00E30C57" w:rsidRPr="00AA4065" w:rsidRDefault="00E30C57" w:rsidP="00D748F9">
            <w:pPr>
              <w:pStyle w:val="TableText"/>
              <w:keepNext/>
              <w:jc w:val="right"/>
              <w:rPr>
                <w:rFonts w:eastAsiaTheme="minorHAnsi" w:cstheme="minorBidi"/>
                <w:lang w:eastAsia="en-US"/>
              </w:rPr>
            </w:pPr>
            <w:r w:rsidRPr="00AA4065">
              <w:t>8.4581</w:t>
            </w:r>
          </w:p>
        </w:tc>
        <w:tc>
          <w:tcPr>
            <w:tcW w:w="706" w:type="pct"/>
            <w:noWrap/>
            <w:hideMark/>
          </w:tcPr>
          <w:p w14:paraId="74A74A4F" w14:textId="77777777" w:rsidR="00E30C57" w:rsidRPr="00AA4065" w:rsidRDefault="00E30C57" w:rsidP="00D748F9">
            <w:pPr>
              <w:pStyle w:val="TableText"/>
              <w:keepNext/>
              <w:jc w:val="right"/>
              <w:rPr>
                <w:rFonts w:eastAsiaTheme="minorHAnsi" w:cstheme="minorBidi"/>
                <w:lang w:eastAsia="en-US"/>
              </w:rPr>
            </w:pPr>
            <w:r w:rsidRPr="00AA4065">
              <w:t>0.0073</w:t>
            </w:r>
          </w:p>
        </w:tc>
      </w:tr>
      <w:tr w:rsidR="00E30C57" w:rsidRPr="00AA4065" w14:paraId="6F15010A" w14:textId="77777777" w:rsidTr="00D748F9">
        <w:trPr>
          <w:trHeight w:val="300"/>
        </w:trPr>
        <w:tc>
          <w:tcPr>
            <w:tcW w:w="2880" w:type="pct"/>
            <w:tcBorders>
              <w:bottom w:val="single" w:sz="4" w:space="0" w:color="auto"/>
              <w:right w:val="nil"/>
            </w:tcBorders>
            <w:noWrap/>
            <w:hideMark/>
          </w:tcPr>
          <w:p w14:paraId="701FBCAB" w14:textId="77777777" w:rsidR="00E30C57" w:rsidRPr="00AA4065" w:rsidRDefault="00E30C57" w:rsidP="00D748F9">
            <w:pPr>
              <w:pStyle w:val="TableText"/>
              <w:keepNext/>
              <w:rPr>
                <w:rFonts w:eastAsiaTheme="minorHAnsi" w:cstheme="minorBidi"/>
                <w:b/>
                <w:lang w:eastAsia="en-US"/>
              </w:rPr>
            </w:pPr>
            <w:r w:rsidRPr="00AA4065">
              <w:rPr>
                <w:rFonts w:eastAsiaTheme="minorHAnsi" w:cstheme="minorBidi"/>
                <w:b/>
                <w:lang w:eastAsia="en-US"/>
              </w:rPr>
              <w:t>ICER</w:t>
            </w:r>
          </w:p>
        </w:tc>
        <w:tc>
          <w:tcPr>
            <w:tcW w:w="707" w:type="pct"/>
            <w:tcBorders>
              <w:left w:val="nil"/>
              <w:bottom w:val="single" w:sz="4" w:space="0" w:color="auto"/>
              <w:right w:val="nil"/>
            </w:tcBorders>
            <w:noWrap/>
            <w:hideMark/>
          </w:tcPr>
          <w:p w14:paraId="0C95D912" w14:textId="77777777" w:rsidR="00E30C57" w:rsidRPr="00AA4065" w:rsidRDefault="00E30C57" w:rsidP="00D748F9">
            <w:pPr>
              <w:pStyle w:val="TableText"/>
              <w:keepNext/>
              <w:jc w:val="right"/>
              <w:rPr>
                <w:rFonts w:eastAsiaTheme="minorHAnsi" w:cstheme="minorBidi"/>
                <w:b/>
                <w:lang w:eastAsia="en-US"/>
              </w:rPr>
            </w:pPr>
          </w:p>
        </w:tc>
        <w:tc>
          <w:tcPr>
            <w:tcW w:w="707" w:type="pct"/>
            <w:tcBorders>
              <w:left w:val="nil"/>
              <w:bottom w:val="single" w:sz="4" w:space="0" w:color="auto"/>
            </w:tcBorders>
            <w:noWrap/>
            <w:hideMark/>
          </w:tcPr>
          <w:p w14:paraId="6BB53F35" w14:textId="77777777" w:rsidR="00E30C57" w:rsidRPr="00AA4065" w:rsidRDefault="00E30C57" w:rsidP="00D748F9">
            <w:pPr>
              <w:pStyle w:val="TableText"/>
              <w:keepNext/>
              <w:jc w:val="right"/>
              <w:rPr>
                <w:rFonts w:eastAsiaTheme="minorHAnsi" w:cstheme="minorBidi"/>
                <w:b/>
                <w:lang w:eastAsia="en-US"/>
              </w:rPr>
            </w:pPr>
          </w:p>
        </w:tc>
        <w:tc>
          <w:tcPr>
            <w:tcW w:w="706" w:type="pct"/>
            <w:tcBorders>
              <w:bottom w:val="single" w:sz="4" w:space="0" w:color="auto"/>
            </w:tcBorders>
            <w:noWrap/>
            <w:hideMark/>
          </w:tcPr>
          <w:p w14:paraId="2346D2E3" w14:textId="77777777" w:rsidR="00E30C57" w:rsidRPr="00AA4065" w:rsidRDefault="00E30C57" w:rsidP="00D748F9">
            <w:pPr>
              <w:pStyle w:val="TableText"/>
              <w:keepNext/>
              <w:jc w:val="right"/>
              <w:rPr>
                <w:rFonts w:eastAsiaTheme="minorHAnsi" w:cstheme="minorBidi"/>
                <w:b/>
                <w:lang w:eastAsia="en-US"/>
              </w:rPr>
            </w:pPr>
            <w:r w:rsidRPr="00AA4065">
              <w:rPr>
                <w:b/>
              </w:rPr>
              <w:t>$34,010</w:t>
            </w:r>
          </w:p>
        </w:tc>
      </w:tr>
      <w:tr w:rsidR="00E30C57" w:rsidRPr="00AA4065" w14:paraId="45D73AA5" w14:textId="77777777" w:rsidTr="00D748F9">
        <w:trPr>
          <w:trHeight w:val="300"/>
        </w:trPr>
        <w:tc>
          <w:tcPr>
            <w:tcW w:w="2880" w:type="pct"/>
            <w:tcBorders>
              <w:right w:val="nil"/>
            </w:tcBorders>
            <w:noWrap/>
            <w:hideMark/>
          </w:tcPr>
          <w:p w14:paraId="13D5CDC7" w14:textId="77777777" w:rsidR="00E30C57" w:rsidRPr="00AA4065" w:rsidRDefault="00E30C57" w:rsidP="00D748F9">
            <w:pPr>
              <w:pStyle w:val="TableText"/>
              <w:keepNext/>
              <w:rPr>
                <w:rFonts w:eastAsiaTheme="minorHAnsi" w:cstheme="minorBidi"/>
                <w:b/>
                <w:lang w:eastAsia="en-US"/>
              </w:rPr>
            </w:pPr>
            <w:r>
              <w:rPr>
                <w:rFonts w:eastAsiaTheme="minorHAnsi" w:cstheme="minorBidi"/>
                <w:b/>
                <w:lang w:eastAsia="en-US"/>
              </w:rPr>
              <w:t>ADAR base case with c</w:t>
            </w:r>
            <w:r w:rsidRPr="00AA4065">
              <w:rPr>
                <w:rFonts w:eastAsiaTheme="minorHAnsi" w:cstheme="minorBidi"/>
                <w:b/>
                <w:lang w:eastAsia="en-US"/>
              </w:rPr>
              <w:t xml:space="preserve">orrections [10,000 trials; seed </w:t>
            </w:r>
            <w:proofErr w:type="gramStart"/>
            <w:r w:rsidRPr="00AA4065">
              <w:rPr>
                <w:rFonts w:eastAsiaTheme="minorHAnsi" w:cstheme="minorBidi"/>
                <w:b/>
                <w:lang w:eastAsia="en-US"/>
              </w:rPr>
              <w:t>1]</w:t>
            </w:r>
            <w:r w:rsidRPr="00520873">
              <w:rPr>
                <w:rFonts w:eastAsiaTheme="minorHAnsi" w:cstheme="minorBidi"/>
                <w:b/>
                <w:vertAlign w:val="superscript"/>
                <w:lang w:eastAsia="en-US"/>
              </w:rPr>
              <w:t>a</w:t>
            </w:r>
            <w:proofErr w:type="gramEnd"/>
          </w:p>
        </w:tc>
        <w:tc>
          <w:tcPr>
            <w:tcW w:w="707" w:type="pct"/>
            <w:tcBorders>
              <w:left w:val="nil"/>
              <w:right w:val="nil"/>
            </w:tcBorders>
            <w:noWrap/>
            <w:hideMark/>
          </w:tcPr>
          <w:p w14:paraId="0C440990" w14:textId="77777777" w:rsidR="00E30C57" w:rsidRPr="00AA4065" w:rsidRDefault="00E30C57" w:rsidP="00D748F9">
            <w:pPr>
              <w:pStyle w:val="TableText"/>
              <w:keepNext/>
              <w:jc w:val="right"/>
              <w:rPr>
                <w:rFonts w:eastAsiaTheme="minorHAnsi" w:cstheme="minorBidi"/>
                <w:b/>
                <w:lang w:eastAsia="en-US"/>
              </w:rPr>
            </w:pPr>
          </w:p>
        </w:tc>
        <w:tc>
          <w:tcPr>
            <w:tcW w:w="707" w:type="pct"/>
            <w:tcBorders>
              <w:left w:val="nil"/>
              <w:right w:val="nil"/>
            </w:tcBorders>
            <w:noWrap/>
            <w:hideMark/>
          </w:tcPr>
          <w:p w14:paraId="292F8A9E" w14:textId="77777777" w:rsidR="00E30C57" w:rsidRPr="00AA4065" w:rsidRDefault="00E30C57" w:rsidP="00D748F9">
            <w:pPr>
              <w:pStyle w:val="TableText"/>
              <w:keepNext/>
              <w:jc w:val="right"/>
              <w:rPr>
                <w:rFonts w:eastAsiaTheme="minorHAnsi" w:cstheme="minorBidi"/>
                <w:b/>
                <w:lang w:eastAsia="en-US"/>
              </w:rPr>
            </w:pPr>
          </w:p>
        </w:tc>
        <w:tc>
          <w:tcPr>
            <w:tcW w:w="706" w:type="pct"/>
            <w:tcBorders>
              <w:left w:val="nil"/>
            </w:tcBorders>
            <w:noWrap/>
            <w:hideMark/>
          </w:tcPr>
          <w:p w14:paraId="1FE596CF" w14:textId="77777777" w:rsidR="00E30C57" w:rsidRPr="00AA4065" w:rsidRDefault="00E30C57" w:rsidP="00D748F9">
            <w:pPr>
              <w:pStyle w:val="TableText"/>
              <w:keepNext/>
              <w:jc w:val="right"/>
              <w:rPr>
                <w:rFonts w:eastAsiaTheme="minorHAnsi" w:cstheme="minorBidi"/>
                <w:b/>
                <w:lang w:eastAsia="en-US"/>
              </w:rPr>
            </w:pPr>
          </w:p>
        </w:tc>
      </w:tr>
      <w:tr w:rsidR="00E30C57" w:rsidRPr="00AA4065" w14:paraId="020F4CFE" w14:textId="77777777" w:rsidTr="00D748F9">
        <w:trPr>
          <w:trHeight w:val="300"/>
        </w:trPr>
        <w:tc>
          <w:tcPr>
            <w:tcW w:w="2880" w:type="pct"/>
            <w:noWrap/>
            <w:hideMark/>
          </w:tcPr>
          <w:p w14:paraId="6CF1B5AA"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Cost</w:t>
            </w:r>
          </w:p>
        </w:tc>
        <w:tc>
          <w:tcPr>
            <w:tcW w:w="707" w:type="pct"/>
            <w:noWrap/>
            <w:hideMark/>
          </w:tcPr>
          <w:p w14:paraId="0FD31FEA" w14:textId="77777777" w:rsidR="00E30C57" w:rsidRPr="00AA4065" w:rsidRDefault="00E30C57" w:rsidP="00D748F9">
            <w:pPr>
              <w:pStyle w:val="TableText"/>
              <w:keepNext/>
              <w:jc w:val="right"/>
              <w:rPr>
                <w:rFonts w:eastAsiaTheme="minorHAnsi" w:cstheme="minorBidi"/>
                <w:lang w:eastAsia="en-US"/>
              </w:rPr>
            </w:pPr>
            <w:r w:rsidRPr="00AA4065">
              <w:t>$4,256.06</w:t>
            </w:r>
          </w:p>
        </w:tc>
        <w:tc>
          <w:tcPr>
            <w:tcW w:w="707" w:type="pct"/>
            <w:noWrap/>
            <w:hideMark/>
          </w:tcPr>
          <w:p w14:paraId="317C0FE0" w14:textId="77777777" w:rsidR="00E30C57" w:rsidRPr="00AA4065" w:rsidRDefault="00E30C57" w:rsidP="00D748F9">
            <w:pPr>
              <w:pStyle w:val="TableText"/>
              <w:keepNext/>
              <w:jc w:val="right"/>
              <w:rPr>
                <w:rFonts w:eastAsiaTheme="minorHAnsi" w:cstheme="minorBidi"/>
                <w:lang w:eastAsia="en-US"/>
              </w:rPr>
            </w:pPr>
            <w:r w:rsidRPr="00AA4065">
              <w:t>$4,068.06</w:t>
            </w:r>
          </w:p>
        </w:tc>
        <w:tc>
          <w:tcPr>
            <w:tcW w:w="706" w:type="pct"/>
            <w:noWrap/>
            <w:hideMark/>
          </w:tcPr>
          <w:p w14:paraId="7F79E33B" w14:textId="77777777" w:rsidR="00E30C57" w:rsidRPr="00AA4065" w:rsidRDefault="00E30C57" w:rsidP="00D748F9">
            <w:pPr>
              <w:pStyle w:val="TableText"/>
              <w:keepNext/>
              <w:jc w:val="right"/>
              <w:rPr>
                <w:rFonts w:eastAsiaTheme="minorHAnsi" w:cstheme="minorBidi"/>
                <w:lang w:eastAsia="en-US"/>
              </w:rPr>
            </w:pPr>
            <w:r w:rsidRPr="00AA4065">
              <w:t>$188.00</w:t>
            </w:r>
          </w:p>
        </w:tc>
      </w:tr>
      <w:tr w:rsidR="00E30C57" w:rsidRPr="00AA4065" w14:paraId="655989D7" w14:textId="77777777" w:rsidTr="00D748F9">
        <w:trPr>
          <w:trHeight w:val="300"/>
        </w:trPr>
        <w:tc>
          <w:tcPr>
            <w:tcW w:w="2880" w:type="pct"/>
            <w:tcBorders>
              <w:bottom w:val="single" w:sz="4" w:space="0" w:color="auto"/>
            </w:tcBorders>
            <w:noWrap/>
            <w:hideMark/>
          </w:tcPr>
          <w:p w14:paraId="200957CF"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QALYs</w:t>
            </w:r>
          </w:p>
        </w:tc>
        <w:tc>
          <w:tcPr>
            <w:tcW w:w="707" w:type="pct"/>
            <w:tcBorders>
              <w:bottom w:val="single" w:sz="4" w:space="0" w:color="auto"/>
            </w:tcBorders>
            <w:noWrap/>
            <w:hideMark/>
          </w:tcPr>
          <w:p w14:paraId="217A6823" w14:textId="77777777" w:rsidR="00E30C57" w:rsidRPr="00AA4065" w:rsidRDefault="00E30C57" w:rsidP="00D748F9">
            <w:pPr>
              <w:pStyle w:val="TableText"/>
              <w:keepNext/>
              <w:jc w:val="right"/>
              <w:rPr>
                <w:rFonts w:eastAsiaTheme="minorHAnsi" w:cstheme="minorBidi"/>
                <w:lang w:eastAsia="en-US"/>
              </w:rPr>
            </w:pPr>
            <w:r w:rsidRPr="00AA4065">
              <w:t>7.9595</w:t>
            </w:r>
          </w:p>
        </w:tc>
        <w:tc>
          <w:tcPr>
            <w:tcW w:w="707" w:type="pct"/>
            <w:tcBorders>
              <w:bottom w:val="single" w:sz="4" w:space="0" w:color="auto"/>
            </w:tcBorders>
            <w:noWrap/>
            <w:hideMark/>
          </w:tcPr>
          <w:p w14:paraId="6FF9B937" w14:textId="77777777" w:rsidR="00E30C57" w:rsidRPr="00AA4065" w:rsidRDefault="00E30C57" w:rsidP="00D748F9">
            <w:pPr>
              <w:pStyle w:val="TableText"/>
              <w:keepNext/>
              <w:jc w:val="right"/>
              <w:rPr>
                <w:rFonts w:eastAsiaTheme="minorHAnsi" w:cstheme="minorBidi"/>
                <w:lang w:eastAsia="en-US"/>
              </w:rPr>
            </w:pPr>
            <w:r w:rsidRPr="00AA4065">
              <w:t>7.9496</w:t>
            </w:r>
          </w:p>
        </w:tc>
        <w:tc>
          <w:tcPr>
            <w:tcW w:w="706" w:type="pct"/>
            <w:noWrap/>
            <w:hideMark/>
          </w:tcPr>
          <w:p w14:paraId="5A435D27" w14:textId="77777777" w:rsidR="00E30C57" w:rsidRPr="00AA4065" w:rsidRDefault="00E30C57" w:rsidP="00D748F9">
            <w:pPr>
              <w:pStyle w:val="TableText"/>
              <w:keepNext/>
              <w:jc w:val="right"/>
              <w:rPr>
                <w:rFonts w:eastAsiaTheme="minorHAnsi" w:cstheme="minorBidi"/>
                <w:lang w:eastAsia="en-US"/>
              </w:rPr>
            </w:pPr>
            <w:r w:rsidRPr="00AA4065">
              <w:t>0.0100</w:t>
            </w:r>
          </w:p>
        </w:tc>
      </w:tr>
      <w:tr w:rsidR="00E30C57" w:rsidRPr="00AA4065" w14:paraId="03FC0D56" w14:textId="77777777" w:rsidTr="00D748F9">
        <w:trPr>
          <w:trHeight w:val="300"/>
        </w:trPr>
        <w:tc>
          <w:tcPr>
            <w:tcW w:w="2880" w:type="pct"/>
            <w:tcBorders>
              <w:bottom w:val="single" w:sz="4" w:space="0" w:color="auto"/>
              <w:right w:val="nil"/>
            </w:tcBorders>
            <w:noWrap/>
            <w:hideMark/>
          </w:tcPr>
          <w:p w14:paraId="3709F3CB" w14:textId="77777777" w:rsidR="00E30C57" w:rsidRPr="00AA4065" w:rsidRDefault="00E30C57" w:rsidP="00D748F9">
            <w:pPr>
              <w:pStyle w:val="TableText"/>
              <w:keepNext/>
              <w:rPr>
                <w:rFonts w:eastAsiaTheme="minorHAnsi" w:cstheme="minorBidi"/>
                <w:b/>
                <w:lang w:eastAsia="en-US"/>
              </w:rPr>
            </w:pPr>
            <w:r w:rsidRPr="00AA4065">
              <w:rPr>
                <w:rFonts w:eastAsiaTheme="minorHAnsi" w:cstheme="minorBidi"/>
                <w:b/>
                <w:lang w:eastAsia="en-US"/>
              </w:rPr>
              <w:t>ICER</w:t>
            </w:r>
          </w:p>
        </w:tc>
        <w:tc>
          <w:tcPr>
            <w:tcW w:w="707" w:type="pct"/>
            <w:tcBorders>
              <w:left w:val="nil"/>
              <w:bottom w:val="single" w:sz="4" w:space="0" w:color="auto"/>
              <w:right w:val="nil"/>
            </w:tcBorders>
            <w:noWrap/>
            <w:hideMark/>
          </w:tcPr>
          <w:p w14:paraId="13DA81CC" w14:textId="77777777" w:rsidR="00E30C57" w:rsidRPr="00AA4065" w:rsidRDefault="00E30C57" w:rsidP="00D748F9">
            <w:pPr>
              <w:pStyle w:val="TableText"/>
              <w:keepNext/>
              <w:jc w:val="right"/>
              <w:rPr>
                <w:rFonts w:eastAsiaTheme="minorHAnsi" w:cstheme="minorBidi"/>
                <w:b/>
                <w:lang w:eastAsia="en-US"/>
              </w:rPr>
            </w:pPr>
          </w:p>
        </w:tc>
        <w:tc>
          <w:tcPr>
            <w:tcW w:w="707" w:type="pct"/>
            <w:tcBorders>
              <w:left w:val="nil"/>
              <w:bottom w:val="single" w:sz="4" w:space="0" w:color="auto"/>
            </w:tcBorders>
            <w:noWrap/>
            <w:hideMark/>
          </w:tcPr>
          <w:p w14:paraId="40B23ACA" w14:textId="77777777" w:rsidR="00E30C57" w:rsidRPr="00AA4065" w:rsidRDefault="00E30C57" w:rsidP="00D748F9">
            <w:pPr>
              <w:pStyle w:val="TableText"/>
              <w:keepNext/>
              <w:jc w:val="right"/>
              <w:rPr>
                <w:rFonts w:eastAsiaTheme="minorHAnsi" w:cstheme="minorBidi"/>
                <w:b/>
                <w:lang w:eastAsia="en-US"/>
              </w:rPr>
            </w:pPr>
          </w:p>
        </w:tc>
        <w:tc>
          <w:tcPr>
            <w:tcW w:w="706" w:type="pct"/>
            <w:tcBorders>
              <w:bottom w:val="single" w:sz="4" w:space="0" w:color="auto"/>
            </w:tcBorders>
            <w:noWrap/>
            <w:hideMark/>
          </w:tcPr>
          <w:p w14:paraId="10861C65" w14:textId="77777777" w:rsidR="00E30C57" w:rsidRPr="00AA4065" w:rsidRDefault="00E30C57" w:rsidP="00D748F9">
            <w:pPr>
              <w:pStyle w:val="TableText"/>
              <w:keepNext/>
              <w:jc w:val="right"/>
              <w:rPr>
                <w:rFonts w:eastAsiaTheme="minorHAnsi" w:cstheme="minorBidi"/>
                <w:b/>
                <w:lang w:eastAsia="en-US"/>
              </w:rPr>
            </w:pPr>
            <w:r w:rsidRPr="00AA4065">
              <w:rPr>
                <w:b/>
              </w:rPr>
              <w:t>$18,876</w:t>
            </w:r>
          </w:p>
        </w:tc>
      </w:tr>
      <w:tr w:rsidR="00E30C57" w:rsidRPr="00AA4065" w14:paraId="038D4FA9" w14:textId="77777777" w:rsidTr="00D748F9">
        <w:trPr>
          <w:trHeight w:val="300"/>
        </w:trPr>
        <w:tc>
          <w:tcPr>
            <w:tcW w:w="2880" w:type="pct"/>
            <w:tcBorders>
              <w:right w:val="nil"/>
            </w:tcBorders>
            <w:noWrap/>
            <w:hideMark/>
          </w:tcPr>
          <w:p w14:paraId="77984A05" w14:textId="77777777" w:rsidR="00E30C57" w:rsidRPr="00AA4065" w:rsidRDefault="00E30C57" w:rsidP="00D748F9">
            <w:pPr>
              <w:pStyle w:val="TableText"/>
              <w:keepNext/>
              <w:rPr>
                <w:rFonts w:eastAsiaTheme="minorHAnsi" w:cstheme="minorBidi"/>
                <w:b/>
                <w:lang w:eastAsia="en-US"/>
              </w:rPr>
            </w:pPr>
            <w:r>
              <w:rPr>
                <w:rFonts w:eastAsiaTheme="minorHAnsi" w:cstheme="minorBidi"/>
                <w:b/>
                <w:lang w:eastAsia="en-US"/>
              </w:rPr>
              <w:t xml:space="preserve">Adjusted </w:t>
            </w:r>
            <w:r w:rsidRPr="00AA4065">
              <w:rPr>
                <w:rFonts w:eastAsiaTheme="minorHAnsi" w:cstheme="minorBidi"/>
                <w:b/>
                <w:lang w:eastAsia="en-US"/>
              </w:rPr>
              <w:t xml:space="preserve">for single episode of testing [10,000 trials; seed </w:t>
            </w:r>
            <w:proofErr w:type="gramStart"/>
            <w:r w:rsidRPr="00AA4065">
              <w:rPr>
                <w:rFonts w:eastAsiaTheme="minorHAnsi" w:cstheme="minorBidi"/>
                <w:b/>
                <w:lang w:eastAsia="en-US"/>
              </w:rPr>
              <w:t>1]</w:t>
            </w:r>
            <w:r w:rsidRPr="00195B1A">
              <w:rPr>
                <w:rFonts w:eastAsiaTheme="minorHAnsi" w:cstheme="minorBidi"/>
                <w:b/>
                <w:vertAlign w:val="superscript"/>
                <w:lang w:eastAsia="en-US"/>
              </w:rPr>
              <w:t>b</w:t>
            </w:r>
            <w:proofErr w:type="gramEnd"/>
          </w:p>
        </w:tc>
        <w:tc>
          <w:tcPr>
            <w:tcW w:w="707" w:type="pct"/>
            <w:tcBorders>
              <w:left w:val="nil"/>
              <w:right w:val="nil"/>
            </w:tcBorders>
            <w:noWrap/>
            <w:hideMark/>
          </w:tcPr>
          <w:p w14:paraId="285CA159" w14:textId="77777777" w:rsidR="00E30C57" w:rsidRPr="00AA4065" w:rsidRDefault="00E30C57" w:rsidP="00D748F9">
            <w:pPr>
              <w:pStyle w:val="TableText"/>
              <w:keepNext/>
              <w:jc w:val="right"/>
              <w:rPr>
                <w:rFonts w:eastAsiaTheme="minorHAnsi" w:cstheme="minorBidi"/>
                <w:b/>
                <w:lang w:eastAsia="en-US"/>
              </w:rPr>
            </w:pPr>
          </w:p>
        </w:tc>
        <w:tc>
          <w:tcPr>
            <w:tcW w:w="707" w:type="pct"/>
            <w:tcBorders>
              <w:left w:val="nil"/>
              <w:right w:val="nil"/>
            </w:tcBorders>
            <w:noWrap/>
            <w:hideMark/>
          </w:tcPr>
          <w:p w14:paraId="04A68CCE" w14:textId="77777777" w:rsidR="00E30C57" w:rsidRPr="00AA4065" w:rsidRDefault="00E30C57" w:rsidP="00D748F9">
            <w:pPr>
              <w:pStyle w:val="TableText"/>
              <w:keepNext/>
              <w:jc w:val="right"/>
              <w:rPr>
                <w:rFonts w:eastAsiaTheme="minorHAnsi" w:cstheme="minorBidi"/>
                <w:b/>
                <w:lang w:eastAsia="en-US"/>
              </w:rPr>
            </w:pPr>
          </w:p>
        </w:tc>
        <w:tc>
          <w:tcPr>
            <w:tcW w:w="706" w:type="pct"/>
            <w:tcBorders>
              <w:left w:val="nil"/>
            </w:tcBorders>
            <w:noWrap/>
            <w:hideMark/>
          </w:tcPr>
          <w:p w14:paraId="04747A87" w14:textId="77777777" w:rsidR="00E30C57" w:rsidRPr="00AA4065" w:rsidRDefault="00E30C57" w:rsidP="00D748F9">
            <w:pPr>
              <w:pStyle w:val="TableText"/>
              <w:keepNext/>
              <w:jc w:val="right"/>
              <w:rPr>
                <w:rFonts w:eastAsiaTheme="minorHAnsi" w:cstheme="minorBidi"/>
                <w:b/>
                <w:lang w:eastAsia="en-US"/>
              </w:rPr>
            </w:pPr>
          </w:p>
        </w:tc>
      </w:tr>
      <w:tr w:rsidR="00E30C57" w:rsidRPr="00AA4065" w14:paraId="2299273D" w14:textId="77777777" w:rsidTr="00D748F9">
        <w:trPr>
          <w:trHeight w:val="300"/>
        </w:trPr>
        <w:tc>
          <w:tcPr>
            <w:tcW w:w="2880" w:type="pct"/>
            <w:noWrap/>
            <w:hideMark/>
          </w:tcPr>
          <w:p w14:paraId="5F35A5DD"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Cost</w:t>
            </w:r>
          </w:p>
        </w:tc>
        <w:tc>
          <w:tcPr>
            <w:tcW w:w="707" w:type="pct"/>
            <w:noWrap/>
            <w:hideMark/>
          </w:tcPr>
          <w:p w14:paraId="2828F437" w14:textId="77777777" w:rsidR="00E30C57" w:rsidRPr="00AA4065" w:rsidRDefault="00E30C57" w:rsidP="00D748F9">
            <w:pPr>
              <w:pStyle w:val="TableText"/>
              <w:keepNext/>
              <w:jc w:val="right"/>
              <w:rPr>
                <w:rFonts w:eastAsiaTheme="minorHAnsi" w:cstheme="minorBidi"/>
                <w:lang w:eastAsia="en-US"/>
              </w:rPr>
            </w:pPr>
            <w:r w:rsidRPr="00AA4065">
              <w:t>$514.83</w:t>
            </w:r>
          </w:p>
        </w:tc>
        <w:tc>
          <w:tcPr>
            <w:tcW w:w="707" w:type="pct"/>
            <w:noWrap/>
            <w:hideMark/>
          </w:tcPr>
          <w:p w14:paraId="462DAF28" w14:textId="77777777" w:rsidR="00E30C57" w:rsidRPr="00AA4065" w:rsidRDefault="00E30C57" w:rsidP="00D748F9">
            <w:pPr>
              <w:pStyle w:val="TableText"/>
              <w:keepNext/>
              <w:jc w:val="right"/>
              <w:rPr>
                <w:rFonts w:eastAsiaTheme="minorHAnsi" w:cstheme="minorBidi"/>
                <w:lang w:eastAsia="en-US"/>
              </w:rPr>
            </w:pPr>
            <w:r w:rsidRPr="00AA4065">
              <w:t>$460.21</w:t>
            </w:r>
          </w:p>
        </w:tc>
        <w:tc>
          <w:tcPr>
            <w:tcW w:w="706" w:type="pct"/>
            <w:noWrap/>
            <w:hideMark/>
          </w:tcPr>
          <w:p w14:paraId="61A56ED1" w14:textId="77777777" w:rsidR="00E30C57" w:rsidRPr="00AA4065" w:rsidRDefault="00E30C57" w:rsidP="00D748F9">
            <w:pPr>
              <w:pStyle w:val="TableText"/>
              <w:keepNext/>
              <w:jc w:val="right"/>
              <w:rPr>
                <w:rFonts w:eastAsiaTheme="minorHAnsi" w:cstheme="minorBidi"/>
                <w:lang w:eastAsia="en-US"/>
              </w:rPr>
            </w:pPr>
            <w:r w:rsidRPr="00AA4065">
              <w:t>$54.62</w:t>
            </w:r>
          </w:p>
        </w:tc>
      </w:tr>
      <w:tr w:rsidR="00E30C57" w:rsidRPr="00AA4065" w14:paraId="364D3BA1" w14:textId="77777777" w:rsidTr="00D748F9">
        <w:trPr>
          <w:trHeight w:val="300"/>
        </w:trPr>
        <w:tc>
          <w:tcPr>
            <w:tcW w:w="2880" w:type="pct"/>
            <w:tcBorders>
              <w:bottom w:val="single" w:sz="4" w:space="0" w:color="auto"/>
            </w:tcBorders>
            <w:noWrap/>
            <w:hideMark/>
          </w:tcPr>
          <w:p w14:paraId="6883046F"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QALYs</w:t>
            </w:r>
          </w:p>
        </w:tc>
        <w:tc>
          <w:tcPr>
            <w:tcW w:w="707" w:type="pct"/>
            <w:tcBorders>
              <w:bottom w:val="single" w:sz="4" w:space="0" w:color="auto"/>
            </w:tcBorders>
            <w:noWrap/>
            <w:hideMark/>
          </w:tcPr>
          <w:p w14:paraId="054DF5C9" w14:textId="77777777" w:rsidR="00E30C57" w:rsidRPr="00AA4065" w:rsidRDefault="00E30C57" w:rsidP="00D748F9">
            <w:pPr>
              <w:pStyle w:val="TableText"/>
              <w:keepNext/>
              <w:jc w:val="right"/>
              <w:rPr>
                <w:rFonts w:eastAsiaTheme="minorHAnsi" w:cstheme="minorBidi"/>
                <w:lang w:eastAsia="en-US"/>
              </w:rPr>
            </w:pPr>
            <w:r w:rsidRPr="00AA4065">
              <w:t>8.0445</w:t>
            </w:r>
          </w:p>
        </w:tc>
        <w:tc>
          <w:tcPr>
            <w:tcW w:w="707" w:type="pct"/>
            <w:tcBorders>
              <w:bottom w:val="single" w:sz="4" w:space="0" w:color="auto"/>
            </w:tcBorders>
            <w:noWrap/>
            <w:hideMark/>
          </w:tcPr>
          <w:p w14:paraId="1ADAE33C" w14:textId="77777777" w:rsidR="00E30C57" w:rsidRPr="00AA4065" w:rsidRDefault="00E30C57" w:rsidP="00D748F9">
            <w:pPr>
              <w:pStyle w:val="TableText"/>
              <w:keepNext/>
              <w:jc w:val="right"/>
              <w:rPr>
                <w:rFonts w:eastAsiaTheme="minorHAnsi" w:cstheme="minorBidi"/>
                <w:lang w:eastAsia="en-US"/>
              </w:rPr>
            </w:pPr>
            <w:r w:rsidRPr="00AA4065">
              <w:t>8.0435</w:t>
            </w:r>
          </w:p>
        </w:tc>
        <w:tc>
          <w:tcPr>
            <w:tcW w:w="706" w:type="pct"/>
            <w:noWrap/>
            <w:hideMark/>
          </w:tcPr>
          <w:p w14:paraId="5A4C25A6" w14:textId="77777777" w:rsidR="00E30C57" w:rsidRPr="00AA4065" w:rsidRDefault="00E30C57" w:rsidP="00D748F9">
            <w:pPr>
              <w:pStyle w:val="TableText"/>
              <w:keepNext/>
              <w:jc w:val="right"/>
              <w:rPr>
                <w:rFonts w:eastAsiaTheme="minorHAnsi" w:cstheme="minorBidi"/>
                <w:lang w:eastAsia="en-US"/>
              </w:rPr>
            </w:pPr>
            <w:r w:rsidRPr="00AA4065">
              <w:t>0.0010</w:t>
            </w:r>
          </w:p>
        </w:tc>
      </w:tr>
      <w:tr w:rsidR="00E30C57" w:rsidRPr="00AA4065" w14:paraId="3E8391AD" w14:textId="77777777" w:rsidTr="00D748F9">
        <w:trPr>
          <w:trHeight w:val="300"/>
        </w:trPr>
        <w:tc>
          <w:tcPr>
            <w:tcW w:w="2880" w:type="pct"/>
            <w:tcBorders>
              <w:bottom w:val="single" w:sz="4" w:space="0" w:color="auto"/>
              <w:right w:val="nil"/>
            </w:tcBorders>
            <w:noWrap/>
            <w:hideMark/>
          </w:tcPr>
          <w:p w14:paraId="4BF55FA9" w14:textId="77777777" w:rsidR="00E30C57" w:rsidRPr="00AA4065" w:rsidRDefault="00E30C57" w:rsidP="00D748F9">
            <w:pPr>
              <w:pStyle w:val="TableText"/>
              <w:keepNext/>
              <w:rPr>
                <w:rFonts w:eastAsiaTheme="minorHAnsi" w:cstheme="minorBidi"/>
                <w:b/>
                <w:lang w:eastAsia="en-US"/>
              </w:rPr>
            </w:pPr>
            <w:r w:rsidRPr="00AA4065">
              <w:rPr>
                <w:rFonts w:eastAsiaTheme="minorHAnsi" w:cstheme="minorBidi"/>
                <w:b/>
                <w:lang w:eastAsia="en-US"/>
              </w:rPr>
              <w:t>ICER</w:t>
            </w:r>
          </w:p>
        </w:tc>
        <w:tc>
          <w:tcPr>
            <w:tcW w:w="707" w:type="pct"/>
            <w:tcBorders>
              <w:left w:val="nil"/>
              <w:bottom w:val="single" w:sz="4" w:space="0" w:color="auto"/>
              <w:right w:val="nil"/>
            </w:tcBorders>
            <w:noWrap/>
            <w:hideMark/>
          </w:tcPr>
          <w:p w14:paraId="1F63BDDF" w14:textId="77777777" w:rsidR="00E30C57" w:rsidRPr="00AA4065" w:rsidRDefault="00E30C57" w:rsidP="00D748F9">
            <w:pPr>
              <w:pStyle w:val="TableText"/>
              <w:keepNext/>
              <w:jc w:val="right"/>
              <w:rPr>
                <w:rFonts w:eastAsiaTheme="minorHAnsi" w:cstheme="minorBidi"/>
                <w:b/>
                <w:lang w:eastAsia="en-US"/>
              </w:rPr>
            </w:pPr>
          </w:p>
        </w:tc>
        <w:tc>
          <w:tcPr>
            <w:tcW w:w="707" w:type="pct"/>
            <w:tcBorders>
              <w:left w:val="nil"/>
              <w:bottom w:val="single" w:sz="4" w:space="0" w:color="auto"/>
            </w:tcBorders>
            <w:noWrap/>
            <w:hideMark/>
          </w:tcPr>
          <w:p w14:paraId="5077E7EE" w14:textId="77777777" w:rsidR="00E30C57" w:rsidRPr="00AA4065" w:rsidRDefault="00E30C57" w:rsidP="00D748F9">
            <w:pPr>
              <w:pStyle w:val="TableText"/>
              <w:keepNext/>
              <w:jc w:val="right"/>
              <w:rPr>
                <w:rFonts w:eastAsiaTheme="minorHAnsi" w:cstheme="minorBidi"/>
                <w:b/>
                <w:lang w:eastAsia="en-US"/>
              </w:rPr>
            </w:pPr>
          </w:p>
        </w:tc>
        <w:tc>
          <w:tcPr>
            <w:tcW w:w="706" w:type="pct"/>
            <w:tcBorders>
              <w:bottom w:val="single" w:sz="4" w:space="0" w:color="auto"/>
            </w:tcBorders>
            <w:noWrap/>
            <w:hideMark/>
          </w:tcPr>
          <w:p w14:paraId="23098016" w14:textId="77777777" w:rsidR="00E30C57" w:rsidRPr="00AA4065" w:rsidRDefault="00E30C57" w:rsidP="00D748F9">
            <w:pPr>
              <w:pStyle w:val="TableText"/>
              <w:keepNext/>
              <w:jc w:val="right"/>
              <w:rPr>
                <w:rFonts w:eastAsiaTheme="minorHAnsi" w:cstheme="minorBidi"/>
                <w:b/>
                <w:lang w:eastAsia="en-US"/>
              </w:rPr>
            </w:pPr>
            <w:r w:rsidRPr="00AA4065">
              <w:rPr>
                <w:b/>
              </w:rPr>
              <w:t>$55,084</w:t>
            </w:r>
          </w:p>
        </w:tc>
      </w:tr>
      <w:tr w:rsidR="00E30C57" w:rsidRPr="00AA4065" w14:paraId="2356995E" w14:textId="77777777" w:rsidTr="00D748F9">
        <w:trPr>
          <w:trHeight w:val="300"/>
        </w:trPr>
        <w:tc>
          <w:tcPr>
            <w:tcW w:w="2880" w:type="pct"/>
            <w:tcBorders>
              <w:right w:val="nil"/>
            </w:tcBorders>
            <w:noWrap/>
            <w:hideMark/>
          </w:tcPr>
          <w:p w14:paraId="587870D7" w14:textId="707D69C5" w:rsidR="00E30C57" w:rsidRPr="00AA4065" w:rsidRDefault="00E30C57" w:rsidP="00D748F9">
            <w:pPr>
              <w:pStyle w:val="TableText"/>
              <w:keepNext/>
              <w:rPr>
                <w:rFonts w:eastAsiaTheme="minorHAnsi" w:cstheme="minorBidi"/>
                <w:b/>
                <w:lang w:eastAsia="en-US"/>
              </w:rPr>
            </w:pPr>
            <w:r w:rsidRPr="00AA4065">
              <w:rPr>
                <w:rFonts w:eastAsiaTheme="minorHAnsi" w:cstheme="minorBidi"/>
                <w:b/>
                <w:lang w:eastAsia="en-US"/>
              </w:rPr>
              <w:t>Expected cohort value (Commentary</w:t>
            </w:r>
            <w:r w:rsidR="004B01BC">
              <w:rPr>
                <w:rFonts w:eastAsiaTheme="minorHAnsi" w:cstheme="minorBidi"/>
                <w:b/>
                <w:lang w:eastAsia="en-US"/>
              </w:rPr>
              <w:t xml:space="preserve"> revised</w:t>
            </w:r>
            <w:r w:rsidRPr="00AA4065">
              <w:rPr>
                <w:rFonts w:eastAsiaTheme="minorHAnsi" w:cstheme="minorBidi"/>
                <w:b/>
                <w:lang w:eastAsia="en-US"/>
              </w:rPr>
              <w:t xml:space="preserve"> base case)</w:t>
            </w:r>
          </w:p>
        </w:tc>
        <w:tc>
          <w:tcPr>
            <w:tcW w:w="707" w:type="pct"/>
            <w:tcBorders>
              <w:left w:val="nil"/>
              <w:right w:val="nil"/>
            </w:tcBorders>
            <w:noWrap/>
            <w:hideMark/>
          </w:tcPr>
          <w:p w14:paraId="1F8DBD87" w14:textId="77777777" w:rsidR="00E30C57" w:rsidRPr="00AA4065" w:rsidRDefault="00E30C57" w:rsidP="00D748F9">
            <w:pPr>
              <w:pStyle w:val="TableText"/>
              <w:keepNext/>
              <w:jc w:val="right"/>
              <w:rPr>
                <w:rFonts w:eastAsiaTheme="minorHAnsi" w:cstheme="minorBidi"/>
                <w:b/>
                <w:lang w:eastAsia="en-US"/>
              </w:rPr>
            </w:pPr>
          </w:p>
        </w:tc>
        <w:tc>
          <w:tcPr>
            <w:tcW w:w="707" w:type="pct"/>
            <w:tcBorders>
              <w:left w:val="nil"/>
              <w:right w:val="nil"/>
            </w:tcBorders>
            <w:noWrap/>
            <w:hideMark/>
          </w:tcPr>
          <w:p w14:paraId="1BAC9A38" w14:textId="77777777" w:rsidR="00E30C57" w:rsidRPr="00AA4065" w:rsidRDefault="00E30C57" w:rsidP="00D748F9">
            <w:pPr>
              <w:pStyle w:val="TableText"/>
              <w:keepNext/>
              <w:jc w:val="right"/>
              <w:rPr>
                <w:rFonts w:eastAsiaTheme="minorHAnsi" w:cstheme="minorBidi"/>
                <w:b/>
                <w:lang w:eastAsia="en-US"/>
              </w:rPr>
            </w:pPr>
          </w:p>
        </w:tc>
        <w:tc>
          <w:tcPr>
            <w:tcW w:w="706" w:type="pct"/>
            <w:tcBorders>
              <w:left w:val="nil"/>
            </w:tcBorders>
            <w:noWrap/>
            <w:hideMark/>
          </w:tcPr>
          <w:p w14:paraId="47A51655" w14:textId="77777777" w:rsidR="00E30C57" w:rsidRPr="00AA4065" w:rsidRDefault="00E30C57" w:rsidP="00D748F9">
            <w:pPr>
              <w:pStyle w:val="TableText"/>
              <w:keepNext/>
              <w:jc w:val="right"/>
              <w:rPr>
                <w:rFonts w:eastAsiaTheme="minorHAnsi" w:cstheme="minorBidi"/>
                <w:b/>
                <w:lang w:eastAsia="en-US"/>
              </w:rPr>
            </w:pPr>
          </w:p>
        </w:tc>
      </w:tr>
      <w:tr w:rsidR="00E30C57" w:rsidRPr="00AA4065" w14:paraId="7F8EF78B" w14:textId="77777777" w:rsidTr="00D748F9">
        <w:trPr>
          <w:trHeight w:val="300"/>
        </w:trPr>
        <w:tc>
          <w:tcPr>
            <w:tcW w:w="2880" w:type="pct"/>
            <w:noWrap/>
            <w:hideMark/>
          </w:tcPr>
          <w:p w14:paraId="4C46607F"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Cost</w:t>
            </w:r>
          </w:p>
        </w:tc>
        <w:tc>
          <w:tcPr>
            <w:tcW w:w="707" w:type="pct"/>
            <w:noWrap/>
            <w:hideMark/>
          </w:tcPr>
          <w:p w14:paraId="42F0CE90" w14:textId="77777777" w:rsidR="00E30C57" w:rsidRPr="00AA4065" w:rsidRDefault="00E30C57" w:rsidP="00D748F9">
            <w:pPr>
              <w:pStyle w:val="TableText"/>
              <w:keepNext/>
              <w:jc w:val="right"/>
              <w:rPr>
                <w:rFonts w:eastAsiaTheme="minorHAnsi" w:cstheme="minorBidi"/>
                <w:lang w:eastAsia="en-US"/>
              </w:rPr>
            </w:pPr>
            <w:r w:rsidRPr="00AA4065">
              <w:t>$569.08</w:t>
            </w:r>
          </w:p>
        </w:tc>
        <w:tc>
          <w:tcPr>
            <w:tcW w:w="707" w:type="pct"/>
            <w:noWrap/>
            <w:hideMark/>
          </w:tcPr>
          <w:p w14:paraId="2B314FC4" w14:textId="77777777" w:rsidR="00E30C57" w:rsidRPr="00AA4065" w:rsidRDefault="00E30C57" w:rsidP="00D748F9">
            <w:pPr>
              <w:pStyle w:val="TableText"/>
              <w:keepNext/>
              <w:jc w:val="right"/>
              <w:rPr>
                <w:rFonts w:eastAsiaTheme="minorHAnsi" w:cstheme="minorBidi"/>
                <w:lang w:eastAsia="en-US"/>
              </w:rPr>
            </w:pPr>
            <w:r w:rsidRPr="00AA4065">
              <w:t>$541.23</w:t>
            </w:r>
          </w:p>
        </w:tc>
        <w:tc>
          <w:tcPr>
            <w:tcW w:w="706" w:type="pct"/>
            <w:noWrap/>
            <w:hideMark/>
          </w:tcPr>
          <w:p w14:paraId="1DCDE9CC" w14:textId="77777777" w:rsidR="00E30C57" w:rsidRPr="00AA4065" w:rsidRDefault="00E30C57" w:rsidP="00D748F9">
            <w:pPr>
              <w:pStyle w:val="TableText"/>
              <w:keepNext/>
              <w:jc w:val="right"/>
              <w:rPr>
                <w:rFonts w:eastAsiaTheme="minorHAnsi" w:cstheme="minorBidi"/>
                <w:lang w:eastAsia="en-US"/>
              </w:rPr>
            </w:pPr>
            <w:r w:rsidRPr="00AA4065">
              <w:t>$27.86</w:t>
            </w:r>
          </w:p>
        </w:tc>
      </w:tr>
      <w:tr w:rsidR="00E30C57" w:rsidRPr="00AA4065" w14:paraId="615290A1" w14:textId="77777777" w:rsidTr="00D748F9">
        <w:trPr>
          <w:trHeight w:val="300"/>
        </w:trPr>
        <w:tc>
          <w:tcPr>
            <w:tcW w:w="2880" w:type="pct"/>
            <w:tcBorders>
              <w:bottom w:val="single" w:sz="4" w:space="0" w:color="auto"/>
            </w:tcBorders>
            <w:noWrap/>
            <w:hideMark/>
          </w:tcPr>
          <w:p w14:paraId="2ABB97CB"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QALYs</w:t>
            </w:r>
          </w:p>
        </w:tc>
        <w:tc>
          <w:tcPr>
            <w:tcW w:w="707" w:type="pct"/>
            <w:tcBorders>
              <w:bottom w:val="single" w:sz="4" w:space="0" w:color="auto"/>
            </w:tcBorders>
            <w:noWrap/>
            <w:hideMark/>
          </w:tcPr>
          <w:p w14:paraId="79BB09CE" w14:textId="77777777" w:rsidR="00E30C57" w:rsidRPr="00AA4065" w:rsidRDefault="00E30C57" w:rsidP="00D748F9">
            <w:pPr>
              <w:pStyle w:val="TableText"/>
              <w:keepNext/>
              <w:jc w:val="right"/>
              <w:rPr>
                <w:rFonts w:eastAsiaTheme="minorHAnsi" w:cstheme="minorBidi"/>
                <w:lang w:eastAsia="en-US"/>
              </w:rPr>
            </w:pPr>
            <w:r w:rsidRPr="00AA4065">
              <w:t>8.0454</w:t>
            </w:r>
          </w:p>
        </w:tc>
        <w:tc>
          <w:tcPr>
            <w:tcW w:w="707" w:type="pct"/>
            <w:tcBorders>
              <w:bottom w:val="single" w:sz="4" w:space="0" w:color="auto"/>
            </w:tcBorders>
            <w:noWrap/>
            <w:hideMark/>
          </w:tcPr>
          <w:p w14:paraId="1774137B" w14:textId="77777777" w:rsidR="00E30C57" w:rsidRPr="00AA4065" w:rsidRDefault="00E30C57" w:rsidP="00D748F9">
            <w:pPr>
              <w:pStyle w:val="TableText"/>
              <w:keepNext/>
              <w:jc w:val="right"/>
              <w:rPr>
                <w:rFonts w:eastAsiaTheme="minorHAnsi" w:cstheme="minorBidi"/>
                <w:lang w:eastAsia="en-US"/>
              </w:rPr>
            </w:pPr>
            <w:r w:rsidRPr="00AA4065">
              <w:t>8.0440</w:t>
            </w:r>
          </w:p>
        </w:tc>
        <w:tc>
          <w:tcPr>
            <w:tcW w:w="706" w:type="pct"/>
            <w:noWrap/>
            <w:hideMark/>
          </w:tcPr>
          <w:p w14:paraId="5B1C2209" w14:textId="77777777" w:rsidR="00E30C57" w:rsidRPr="00AA4065" w:rsidRDefault="00E30C57" w:rsidP="00D748F9">
            <w:pPr>
              <w:pStyle w:val="TableText"/>
              <w:keepNext/>
              <w:jc w:val="right"/>
              <w:rPr>
                <w:rFonts w:eastAsiaTheme="minorHAnsi" w:cstheme="minorBidi"/>
                <w:lang w:eastAsia="en-US"/>
              </w:rPr>
            </w:pPr>
            <w:r w:rsidRPr="00AA4065">
              <w:t>0.0014</w:t>
            </w:r>
          </w:p>
        </w:tc>
      </w:tr>
      <w:tr w:rsidR="00E30C57" w:rsidRPr="00AA4065" w14:paraId="663770AD" w14:textId="77777777" w:rsidTr="00D748F9">
        <w:trPr>
          <w:trHeight w:val="300"/>
        </w:trPr>
        <w:tc>
          <w:tcPr>
            <w:tcW w:w="2880" w:type="pct"/>
            <w:tcBorders>
              <w:right w:val="nil"/>
            </w:tcBorders>
            <w:noWrap/>
            <w:hideMark/>
          </w:tcPr>
          <w:p w14:paraId="378356C4" w14:textId="77777777" w:rsidR="00E30C57" w:rsidRPr="00AA4065" w:rsidRDefault="00E30C57" w:rsidP="00D748F9">
            <w:pPr>
              <w:pStyle w:val="TableText"/>
              <w:keepNext/>
              <w:rPr>
                <w:rFonts w:eastAsiaTheme="minorHAnsi" w:cstheme="minorBidi"/>
                <w:b/>
                <w:lang w:eastAsia="en-US"/>
              </w:rPr>
            </w:pPr>
            <w:r w:rsidRPr="00AA4065">
              <w:rPr>
                <w:rFonts w:eastAsiaTheme="minorHAnsi" w:cstheme="minorBidi"/>
                <w:b/>
                <w:lang w:eastAsia="en-US"/>
              </w:rPr>
              <w:t>ICER</w:t>
            </w:r>
          </w:p>
        </w:tc>
        <w:tc>
          <w:tcPr>
            <w:tcW w:w="707" w:type="pct"/>
            <w:tcBorders>
              <w:left w:val="nil"/>
              <w:right w:val="nil"/>
            </w:tcBorders>
            <w:noWrap/>
            <w:hideMark/>
          </w:tcPr>
          <w:p w14:paraId="44A474B8" w14:textId="77777777" w:rsidR="00E30C57" w:rsidRPr="00AA4065" w:rsidRDefault="00E30C57" w:rsidP="00D748F9">
            <w:pPr>
              <w:pStyle w:val="TableText"/>
              <w:keepNext/>
              <w:jc w:val="right"/>
              <w:rPr>
                <w:rFonts w:eastAsiaTheme="minorHAnsi" w:cstheme="minorBidi"/>
                <w:b/>
                <w:lang w:eastAsia="en-US"/>
              </w:rPr>
            </w:pPr>
          </w:p>
        </w:tc>
        <w:tc>
          <w:tcPr>
            <w:tcW w:w="707" w:type="pct"/>
            <w:tcBorders>
              <w:left w:val="nil"/>
            </w:tcBorders>
            <w:noWrap/>
            <w:hideMark/>
          </w:tcPr>
          <w:p w14:paraId="741E96AD" w14:textId="77777777" w:rsidR="00E30C57" w:rsidRPr="00AA4065" w:rsidRDefault="00E30C57" w:rsidP="00D748F9">
            <w:pPr>
              <w:pStyle w:val="TableText"/>
              <w:keepNext/>
              <w:jc w:val="right"/>
              <w:rPr>
                <w:rFonts w:eastAsiaTheme="minorHAnsi" w:cstheme="minorBidi"/>
                <w:b/>
                <w:lang w:eastAsia="en-US"/>
              </w:rPr>
            </w:pPr>
          </w:p>
        </w:tc>
        <w:tc>
          <w:tcPr>
            <w:tcW w:w="706" w:type="pct"/>
            <w:noWrap/>
            <w:hideMark/>
          </w:tcPr>
          <w:p w14:paraId="548750E6" w14:textId="77777777" w:rsidR="00E30C57" w:rsidRPr="00AA4065" w:rsidRDefault="00E30C57" w:rsidP="00D748F9">
            <w:pPr>
              <w:pStyle w:val="TableText"/>
              <w:keepNext/>
              <w:jc w:val="right"/>
              <w:rPr>
                <w:rFonts w:eastAsiaTheme="minorHAnsi" w:cstheme="minorBidi"/>
                <w:b/>
                <w:lang w:eastAsia="en-US"/>
              </w:rPr>
            </w:pPr>
            <w:r w:rsidRPr="00AA4065">
              <w:rPr>
                <w:b/>
              </w:rPr>
              <w:t>$20,453</w:t>
            </w:r>
          </w:p>
        </w:tc>
      </w:tr>
    </w:tbl>
    <w:p w14:paraId="7DAEF7DE" w14:textId="4ECC1906" w:rsidR="00E30C57" w:rsidRDefault="00E30C57" w:rsidP="00E30C57">
      <w:pPr>
        <w:pStyle w:val="TableFooter"/>
        <w:spacing w:before="0" w:after="120"/>
      </w:pPr>
      <w:r w:rsidRPr="005F2557">
        <w:t xml:space="preserve">Source: </w:t>
      </w:r>
      <w:r w:rsidR="006078D0">
        <w:t xml:space="preserve">Commentary Table 31, </w:t>
      </w:r>
      <w:proofErr w:type="spellStart"/>
      <w:r w:rsidR="006078D0">
        <w:t>pg</w:t>
      </w:r>
      <w:proofErr w:type="spellEnd"/>
      <w:r w:rsidR="006078D0">
        <w:t xml:space="preserve"> 149 of MSAC 1627 </w:t>
      </w:r>
      <w:proofErr w:type="spellStart"/>
      <w:r w:rsidR="006078D0">
        <w:t>ADAR</w:t>
      </w:r>
      <w:r w:rsidR="006078D0">
        <w:rPr>
          <w:szCs w:val="18"/>
        </w:rPr>
        <w:t>+in-line</w:t>
      </w:r>
      <w:proofErr w:type="spellEnd"/>
      <w:r w:rsidR="006078D0">
        <w:rPr>
          <w:szCs w:val="18"/>
        </w:rPr>
        <w:t xml:space="preserve"> commentary</w:t>
      </w:r>
      <w:r w:rsidR="006078D0" w:rsidRPr="005F2557" w:rsidDel="006078D0">
        <w:t xml:space="preserve"> </w:t>
      </w:r>
      <w:r w:rsidRPr="005F2557">
        <w:t>ICER = incremental cost-effectiveness ratio; POC = point of care; QALY = quality-adjusted life year; SOC = standard of care.</w:t>
      </w:r>
    </w:p>
    <w:p w14:paraId="3C67F403" w14:textId="77777777" w:rsidR="00E30C57" w:rsidRDefault="00E30C57" w:rsidP="00E30C57">
      <w:pPr>
        <w:pStyle w:val="TableFooter"/>
        <w:spacing w:before="0" w:after="120"/>
      </w:pPr>
      <w:r w:rsidRPr="00A01818">
        <w:rPr>
          <w:vertAlign w:val="superscript"/>
        </w:rPr>
        <w:t>a</w:t>
      </w:r>
      <w:r>
        <w:t xml:space="preserve"> Corrected during the evaluation to account for errors identified through a model validation exercise that applied no discounting set with no utility decrements applied which observed &gt;10 LYs being accrued. Other changes were made to correct for other inconsistencies identified during the evaluation (erroneous jump states or probabilities applied).</w:t>
      </w:r>
    </w:p>
    <w:p w14:paraId="7B08F45F" w14:textId="77777777" w:rsidR="00E30C57" w:rsidRDefault="00E30C57" w:rsidP="00E30C57">
      <w:pPr>
        <w:pStyle w:val="TableFooter"/>
        <w:spacing w:before="0" w:after="120"/>
      </w:pPr>
      <w:r w:rsidRPr="00A01818">
        <w:rPr>
          <w:vertAlign w:val="superscript"/>
        </w:rPr>
        <w:t>b</w:t>
      </w:r>
      <w:r>
        <w:t xml:space="preserve"> No infections or testing in subsequent years. The probability of infertility and ectopic pregnancies was also increased to reflect the average incidence, rather than incidences by number of prior PID episodes. </w:t>
      </w:r>
    </w:p>
    <w:p w14:paraId="41F274B6" w14:textId="1D2D162F" w:rsidR="00E30C57" w:rsidRPr="00BE3700" w:rsidRDefault="00E30C57" w:rsidP="00800A84">
      <w:pPr>
        <w:spacing w:before="240"/>
      </w:pPr>
      <w:r w:rsidRPr="00BE3700">
        <w:t>An alternate scenario was conducted during the evaluation which excluded costs not consistent with the perspective usually presented to MSAC (</w:t>
      </w:r>
      <w:proofErr w:type="gramStart"/>
      <w:r w:rsidRPr="00BE3700">
        <w:t>i.e.</w:t>
      </w:r>
      <w:proofErr w:type="gramEnd"/>
      <w:r w:rsidRPr="00BE3700">
        <w:t xml:space="preserve"> air evacuation, staff costs to locate and retrieve patients for follow-up appointments)</w:t>
      </w:r>
      <w:r>
        <w:t xml:space="preserve"> (</w:t>
      </w:r>
      <w:r w:rsidRPr="00C6578F">
        <w:rPr>
          <w:highlight w:val="yellow"/>
        </w:rPr>
        <w:fldChar w:fldCharType="begin"/>
      </w:r>
      <w:r w:rsidRPr="00C6578F">
        <w:instrText xml:space="preserve"> REF _Ref110430173 \h </w:instrText>
      </w:r>
      <w:r w:rsidR="00FF1B3A" w:rsidRPr="00C6578F">
        <w:rPr>
          <w:highlight w:val="yellow"/>
        </w:rPr>
        <w:instrText xml:space="preserve"> \* MERGEFORMAT </w:instrText>
      </w:r>
      <w:r w:rsidRPr="00C6578F">
        <w:rPr>
          <w:highlight w:val="yellow"/>
        </w:rPr>
      </w:r>
      <w:r w:rsidRPr="00C6578F">
        <w:rPr>
          <w:highlight w:val="yellow"/>
        </w:rPr>
        <w:fldChar w:fldCharType="separate"/>
      </w:r>
      <w:r w:rsidR="00FF1B3A" w:rsidRPr="00C6578F">
        <w:t>Table 12</w:t>
      </w:r>
      <w:r w:rsidRPr="00C6578F">
        <w:rPr>
          <w:highlight w:val="yellow"/>
        </w:rPr>
        <w:fldChar w:fldCharType="end"/>
      </w:r>
      <w:r>
        <w:t>)</w:t>
      </w:r>
      <w:r w:rsidRPr="00BE3700">
        <w:t xml:space="preserve">. The ICER </w:t>
      </w:r>
      <w:r>
        <w:t>wa</w:t>
      </w:r>
      <w:r w:rsidRPr="00BE3700">
        <w:t>s sensitive to the exclusion of these costs. MSAC may wish to consider whether these cost inclusions are reasonable in the circumstances of providing care in remote communities.</w:t>
      </w:r>
      <w:r>
        <w:t xml:space="preserve"> </w:t>
      </w:r>
    </w:p>
    <w:p w14:paraId="0D744994" w14:textId="2DB73C01" w:rsidR="00E30C57" w:rsidRPr="00E30C57" w:rsidRDefault="00E30C57" w:rsidP="00CA478F">
      <w:pPr>
        <w:pStyle w:val="Caption"/>
        <w:spacing w:before="0"/>
      </w:pPr>
      <w:bookmarkStart w:id="43" w:name="_Ref110430173"/>
      <w:r w:rsidRPr="00E30C57">
        <w:t>Table</w:t>
      </w:r>
      <w:r w:rsidR="00FF1B3A">
        <w:t xml:space="preserve"> </w:t>
      </w:r>
      <w:r w:rsidRPr="00E30C57">
        <w:rPr>
          <w:noProof/>
        </w:rPr>
        <w:fldChar w:fldCharType="begin"/>
      </w:r>
      <w:r w:rsidRPr="00E30C57">
        <w:rPr>
          <w:noProof/>
        </w:rPr>
        <w:instrText xml:space="preserve"> SEQ Table \* ARABIC </w:instrText>
      </w:r>
      <w:r w:rsidRPr="00E30C57">
        <w:rPr>
          <w:noProof/>
        </w:rPr>
        <w:fldChar w:fldCharType="separate"/>
      </w:r>
      <w:r w:rsidR="00FF1B3A">
        <w:rPr>
          <w:noProof/>
        </w:rPr>
        <w:t>12</w:t>
      </w:r>
      <w:r w:rsidRPr="00E30C57">
        <w:rPr>
          <w:noProof/>
        </w:rPr>
        <w:fldChar w:fldCharType="end"/>
      </w:r>
      <w:bookmarkEnd w:id="43"/>
      <w:r w:rsidRPr="00E30C57">
        <w:tab/>
        <w:t>Alternate scenario, excluding indirect health care costs</w:t>
      </w:r>
    </w:p>
    <w:tbl>
      <w:tblPr>
        <w:tblStyle w:val="TableGrid1"/>
        <w:tblW w:w="5000" w:type="pct"/>
        <w:tblLook w:val="04A0" w:firstRow="1" w:lastRow="0" w:firstColumn="1" w:lastColumn="0" w:noHBand="0" w:noVBand="1"/>
        <w:tblCaption w:val="Alternate scenario, excluding indirect health care costs"/>
        <w:tblDescription w:val="Alternate scenario, excluding indirect health care costs"/>
      </w:tblPr>
      <w:tblGrid>
        <w:gridCol w:w="5193"/>
        <w:gridCol w:w="1275"/>
        <w:gridCol w:w="1275"/>
        <w:gridCol w:w="1273"/>
      </w:tblGrid>
      <w:tr w:rsidR="00E30C57" w:rsidRPr="00FE5A5E" w14:paraId="4F6264CE" w14:textId="77777777" w:rsidTr="009705B5">
        <w:trPr>
          <w:cnfStyle w:val="100000000000" w:firstRow="1" w:lastRow="0" w:firstColumn="0" w:lastColumn="0" w:oddVBand="0" w:evenVBand="0" w:oddHBand="0" w:evenHBand="0" w:firstRowFirstColumn="0" w:firstRowLastColumn="0" w:lastRowFirstColumn="0" w:lastRowLastColumn="0"/>
          <w:trHeight w:val="300"/>
          <w:tblHeader/>
        </w:trPr>
        <w:tc>
          <w:tcPr>
            <w:tcW w:w="2880" w:type="pct"/>
            <w:tcBorders>
              <w:bottom w:val="single" w:sz="4" w:space="0" w:color="auto"/>
            </w:tcBorders>
            <w:noWrap/>
            <w:hideMark/>
          </w:tcPr>
          <w:p w14:paraId="413775FA" w14:textId="77777777" w:rsidR="00E30C57" w:rsidRPr="00FE5A5E" w:rsidRDefault="00E30C57" w:rsidP="00D748F9">
            <w:pPr>
              <w:pStyle w:val="TableHeading"/>
              <w:rPr>
                <w:rFonts w:eastAsiaTheme="minorHAnsi" w:cstheme="minorBidi"/>
                <w:szCs w:val="22"/>
                <w:lang w:eastAsia="en-US"/>
              </w:rPr>
            </w:pPr>
          </w:p>
        </w:tc>
        <w:tc>
          <w:tcPr>
            <w:tcW w:w="707" w:type="pct"/>
            <w:tcBorders>
              <w:bottom w:val="single" w:sz="4" w:space="0" w:color="auto"/>
            </w:tcBorders>
            <w:noWrap/>
            <w:hideMark/>
          </w:tcPr>
          <w:p w14:paraId="07B5CF0A" w14:textId="77777777" w:rsidR="00E30C57" w:rsidRPr="00FE5A5E" w:rsidRDefault="00E30C57" w:rsidP="00D748F9">
            <w:pPr>
              <w:pStyle w:val="TableHeading"/>
              <w:jc w:val="center"/>
              <w:rPr>
                <w:rFonts w:eastAsiaTheme="minorHAnsi" w:cstheme="minorBidi"/>
                <w:szCs w:val="22"/>
                <w:lang w:eastAsia="en-US"/>
              </w:rPr>
            </w:pPr>
            <w:r w:rsidRPr="00FE5A5E">
              <w:rPr>
                <w:rFonts w:eastAsiaTheme="minorHAnsi" w:cstheme="minorBidi"/>
                <w:szCs w:val="22"/>
                <w:lang w:eastAsia="en-US"/>
              </w:rPr>
              <w:t>POC</w:t>
            </w:r>
          </w:p>
        </w:tc>
        <w:tc>
          <w:tcPr>
            <w:tcW w:w="707" w:type="pct"/>
            <w:tcBorders>
              <w:bottom w:val="single" w:sz="4" w:space="0" w:color="auto"/>
            </w:tcBorders>
            <w:noWrap/>
            <w:hideMark/>
          </w:tcPr>
          <w:p w14:paraId="64D47697" w14:textId="77777777" w:rsidR="00E30C57" w:rsidRPr="00FE5A5E" w:rsidRDefault="00E30C57" w:rsidP="00D748F9">
            <w:pPr>
              <w:pStyle w:val="TableHeading"/>
              <w:jc w:val="center"/>
              <w:rPr>
                <w:rFonts w:eastAsiaTheme="minorHAnsi" w:cstheme="minorBidi"/>
                <w:szCs w:val="22"/>
                <w:lang w:eastAsia="en-US"/>
              </w:rPr>
            </w:pPr>
            <w:r w:rsidRPr="00FE5A5E">
              <w:rPr>
                <w:rFonts w:eastAsiaTheme="minorHAnsi" w:cstheme="minorBidi"/>
                <w:szCs w:val="22"/>
                <w:lang w:eastAsia="en-US"/>
              </w:rPr>
              <w:t>SOC</w:t>
            </w:r>
          </w:p>
        </w:tc>
        <w:tc>
          <w:tcPr>
            <w:tcW w:w="706" w:type="pct"/>
            <w:tcBorders>
              <w:bottom w:val="single" w:sz="4" w:space="0" w:color="auto"/>
            </w:tcBorders>
            <w:noWrap/>
            <w:hideMark/>
          </w:tcPr>
          <w:p w14:paraId="45D67564" w14:textId="77777777" w:rsidR="00E30C57" w:rsidRPr="00FE5A5E" w:rsidRDefault="00E30C57" w:rsidP="00D748F9">
            <w:pPr>
              <w:pStyle w:val="TableHeading"/>
              <w:jc w:val="center"/>
              <w:rPr>
                <w:rFonts w:eastAsiaTheme="minorHAnsi" w:cstheme="minorBidi"/>
                <w:szCs w:val="22"/>
                <w:lang w:eastAsia="en-US"/>
              </w:rPr>
            </w:pPr>
            <w:r w:rsidRPr="00FE5A5E">
              <w:rPr>
                <w:rFonts w:eastAsiaTheme="minorHAnsi" w:cstheme="minorBidi"/>
                <w:szCs w:val="22"/>
                <w:lang w:eastAsia="en-US"/>
              </w:rPr>
              <w:t>Increment</w:t>
            </w:r>
          </w:p>
        </w:tc>
      </w:tr>
      <w:tr w:rsidR="00E30C57" w:rsidRPr="00FE5A5E" w14:paraId="3657CCDC" w14:textId="77777777" w:rsidTr="00D748F9">
        <w:trPr>
          <w:trHeight w:val="300"/>
        </w:trPr>
        <w:tc>
          <w:tcPr>
            <w:tcW w:w="2880" w:type="pct"/>
            <w:noWrap/>
            <w:hideMark/>
          </w:tcPr>
          <w:p w14:paraId="0CC206C2" w14:textId="77777777" w:rsidR="00E30C57" w:rsidRPr="00FE5A5E" w:rsidRDefault="00E30C57" w:rsidP="00D748F9">
            <w:pPr>
              <w:pStyle w:val="TableText"/>
              <w:rPr>
                <w:rFonts w:eastAsiaTheme="minorHAnsi" w:cstheme="minorBidi"/>
                <w:lang w:eastAsia="en-US"/>
              </w:rPr>
            </w:pPr>
            <w:r w:rsidRPr="00FE5A5E">
              <w:rPr>
                <w:rFonts w:eastAsiaTheme="minorHAnsi" w:cstheme="minorBidi"/>
                <w:lang w:eastAsia="en-US"/>
              </w:rPr>
              <w:t>Cost</w:t>
            </w:r>
          </w:p>
        </w:tc>
        <w:tc>
          <w:tcPr>
            <w:tcW w:w="707" w:type="pct"/>
            <w:noWrap/>
            <w:hideMark/>
          </w:tcPr>
          <w:p w14:paraId="0A8A04BD" w14:textId="77777777" w:rsidR="00E30C57" w:rsidRPr="00FE5A5E" w:rsidRDefault="00E30C57" w:rsidP="00D748F9">
            <w:pPr>
              <w:pStyle w:val="TableText"/>
              <w:jc w:val="right"/>
              <w:rPr>
                <w:rFonts w:eastAsiaTheme="minorHAnsi" w:cstheme="minorBidi"/>
                <w:lang w:eastAsia="en-US"/>
              </w:rPr>
            </w:pPr>
            <w:r w:rsidRPr="00FE5A5E">
              <w:t>$396.29</w:t>
            </w:r>
          </w:p>
        </w:tc>
        <w:tc>
          <w:tcPr>
            <w:tcW w:w="707" w:type="pct"/>
            <w:noWrap/>
            <w:hideMark/>
          </w:tcPr>
          <w:p w14:paraId="6BE48C57" w14:textId="77777777" w:rsidR="00E30C57" w:rsidRPr="00FE5A5E" w:rsidRDefault="00E30C57" w:rsidP="00D748F9">
            <w:pPr>
              <w:pStyle w:val="TableText"/>
              <w:jc w:val="right"/>
              <w:rPr>
                <w:rFonts w:eastAsiaTheme="minorHAnsi" w:cstheme="minorBidi"/>
                <w:lang w:eastAsia="en-US"/>
              </w:rPr>
            </w:pPr>
            <w:r w:rsidRPr="00FE5A5E">
              <w:t>$324.04</w:t>
            </w:r>
          </w:p>
        </w:tc>
        <w:tc>
          <w:tcPr>
            <w:tcW w:w="706" w:type="pct"/>
            <w:noWrap/>
            <w:hideMark/>
          </w:tcPr>
          <w:p w14:paraId="39E8E2F6" w14:textId="77777777" w:rsidR="00E30C57" w:rsidRPr="00FE5A5E" w:rsidRDefault="00E30C57" w:rsidP="00D748F9">
            <w:pPr>
              <w:pStyle w:val="TableText"/>
              <w:jc w:val="right"/>
              <w:rPr>
                <w:rFonts w:eastAsiaTheme="minorHAnsi" w:cstheme="minorBidi"/>
                <w:lang w:eastAsia="en-US"/>
              </w:rPr>
            </w:pPr>
            <w:r w:rsidRPr="00FE5A5E">
              <w:t>$72.26</w:t>
            </w:r>
          </w:p>
        </w:tc>
      </w:tr>
      <w:tr w:rsidR="00E30C57" w:rsidRPr="00FE5A5E" w14:paraId="6A2C263D" w14:textId="77777777" w:rsidTr="00D748F9">
        <w:trPr>
          <w:trHeight w:val="300"/>
        </w:trPr>
        <w:tc>
          <w:tcPr>
            <w:tcW w:w="2880" w:type="pct"/>
            <w:tcBorders>
              <w:bottom w:val="single" w:sz="4" w:space="0" w:color="auto"/>
            </w:tcBorders>
            <w:noWrap/>
            <w:hideMark/>
          </w:tcPr>
          <w:p w14:paraId="615AF76D" w14:textId="77777777" w:rsidR="00E30C57" w:rsidRPr="00FE5A5E" w:rsidRDefault="00E30C57" w:rsidP="00D748F9">
            <w:pPr>
              <w:pStyle w:val="TableText"/>
              <w:rPr>
                <w:rFonts w:eastAsiaTheme="minorHAnsi" w:cstheme="minorBidi"/>
                <w:lang w:eastAsia="en-US"/>
              </w:rPr>
            </w:pPr>
            <w:r w:rsidRPr="00FE5A5E">
              <w:rPr>
                <w:rFonts w:eastAsiaTheme="minorHAnsi" w:cstheme="minorBidi"/>
                <w:lang w:eastAsia="en-US"/>
              </w:rPr>
              <w:t>QALYs</w:t>
            </w:r>
          </w:p>
        </w:tc>
        <w:tc>
          <w:tcPr>
            <w:tcW w:w="707" w:type="pct"/>
            <w:tcBorders>
              <w:bottom w:val="single" w:sz="4" w:space="0" w:color="auto"/>
            </w:tcBorders>
            <w:noWrap/>
            <w:hideMark/>
          </w:tcPr>
          <w:p w14:paraId="79D2F2D3" w14:textId="77777777" w:rsidR="00E30C57" w:rsidRPr="00FE5A5E" w:rsidRDefault="00E30C57" w:rsidP="00D748F9">
            <w:pPr>
              <w:pStyle w:val="TableText"/>
              <w:jc w:val="right"/>
              <w:rPr>
                <w:rFonts w:eastAsiaTheme="minorHAnsi" w:cstheme="minorBidi"/>
                <w:lang w:eastAsia="en-US"/>
              </w:rPr>
            </w:pPr>
            <w:r w:rsidRPr="00FE5A5E">
              <w:t>8.0454</w:t>
            </w:r>
          </w:p>
        </w:tc>
        <w:tc>
          <w:tcPr>
            <w:tcW w:w="707" w:type="pct"/>
            <w:tcBorders>
              <w:bottom w:val="single" w:sz="4" w:space="0" w:color="auto"/>
            </w:tcBorders>
            <w:noWrap/>
            <w:hideMark/>
          </w:tcPr>
          <w:p w14:paraId="2CBA8DE0" w14:textId="77777777" w:rsidR="00E30C57" w:rsidRPr="00FE5A5E" w:rsidRDefault="00E30C57" w:rsidP="00D748F9">
            <w:pPr>
              <w:pStyle w:val="TableText"/>
              <w:jc w:val="right"/>
              <w:rPr>
                <w:rFonts w:eastAsiaTheme="minorHAnsi" w:cstheme="minorBidi"/>
                <w:lang w:eastAsia="en-US"/>
              </w:rPr>
            </w:pPr>
            <w:r w:rsidRPr="00FE5A5E">
              <w:t>8.0440</w:t>
            </w:r>
          </w:p>
        </w:tc>
        <w:tc>
          <w:tcPr>
            <w:tcW w:w="706" w:type="pct"/>
            <w:noWrap/>
            <w:hideMark/>
          </w:tcPr>
          <w:p w14:paraId="0BE1A2B8" w14:textId="77777777" w:rsidR="00E30C57" w:rsidRPr="00FE5A5E" w:rsidRDefault="00E30C57" w:rsidP="00D748F9">
            <w:pPr>
              <w:pStyle w:val="TableText"/>
              <w:jc w:val="right"/>
              <w:rPr>
                <w:rFonts w:eastAsiaTheme="minorHAnsi" w:cstheme="minorBidi"/>
                <w:lang w:eastAsia="en-US"/>
              </w:rPr>
            </w:pPr>
            <w:r w:rsidRPr="00FE5A5E">
              <w:t>0.0014</w:t>
            </w:r>
          </w:p>
        </w:tc>
      </w:tr>
      <w:tr w:rsidR="00E30C57" w:rsidRPr="00FE5A5E" w14:paraId="313CBE87" w14:textId="77777777" w:rsidTr="00D748F9">
        <w:trPr>
          <w:trHeight w:val="300"/>
        </w:trPr>
        <w:tc>
          <w:tcPr>
            <w:tcW w:w="2880" w:type="pct"/>
            <w:tcBorders>
              <w:bottom w:val="single" w:sz="4" w:space="0" w:color="auto"/>
              <w:right w:val="nil"/>
            </w:tcBorders>
            <w:noWrap/>
            <w:hideMark/>
          </w:tcPr>
          <w:p w14:paraId="3AC3D13F" w14:textId="77777777" w:rsidR="00E30C57" w:rsidRPr="00FE5A5E" w:rsidRDefault="00E30C57" w:rsidP="00D748F9">
            <w:pPr>
              <w:pStyle w:val="TableText"/>
              <w:rPr>
                <w:rFonts w:eastAsiaTheme="minorHAnsi" w:cstheme="minorBidi"/>
                <w:b/>
                <w:lang w:eastAsia="en-US"/>
              </w:rPr>
            </w:pPr>
            <w:r w:rsidRPr="00FE5A5E">
              <w:rPr>
                <w:rFonts w:eastAsiaTheme="minorHAnsi" w:cstheme="minorBidi"/>
                <w:b/>
                <w:lang w:eastAsia="en-US"/>
              </w:rPr>
              <w:t>ICER</w:t>
            </w:r>
          </w:p>
        </w:tc>
        <w:tc>
          <w:tcPr>
            <w:tcW w:w="707" w:type="pct"/>
            <w:tcBorders>
              <w:left w:val="nil"/>
              <w:bottom w:val="single" w:sz="4" w:space="0" w:color="auto"/>
              <w:right w:val="nil"/>
            </w:tcBorders>
            <w:noWrap/>
            <w:hideMark/>
          </w:tcPr>
          <w:p w14:paraId="053F249F" w14:textId="77777777" w:rsidR="00E30C57" w:rsidRPr="00FE5A5E" w:rsidRDefault="00E30C57" w:rsidP="00D748F9">
            <w:pPr>
              <w:pStyle w:val="TableText"/>
              <w:jc w:val="right"/>
              <w:rPr>
                <w:rFonts w:eastAsiaTheme="minorHAnsi" w:cstheme="minorBidi"/>
                <w:b/>
                <w:lang w:eastAsia="en-US"/>
              </w:rPr>
            </w:pPr>
          </w:p>
        </w:tc>
        <w:tc>
          <w:tcPr>
            <w:tcW w:w="707" w:type="pct"/>
            <w:tcBorders>
              <w:left w:val="nil"/>
              <w:bottom w:val="single" w:sz="4" w:space="0" w:color="auto"/>
            </w:tcBorders>
            <w:noWrap/>
            <w:hideMark/>
          </w:tcPr>
          <w:p w14:paraId="626CAD38" w14:textId="77777777" w:rsidR="00E30C57" w:rsidRPr="00FE5A5E" w:rsidRDefault="00E30C57" w:rsidP="00D748F9">
            <w:pPr>
              <w:pStyle w:val="TableText"/>
              <w:jc w:val="right"/>
              <w:rPr>
                <w:rFonts w:eastAsiaTheme="minorHAnsi" w:cstheme="minorBidi"/>
                <w:b/>
                <w:lang w:eastAsia="en-US"/>
              </w:rPr>
            </w:pPr>
          </w:p>
        </w:tc>
        <w:tc>
          <w:tcPr>
            <w:tcW w:w="706" w:type="pct"/>
            <w:tcBorders>
              <w:bottom w:val="single" w:sz="4" w:space="0" w:color="auto"/>
            </w:tcBorders>
            <w:noWrap/>
            <w:hideMark/>
          </w:tcPr>
          <w:p w14:paraId="7E3E25CA" w14:textId="77777777" w:rsidR="00E30C57" w:rsidRPr="00FE5A5E" w:rsidRDefault="00E30C57" w:rsidP="00D748F9">
            <w:pPr>
              <w:pStyle w:val="TableText"/>
              <w:jc w:val="right"/>
              <w:rPr>
                <w:rFonts w:eastAsiaTheme="minorHAnsi" w:cstheme="minorBidi"/>
                <w:b/>
                <w:lang w:eastAsia="en-US"/>
              </w:rPr>
            </w:pPr>
            <w:r w:rsidRPr="00FE5A5E">
              <w:rPr>
                <w:b/>
              </w:rPr>
              <w:t>$53,049</w:t>
            </w:r>
          </w:p>
        </w:tc>
      </w:tr>
    </w:tbl>
    <w:p w14:paraId="02661C89" w14:textId="57B8B6DB" w:rsidR="00E30C57" w:rsidRPr="005F2557" w:rsidRDefault="00E30C57" w:rsidP="00E30C57">
      <w:pPr>
        <w:pStyle w:val="TableFooter"/>
        <w:spacing w:before="0" w:after="120"/>
      </w:pPr>
      <w:r w:rsidRPr="005F2557">
        <w:t xml:space="preserve">Source: </w:t>
      </w:r>
      <w:r w:rsidR="006078D0">
        <w:t xml:space="preserve">Commentary Table 34, </w:t>
      </w:r>
      <w:proofErr w:type="spellStart"/>
      <w:r w:rsidR="006078D0">
        <w:t>pg</w:t>
      </w:r>
      <w:proofErr w:type="spellEnd"/>
      <w:r w:rsidR="006078D0">
        <w:t xml:space="preserve"> 151 of MSAC 1627 </w:t>
      </w:r>
      <w:proofErr w:type="spellStart"/>
      <w:r w:rsidR="006078D0">
        <w:t>ADAR</w:t>
      </w:r>
      <w:r w:rsidR="006078D0">
        <w:rPr>
          <w:szCs w:val="18"/>
        </w:rPr>
        <w:t>+in-line</w:t>
      </w:r>
      <w:proofErr w:type="spellEnd"/>
      <w:r w:rsidR="006078D0">
        <w:rPr>
          <w:szCs w:val="18"/>
        </w:rPr>
        <w:t xml:space="preserve"> commentary</w:t>
      </w:r>
      <w:r w:rsidRPr="005F2557">
        <w:t>.</w:t>
      </w:r>
    </w:p>
    <w:p w14:paraId="22615EEE" w14:textId="77777777" w:rsidR="00E30C57" w:rsidRDefault="00E30C57" w:rsidP="00E30C57">
      <w:pPr>
        <w:pStyle w:val="TableFooter"/>
        <w:spacing w:before="0" w:after="120"/>
      </w:pPr>
      <w:r w:rsidRPr="00FE5A5E">
        <w:t>ICER = incremental cost-effectiveness ratio; POC = point of care; QALY = quality-adjusted life year; SOC = standard of care.</w:t>
      </w:r>
    </w:p>
    <w:p w14:paraId="30014D7B" w14:textId="15B86320" w:rsidR="00E30C57" w:rsidRPr="00CF0F6F" w:rsidRDefault="00E30C57" w:rsidP="00800A84">
      <w:pPr>
        <w:spacing w:before="240"/>
      </w:pPr>
      <w:r w:rsidRPr="00CF0F6F">
        <w:lastRenderedPageBreak/>
        <w:t xml:space="preserve">Disaggregated costs are presented in </w:t>
      </w:r>
      <w:r>
        <w:rPr>
          <w:highlight w:val="yellow"/>
        </w:rPr>
        <w:fldChar w:fldCharType="begin"/>
      </w:r>
      <w:r>
        <w:instrText xml:space="preserve"> REF _Ref110430165 \h </w:instrText>
      </w:r>
      <w:r>
        <w:rPr>
          <w:highlight w:val="yellow"/>
        </w:rPr>
      </w:r>
      <w:r>
        <w:rPr>
          <w:highlight w:val="yellow"/>
        </w:rPr>
        <w:fldChar w:fldCharType="separate"/>
      </w:r>
      <w:r w:rsidR="00C6578F" w:rsidRPr="00E30C57">
        <w:t>Table</w:t>
      </w:r>
      <w:r w:rsidR="00C6578F">
        <w:t xml:space="preserve"> </w:t>
      </w:r>
      <w:r w:rsidR="00C6578F">
        <w:rPr>
          <w:noProof/>
        </w:rPr>
        <w:t>13</w:t>
      </w:r>
      <w:r>
        <w:rPr>
          <w:highlight w:val="yellow"/>
        </w:rPr>
        <w:fldChar w:fldCharType="end"/>
      </w:r>
      <w:r w:rsidRPr="00CF0F6F">
        <w:t>. The incremental cost was driven by the cost of testing. Offsets were predominantly due to a reduction in infection sequelae (</w:t>
      </w:r>
      <w:proofErr w:type="gramStart"/>
      <w:r w:rsidRPr="00CF0F6F">
        <w:t>in particular preterm</w:t>
      </w:r>
      <w:proofErr w:type="gramEnd"/>
      <w:r w:rsidRPr="00CF0F6F">
        <w:t xml:space="preserve"> births) however were also driven by a reduction in the cost of staff time to locate and retrieve patients for treatment. </w:t>
      </w:r>
    </w:p>
    <w:p w14:paraId="3D06299F" w14:textId="7DD9E32D" w:rsidR="00E30C57" w:rsidRPr="00E30C57" w:rsidRDefault="00E30C57" w:rsidP="00E30C57">
      <w:pPr>
        <w:pStyle w:val="Caption"/>
      </w:pPr>
      <w:bookmarkStart w:id="44" w:name="_Ref110430165"/>
      <w:r w:rsidRPr="00E30C57">
        <w:t>Table</w:t>
      </w:r>
      <w:r w:rsidR="00C6578F">
        <w:t xml:space="preserve"> </w:t>
      </w:r>
      <w:r w:rsidRPr="00E30C57">
        <w:rPr>
          <w:noProof/>
        </w:rPr>
        <w:fldChar w:fldCharType="begin"/>
      </w:r>
      <w:r w:rsidRPr="00E30C57">
        <w:rPr>
          <w:noProof/>
        </w:rPr>
        <w:instrText xml:space="preserve"> SEQ Table \* ARABIC </w:instrText>
      </w:r>
      <w:r w:rsidRPr="00E30C57">
        <w:rPr>
          <w:noProof/>
        </w:rPr>
        <w:fldChar w:fldCharType="separate"/>
      </w:r>
      <w:r w:rsidR="00C6578F">
        <w:rPr>
          <w:noProof/>
        </w:rPr>
        <w:t>13</w:t>
      </w:r>
      <w:r w:rsidRPr="00E30C57">
        <w:rPr>
          <w:noProof/>
        </w:rPr>
        <w:fldChar w:fldCharType="end"/>
      </w:r>
      <w:bookmarkEnd w:id="44"/>
      <w:r w:rsidRPr="00E30C57">
        <w:tab/>
        <w:t>Disaggregated costs (Commentary base case)</w:t>
      </w:r>
    </w:p>
    <w:tbl>
      <w:tblPr>
        <w:tblStyle w:val="TableGrid1"/>
        <w:tblW w:w="5000" w:type="pct"/>
        <w:tblLook w:val="04A0" w:firstRow="1" w:lastRow="0" w:firstColumn="1" w:lastColumn="0" w:noHBand="0" w:noVBand="1"/>
        <w:tblCaption w:val="Disaggregated costs (Commentary base case)"/>
        <w:tblDescription w:val="Disaggregated costs (Commentary base case)"/>
      </w:tblPr>
      <w:tblGrid>
        <w:gridCol w:w="3539"/>
        <w:gridCol w:w="1825"/>
        <w:gridCol w:w="1827"/>
        <w:gridCol w:w="1825"/>
      </w:tblGrid>
      <w:tr w:rsidR="00E30C57" w:rsidRPr="00AA4065" w14:paraId="4BEE86C6" w14:textId="77777777" w:rsidTr="009705B5">
        <w:trPr>
          <w:cnfStyle w:val="100000000000" w:firstRow="1" w:lastRow="0" w:firstColumn="0" w:lastColumn="0" w:oddVBand="0" w:evenVBand="0" w:oddHBand="0" w:evenHBand="0" w:firstRowFirstColumn="0" w:firstRowLastColumn="0" w:lastRowFirstColumn="0" w:lastRowLastColumn="0"/>
          <w:trHeight w:val="300"/>
          <w:tblHeader/>
        </w:trPr>
        <w:tc>
          <w:tcPr>
            <w:tcW w:w="1963" w:type="pct"/>
            <w:noWrap/>
            <w:hideMark/>
          </w:tcPr>
          <w:p w14:paraId="30778C9C" w14:textId="77777777" w:rsidR="00E30C57" w:rsidRPr="00AA4065" w:rsidRDefault="00E30C57" w:rsidP="00D748F9">
            <w:pPr>
              <w:pStyle w:val="TableHeading"/>
              <w:rPr>
                <w:rFonts w:eastAsiaTheme="minorHAnsi" w:cstheme="minorBidi"/>
                <w:szCs w:val="22"/>
                <w:lang w:eastAsia="en-US"/>
              </w:rPr>
            </w:pPr>
          </w:p>
        </w:tc>
        <w:tc>
          <w:tcPr>
            <w:tcW w:w="1012" w:type="pct"/>
            <w:noWrap/>
            <w:hideMark/>
          </w:tcPr>
          <w:p w14:paraId="7559F9F6" w14:textId="77777777" w:rsidR="00E30C57" w:rsidRPr="00AA4065" w:rsidRDefault="00E30C57" w:rsidP="00D748F9">
            <w:pPr>
              <w:pStyle w:val="TableHeading"/>
              <w:jc w:val="center"/>
              <w:rPr>
                <w:rFonts w:eastAsiaTheme="minorHAnsi" w:cstheme="minorBidi"/>
                <w:szCs w:val="22"/>
                <w:lang w:eastAsia="en-US"/>
              </w:rPr>
            </w:pPr>
            <w:r w:rsidRPr="00AA4065">
              <w:rPr>
                <w:rFonts w:eastAsiaTheme="minorHAnsi" w:cstheme="minorBidi"/>
                <w:szCs w:val="22"/>
                <w:lang w:eastAsia="en-US"/>
              </w:rPr>
              <w:t>POC</w:t>
            </w:r>
          </w:p>
        </w:tc>
        <w:tc>
          <w:tcPr>
            <w:tcW w:w="1013" w:type="pct"/>
            <w:noWrap/>
            <w:hideMark/>
          </w:tcPr>
          <w:p w14:paraId="17D7428A" w14:textId="77777777" w:rsidR="00E30C57" w:rsidRPr="00AA4065" w:rsidRDefault="00E30C57" w:rsidP="00D748F9">
            <w:pPr>
              <w:pStyle w:val="TableHeading"/>
              <w:jc w:val="center"/>
              <w:rPr>
                <w:rFonts w:eastAsiaTheme="minorHAnsi" w:cstheme="minorBidi"/>
                <w:szCs w:val="22"/>
                <w:lang w:eastAsia="en-US"/>
              </w:rPr>
            </w:pPr>
            <w:r w:rsidRPr="00AA4065">
              <w:rPr>
                <w:rFonts w:eastAsiaTheme="minorHAnsi" w:cstheme="minorBidi"/>
                <w:szCs w:val="22"/>
                <w:lang w:eastAsia="en-US"/>
              </w:rPr>
              <w:t>SOC</w:t>
            </w:r>
          </w:p>
        </w:tc>
        <w:tc>
          <w:tcPr>
            <w:tcW w:w="1012" w:type="pct"/>
            <w:noWrap/>
            <w:hideMark/>
          </w:tcPr>
          <w:p w14:paraId="38205876" w14:textId="77777777" w:rsidR="00E30C57" w:rsidRPr="00AA4065" w:rsidRDefault="00E30C57" w:rsidP="00D748F9">
            <w:pPr>
              <w:pStyle w:val="TableHeading"/>
              <w:jc w:val="center"/>
              <w:rPr>
                <w:rFonts w:eastAsiaTheme="minorHAnsi" w:cstheme="minorBidi"/>
                <w:szCs w:val="22"/>
                <w:lang w:eastAsia="en-US"/>
              </w:rPr>
            </w:pPr>
            <w:r w:rsidRPr="00AA4065">
              <w:rPr>
                <w:rFonts w:eastAsiaTheme="minorHAnsi" w:cstheme="minorBidi"/>
                <w:szCs w:val="22"/>
                <w:lang w:eastAsia="en-US"/>
              </w:rPr>
              <w:t>Increment</w:t>
            </w:r>
          </w:p>
        </w:tc>
      </w:tr>
      <w:tr w:rsidR="00E30C57" w:rsidRPr="00AA4065" w14:paraId="281213DD" w14:textId="77777777" w:rsidTr="00D748F9">
        <w:trPr>
          <w:trHeight w:val="300"/>
        </w:trPr>
        <w:tc>
          <w:tcPr>
            <w:tcW w:w="1963" w:type="pct"/>
            <w:tcBorders>
              <w:bottom w:val="single" w:sz="4" w:space="0" w:color="auto"/>
            </w:tcBorders>
            <w:noWrap/>
            <w:hideMark/>
          </w:tcPr>
          <w:p w14:paraId="18B546F4"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Test-related costs</w:t>
            </w:r>
          </w:p>
        </w:tc>
        <w:tc>
          <w:tcPr>
            <w:tcW w:w="1012" w:type="pct"/>
            <w:tcBorders>
              <w:bottom w:val="single" w:sz="4" w:space="0" w:color="auto"/>
            </w:tcBorders>
            <w:noWrap/>
            <w:hideMark/>
          </w:tcPr>
          <w:p w14:paraId="7D6FBD21"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$224.40</w:t>
            </w:r>
          </w:p>
        </w:tc>
        <w:tc>
          <w:tcPr>
            <w:tcW w:w="1013" w:type="pct"/>
            <w:tcBorders>
              <w:bottom w:val="single" w:sz="4" w:space="0" w:color="auto"/>
            </w:tcBorders>
            <w:noWrap/>
            <w:hideMark/>
          </w:tcPr>
          <w:p w14:paraId="42B7878F"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$122.43</w:t>
            </w:r>
          </w:p>
        </w:tc>
        <w:tc>
          <w:tcPr>
            <w:tcW w:w="1012" w:type="pct"/>
            <w:tcBorders>
              <w:bottom w:val="single" w:sz="4" w:space="0" w:color="auto"/>
            </w:tcBorders>
            <w:noWrap/>
            <w:hideMark/>
          </w:tcPr>
          <w:p w14:paraId="15D85A6F"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$101.98</w:t>
            </w:r>
          </w:p>
        </w:tc>
      </w:tr>
      <w:tr w:rsidR="00E30C57" w:rsidRPr="00AA4065" w14:paraId="166DCDBB" w14:textId="77777777" w:rsidTr="00D748F9">
        <w:trPr>
          <w:trHeight w:val="300"/>
        </w:trPr>
        <w:tc>
          <w:tcPr>
            <w:tcW w:w="1963" w:type="pct"/>
            <w:tcBorders>
              <w:bottom w:val="single" w:sz="4" w:space="0" w:color="auto"/>
            </w:tcBorders>
            <w:noWrap/>
            <w:hideMark/>
          </w:tcPr>
          <w:p w14:paraId="5890E052"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Infection treatment costs</w:t>
            </w:r>
          </w:p>
        </w:tc>
        <w:tc>
          <w:tcPr>
            <w:tcW w:w="1012" w:type="pct"/>
            <w:tcBorders>
              <w:bottom w:val="single" w:sz="4" w:space="0" w:color="auto"/>
            </w:tcBorders>
            <w:noWrap/>
            <w:hideMark/>
          </w:tcPr>
          <w:p w14:paraId="48FA9E3A"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$16.13</w:t>
            </w:r>
          </w:p>
        </w:tc>
        <w:tc>
          <w:tcPr>
            <w:tcW w:w="1013" w:type="pct"/>
            <w:tcBorders>
              <w:bottom w:val="single" w:sz="4" w:space="0" w:color="auto"/>
            </w:tcBorders>
            <w:noWrap/>
            <w:hideMark/>
          </w:tcPr>
          <w:p w14:paraId="5194FB40"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$39.39</w:t>
            </w:r>
          </w:p>
        </w:tc>
        <w:tc>
          <w:tcPr>
            <w:tcW w:w="1012" w:type="pct"/>
            <w:tcBorders>
              <w:bottom w:val="single" w:sz="4" w:space="0" w:color="auto"/>
            </w:tcBorders>
            <w:noWrap/>
            <w:hideMark/>
          </w:tcPr>
          <w:p w14:paraId="5B779A78"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−$23.26</w:t>
            </w:r>
          </w:p>
        </w:tc>
      </w:tr>
      <w:tr w:rsidR="00E30C57" w:rsidRPr="00AA4065" w14:paraId="3D730EE8" w14:textId="77777777" w:rsidTr="00D748F9">
        <w:trPr>
          <w:trHeight w:val="300"/>
        </w:trPr>
        <w:tc>
          <w:tcPr>
            <w:tcW w:w="1963" w:type="pct"/>
            <w:tcBorders>
              <w:bottom w:val="nil"/>
            </w:tcBorders>
            <w:noWrap/>
            <w:hideMark/>
          </w:tcPr>
          <w:p w14:paraId="0D7A3423"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Treatment</w:t>
            </w:r>
          </w:p>
        </w:tc>
        <w:tc>
          <w:tcPr>
            <w:tcW w:w="1012" w:type="pct"/>
            <w:tcBorders>
              <w:bottom w:val="nil"/>
            </w:tcBorders>
            <w:noWrap/>
            <w:hideMark/>
          </w:tcPr>
          <w:p w14:paraId="242ED4D8"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$6.82</w:t>
            </w:r>
          </w:p>
        </w:tc>
        <w:tc>
          <w:tcPr>
            <w:tcW w:w="1013" w:type="pct"/>
            <w:tcBorders>
              <w:bottom w:val="nil"/>
            </w:tcBorders>
            <w:noWrap/>
            <w:hideMark/>
          </w:tcPr>
          <w:p w14:paraId="33A829CD"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$6.96</w:t>
            </w:r>
          </w:p>
        </w:tc>
        <w:tc>
          <w:tcPr>
            <w:tcW w:w="1012" w:type="pct"/>
            <w:tcBorders>
              <w:bottom w:val="nil"/>
            </w:tcBorders>
            <w:noWrap/>
            <w:hideMark/>
          </w:tcPr>
          <w:p w14:paraId="55587450"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−$0.14</w:t>
            </w:r>
          </w:p>
        </w:tc>
      </w:tr>
      <w:tr w:rsidR="00E30C57" w:rsidRPr="00AA4065" w14:paraId="672C2140" w14:textId="77777777" w:rsidTr="00D748F9">
        <w:trPr>
          <w:trHeight w:val="300"/>
        </w:trPr>
        <w:tc>
          <w:tcPr>
            <w:tcW w:w="1963" w:type="pct"/>
            <w:tcBorders>
              <w:top w:val="nil"/>
              <w:bottom w:val="nil"/>
            </w:tcBorders>
            <w:noWrap/>
            <w:hideMark/>
          </w:tcPr>
          <w:p w14:paraId="020FBF10"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Contact</w:t>
            </w:r>
          </w:p>
        </w:tc>
        <w:tc>
          <w:tcPr>
            <w:tcW w:w="1012" w:type="pct"/>
            <w:tcBorders>
              <w:top w:val="nil"/>
              <w:bottom w:val="nil"/>
            </w:tcBorders>
            <w:noWrap/>
            <w:hideMark/>
          </w:tcPr>
          <w:p w14:paraId="3121880E"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$6.28</w:t>
            </w:r>
          </w:p>
        </w:tc>
        <w:tc>
          <w:tcPr>
            <w:tcW w:w="1013" w:type="pct"/>
            <w:tcBorders>
              <w:top w:val="nil"/>
              <w:bottom w:val="nil"/>
            </w:tcBorders>
            <w:noWrap/>
            <w:hideMark/>
          </w:tcPr>
          <w:p w14:paraId="6E6D4040"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$22.74</w:t>
            </w:r>
          </w:p>
        </w:tc>
        <w:tc>
          <w:tcPr>
            <w:tcW w:w="1012" w:type="pct"/>
            <w:tcBorders>
              <w:top w:val="nil"/>
              <w:bottom w:val="nil"/>
            </w:tcBorders>
            <w:noWrap/>
            <w:hideMark/>
          </w:tcPr>
          <w:p w14:paraId="7046CCCF"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−$16.46</w:t>
            </w:r>
          </w:p>
        </w:tc>
      </w:tr>
      <w:tr w:rsidR="00E30C57" w:rsidRPr="00AA4065" w14:paraId="1A97B6CA" w14:textId="77777777" w:rsidTr="00D748F9">
        <w:trPr>
          <w:trHeight w:val="300"/>
        </w:trPr>
        <w:tc>
          <w:tcPr>
            <w:tcW w:w="1963" w:type="pct"/>
            <w:tcBorders>
              <w:top w:val="nil"/>
              <w:bottom w:val="nil"/>
            </w:tcBorders>
            <w:noWrap/>
            <w:hideMark/>
          </w:tcPr>
          <w:p w14:paraId="23047E6D"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Clinic</w:t>
            </w:r>
          </w:p>
        </w:tc>
        <w:tc>
          <w:tcPr>
            <w:tcW w:w="1012" w:type="pct"/>
            <w:tcBorders>
              <w:top w:val="nil"/>
              <w:bottom w:val="nil"/>
            </w:tcBorders>
            <w:noWrap/>
            <w:hideMark/>
          </w:tcPr>
          <w:p w14:paraId="7E72DDD5"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$1.61</w:t>
            </w:r>
          </w:p>
        </w:tc>
        <w:tc>
          <w:tcPr>
            <w:tcW w:w="1013" w:type="pct"/>
            <w:tcBorders>
              <w:top w:val="nil"/>
              <w:bottom w:val="nil"/>
            </w:tcBorders>
            <w:noWrap/>
            <w:hideMark/>
          </w:tcPr>
          <w:p w14:paraId="17B5241A"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$7.12</w:t>
            </w:r>
          </w:p>
        </w:tc>
        <w:tc>
          <w:tcPr>
            <w:tcW w:w="1012" w:type="pct"/>
            <w:tcBorders>
              <w:top w:val="nil"/>
              <w:bottom w:val="nil"/>
            </w:tcBorders>
            <w:noWrap/>
            <w:hideMark/>
          </w:tcPr>
          <w:p w14:paraId="1B36A654"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−$5.50</w:t>
            </w:r>
          </w:p>
        </w:tc>
      </w:tr>
      <w:tr w:rsidR="00E30C57" w:rsidRPr="00AA4065" w14:paraId="58239DB3" w14:textId="77777777" w:rsidTr="00D748F9">
        <w:trPr>
          <w:trHeight w:val="300"/>
        </w:trPr>
        <w:tc>
          <w:tcPr>
            <w:tcW w:w="1963" w:type="pct"/>
            <w:tcBorders>
              <w:top w:val="nil"/>
            </w:tcBorders>
            <w:noWrap/>
            <w:hideMark/>
          </w:tcPr>
          <w:p w14:paraId="494C27CB"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Antenatal</w:t>
            </w:r>
          </w:p>
        </w:tc>
        <w:tc>
          <w:tcPr>
            <w:tcW w:w="1012" w:type="pct"/>
            <w:tcBorders>
              <w:top w:val="nil"/>
            </w:tcBorders>
            <w:noWrap/>
            <w:hideMark/>
          </w:tcPr>
          <w:p w14:paraId="099F6A5F"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$1.43</w:t>
            </w:r>
          </w:p>
        </w:tc>
        <w:tc>
          <w:tcPr>
            <w:tcW w:w="1013" w:type="pct"/>
            <w:tcBorders>
              <w:top w:val="nil"/>
            </w:tcBorders>
            <w:noWrap/>
            <w:hideMark/>
          </w:tcPr>
          <w:p w14:paraId="43C066E6"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$2.58</w:t>
            </w:r>
          </w:p>
        </w:tc>
        <w:tc>
          <w:tcPr>
            <w:tcW w:w="1012" w:type="pct"/>
            <w:tcBorders>
              <w:top w:val="nil"/>
            </w:tcBorders>
            <w:noWrap/>
            <w:hideMark/>
          </w:tcPr>
          <w:p w14:paraId="47385BB9"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−$1.15</w:t>
            </w:r>
          </w:p>
        </w:tc>
      </w:tr>
      <w:tr w:rsidR="00E30C57" w:rsidRPr="00AA4065" w14:paraId="6A5C6148" w14:textId="77777777" w:rsidTr="00D748F9">
        <w:trPr>
          <w:trHeight w:val="300"/>
        </w:trPr>
        <w:tc>
          <w:tcPr>
            <w:tcW w:w="1963" w:type="pct"/>
            <w:tcBorders>
              <w:bottom w:val="single" w:sz="4" w:space="0" w:color="auto"/>
            </w:tcBorders>
            <w:noWrap/>
            <w:hideMark/>
          </w:tcPr>
          <w:p w14:paraId="6965BF88"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Infection-sequelae costs</w:t>
            </w:r>
          </w:p>
        </w:tc>
        <w:tc>
          <w:tcPr>
            <w:tcW w:w="1012" w:type="pct"/>
            <w:tcBorders>
              <w:bottom w:val="single" w:sz="4" w:space="0" w:color="auto"/>
            </w:tcBorders>
            <w:noWrap/>
            <w:hideMark/>
          </w:tcPr>
          <w:p w14:paraId="7F71A6A2"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$328.55</w:t>
            </w:r>
          </w:p>
        </w:tc>
        <w:tc>
          <w:tcPr>
            <w:tcW w:w="1013" w:type="pct"/>
            <w:tcBorders>
              <w:bottom w:val="single" w:sz="4" w:space="0" w:color="auto"/>
            </w:tcBorders>
            <w:noWrap/>
            <w:hideMark/>
          </w:tcPr>
          <w:p w14:paraId="46129A13"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$379.41</w:t>
            </w:r>
          </w:p>
        </w:tc>
        <w:tc>
          <w:tcPr>
            <w:tcW w:w="1012" w:type="pct"/>
            <w:tcBorders>
              <w:bottom w:val="single" w:sz="4" w:space="0" w:color="auto"/>
            </w:tcBorders>
            <w:noWrap/>
            <w:hideMark/>
          </w:tcPr>
          <w:p w14:paraId="52ADA33E"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−$50.86</w:t>
            </w:r>
          </w:p>
        </w:tc>
      </w:tr>
      <w:tr w:rsidR="00E30C57" w:rsidRPr="00AA4065" w14:paraId="35B97BB6" w14:textId="77777777" w:rsidTr="00D748F9">
        <w:trPr>
          <w:trHeight w:val="300"/>
        </w:trPr>
        <w:tc>
          <w:tcPr>
            <w:tcW w:w="1963" w:type="pct"/>
            <w:tcBorders>
              <w:bottom w:val="nil"/>
            </w:tcBorders>
            <w:noWrap/>
            <w:hideMark/>
          </w:tcPr>
          <w:p w14:paraId="750CE63D" w14:textId="77777777" w:rsidR="00E30C57" w:rsidRPr="00AA4065" w:rsidRDefault="00E30C57" w:rsidP="00D748F9">
            <w:pPr>
              <w:pStyle w:val="TableText"/>
              <w:keepNext/>
              <w:rPr>
                <w:rFonts w:eastAsiaTheme="minorHAnsi" w:cstheme="minorBidi"/>
                <w:lang w:eastAsia="en-US"/>
              </w:rPr>
            </w:pPr>
            <w:r>
              <w:rPr>
                <w:rFonts w:eastAsiaTheme="minorHAnsi" w:cstheme="minorBidi"/>
                <w:lang w:eastAsia="en-US"/>
              </w:rPr>
              <w:t>PID</w:t>
            </w:r>
          </w:p>
        </w:tc>
        <w:tc>
          <w:tcPr>
            <w:tcW w:w="1012" w:type="pct"/>
            <w:tcBorders>
              <w:bottom w:val="nil"/>
            </w:tcBorders>
            <w:noWrap/>
            <w:hideMark/>
          </w:tcPr>
          <w:p w14:paraId="0AE99F42"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$42.23</w:t>
            </w:r>
          </w:p>
        </w:tc>
        <w:tc>
          <w:tcPr>
            <w:tcW w:w="1013" w:type="pct"/>
            <w:tcBorders>
              <w:bottom w:val="nil"/>
            </w:tcBorders>
            <w:noWrap/>
            <w:hideMark/>
          </w:tcPr>
          <w:p w14:paraId="3F8F6C6F"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$48.66</w:t>
            </w:r>
          </w:p>
        </w:tc>
        <w:tc>
          <w:tcPr>
            <w:tcW w:w="1012" w:type="pct"/>
            <w:tcBorders>
              <w:bottom w:val="nil"/>
            </w:tcBorders>
            <w:noWrap/>
            <w:hideMark/>
          </w:tcPr>
          <w:p w14:paraId="7C3FC6C5"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−$6.43</w:t>
            </w:r>
          </w:p>
        </w:tc>
      </w:tr>
      <w:tr w:rsidR="00E30C57" w:rsidRPr="00AA4065" w14:paraId="00EF59D7" w14:textId="77777777" w:rsidTr="00D748F9">
        <w:trPr>
          <w:trHeight w:val="300"/>
        </w:trPr>
        <w:tc>
          <w:tcPr>
            <w:tcW w:w="1963" w:type="pct"/>
            <w:tcBorders>
              <w:top w:val="nil"/>
              <w:bottom w:val="nil"/>
            </w:tcBorders>
            <w:noWrap/>
            <w:hideMark/>
          </w:tcPr>
          <w:p w14:paraId="27CBD09B" w14:textId="77777777" w:rsidR="00E30C57" w:rsidRPr="00AA4065" w:rsidRDefault="00E30C57" w:rsidP="00D748F9">
            <w:pPr>
              <w:pStyle w:val="TableText"/>
              <w:keepNext/>
              <w:rPr>
                <w:rFonts w:eastAsiaTheme="minorHAnsi" w:cstheme="minorBidi"/>
                <w:lang w:eastAsia="en-US"/>
              </w:rPr>
            </w:pPr>
            <w:r>
              <w:rPr>
                <w:rFonts w:eastAsiaTheme="minorHAnsi" w:cstheme="minorBidi"/>
                <w:lang w:eastAsia="en-US"/>
              </w:rPr>
              <w:t>DGI</w:t>
            </w:r>
          </w:p>
        </w:tc>
        <w:tc>
          <w:tcPr>
            <w:tcW w:w="1012" w:type="pct"/>
            <w:tcBorders>
              <w:top w:val="nil"/>
              <w:bottom w:val="nil"/>
            </w:tcBorders>
            <w:noWrap/>
            <w:hideMark/>
          </w:tcPr>
          <w:p w14:paraId="510E9BD4"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$1.51</w:t>
            </w:r>
          </w:p>
        </w:tc>
        <w:tc>
          <w:tcPr>
            <w:tcW w:w="1013" w:type="pct"/>
            <w:tcBorders>
              <w:top w:val="nil"/>
              <w:bottom w:val="nil"/>
            </w:tcBorders>
            <w:noWrap/>
            <w:hideMark/>
          </w:tcPr>
          <w:p w14:paraId="387D05D5"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$1.65</w:t>
            </w:r>
          </w:p>
        </w:tc>
        <w:tc>
          <w:tcPr>
            <w:tcW w:w="1012" w:type="pct"/>
            <w:tcBorders>
              <w:top w:val="nil"/>
              <w:bottom w:val="nil"/>
            </w:tcBorders>
            <w:noWrap/>
            <w:hideMark/>
          </w:tcPr>
          <w:p w14:paraId="2F5592D9"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−$0.13</w:t>
            </w:r>
          </w:p>
        </w:tc>
      </w:tr>
      <w:tr w:rsidR="00E30C57" w:rsidRPr="00AA4065" w14:paraId="225369B0" w14:textId="77777777" w:rsidTr="00D748F9">
        <w:trPr>
          <w:trHeight w:val="300"/>
        </w:trPr>
        <w:tc>
          <w:tcPr>
            <w:tcW w:w="1963" w:type="pct"/>
            <w:tcBorders>
              <w:top w:val="nil"/>
              <w:bottom w:val="nil"/>
            </w:tcBorders>
            <w:noWrap/>
            <w:hideMark/>
          </w:tcPr>
          <w:p w14:paraId="795639C2"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Pregnancy outcome all</w:t>
            </w:r>
          </w:p>
        </w:tc>
        <w:tc>
          <w:tcPr>
            <w:tcW w:w="1012" w:type="pct"/>
            <w:tcBorders>
              <w:top w:val="nil"/>
              <w:bottom w:val="nil"/>
            </w:tcBorders>
            <w:noWrap/>
            <w:hideMark/>
          </w:tcPr>
          <w:p w14:paraId="7BF2D191"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$202.31</w:t>
            </w:r>
          </w:p>
        </w:tc>
        <w:tc>
          <w:tcPr>
            <w:tcW w:w="1013" w:type="pct"/>
            <w:tcBorders>
              <w:top w:val="nil"/>
              <w:bottom w:val="nil"/>
            </w:tcBorders>
            <w:noWrap/>
            <w:hideMark/>
          </w:tcPr>
          <w:p w14:paraId="2D5EAA6D"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$235.84</w:t>
            </w:r>
          </w:p>
        </w:tc>
        <w:tc>
          <w:tcPr>
            <w:tcW w:w="1012" w:type="pct"/>
            <w:tcBorders>
              <w:top w:val="nil"/>
              <w:bottom w:val="nil"/>
            </w:tcBorders>
            <w:noWrap/>
            <w:hideMark/>
          </w:tcPr>
          <w:p w14:paraId="23BCF017"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−$33.53</w:t>
            </w:r>
          </w:p>
        </w:tc>
      </w:tr>
      <w:tr w:rsidR="00E30C57" w:rsidRPr="00AA4065" w14:paraId="11B8ED30" w14:textId="77777777" w:rsidTr="00D748F9">
        <w:trPr>
          <w:trHeight w:val="300"/>
        </w:trPr>
        <w:tc>
          <w:tcPr>
            <w:tcW w:w="1963" w:type="pct"/>
            <w:tcBorders>
              <w:top w:val="nil"/>
              <w:bottom w:val="nil"/>
            </w:tcBorders>
            <w:noWrap/>
            <w:hideMark/>
          </w:tcPr>
          <w:p w14:paraId="750A5BC7" w14:textId="77777777" w:rsidR="00E30C57" w:rsidRPr="00AA4065" w:rsidRDefault="00E30C57" w:rsidP="00E30C57">
            <w:pPr>
              <w:pStyle w:val="TableText"/>
              <w:keepNext/>
              <w:numPr>
                <w:ilvl w:val="0"/>
                <w:numId w:val="20"/>
              </w:numPr>
              <w:rPr>
                <w:rFonts w:eastAsiaTheme="minorHAnsi" w:cstheme="minorBidi"/>
                <w:lang w:eastAsia="en-US"/>
              </w:rPr>
            </w:pPr>
            <w:r w:rsidRPr="00AA4065">
              <w:rPr>
                <w:rFonts w:eastAsiaTheme="minorHAnsi" w:cstheme="minorBidi"/>
                <w:lang w:eastAsia="en-US"/>
              </w:rPr>
              <w:t>Preterm births</w:t>
            </w:r>
          </w:p>
        </w:tc>
        <w:tc>
          <w:tcPr>
            <w:tcW w:w="1012" w:type="pct"/>
            <w:tcBorders>
              <w:top w:val="nil"/>
              <w:bottom w:val="nil"/>
            </w:tcBorders>
            <w:noWrap/>
            <w:hideMark/>
          </w:tcPr>
          <w:p w14:paraId="296FCF24"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$177.43</w:t>
            </w:r>
          </w:p>
        </w:tc>
        <w:tc>
          <w:tcPr>
            <w:tcW w:w="1013" w:type="pct"/>
            <w:tcBorders>
              <w:top w:val="nil"/>
              <w:bottom w:val="nil"/>
            </w:tcBorders>
            <w:noWrap/>
            <w:hideMark/>
          </w:tcPr>
          <w:p w14:paraId="416A56A5"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$206.84</w:t>
            </w:r>
          </w:p>
        </w:tc>
        <w:tc>
          <w:tcPr>
            <w:tcW w:w="1012" w:type="pct"/>
            <w:tcBorders>
              <w:top w:val="nil"/>
              <w:bottom w:val="nil"/>
            </w:tcBorders>
            <w:noWrap/>
            <w:hideMark/>
          </w:tcPr>
          <w:p w14:paraId="278AC51F"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−$29.40</w:t>
            </w:r>
          </w:p>
        </w:tc>
      </w:tr>
      <w:tr w:rsidR="00E30C57" w:rsidRPr="00AA4065" w14:paraId="5D4F9490" w14:textId="77777777" w:rsidTr="00D748F9">
        <w:trPr>
          <w:trHeight w:val="300"/>
        </w:trPr>
        <w:tc>
          <w:tcPr>
            <w:tcW w:w="1963" w:type="pct"/>
            <w:tcBorders>
              <w:top w:val="nil"/>
              <w:bottom w:val="nil"/>
            </w:tcBorders>
            <w:noWrap/>
            <w:hideMark/>
          </w:tcPr>
          <w:p w14:paraId="7E700361" w14:textId="77777777" w:rsidR="00E30C57" w:rsidRPr="00AA4065" w:rsidRDefault="00E30C57" w:rsidP="00E30C57">
            <w:pPr>
              <w:pStyle w:val="TableText"/>
              <w:keepNext/>
              <w:numPr>
                <w:ilvl w:val="0"/>
                <w:numId w:val="20"/>
              </w:numPr>
              <w:rPr>
                <w:rFonts w:eastAsiaTheme="minorHAnsi" w:cstheme="minorBidi"/>
                <w:lang w:eastAsia="en-US"/>
              </w:rPr>
            </w:pPr>
            <w:r w:rsidRPr="00AA4065">
              <w:rPr>
                <w:rFonts w:eastAsiaTheme="minorHAnsi" w:cstheme="minorBidi"/>
                <w:lang w:eastAsia="en-US"/>
              </w:rPr>
              <w:t>Premature rupture of membranes</w:t>
            </w:r>
          </w:p>
        </w:tc>
        <w:tc>
          <w:tcPr>
            <w:tcW w:w="1012" w:type="pct"/>
            <w:tcBorders>
              <w:top w:val="nil"/>
              <w:bottom w:val="nil"/>
            </w:tcBorders>
            <w:noWrap/>
            <w:hideMark/>
          </w:tcPr>
          <w:p w14:paraId="2A3EA23E"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$24.88</w:t>
            </w:r>
          </w:p>
        </w:tc>
        <w:tc>
          <w:tcPr>
            <w:tcW w:w="1013" w:type="pct"/>
            <w:tcBorders>
              <w:top w:val="nil"/>
              <w:bottom w:val="nil"/>
            </w:tcBorders>
            <w:noWrap/>
            <w:hideMark/>
          </w:tcPr>
          <w:p w14:paraId="3FE2DDB2"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$29.00</w:t>
            </w:r>
          </w:p>
        </w:tc>
        <w:tc>
          <w:tcPr>
            <w:tcW w:w="1012" w:type="pct"/>
            <w:tcBorders>
              <w:top w:val="nil"/>
              <w:bottom w:val="nil"/>
            </w:tcBorders>
            <w:noWrap/>
            <w:hideMark/>
          </w:tcPr>
          <w:p w14:paraId="7D5FBFD7"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−$4.12</w:t>
            </w:r>
          </w:p>
        </w:tc>
      </w:tr>
      <w:tr w:rsidR="00E30C57" w:rsidRPr="00AA4065" w14:paraId="677C12EE" w14:textId="77777777" w:rsidTr="00D748F9">
        <w:trPr>
          <w:trHeight w:val="300"/>
        </w:trPr>
        <w:tc>
          <w:tcPr>
            <w:tcW w:w="1963" w:type="pct"/>
            <w:tcBorders>
              <w:top w:val="nil"/>
              <w:bottom w:val="nil"/>
            </w:tcBorders>
            <w:noWrap/>
            <w:hideMark/>
          </w:tcPr>
          <w:p w14:paraId="51034316"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Epididymitis</w:t>
            </w:r>
          </w:p>
        </w:tc>
        <w:tc>
          <w:tcPr>
            <w:tcW w:w="1012" w:type="pct"/>
            <w:tcBorders>
              <w:top w:val="nil"/>
              <w:bottom w:val="nil"/>
            </w:tcBorders>
            <w:noWrap/>
            <w:hideMark/>
          </w:tcPr>
          <w:p w14:paraId="0531769E"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$7.00</w:t>
            </w:r>
          </w:p>
        </w:tc>
        <w:tc>
          <w:tcPr>
            <w:tcW w:w="1013" w:type="pct"/>
            <w:tcBorders>
              <w:top w:val="nil"/>
              <w:bottom w:val="nil"/>
            </w:tcBorders>
            <w:noWrap/>
            <w:hideMark/>
          </w:tcPr>
          <w:p w14:paraId="55A033C9"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$8.70</w:t>
            </w:r>
          </w:p>
        </w:tc>
        <w:tc>
          <w:tcPr>
            <w:tcW w:w="1012" w:type="pct"/>
            <w:tcBorders>
              <w:top w:val="nil"/>
              <w:bottom w:val="nil"/>
            </w:tcBorders>
            <w:noWrap/>
            <w:hideMark/>
          </w:tcPr>
          <w:p w14:paraId="7DEF7C2F"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−$1.70</w:t>
            </w:r>
          </w:p>
        </w:tc>
      </w:tr>
      <w:tr w:rsidR="00E30C57" w:rsidRPr="00AA4065" w14:paraId="45103467" w14:textId="77777777" w:rsidTr="00D748F9">
        <w:trPr>
          <w:trHeight w:val="300"/>
        </w:trPr>
        <w:tc>
          <w:tcPr>
            <w:tcW w:w="1963" w:type="pct"/>
            <w:tcBorders>
              <w:top w:val="nil"/>
              <w:bottom w:val="nil"/>
            </w:tcBorders>
            <w:noWrap/>
            <w:hideMark/>
          </w:tcPr>
          <w:p w14:paraId="1DEF180B"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Infertility</w:t>
            </w:r>
          </w:p>
        </w:tc>
        <w:tc>
          <w:tcPr>
            <w:tcW w:w="1012" w:type="pct"/>
            <w:tcBorders>
              <w:top w:val="nil"/>
              <w:bottom w:val="nil"/>
            </w:tcBorders>
            <w:noWrap/>
            <w:hideMark/>
          </w:tcPr>
          <w:p w14:paraId="787A20D4"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$3.70</w:t>
            </w:r>
          </w:p>
        </w:tc>
        <w:tc>
          <w:tcPr>
            <w:tcW w:w="1013" w:type="pct"/>
            <w:tcBorders>
              <w:top w:val="nil"/>
              <w:bottom w:val="nil"/>
            </w:tcBorders>
            <w:noWrap/>
            <w:hideMark/>
          </w:tcPr>
          <w:p w14:paraId="004A661F"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$4.14</w:t>
            </w:r>
          </w:p>
        </w:tc>
        <w:tc>
          <w:tcPr>
            <w:tcW w:w="1012" w:type="pct"/>
            <w:tcBorders>
              <w:top w:val="nil"/>
              <w:bottom w:val="nil"/>
            </w:tcBorders>
            <w:noWrap/>
            <w:hideMark/>
          </w:tcPr>
          <w:p w14:paraId="413C658A"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−$0.44</w:t>
            </w:r>
          </w:p>
        </w:tc>
      </w:tr>
      <w:tr w:rsidR="00E30C57" w:rsidRPr="00AA4065" w14:paraId="61B92514" w14:textId="77777777" w:rsidTr="00D748F9">
        <w:trPr>
          <w:trHeight w:val="300"/>
        </w:trPr>
        <w:tc>
          <w:tcPr>
            <w:tcW w:w="1963" w:type="pct"/>
            <w:tcBorders>
              <w:top w:val="nil"/>
              <w:bottom w:val="nil"/>
            </w:tcBorders>
            <w:noWrap/>
            <w:hideMark/>
          </w:tcPr>
          <w:p w14:paraId="19B73068"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Ectopic Pregnancy</w:t>
            </w:r>
          </w:p>
        </w:tc>
        <w:tc>
          <w:tcPr>
            <w:tcW w:w="1012" w:type="pct"/>
            <w:tcBorders>
              <w:top w:val="nil"/>
              <w:bottom w:val="nil"/>
            </w:tcBorders>
            <w:noWrap/>
            <w:hideMark/>
          </w:tcPr>
          <w:p w14:paraId="23C8C938"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$39.26</w:t>
            </w:r>
          </w:p>
        </w:tc>
        <w:tc>
          <w:tcPr>
            <w:tcW w:w="1013" w:type="pct"/>
            <w:tcBorders>
              <w:top w:val="nil"/>
              <w:bottom w:val="nil"/>
            </w:tcBorders>
            <w:noWrap/>
            <w:hideMark/>
          </w:tcPr>
          <w:p w14:paraId="68DC2F1A"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$43.97</w:t>
            </w:r>
          </w:p>
        </w:tc>
        <w:tc>
          <w:tcPr>
            <w:tcW w:w="1012" w:type="pct"/>
            <w:tcBorders>
              <w:top w:val="nil"/>
              <w:bottom w:val="nil"/>
            </w:tcBorders>
            <w:noWrap/>
            <w:hideMark/>
          </w:tcPr>
          <w:p w14:paraId="6207D667"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−$4.71</w:t>
            </w:r>
          </w:p>
        </w:tc>
      </w:tr>
      <w:tr w:rsidR="00E30C57" w:rsidRPr="00AA4065" w14:paraId="76D429DE" w14:textId="77777777" w:rsidTr="00D748F9">
        <w:trPr>
          <w:trHeight w:val="300"/>
        </w:trPr>
        <w:tc>
          <w:tcPr>
            <w:tcW w:w="1963" w:type="pct"/>
            <w:tcBorders>
              <w:top w:val="nil"/>
              <w:bottom w:val="nil"/>
            </w:tcBorders>
            <w:noWrap/>
            <w:hideMark/>
          </w:tcPr>
          <w:p w14:paraId="16D04D2E"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Chronic Pain</w:t>
            </w:r>
          </w:p>
        </w:tc>
        <w:tc>
          <w:tcPr>
            <w:tcW w:w="1012" w:type="pct"/>
            <w:tcBorders>
              <w:top w:val="nil"/>
              <w:bottom w:val="nil"/>
            </w:tcBorders>
            <w:noWrap/>
            <w:hideMark/>
          </w:tcPr>
          <w:p w14:paraId="502D9A2D"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$24.12</w:t>
            </w:r>
          </w:p>
        </w:tc>
        <w:tc>
          <w:tcPr>
            <w:tcW w:w="1013" w:type="pct"/>
            <w:tcBorders>
              <w:top w:val="nil"/>
              <w:bottom w:val="nil"/>
            </w:tcBorders>
            <w:noWrap/>
            <w:hideMark/>
          </w:tcPr>
          <w:p w14:paraId="0080A098"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$27.01</w:t>
            </w:r>
          </w:p>
        </w:tc>
        <w:tc>
          <w:tcPr>
            <w:tcW w:w="1012" w:type="pct"/>
            <w:tcBorders>
              <w:top w:val="nil"/>
              <w:bottom w:val="nil"/>
            </w:tcBorders>
            <w:noWrap/>
            <w:hideMark/>
          </w:tcPr>
          <w:p w14:paraId="619D9E70"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−$2.90</w:t>
            </w:r>
          </w:p>
        </w:tc>
      </w:tr>
      <w:tr w:rsidR="00E30C57" w:rsidRPr="00AA4065" w14:paraId="789002CE" w14:textId="77777777" w:rsidTr="00D748F9">
        <w:trPr>
          <w:trHeight w:val="300"/>
        </w:trPr>
        <w:tc>
          <w:tcPr>
            <w:tcW w:w="1963" w:type="pct"/>
            <w:tcBorders>
              <w:top w:val="nil"/>
            </w:tcBorders>
            <w:noWrap/>
            <w:hideMark/>
          </w:tcPr>
          <w:p w14:paraId="445726A1" w14:textId="77777777" w:rsidR="00E30C57" w:rsidRPr="00AA4065" w:rsidRDefault="00E30C57" w:rsidP="00D748F9">
            <w:pPr>
              <w:pStyle w:val="TableText"/>
              <w:keepNext/>
              <w:rPr>
                <w:rFonts w:eastAsiaTheme="minorHAnsi" w:cstheme="minorBidi"/>
                <w:lang w:eastAsia="en-US"/>
              </w:rPr>
            </w:pPr>
            <w:r w:rsidRPr="00AA4065">
              <w:rPr>
                <w:rFonts w:eastAsiaTheme="minorHAnsi" w:cstheme="minorBidi"/>
                <w:lang w:eastAsia="en-US"/>
              </w:rPr>
              <w:t>Long-term sequelae</w:t>
            </w:r>
          </w:p>
        </w:tc>
        <w:tc>
          <w:tcPr>
            <w:tcW w:w="1012" w:type="pct"/>
            <w:tcBorders>
              <w:top w:val="nil"/>
            </w:tcBorders>
            <w:noWrap/>
            <w:hideMark/>
          </w:tcPr>
          <w:p w14:paraId="5E71C76D"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$8.43</w:t>
            </w:r>
          </w:p>
        </w:tc>
        <w:tc>
          <w:tcPr>
            <w:tcW w:w="1013" w:type="pct"/>
            <w:tcBorders>
              <w:top w:val="nil"/>
            </w:tcBorders>
            <w:noWrap/>
            <w:hideMark/>
          </w:tcPr>
          <w:p w14:paraId="4DFC91BD"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$9.45</w:t>
            </w:r>
          </w:p>
        </w:tc>
        <w:tc>
          <w:tcPr>
            <w:tcW w:w="1012" w:type="pct"/>
            <w:tcBorders>
              <w:top w:val="nil"/>
            </w:tcBorders>
            <w:noWrap/>
            <w:hideMark/>
          </w:tcPr>
          <w:p w14:paraId="6D6FE423" w14:textId="77777777" w:rsidR="00E30C57" w:rsidRPr="00AA4065" w:rsidRDefault="00E30C57" w:rsidP="00D748F9">
            <w:pPr>
              <w:pStyle w:val="TableText"/>
              <w:keepNext/>
              <w:jc w:val="right"/>
              <w:rPr>
                <w:rFonts w:eastAsiaTheme="minorHAnsi" w:cstheme="minorBidi"/>
                <w:lang w:eastAsia="en-US"/>
              </w:rPr>
            </w:pPr>
            <w:r w:rsidRPr="00AA4065">
              <w:rPr>
                <w:rFonts w:eastAsiaTheme="minorHAnsi" w:cstheme="minorBidi"/>
                <w:lang w:eastAsia="en-US"/>
              </w:rPr>
              <w:t>−$1.02</w:t>
            </w:r>
          </w:p>
        </w:tc>
      </w:tr>
      <w:tr w:rsidR="00E30C57" w:rsidRPr="00AA4065" w14:paraId="04CBEBA0" w14:textId="77777777" w:rsidTr="00D748F9">
        <w:trPr>
          <w:trHeight w:val="300"/>
        </w:trPr>
        <w:tc>
          <w:tcPr>
            <w:tcW w:w="1963" w:type="pct"/>
            <w:noWrap/>
            <w:hideMark/>
          </w:tcPr>
          <w:p w14:paraId="47C88ED9" w14:textId="77777777" w:rsidR="00E30C57" w:rsidRPr="00AA4065" w:rsidRDefault="00E30C57" w:rsidP="00D748F9">
            <w:pPr>
              <w:pStyle w:val="TableText"/>
              <w:keepNext/>
              <w:rPr>
                <w:rFonts w:eastAsiaTheme="minorHAnsi" w:cstheme="minorBidi"/>
                <w:b/>
                <w:lang w:eastAsia="en-US"/>
              </w:rPr>
            </w:pPr>
            <w:r w:rsidRPr="00AA4065">
              <w:rPr>
                <w:rFonts w:eastAsiaTheme="minorHAnsi" w:cstheme="minorBidi"/>
                <w:b/>
                <w:lang w:eastAsia="en-US"/>
              </w:rPr>
              <w:t>Total cost</w:t>
            </w:r>
          </w:p>
        </w:tc>
        <w:tc>
          <w:tcPr>
            <w:tcW w:w="1012" w:type="pct"/>
            <w:noWrap/>
            <w:hideMark/>
          </w:tcPr>
          <w:p w14:paraId="741CF7F7" w14:textId="77777777" w:rsidR="00E30C57" w:rsidRPr="00AA4065" w:rsidRDefault="00E30C57" w:rsidP="00D748F9">
            <w:pPr>
              <w:pStyle w:val="TableText"/>
              <w:keepNext/>
              <w:jc w:val="right"/>
              <w:rPr>
                <w:rFonts w:eastAsiaTheme="minorHAnsi" w:cstheme="minorBidi"/>
                <w:b/>
                <w:lang w:eastAsia="en-US"/>
              </w:rPr>
            </w:pPr>
            <w:r w:rsidRPr="00AA4065">
              <w:rPr>
                <w:rFonts w:eastAsiaTheme="minorHAnsi" w:cstheme="minorBidi"/>
                <w:b/>
                <w:lang w:eastAsia="en-US"/>
              </w:rPr>
              <w:t>$569.08</w:t>
            </w:r>
          </w:p>
        </w:tc>
        <w:tc>
          <w:tcPr>
            <w:tcW w:w="1013" w:type="pct"/>
            <w:noWrap/>
            <w:hideMark/>
          </w:tcPr>
          <w:p w14:paraId="1661B678" w14:textId="77777777" w:rsidR="00E30C57" w:rsidRPr="00AA4065" w:rsidRDefault="00E30C57" w:rsidP="00D748F9">
            <w:pPr>
              <w:pStyle w:val="TableText"/>
              <w:keepNext/>
              <w:jc w:val="right"/>
              <w:rPr>
                <w:rFonts w:eastAsiaTheme="minorHAnsi" w:cstheme="minorBidi"/>
                <w:b/>
                <w:lang w:eastAsia="en-US"/>
              </w:rPr>
            </w:pPr>
            <w:r w:rsidRPr="00AA4065">
              <w:rPr>
                <w:rFonts w:eastAsiaTheme="minorHAnsi" w:cstheme="minorBidi"/>
                <w:b/>
                <w:lang w:eastAsia="en-US"/>
              </w:rPr>
              <w:t>$541.23</w:t>
            </w:r>
          </w:p>
        </w:tc>
        <w:tc>
          <w:tcPr>
            <w:tcW w:w="1012" w:type="pct"/>
            <w:noWrap/>
            <w:hideMark/>
          </w:tcPr>
          <w:p w14:paraId="3DA1D743" w14:textId="77777777" w:rsidR="00E30C57" w:rsidRPr="00AA4065" w:rsidRDefault="00E30C57" w:rsidP="00D748F9">
            <w:pPr>
              <w:pStyle w:val="TableText"/>
              <w:keepNext/>
              <w:jc w:val="right"/>
              <w:rPr>
                <w:rFonts w:eastAsiaTheme="minorHAnsi" w:cstheme="minorBidi"/>
                <w:b/>
                <w:lang w:eastAsia="en-US"/>
              </w:rPr>
            </w:pPr>
            <w:r w:rsidRPr="00AA4065">
              <w:rPr>
                <w:rFonts w:eastAsiaTheme="minorHAnsi" w:cstheme="minorBidi"/>
                <w:b/>
                <w:lang w:eastAsia="en-US"/>
              </w:rPr>
              <w:t>$27.86</w:t>
            </w:r>
          </w:p>
        </w:tc>
      </w:tr>
    </w:tbl>
    <w:p w14:paraId="1E1B1B24" w14:textId="672C54E5" w:rsidR="00E30C57" w:rsidRPr="005F2557" w:rsidRDefault="00E30C57" w:rsidP="00E30C57">
      <w:pPr>
        <w:pStyle w:val="TableFooter"/>
        <w:spacing w:before="0" w:after="120"/>
      </w:pPr>
      <w:r w:rsidRPr="005F2557">
        <w:t xml:space="preserve">Source: </w:t>
      </w:r>
      <w:r w:rsidR="006078D0">
        <w:t xml:space="preserve">Commentary Table 32, </w:t>
      </w:r>
      <w:proofErr w:type="spellStart"/>
      <w:r w:rsidR="006078D0">
        <w:t>pg</w:t>
      </w:r>
      <w:proofErr w:type="spellEnd"/>
      <w:r w:rsidR="006078D0">
        <w:t xml:space="preserve"> 150 of MSAC 1627 </w:t>
      </w:r>
      <w:proofErr w:type="spellStart"/>
      <w:r w:rsidR="006078D0">
        <w:t>ADAR</w:t>
      </w:r>
      <w:r w:rsidR="006078D0">
        <w:rPr>
          <w:szCs w:val="18"/>
        </w:rPr>
        <w:t>+in-line</w:t>
      </w:r>
      <w:proofErr w:type="spellEnd"/>
      <w:r w:rsidR="006078D0">
        <w:rPr>
          <w:szCs w:val="18"/>
        </w:rPr>
        <w:t xml:space="preserve"> commentary</w:t>
      </w:r>
      <w:r w:rsidRPr="005F2557">
        <w:t>.</w:t>
      </w:r>
    </w:p>
    <w:p w14:paraId="10ECE888" w14:textId="77777777" w:rsidR="00E30C57" w:rsidRPr="00AA4065" w:rsidRDefault="00E30C57" w:rsidP="00E30C57">
      <w:pPr>
        <w:pStyle w:val="TableFooter"/>
        <w:spacing w:before="0" w:after="120"/>
      </w:pPr>
      <w:r w:rsidRPr="00AA4065">
        <w:t>DGI = disseminated gonococcal infection; PID = pelvic inflammatory disease; POC = point of care; SOC = standard of care.</w:t>
      </w:r>
    </w:p>
    <w:p w14:paraId="4BCD5719" w14:textId="1F933AF7" w:rsidR="00CA478F" w:rsidRPr="00CA478F" w:rsidRDefault="00E30C57" w:rsidP="00CA478F">
      <w:pPr>
        <w:spacing w:before="240"/>
      </w:pPr>
      <w:r w:rsidRPr="000076B6">
        <w:t xml:space="preserve">The key drivers of the model are presented in </w:t>
      </w:r>
      <w:r w:rsidRPr="00C6578F">
        <w:fldChar w:fldCharType="begin"/>
      </w:r>
      <w:r w:rsidRPr="00C6578F">
        <w:instrText xml:space="preserve"> REF _Ref69726321 \h </w:instrText>
      </w:r>
      <w:r w:rsidR="00C6578F" w:rsidRPr="00C6578F">
        <w:instrText xml:space="preserve"> \* MERGEFORMAT </w:instrText>
      </w:r>
      <w:r w:rsidRPr="00C6578F">
        <w:fldChar w:fldCharType="separate"/>
      </w:r>
      <w:r w:rsidR="00C6578F" w:rsidRPr="00C6578F">
        <w:t>Table 14</w:t>
      </w:r>
      <w:r w:rsidRPr="00C6578F">
        <w:fldChar w:fldCharType="end"/>
      </w:r>
      <w:r w:rsidRPr="004B01BC">
        <w:t>.</w:t>
      </w:r>
      <w:r w:rsidRPr="00F77346">
        <w:t xml:space="preserve"> </w:t>
      </w:r>
      <w:bookmarkStart w:id="45" w:name="_Ref69726321"/>
      <w:r w:rsidR="00CA478F">
        <w:br w:type="page"/>
      </w:r>
    </w:p>
    <w:p w14:paraId="6C9EC428" w14:textId="339DE7AB" w:rsidR="00E30C57" w:rsidRPr="00E30C57" w:rsidRDefault="00E30C57" w:rsidP="00E30C57">
      <w:pPr>
        <w:pStyle w:val="Caption"/>
      </w:pPr>
      <w:bookmarkStart w:id="46" w:name="_Ref130884042"/>
      <w:r w:rsidRPr="00E30C57">
        <w:lastRenderedPageBreak/>
        <w:t>Table</w:t>
      </w:r>
      <w:r w:rsidR="00C6578F">
        <w:t xml:space="preserve"> </w:t>
      </w:r>
      <w:r w:rsidR="007D19FE">
        <w:fldChar w:fldCharType="begin"/>
      </w:r>
      <w:r w:rsidR="007D19FE">
        <w:instrText xml:space="preserve"> SEQ Table \* ARABIC </w:instrText>
      </w:r>
      <w:r w:rsidR="007D19FE">
        <w:fldChar w:fldCharType="separate"/>
      </w:r>
      <w:r w:rsidR="00C6578F">
        <w:rPr>
          <w:noProof/>
        </w:rPr>
        <w:t>14</w:t>
      </w:r>
      <w:r w:rsidR="007D19FE">
        <w:rPr>
          <w:noProof/>
        </w:rPr>
        <w:fldChar w:fldCharType="end"/>
      </w:r>
      <w:bookmarkEnd w:id="45"/>
      <w:bookmarkEnd w:id="46"/>
      <w:r w:rsidRPr="00E30C57">
        <w:tab/>
        <w:t>Key drivers of the model</w:t>
      </w:r>
    </w:p>
    <w:tbl>
      <w:tblPr>
        <w:tblStyle w:val="TableGrid1"/>
        <w:tblW w:w="5000" w:type="pct"/>
        <w:tblLayout w:type="fixed"/>
        <w:tblCellMar>
          <w:left w:w="28" w:type="dxa"/>
          <w:right w:w="28" w:type="dxa"/>
        </w:tblCellMar>
        <w:tblLook w:val="04A0" w:firstRow="1" w:lastRow="0" w:firstColumn="1" w:lastColumn="0" w:noHBand="0" w:noVBand="1"/>
        <w:tblCaption w:val="Key drivers of the model"/>
        <w:tblDescription w:val="Key drivers of the model"/>
      </w:tblPr>
      <w:tblGrid>
        <w:gridCol w:w="1697"/>
        <w:gridCol w:w="4820"/>
        <w:gridCol w:w="2499"/>
      </w:tblGrid>
      <w:tr w:rsidR="00E30C57" w:rsidRPr="00CE28E3" w14:paraId="176E48BA" w14:textId="77777777" w:rsidTr="009705B5">
        <w:trPr>
          <w:cnfStyle w:val="100000000000" w:firstRow="1" w:lastRow="0" w:firstColumn="0" w:lastColumn="0" w:oddVBand="0" w:evenVBand="0" w:oddHBand="0" w:evenHBand="0" w:firstRowFirstColumn="0" w:firstRowLastColumn="0" w:lastRowFirstColumn="0" w:lastRowLastColumn="0"/>
          <w:cantSplit/>
          <w:tblHeader/>
        </w:trPr>
        <w:tc>
          <w:tcPr>
            <w:tcW w:w="941" w:type="pct"/>
            <w:shd w:val="clear" w:color="auto" w:fill="auto"/>
            <w:vAlign w:val="center"/>
          </w:tcPr>
          <w:p w14:paraId="21D82B2B" w14:textId="77777777" w:rsidR="00E30C57" w:rsidRPr="00CE28E3" w:rsidRDefault="00E30C57" w:rsidP="00D748F9">
            <w:pPr>
              <w:pStyle w:val="In-tableHeading"/>
              <w:jc w:val="center"/>
            </w:pPr>
            <w:bookmarkStart w:id="47" w:name="Title_Table10" w:colFirst="0" w:colLast="0"/>
            <w:bookmarkStart w:id="48" w:name="_Hlk68276626"/>
            <w:r w:rsidRPr="00CE28E3">
              <w:t>Description</w:t>
            </w:r>
          </w:p>
        </w:tc>
        <w:tc>
          <w:tcPr>
            <w:tcW w:w="2673" w:type="pct"/>
            <w:shd w:val="clear" w:color="auto" w:fill="auto"/>
            <w:vAlign w:val="center"/>
          </w:tcPr>
          <w:p w14:paraId="7CFCD52D" w14:textId="77777777" w:rsidR="00E30C57" w:rsidRPr="00CE28E3" w:rsidRDefault="00E30C57" w:rsidP="00D748F9">
            <w:pPr>
              <w:pStyle w:val="In-tableHeading"/>
              <w:jc w:val="center"/>
            </w:pPr>
            <w:r w:rsidRPr="00CE28E3">
              <w:t>Method/Value</w:t>
            </w:r>
          </w:p>
        </w:tc>
        <w:tc>
          <w:tcPr>
            <w:tcW w:w="1386" w:type="pct"/>
            <w:shd w:val="clear" w:color="auto" w:fill="auto"/>
            <w:vAlign w:val="center"/>
          </w:tcPr>
          <w:p w14:paraId="0A8B2745" w14:textId="08942926" w:rsidR="00E30C57" w:rsidRPr="00CE28E3" w:rsidRDefault="00E30C57" w:rsidP="00D748F9">
            <w:pPr>
              <w:pStyle w:val="In-tableHeading"/>
              <w:jc w:val="center"/>
            </w:pPr>
            <w:r w:rsidRPr="00CE28E3">
              <w:t>Impact</w:t>
            </w:r>
            <w:r>
              <w:br/>
            </w:r>
            <w:r w:rsidR="00F77346">
              <w:rPr>
                <w:rFonts w:cs="Arial"/>
                <w:szCs w:val="20"/>
              </w:rPr>
              <w:t>Commentary revised b</w:t>
            </w:r>
            <w:r w:rsidRPr="00CE28E3">
              <w:rPr>
                <w:rFonts w:cs="Arial"/>
                <w:szCs w:val="20"/>
              </w:rPr>
              <w:t>ase case: $</w:t>
            </w:r>
            <w:r>
              <w:rPr>
                <w:rFonts w:cs="Arial"/>
                <w:szCs w:val="20"/>
              </w:rPr>
              <w:t>20,453</w:t>
            </w:r>
            <w:r w:rsidRPr="00CE28E3">
              <w:rPr>
                <w:rFonts w:cs="Arial"/>
                <w:szCs w:val="20"/>
              </w:rPr>
              <w:t>/QALY gained</w:t>
            </w:r>
          </w:p>
        </w:tc>
      </w:tr>
      <w:bookmarkEnd w:id="47"/>
      <w:tr w:rsidR="00E30C57" w:rsidRPr="00CE28E3" w14:paraId="01B8ECA2" w14:textId="77777777" w:rsidTr="009705B5">
        <w:trPr>
          <w:cantSplit/>
        </w:trPr>
        <w:tc>
          <w:tcPr>
            <w:tcW w:w="941" w:type="pct"/>
            <w:shd w:val="clear" w:color="auto" w:fill="auto"/>
          </w:tcPr>
          <w:p w14:paraId="7CE8C60F" w14:textId="77777777" w:rsidR="00E30C57" w:rsidRPr="00CE28E3" w:rsidRDefault="00E30C57" w:rsidP="00D748F9">
            <w:pPr>
              <w:pStyle w:val="TableText"/>
              <w:rPr>
                <w:lang w:val="en-US"/>
              </w:rPr>
            </w:pPr>
            <w:r>
              <w:rPr>
                <w:lang w:val="en-US"/>
              </w:rPr>
              <w:t>Inclusion of indirect health care costs</w:t>
            </w:r>
          </w:p>
        </w:tc>
        <w:tc>
          <w:tcPr>
            <w:tcW w:w="2673" w:type="pct"/>
            <w:shd w:val="clear" w:color="auto" w:fill="auto"/>
          </w:tcPr>
          <w:p w14:paraId="09031A06" w14:textId="77777777" w:rsidR="00E30C57" w:rsidRPr="00CE28E3" w:rsidRDefault="00E30C57" w:rsidP="00D748F9">
            <w:pPr>
              <w:pStyle w:val="TableText"/>
              <w:rPr>
                <w:lang w:val="en-US"/>
              </w:rPr>
            </w:pPr>
            <w:r>
              <w:rPr>
                <w:lang w:val="en-US"/>
              </w:rPr>
              <w:t xml:space="preserve">Cost of air evacuation and </w:t>
            </w:r>
            <w:r w:rsidRPr="00C52C0C">
              <w:rPr>
                <w:lang w:val="en-US"/>
              </w:rPr>
              <w:t>staff time to locate and retrieve patients for treatment</w:t>
            </w:r>
            <w:r>
              <w:rPr>
                <w:lang w:val="en-US"/>
              </w:rPr>
              <w:t xml:space="preserve"> were included. </w:t>
            </w:r>
          </w:p>
        </w:tc>
        <w:tc>
          <w:tcPr>
            <w:tcW w:w="1386" w:type="pct"/>
            <w:shd w:val="clear" w:color="auto" w:fill="auto"/>
          </w:tcPr>
          <w:p w14:paraId="570A134C" w14:textId="77777777" w:rsidR="00E30C57" w:rsidRPr="009705B5" w:rsidRDefault="00E30C57" w:rsidP="00D748F9">
            <w:pPr>
              <w:pStyle w:val="TableText"/>
              <w:rPr>
                <w:lang w:val="en-US"/>
              </w:rPr>
            </w:pPr>
            <w:r w:rsidRPr="009705B5">
              <w:rPr>
                <w:lang w:val="en-US"/>
              </w:rPr>
              <w:t xml:space="preserve">High, </w:t>
            </w:r>
            <w:proofErr w:type="spellStart"/>
            <w:r w:rsidRPr="009705B5">
              <w:rPr>
                <w:lang w:val="en-US"/>
              </w:rPr>
              <w:t>favours</w:t>
            </w:r>
            <w:proofErr w:type="spellEnd"/>
            <w:r w:rsidRPr="009705B5">
              <w:rPr>
                <w:lang w:val="en-US"/>
              </w:rPr>
              <w:t xml:space="preserve"> POC testing</w:t>
            </w:r>
          </w:p>
          <w:p w14:paraId="38933083" w14:textId="77777777" w:rsidR="00E30C57" w:rsidRPr="009705B5" w:rsidRDefault="00E30C57" w:rsidP="00D748F9">
            <w:pPr>
              <w:pStyle w:val="TableText"/>
              <w:rPr>
                <w:lang w:val="en-US"/>
              </w:rPr>
            </w:pPr>
            <w:r w:rsidRPr="009705B5">
              <w:rPr>
                <w:lang w:val="en-US"/>
              </w:rPr>
              <w:t>Excluding these costs increased the ICER to $53,049/QALY gained</w:t>
            </w:r>
          </w:p>
        </w:tc>
      </w:tr>
      <w:tr w:rsidR="00E30C57" w:rsidRPr="00CE28E3" w14:paraId="7A0BDCC6" w14:textId="77777777" w:rsidTr="009705B5">
        <w:trPr>
          <w:cantSplit/>
        </w:trPr>
        <w:tc>
          <w:tcPr>
            <w:tcW w:w="941" w:type="pct"/>
            <w:shd w:val="clear" w:color="auto" w:fill="auto"/>
          </w:tcPr>
          <w:p w14:paraId="2E5AAA91" w14:textId="77777777" w:rsidR="00E30C57" w:rsidRDefault="00E30C57" w:rsidP="00D748F9">
            <w:pPr>
              <w:pStyle w:val="TableText"/>
              <w:rPr>
                <w:lang w:val="en-US"/>
              </w:rPr>
            </w:pPr>
            <w:r>
              <w:rPr>
                <w:lang w:val="en-US"/>
              </w:rPr>
              <w:t>Retesting following treatment</w:t>
            </w:r>
          </w:p>
        </w:tc>
        <w:tc>
          <w:tcPr>
            <w:tcW w:w="2673" w:type="pct"/>
            <w:shd w:val="clear" w:color="auto" w:fill="auto"/>
          </w:tcPr>
          <w:p w14:paraId="674E3A7E" w14:textId="77777777" w:rsidR="00E30C57" w:rsidRPr="00CE28E3" w:rsidRDefault="00E30C57" w:rsidP="00D748F9">
            <w:pPr>
              <w:pStyle w:val="TableText"/>
              <w:rPr>
                <w:lang w:val="en-US"/>
              </w:rPr>
            </w:pPr>
            <w:r>
              <w:rPr>
                <w:lang w:val="en-US"/>
              </w:rPr>
              <w:t>Not included within 3 weeks – 3 months following treatment. This is not consistent with recommendations in guidelines, or the clinical management algorithms presented in the ADAR.</w:t>
            </w:r>
          </w:p>
        </w:tc>
        <w:tc>
          <w:tcPr>
            <w:tcW w:w="1386" w:type="pct"/>
            <w:shd w:val="clear" w:color="auto" w:fill="auto"/>
          </w:tcPr>
          <w:p w14:paraId="3F26DEFF" w14:textId="77777777" w:rsidR="00E30C57" w:rsidRPr="009705B5" w:rsidRDefault="00E30C57" w:rsidP="00D748F9">
            <w:pPr>
              <w:pStyle w:val="TableText"/>
              <w:rPr>
                <w:lang w:val="en-US"/>
              </w:rPr>
            </w:pPr>
            <w:r w:rsidRPr="009705B5">
              <w:rPr>
                <w:lang w:val="en-US"/>
              </w:rPr>
              <w:t xml:space="preserve">High, </w:t>
            </w:r>
            <w:proofErr w:type="spellStart"/>
            <w:r w:rsidRPr="009705B5">
              <w:rPr>
                <w:lang w:val="en-US"/>
              </w:rPr>
              <w:t>favours</w:t>
            </w:r>
            <w:proofErr w:type="spellEnd"/>
            <w:r w:rsidRPr="009705B5">
              <w:rPr>
                <w:lang w:val="en-US"/>
              </w:rPr>
              <w:t xml:space="preserve"> POC testing</w:t>
            </w:r>
          </w:p>
          <w:p w14:paraId="5145B3B4" w14:textId="77777777" w:rsidR="00E30C57" w:rsidRPr="009705B5" w:rsidRDefault="00E30C57" w:rsidP="00D748F9">
            <w:pPr>
              <w:pStyle w:val="TableText"/>
              <w:spacing w:after="160"/>
              <w:rPr>
                <w:lang w:val="en-US"/>
              </w:rPr>
            </w:pPr>
            <w:r w:rsidRPr="009705B5">
              <w:rPr>
                <w:lang w:val="en-US"/>
              </w:rPr>
              <w:t>Including the cost of retesting with the cost of treatment increased the ICER to $50,065/QALY gained</w:t>
            </w:r>
          </w:p>
        </w:tc>
      </w:tr>
      <w:tr w:rsidR="00E30C57" w:rsidRPr="00CE28E3" w14:paraId="7B473471" w14:textId="77777777" w:rsidTr="009705B5">
        <w:trPr>
          <w:cantSplit/>
        </w:trPr>
        <w:tc>
          <w:tcPr>
            <w:tcW w:w="941" w:type="pct"/>
            <w:shd w:val="clear" w:color="auto" w:fill="auto"/>
          </w:tcPr>
          <w:p w14:paraId="342196B6" w14:textId="77777777" w:rsidR="00E30C57" w:rsidRDefault="00E30C57" w:rsidP="00D748F9">
            <w:pPr>
              <w:pStyle w:val="TableText"/>
              <w:rPr>
                <w:lang w:val="en-US"/>
              </w:rPr>
            </w:pPr>
            <w:r>
              <w:rPr>
                <w:lang w:val="en-US"/>
              </w:rPr>
              <w:t>Incidence of preterm births in untreated pregnant females</w:t>
            </w:r>
          </w:p>
        </w:tc>
        <w:tc>
          <w:tcPr>
            <w:tcW w:w="2673" w:type="pct"/>
            <w:shd w:val="clear" w:color="auto" w:fill="auto"/>
          </w:tcPr>
          <w:p w14:paraId="079F847C" w14:textId="77777777" w:rsidR="00E30C57" w:rsidRPr="00CE28E3" w:rsidRDefault="00E30C57" w:rsidP="00D748F9">
            <w:pPr>
              <w:pStyle w:val="TableText"/>
              <w:rPr>
                <w:lang w:val="en-US"/>
              </w:rPr>
            </w:pPr>
            <w:r>
              <w:rPr>
                <w:lang w:val="en-US"/>
              </w:rPr>
              <w:t>28% based on calculations of the population attributable fractions of events due to STIs (</w:t>
            </w:r>
            <w:proofErr w:type="gramStart"/>
            <w:r>
              <w:rPr>
                <w:lang w:val="en-US"/>
              </w:rPr>
              <w:t>i.e.</w:t>
            </w:r>
            <w:proofErr w:type="gramEnd"/>
            <w:r>
              <w:rPr>
                <w:lang w:val="en-US"/>
              </w:rPr>
              <w:t xml:space="preserve"> for every 100 preterm births, 28 were due to STIs). </w:t>
            </w:r>
            <w:proofErr w:type="gramStart"/>
            <w:r>
              <w:rPr>
                <w:lang w:val="en-US"/>
              </w:rPr>
              <w:t>However</w:t>
            </w:r>
            <w:proofErr w:type="gramEnd"/>
            <w:r>
              <w:rPr>
                <w:lang w:val="en-US"/>
              </w:rPr>
              <w:t xml:space="preserve"> the ADAR has applied this estimate to all births in pregnant untreated females (e.g. 28 preterm births for every 100 pregnancies in pregnant untreated females).</w:t>
            </w:r>
          </w:p>
        </w:tc>
        <w:tc>
          <w:tcPr>
            <w:tcW w:w="1386" w:type="pct"/>
            <w:shd w:val="clear" w:color="auto" w:fill="auto"/>
          </w:tcPr>
          <w:p w14:paraId="0DAA3DA6" w14:textId="77777777" w:rsidR="00E30C57" w:rsidRPr="009705B5" w:rsidRDefault="00E30C57" w:rsidP="00D748F9">
            <w:pPr>
              <w:pStyle w:val="TableText"/>
              <w:rPr>
                <w:lang w:val="en-US"/>
              </w:rPr>
            </w:pPr>
            <w:r w:rsidRPr="009705B5">
              <w:rPr>
                <w:lang w:val="en-US"/>
              </w:rPr>
              <w:t xml:space="preserve">High, </w:t>
            </w:r>
            <w:proofErr w:type="spellStart"/>
            <w:r w:rsidRPr="009705B5">
              <w:rPr>
                <w:lang w:val="en-US"/>
              </w:rPr>
              <w:t>favours</w:t>
            </w:r>
            <w:proofErr w:type="spellEnd"/>
            <w:r w:rsidRPr="009705B5">
              <w:rPr>
                <w:lang w:val="en-US"/>
              </w:rPr>
              <w:t xml:space="preserve"> POC testing</w:t>
            </w:r>
          </w:p>
          <w:p w14:paraId="570BD069" w14:textId="77777777" w:rsidR="00E30C57" w:rsidRPr="009705B5" w:rsidRDefault="00E30C57" w:rsidP="00D748F9">
            <w:pPr>
              <w:pStyle w:val="TableText"/>
              <w:rPr>
                <w:lang w:val="en-US"/>
              </w:rPr>
            </w:pPr>
            <w:r w:rsidRPr="009705B5">
              <w:rPr>
                <w:lang w:val="en-US"/>
              </w:rPr>
              <w:t>Reducing the incidence of preterm births in untreated pregnant females to 3.9%</w:t>
            </w:r>
            <w:proofErr w:type="spellStart"/>
            <w:proofErr w:type="gramStart"/>
            <w:r w:rsidRPr="009705B5">
              <w:rPr>
                <w:vertAlign w:val="superscript"/>
                <w:lang w:val="en-US"/>
              </w:rPr>
              <w:t>a</w:t>
            </w:r>
            <w:proofErr w:type="spellEnd"/>
            <w:proofErr w:type="gramEnd"/>
            <w:r w:rsidRPr="009705B5">
              <w:rPr>
                <w:lang w:val="en-US"/>
              </w:rPr>
              <w:t xml:space="preserve"> increased the ICER to $39,278/QALY gained</w:t>
            </w:r>
          </w:p>
        </w:tc>
      </w:tr>
      <w:tr w:rsidR="00E30C57" w:rsidRPr="00CE28E3" w14:paraId="12125A7E" w14:textId="77777777" w:rsidTr="009705B5">
        <w:trPr>
          <w:cantSplit/>
        </w:trPr>
        <w:tc>
          <w:tcPr>
            <w:tcW w:w="941" w:type="pct"/>
            <w:shd w:val="clear" w:color="auto" w:fill="auto"/>
          </w:tcPr>
          <w:p w14:paraId="75B3CD42" w14:textId="77777777" w:rsidR="00E30C57" w:rsidRPr="00CE28E3" w:rsidRDefault="00E30C57" w:rsidP="00D748F9">
            <w:pPr>
              <w:pStyle w:val="TableText"/>
              <w:rPr>
                <w:lang w:val="en-US"/>
              </w:rPr>
            </w:pPr>
            <w:r>
              <w:rPr>
                <w:lang w:val="en-US"/>
              </w:rPr>
              <w:t>Duration of utility decrement</w:t>
            </w:r>
          </w:p>
        </w:tc>
        <w:tc>
          <w:tcPr>
            <w:tcW w:w="2673" w:type="pct"/>
            <w:shd w:val="clear" w:color="auto" w:fill="auto"/>
          </w:tcPr>
          <w:p w14:paraId="0DD640B6" w14:textId="77777777" w:rsidR="00E30C57" w:rsidRPr="00CE28E3" w:rsidRDefault="00E30C57" w:rsidP="00D748F9">
            <w:pPr>
              <w:pStyle w:val="TableText"/>
              <w:rPr>
                <w:lang w:val="en-US"/>
              </w:rPr>
            </w:pPr>
            <w:r>
              <w:rPr>
                <w:lang w:val="en-US"/>
              </w:rPr>
              <w:t xml:space="preserve">The utility decrement for events was applied in months, though this was not consistent with the </w:t>
            </w:r>
            <w:r w:rsidRPr="00826C11">
              <w:rPr>
                <w:lang w:val="en-US"/>
              </w:rPr>
              <w:t xml:space="preserve">source cited for most of the utility weights </w:t>
            </w:r>
            <w:r>
              <w:rPr>
                <w:lang w:val="en-US"/>
              </w:rPr>
              <w:t xml:space="preserve">which </w:t>
            </w:r>
            <w:r w:rsidRPr="00826C11">
              <w:rPr>
                <w:lang w:val="en-US"/>
              </w:rPr>
              <w:t xml:space="preserve">also </w:t>
            </w:r>
            <w:r>
              <w:rPr>
                <w:lang w:val="en-US"/>
              </w:rPr>
              <w:t xml:space="preserve">reported </w:t>
            </w:r>
            <w:r w:rsidRPr="00826C11">
              <w:rPr>
                <w:lang w:val="en-US"/>
              </w:rPr>
              <w:t>the expected duration</w:t>
            </w:r>
            <w:r>
              <w:rPr>
                <w:lang w:val="en-US"/>
              </w:rPr>
              <w:t xml:space="preserve"> of each of the event</w:t>
            </w:r>
            <w:r w:rsidRPr="00826C11">
              <w:rPr>
                <w:lang w:val="en-US"/>
              </w:rPr>
              <w:t>. Most events</w:t>
            </w:r>
            <w:r>
              <w:rPr>
                <w:lang w:val="en-US"/>
              </w:rPr>
              <w:t xml:space="preserve"> were reported in terms of days rather than weeks or months, as modelled in the ADAR.</w:t>
            </w:r>
          </w:p>
        </w:tc>
        <w:tc>
          <w:tcPr>
            <w:tcW w:w="1386" w:type="pct"/>
            <w:shd w:val="clear" w:color="auto" w:fill="auto"/>
          </w:tcPr>
          <w:p w14:paraId="6F7D3099" w14:textId="77777777" w:rsidR="00E30C57" w:rsidRPr="009705B5" w:rsidRDefault="00E30C57" w:rsidP="00D748F9">
            <w:pPr>
              <w:pStyle w:val="TableText"/>
            </w:pPr>
            <w:r w:rsidRPr="009705B5">
              <w:rPr>
                <w:lang w:val="en-US"/>
              </w:rPr>
              <w:t xml:space="preserve">High, </w:t>
            </w:r>
            <w:proofErr w:type="spellStart"/>
            <w:r w:rsidRPr="009705B5">
              <w:rPr>
                <w:lang w:val="en-US"/>
              </w:rPr>
              <w:t>favours</w:t>
            </w:r>
            <w:proofErr w:type="spellEnd"/>
            <w:r w:rsidRPr="009705B5">
              <w:rPr>
                <w:lang w:val="en-US"/>
              </w:rPr>
              <w:t xml:space="preserve"> POC testing</w:t>
            </w:r>
            <w:r w:rsidRPr="009705B5">
              <w:t xml:space="preserve"> </w:t>
            </w:r>
          </w:p>
          <w:p w14:paraId="30BE5D69" w14:textId="77777777" w:rsidR="00E30C57" w:rsidRPr="009705B5" w:rsidRDefault="00E30C57" w:rsidP="00D748F9">
            <w:pPr>
              <w:pStyle w:val="TableText"/>
              <w:spacing w:after="160"/>
              <w:rPr>
                <w:lang w:val="en-US"/>
              </w:rPr>
            </w:pPr>
            <w:r w:rsidRPr="009705B5">
              <w:rPr>
                <w:lang w:val="en-US"/>
              </w:rPr>
              <w:t>Use of utility decrements for events adjusted for the duration of the event increased the ICER to $33,624/QALY gained.</w:t>
            </w:r>
            <w:r w:rsidRPr="009705B5">
              <w:rPr>
                <w:rFonts w:cs="Arial"/>
                <w:color w:val="538135" w:themeColor="accent6" w:themeShade="BF"/>
              </w:rPr>
              <w:t xml:space="preserve"> </w:t>
            </w:r>
          </w:p>
        </w:tc>
      </w:tr>
      <w:tr w:rsidR="00E30C57" w:rsidRPr="00CE28E3" w14:paraId="296F45EB" w14:textId="77777777" w:rsidTr="009705B5">
        <w:trPr>
          <w:cantSplit/>
        </w:trPr>
        <w:tc>
          <w:tcPr>
            <w:tcW w:w="941" w:type="pct"/>
            <w:tcBorders>
              <w:top w:val="single" w:sz="4" w:space="0" w:color="auto"/>
              <w:left w:val="single" w:sz="4" w:space="0" w:color="auto"/>
              <w:bottom w:val="single" w:sz="4" w:space="0" w:color="auto"/>
              <w:right w:val="single" w:sz="4" w:space="0" w:color="auto"/>
            </w:tcBorders>
            <w:shd w:val="clear" w:color="auto" w:fill="auto"/>
          </w:tcPr>
          <w:p w14:paraId="652642FA" w14:textId="77777777" w:rsidR="00E30C57" w:rsidRPr="00CE28E3" w:rsidRDefault="00E30C57" w:rsidP="00D748F9">
            <w:pPr>
              <w:pStyle w:val="TableText"/>
              <w:rPr>
                <w:lang w:val="en-US"/>
              </w:rPr>
            </w:pPr>
            <w:bookmarkStart w:id="49" w:name="_Hlk68276635"/>
            <w:bookmarkEnd w:id="48"/>
            <w:r>
              <w:rPr>
                <w:lang w:val="en-US"/>
              </w:rPr>
              <w:t>Proportion of population presenting to clinics who are female</w:t>
            </w:r>
          </w:p>
        </w:tc>
        <w:tc>
          <w:tcPr>
            <w:tcW w:w="2673" w:type="pct"/>
            <w:tcBorders>
              <w:top w:val="single" w:sz="4" w:space="0" w:color="auto"/>
              <w:left w:val="single" w:sz="4" w:space="0" w:color="auto"/>
              <w:bottom w:val="single" w:sz="4" w:space="0" w:color="auto"/>
              <w:right w:val="single" w:sz="4" w:space="0" w:color="auto"/>
            </w:tcBorders>
            <w:shd w:val="clear" w:color="auto" w:fill="auto"/>
          </w:tcPr>
          <w:p w14:paraId="07E45B4C" w14:textId="76582F61" w:rsidR="00E30C57" w:rsidRPr="00CE28E3" w:rsidRDefault="00E30C57" w:rsidP="00A15733">
            <w:pPr>
              <w:pStyle w:val="TableText"/>
              <w:rPr>
                <w:lang w:val="en-US"/>
              </w:rPr>
            </w:pPr>
            <w:r>
              <w:rPr>
                <w:lang w:val="en-US"/>
              </w:rPr>
              <w:t xml:space="preserve">67% based on TTANGO2 data. </w:t>
            </w:r>
            <w:r w:rsidRPr="00826C11">
              <w:rPr>
                <w:lang w:val="en-US"/>
              </w:rPr>
              <w:t>The data referred to persons aged &lt;30 y</w:t>
            </w:r>
            <w:r>
              <w:rPr>
                <w:lang w:val="en-US"/>
              </w:rPr>
              <w:t>ears who received an STI test, (</w:t>
            </w:r>
            <w:r w:rsidRPr="00826C11">
              <w:rPr>
                <w:lang w:val="en-US"/>
              </w:rPr>
              <w:t>6</w:t>
            </w:r>
            <w:r>
              <w:rPr>
                <w:lang w:val="en-US"/>
              </w:rPr>
              <w:t xml:space="preserve">5% </w:t>
            </w:r>
            <w:r w:rsidRPr="00826C11">
              <w:rPr>
                <w:lang w:val="en-US"/>
              </w:rPr>
              <w:t>female</w:t>
            </w:r>
            <w:r>
              <w:rPr>
                <w:lang w:val="en-US"/>
              </w:rPr>
              <w:t>)</w:t>
            </w:r>
            <w:r w:rsidRPr="00826C11">
              <w:rPr>
                <w:lang w:val="en-US"/>
              </w:rPr>
              <w:t xml:space="preserve">. </w:t>
            </w:r>
            <w:r>
              <w:rPr>
                <w:lang w:val="en-US"/>
              </w:rPr>
              <w:t>T</w:t>
            </w:r>
            <w:r w:rsidRPr="00826C11">
              <w:rPr>
                <w:lang w:val="en-US"/>
              </w:rPr>
              <w:t xml:space="preserve">he proportion of unique patients aged &lt;30 years who were female </w:t>
            </w:r>
            <w:r>
              <w:rPr>
                <w:lang w:val="en-US"/>
              </w:rPr>
              <w:t xml:space="preserve">and </w:t>
            </w:r>
            <w:r w:rsidRPr="00826C11">
              <w:rPr>
                <w:lang w:val="en-US"/>
              </w:rPr>
              <w:t>who attended a clinic at least once</w:t>
            </w:r>
            <w:r>
              <w:rPr>
                <w:lang w:val="en-US"/>
              </w:rPr>
              <w:t xml:space="preserve"> may be more appropriate (56.5%)</w:t>
            </w:r>
            <w:r w:rsidR="009A0349">
              <w:rPr>
                <w:lang w:val="en-US"/>
              </w:rPr>
              <w:t xml:space="preserve"> as uptake of testing was applied subsequently to</w:t>
            </w:r>
            <w:r w:rsidR="00A15733">
              <w:rPr>
                <w:lang w:val="en-US"/>
              </w:rPr>
              <w:t xml:space="preserve"> clinic attendees.</w:t>
            </w:r>
          </w:p>
        </w:tc>
        <w:tc>
          <w:tcPr>
            <w:tcW w:w="1386" w:type="pct"/>
            <w:tcBorders>
              <w:top w:val="single" w:sz="4" w:space="0" w:color="auto"/>
              <w:left w:val="single" w:sz="4" w:space="0" w:color="auto"/>
              <w:bottom w:val="single" w:sz="4" w:space="0" w:color="auto"/>
              <w:right w:val="single" w:sz="4" w:space="0" w:color="auto"/>
            </w:tcBorders>
            <w:shd w:val="clear" w:color="auto" w:fill="auto"/>
          </w:tcPr>
          <w:p w14:paraId="5E8F2A5B" w14:textId="77777777" w:rsidR="00E30C57" w:rsidRPr="009705B5" w:rsidRDefault="00E30C57" w:rsidP="00D748F9">
            <w:pPr>
              <w:pStyle w:val="TableText"/>
              <w:rPr>
                <w:lang w:val="en-US"/>
              </w:rPr>
            </w:pPr>
            <w:r w:rsidRPr="009705B5">
              <w:rPr>
                <w:lang w:val="en-US"/>
              </w:rPr>
              <w:t xml:space="preserve">High, </w:t>
            </w:r>
            <w:proofErr w:type="spellStart"/>
            <w:r w:rsidRPr="009705B5">
              <w:rPr>
                <w:lang w:val="en-US"/>
              </w:rPr>
              <w:t>favours</w:t>
            </w:r>
            <w:proofErr w:type="spellEnd"/>
            <w:r w:rsidRPr="009705B5">
              <w:rPr>
                <w:lang w:val="en-US"/>
              </w:rPr>
              <w:t xml:space="preserve"> POC testing. </w:t>
            </w:r>
          </w:p>
          <w:p w14:paraId="3558C44B" w14:textId="77777777" w:rsidR="00E30C57" w:rsidRPr="009705B5" w:rsidRDefault="00E30C57" w:rsidP="00D748F9">
            <w:pPr>
              <w:pStyle w:val="TableText"/>
              <w:rPr>
                <w:lang w:val="en-US"/>
              </w:rPr>
            </w:pPr>
            <w:r w:rsidRPr="009705B5">
              <w:rPr>
                <w:lang w:val="en-US"/>
              </w:rPr>
              <w:t>Reducing this proportion to 56.5% increased the ICER to $29,856/QALY gained.</w:t>
            </w:r>
          </w:p>
        </w:tc>
      </w:tr>
    </w:tbl>
    <w:p w14:paraId="2CDA0597" w14:textId="23447136" w:rsidR="00E30C57" w:rsidRPr="005F2557" w:rsidRDefault="00E30C57" w:rsidP="00E30C57">
      <w:pPr>
        <w:pStyle w:val="TableFooter"/>
        <w:spacing w:before="0" w:after="120"/>
      </w:pPr>
      <w:r w:rsidRPr="005F2557">
        <w:t xml:space="preserve">Source: </w:t>
      </w:r>
      <w:r w:rsidR="006078D0">
        <w:t xml:space="preserve">Table 14, </w:t>
      </w:r>
      <w:proofErr w:type="spellStart"/>
      <w:r w:rsidR="006078D0">
        <w:t>pg</w:t>
      </w:r>
      <w:proofErr w:type="spellEnd"/>
      <w:r w:rsidR="006078D0">
        <w:t xml:space="preserve"> 21 of MSAC 1627 Commentary Executive Summary</w:t>
      </w:r>
    </w:p>
    <w:p w14:paraId="431534B1" w14:textId="77777777" w:rsidR="00E30C57" w:rsidRDefault="00E30C57" w:rsidP="00E30C57">
      <w:pPr>
        <w:pStyle w:val="TableFooter"/>
        <w:spacing w:before="0" w:after="120"/>
      </w:pPr>
      <w:r w:rsidRPr="00CE28E3">
        <w:t>ICER = incremental cost-effectiveness ratio; QALY = quality-adjusted life year</w:t>
      </w:r>
      <w:r>
        <w:t>.</w:t>
      </w:r>
    </w:p>
    <w:p w14:paraId="1F93450B" w14:textId="59681DE7" w:rsidR="00E30C57" w:rsidRDefault="00E30C57" w:rsidP="00E30C57">
      <w:pPr>
        <w:pStyle w:val="TableFooter"/>
        <w:spacing w:before="0" w:after="120"/>
      </w:pPr>
      <w:proofErr w:type="spellStart"/>
      <w:r w:rsidRPr="00662941">
        <w:rPr>
          <w:vertAlign w:val="superscript"/>
        </w:rPr>
        <w:t>a</w:t>
      </w:r>
      <w:proofErr w:type="spellEnd"/>
      <w:r>
        <w:t xml:space="preserve"> </w:t>
      </w:r>
      <w:r w:rsidRPr="00662941">
        <w:t>Assuming 14% of pregnancies result in preterm birth (</w:t>
      </w:r>
      <w:r w:rsidRPr="00C84CED">
        <w:t>preterm births observed in the Aboriginal population in the Northern Territory</w:t>
      </w:r>
      <w:r>
        <w:t xml:space="preserve">, reported in </w:t>
      </w:r>
      <w:r w:rsidRPr="00C84CED">
        <w:t xml:space="preserve">Morris, J, Brown, K &amp; Newnham, J 2020, 'The Australian Preterm Birth Prevention Alliance', Aust N Z J </w:t>
      </w:r>
      <w:proofErr w:type="spellStart"/>
      <w:r w:rsidRPr="00C84CED">
        <w:t>Obstet</w:t>
      </w:r>
      <w:proofErr w:type="spellEnd"/>
      <w:r w:rsidRPr="00C84CED">
        <w:t xml:space="preserve"> </w:t>
      </w:r>
      <w:proofErr w:type="spellStart"/>
      <w:r w:rsidRPr="00C84CED">
        <w:t>Gynaecol</w:t>
      </w:r>
      <w:proofErr w:type="spellEnd"/>
      <w:r w:rsidRPr="00C84CED">
        <w:t>, vol. 60, no. 3, Jun, pp. 321-323.</w:t>
      </w:r>
      <w:r w:rsidRPr="00662941">
        <w:t>), and if 28% of these are due to STIs, 3.9% of pregnancies with untreated STIs would</w:t>
      </w:r>
      <w:r>
        <w:t xml:space="preserve"> result in pre-term births (due to STIs).</w:t>
      </w:r>
    </w:p>
    <w:bookmarkEnd w:id="49"/>
    <w:p w14:paraId="24AC6EE5" w14:textId="06271259" w:rsidR="00CA478F" w:rsidRPr="00CA478F" w:rsidRDefault="00E30C57" w:rsidP="00CA478F">
      <w:pPr>
        <w:spacing w:before="240"/>
      </w:pPr>
      <w:r w:rsidRPr="00CE28E3">
        <w:t xml:space="preserve">The results of key sensitivity analyses are summarised </w:t>
      </w:r>
      <w:r>
        <w:t xml:space="preserve">in </w:t>
      </w:r>
      <w:r>
        <w:rPr>
          <w:highlight w:val="yellow"/>
        </w:rPr>
        <w:fldChar w:fldCharType="begin"/>
      </w:r>
      <w:r>
        <w:instrText xml:space="preserve"> REF _Ref69726347 \h </w:instrText>
      </w:r>
      <w:r>
        <w:rPr>
          <w:highlight w:val="yellow"/>
        </w:rPr>
      </w:r>
      <w:r>
        <w:rPr>
          <w:highlight w:val="yellow"/>
        </w:rPr>
        <w:fldChar w:fldCharType="separate"/>
      </w:r>
      <w:r w:rsidR="00C6578F" w:rsidRPr="00E30C57">
        <w:t>Table</w:t>
      </w:r>
      <w:r w:rsidR="00C6578F">
        <w:t xml:space="preserve"> </w:t>
      </w:r>
      <w:r w:rsidR="00C6578F">
        <w:rPr>
          <w:noProof/>
        </w:rPr>
        <w:t>15</w:t>
      </w:r>
      <w:r>
        <w:rPr>
          <w:highlight w:val="yellow"/>
        </w:rPr>
        <w:fldChar w:fldCharType="end"/>
      </w:r>
      <w:r>
        <w:t xml:space="preserve"> </w:t>
      </w:r>
      <w:r w:rsidRPr="00CE28E3">
        <w:t xml:space="preserve">below. </w:t>
      </w:r>
      <w:r>
        <w:t xml:space="preserve">These </w:t>
      </w:r>
      <w:r w:rsidRPr="00BE3700">
        <w:t xml:space="preserve">were conducted during the evaluation around </w:t>
      </w:r>
      <w:proofErr w:type="gramStart"/>
      <w:r w:rsidRPr="00BE3700">
        <w:t>particular areas</w:t>
      </w:r>
      <w:proofErr w:type="gramEnd"/>
      <w:r w:rsidRPr="00BE3700">
        <w:t xml:space="preserve"> of concern </w:t>
      </w:r>
      <w:r>
        <w:t>identified</w:t>
      </w:r>
      <w:r w:rsidRPr="00BE3700">
        <w:t xml:space="preserve">. The analysis was sensitive to many of these changes, and </w:t>
      </w:r>
      <w:r>
        <w:t xml:space="preserve">as </w:t>
      </w:r>
      <w:r w:rsidRPr="00BE3700">
        <w:t xml:space="preserve">some </w:t>
      </w:r>
      <w:proofErr w:type="gramStart"/>
      <w:r>
        <w:t>were considered to be</w:t>
      </w:r>
      <w:proofErr w:type="gramEnd"/>
      <w:r w:rsidRPr="00BE3700">
        <w:t xml:space="preserve"> more appropriate </w:t>
      </w:r>
      <w:r>
        <w:t>to</w:t>
      </w:r>
      <w:r w:rsidRPr="00BE3700">
        <w:t xml:space="preserve"> use in the analysis, multivariate analyses were performed. The ICER was observed to substantially increase with these multiple changes.</w:t>
      </w:r>
      <w:bookmarkStart w:id="50" w:name="_Ref69726347"/>
      <w:r w:rsidR="00CA478F">
        <w:br w:type="page"/>
      </w:r>
    </w:p>
    <w:p w14:paraId="028972D1" w14:textId="6E49EA3F" w:rsidR="00E30C57" w:rsidRPr="00E30C57" w:rsidRDefault="00E30C57" w:rsidP="00E30C57">
      <w:pPr>
        <w:pStyle w:val="Caption"/>
      </w:pPr>
      <w:bookmarkStart w:id="51" w:name="_Ref128725564"/>
      <w:r w:rsidRPr="00E30C57">
        <w:lastRenderedPageBreak/>
        <w:t>Table</w:t>
      </w:r>
      <w:r w:rsidR="00C6578F">
        <w:t xml:space="preserve"> </w:t>
      </w:r>
      <w:r w:rsidR="007D19FE">
        <w:fldChar w:fldCharType="begin"/>
      </w:r>
      <w:r w:rsidR="007D19FE">
        <w:instrText xml:space="preserve"> SEQ Table \* ARABIC </w:instrText>
      </w:r>
      <w:r w:rsidR="007D19FE">
        <w:fldChar w:fldCharType="separate"/>
      </w:r>
      <w:r w:rsidR="00C6578F">
        <w:rPr>
          <w:noProof/>
        </w:rPr>
        <w:t>15</w:t>
      </w:r>
      <w:r w:rsidR="007D19FE">
        <w:rPr>
          <w:noProof/>
        </w:rPr>
        <w:fldChar w:fldCharType="end"/>
      </w:r>
      <w:bookmarkEnd w:id="50"/>
      <w:bookmarkEnd w:id="51"/>
      <w:r w:rsidRPr="00E30C57">
        <w:tab/>
        <w:t>Sensitivity analyses conducted during the evaluation</w:t>
      </w:r>
    </w:p>
    <w:tbl>
      <w:tblPr>
        <w:tblStyle w:val="TableGrid1"/>
        <w:tblW w:w="5000" w:type="pct"/>
        <w:tblLayout w:type="fixed"/>
        <w:tblLook w:val="04A0" w:firstRow="1" w:lastRow="0" w:firstColumn="1" w:lastColumn="0" w:noHBand="0" w:noVBand="1"/>
        <w:tblCaption w:val="Sensitivity analyses conducted during the evaluation"/>
        <w:tblDescription w:val="Sensitivity analyses conducted during the evaluation"/>
      </w:tblPr>
      <w:tblGrid>
        <w:gridCol w:w="5240"/>
        <w:gridCol w:w="1096"/>
        <w:gridCol w:w="927"/>
        <w:gridCol w:w="954"/>
        <w:gridCol w:w="799"/>
      </w:tblGrid>
      <w:tr w:rsidR="00E30C57" w:rsidRPr="00341398" w14:paraId="33EE7E5D" w14:textId="77777777" w:rsidTr="00D748F9">
        <w:trPr>
          <w:cnfStyle w:val="100000000000" w:firstRow="1" w:lastRow="0" w:firstColumn="0" w:lastColumn="0" w:oddVBand="0" w:evenVBand="0" w:oddHBand="0" w:evenHBand="0" w:firstRowFirstColumn="0" w:firstRowLastColumn="0" w:lastRowFirstColumn="0" w:lastRowLastColumn="0"/>
          <w:trHeight w:val="300"/>
          <w:tblHeader/>
        </w:trPr>
        <w:tc>
          <w:tcPr>
            <w:tcW w:w="2906" w:type="pct"/>
            <w:noWrap/>
            <w:hideMark/>
          </w:tcPr>
          <w:p w14:paraId="6E066462" w14:textId="77777777" w:rsidR="00E30C57" w:rsidRPr="00341398" w:rsidRDefault="00E30C57" w:rsidP="00D748F9">
            <w:pPr>
              <w:pStyle w:val="TableHeading"/>
              <w:rPr>
                <w:rFonts w:eastAsiaTheme="minorHAnsi" w:cstheme="minorBidi"/>
                <w:szCs w:val="22"/>
                <w:lang w:eastAsia="en-US"/>
              </w:rPr>
            </w:pPr>
            <w:bookmarkStart w:id="52" w:name="_Hlk68276759"/>
          </w:p>
        </w:tc>
        <w:tc>
          <w:tcPr>
            <w:tcW w:w="608" w:type="pct"/>
            <w:noWrap/>
            <w:hideMark/>
          </w:tcPr>
          <w:p w14:paraId="0646071B" w14:textId="77777777" w:rsidR="00E30C57" w:rsidRPr="00341398" w:rsidRDefault="00E30C57" w:rsidP="00D748F9">
            <w:pPr>
              <w:pStyle w:val="TableHeading"/>
              <w:jc w:val="center"/>
              <w:rPr>
                <w:rFonts w:eastAsiaTheme="minorHAnsi" w:cstheme="minorBidi"/>
                <w:szCs w:val="22"/>
                <w:lang w:eastAsia="en-US"/>
              </w:rPr>
            </w:pPr>
            <w:r w:rsidRPr="00341398">
              <w:rPr>
                <w:rFonts w:eastAsiaTheme="minorHAnsi" w:cstheme="minorBidi"/>
                <w:szCs w:val="22"/>
                <w:lang w:eastAsia="en-US"/>
              </w:rPr>
              <w:t>Inc. cost</w:t>
            </w:r>
          </w:p>
        </w:tc>
        <w:tc>
          <w:tcPr>
            <w:tcW w:w="514" w:type="pct"/>
            <w:noWrap/>
            <w:hideMark/>
          </w:tcPr>
          <w:p w14:paraId="478B58D2" w14:textId="77777777" w:rsidR="00E30C57" w:rsidRPr="00341398" w:rsidRDefault="00E30C57" w:rsidP="00D748F9">
            <w:pPr>
              <w:pStyle w:val="TableHeading"/>
              <w:jc w:val="center"/>
              <w:rPr>
                <w:rFonts w:eastAsiaTheme="minorHAnsi" w:cstheme="minorBidi"/>
                <w:szCs w:val="22"/>
                <w:lang w:eastAsia="en-US"/>
              </w:rPr>
            </w:pPr>
            <w:r w:rsidRPr="00341398">
              <w:rPr>
                <w:rFonts w:eastAsiaTheme="minorHAnsi" w:cstheme="minorBidi"/>
                <w:szCs w:val="22"/>
                <w:lang w:eastAsia="en-US"/>
              </w:rPr>
              <w:t>Inc. QALYs</w:t>
            </w:r>
          </w:p>
        </w:tc>
        <w:tc>
          <w:tcPr>
            <w:tcW w:w="529" w:type="pct"/>
            <w:noWrap/>
            <w:hideMark/>
          </w:tcPr>
          <w:p w14:paraId="47DB4B1A" w14:textId="77777777" w:rsidR="00E30C57" w:rsidRPr="00341398" w:rsidRDefault="00E30C57" w:rsidP="00D748F9">
            <w:pPr>
              <w:pStyle w:val="TableHeading"/>
              <w:jc w:val="center"/>
              <w:rPr>
                <w:rFonts w:eastAsiaTheme="minorHAnsi" w:cstheme="minorBidi"/>
                <w:szCs w:val="22"/>
                <w:lang w:eastAsia="en-US"/>
              </w:rPr>
            </w:pPr>
            <w:r w:rsidRPr="00341398">
              <w:rPr>
                <w:rFonts w:eastAsiaTheme="minorHAnsi" w:cstheme="minorBidi"/>
                <w:szCs w:val="22"/>
                <w:lang w:eastAsia="en-US"/>
              </w:rPr>
              <w:t>ICER</w:t>
            </w:r>
          </w:p>
        </w:tc>
        <w:tc>
          <w:tcPr>
            <w:tcW w:w="443" w:type="pct"/>
            <w:noWrap/>
            <w:hideMark/>
          </w:tcPr>
          <w:p w14:paraId="42DD03FB" w14:textId="77777777" w:rsidR="00E30C57" w:rsidRPr="00341398" w:rsidRDefault="00E30C57" w:rsidP="00D748F9">
            <w:pPr>
              <w:pStyle w:val="TableHeading"/>
              <w:jc w:val="center"/>
              <w:rPr>
                <w:rFonts w:eastAsiaTheme="minorHAnsi" w:cstheme="minorBidi"/>
                <w:szCs w:val="22"/>
                <w:lang w:eastAsia="en-US"/>
              </w:rPr>
            </w:pPr>
            <w:r w:rsidRPr="00341398">
              <w:rPr>
                <w:rFonts w:eastAsiaTheme="minorHAnsi" w:cstheme="minorBidi"/>
                <w:szCs w:val="22"/>
                <w:lang w:eastAsia="en-US"/>
              </w:rPr>
              <w:t xml:space="preserve">% </w:t>
            </w:r>
            <w:proofErr w:type="gramStart"/>
            <w:r w:rsidRPr="00341398">
              <w:rPr>
                <w:rFonts w:eastAsiaTheme="minorHAnsi" w:cstheme="minorBidi"/>
                <w:szCs w:val="22"/>
                <w:lang w:eastAsia="en-US"/>
              </w:rPr>
              <w:t>change</w:t>
            </w:r>
            <w:proofErr w:type="gramEnd"/>
          </w:p>
        </w:tc>
      </w:tr>
      <w:tr w:rsidR="00E30C57" w:rsidRPr="00341398" w14:paraId="26B0E6A0" w14:textId="77777777" w:rsidTr="00D748F9">
        <w:trPr>
          <w:cnfStyle w:val="100000000000" w:firstRow="1" w:lastRow="0" w:firstColumn="0" w:lastColumn="0" w:oddVBand="0" w:evenVBand="0" w:oddHBand="0" w:evenHBand="0" w:firstRowFirstColumn="0" w:firstRowLastColumn="0" w:lastRowFirstColumn="0" w:lastRowLastColumn="0"/>
          <w:trHeight w:val="300"/>
          <w:tblHeader/>
        </w:trPr>
        <w:tc>
          <w:tcPr>
            <w:tcW w:w="2906" w:type="pct"/>
            <w:tcBorders>
              <w:bottom w:val="single" w:sz="4" w:space="0" w:color="auto"/>
            </w:tcBorders>
            <w:noWrap/>
            <w:hideMark/>
          </w:tcPr>
          <w:p w14:paraId="5F7288E1" w14:textId="77777777" w:rsidR="00E30C57" w:rsidRPr="00341398" w:rsidRDefault="00E30C57" w:rsidP="00D748F9">
            <w:pPr>
              <w:pStyle w:val="TableText"/>
              <w:rPr>
                <w:rFonts w:eastAsiaTheme="minorHAnsi" w:cstheme="minorBidi"/>
                <w:b/>
                <w:lang w:eastAsia="en-US"/>
              </w:rPr>
            </w:pPr>
            <w:r w:rsidRPr="00341398">
              <w:rPr>
                <w:rFonts w:eastAsiaTheme="minorHAnsi" w:cstheme="minorBidi"/>
                <w:b/>
                <w:lang w:eastAsia="en-US"/>
              </w:rPr>
              <w:t>Base case</w:t>
            </w:r>
          </w:p>
        </w:tc>
        <w:tc>
          <w:tcPr>
            <w:tcW w:w="608" w:type="pct"/>
            <w:tcBorders>
              <w:bottom w:val="single" w:sz="4" w:space="0" w:color="auto"/>
            </w:tcBorders>
            <w:noWrap/>
            <w:hideMark/>
          </w:tcPr>
          <w:p w14:paraId="47FA0A70" w14:textId="77777777" w:rsidR="00E30C57" w:rsidRPr="00341398" w:rsidRDefault="00E30C57" w:rsidP="00D748F9">
            <w:pPr>
              <w:pStyle w:val="TableText"/>
              <w:jc w:val="right"/>
              <w:rPr>
                <w:rFonts w:eastAsiaTheme="minorHAnsi" w:cstheme="minorBidi"/>
                <w:b/>
                <w:lang w:eastAsia="en-US"/>
              </w:rPr>
            </w:pPr>
            <w:r w:rsidRPr="00341398">
              <w:rPr>
                <w:rFonts w:eastAsiaTheme="minorHAnsi" w:cstheme="minorBidi"/>
                <w:b/>
                <w:lang w:eastAsia="en-US"/>
              </w:rPr>
              <w:t>$27.86</w:t>
            </w:r>
          </w:p>
        </w:tc>
        <w:tc>
          <w:tcPr>
            <w:tcW w:w="514" w:type="pct"/>
            <w:tcBorders>
              <w:bottom w:val="single" w:sz="4" w:space="0" w:color="auto"/>
            </w:tcBorders>
            <w:noWrap/>
            <w:hideMark/>
          </w:tcPr>
          <w:p w14:paraId="5E6F3756" w14:textId="77777777" w:rsidR="00E30C57" w:rsidRPr="00341398" w:rsidRDefault="00E30C57" w:rsidP="00D748F9">
            <w:pPr>
              <w:pStyle w:val="TableText"/>
              <w:jc w:val="right"/>
              <w:rPr>
                <w:rFonts w:eastAsiaTheme="minorHAnsi" w:cstheme="minorBidi"/>
                <w:b/>
                <w:lang w:eastAsia="en-US"/>
              </w:rPr>
            </w:pPr>
            <w:r w:rsidRPr="00341398">
              <w:rPr>
                <w:rFonts w:eastAsiaTheme="minorHAnsi" w:cstheme="minorBidi"/>
                <w:b/>
                <w:lang w:eastAsia="en-US"/>
              </w:rPr>
              <w:t>0.0014</w:t>
            </w:r>
          </w:p>
        </w:tc>
        <w:tc>
          <w:tcPr>
            <w:tcW w:w="529" w:type="pct"/>
            <w:tcBorders>
              <w:bottom w:val="single" w:sz="4" w:space="0" w:color="auto"/>
            </w:tcBorders>
            <w:noWrap/>
            <w:hideMark/>
          </w:tcPr>
          <w:p w14:paraId="6BAAD779" w14:textId="77777777" w:rsidR="00E30C57" w:rsidRPr="00341398" w:rsidRDefault="00E30C57" w:rsidP="00D748F9">
            <w:pPr>
              <w:pStyle w:val="TableText"/>
              <w:jc w:val="right"/>
              <w:rPr>
                <w:rFonts w:eastAsiaTheme="minorHAnsi" w:cstheme="minorBidi"/>
                <w:b/>
                <w:lang w:eastAsia="en-US"/>
              </w:rPr>
            </w:pPr>
            <w:r w:rsidRPr="00341398">
              <w:rPr>
                <w:rFonts w:eastAsiaTheme="minorHAnsi" w:cstheme="minorBidi"/>
                <w:b/>
                <w:lang w:eastAsia="en-US"/>
              </w:rPr>
              <w:t>$20,453</w:t>
            </w:r>
          </w:p>
        </w:tc>
        <w:tc>
          <w:tcPr>
            <w:tcW w:w="443" w:type="pct"/>
            <w:tcBorders>
              <w:bottom w:val="single" w:sz="4" w:space="0" w:color="auto"/>
            </w:tcBorders>
            <w:noWrap/>
            <w:hideMark/>
          </w:tcPr>
          <w:p w14:paraId="1419391E" w14:textId="77777777" w:rsidR="00E30C57" w:rsidRPr="00341398" w:rsidRDefault="00E30C57" w:rsidP="00D748F9">
            <w:pPr>
              <w:pStyle w:val="TableText"/>
              <w:jc w:val="right"/>
              <w:rPr>
                <w:rFonts w:eastAsiaTheme="minorHAnsi" w:cstheme="minorBidi"/>
                <w:b/>
                <w:lang w:eastAsia="en-US"/>
              </w:rPr>
            </w:pPr>
          </w:p>
        </w:tc>
      </w:tr>
      <w:tr w:rsidR="00E30C57" w:rsidRPr="00341398" w14:paraId="18746F48" w14:textId="77777777" w:rsidTr="00D748F9">
        <w:trPr>
          <w:trHeight w:val="300"/>
        </w:trPr>
        <w:tc>
          <w:tcPr>
            <w:tcW w:w="2906" w:type="pct"/>
            <w:tcBorders>
              <w:bottom w:val="single" w:sz="4" w:space="0" w:color="auto"/>
              <w:right w:val="nil"/>
            </w:tcBorders>
            <w:noWrap/>
            <w:hideMark/>
          </w:tcPr>
          <w:p w14:paraId="6B8C60D6" w14:textId="77777777"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Distribution of persons attending (base case: 66.7% female)</w:t>
            </w:r>
          </w:p>
        </w:tc>
        <w:tc>
          <w:tcPr>
            <w:tcW w:w="608" w:type="pct"/>
            <w:tcBorders>
              <w:left w:val="nil"/>
              <w:bottom w:val="single" w:sz="4" w:space="0" w:color="auto"/>
              <w:right w:val="nil"/>
            </w:tcBorders>
            <w:noWrap/>
            <w:hideMark/>
          </w:tcPr>
          <w:p w14:paraId="036BF459" w14:textId="77777777" w:rsidR="00E30C57" w:rsidRPr="00341398" w:rsidRDefault="00E30C57" w:rsidP="00D748F9">
            <w:pPr>
              <w:pStyle w:val="TableText"/>
              <w:jc w:val="right"/>
              <w:rPr>
                <w:rFonts w:eastAsiaTheme="minorHAnsi" w:cstheme="minorBidi"/>
                <w:lang w:eastAsia="en-US"/>
              </w:rPr>
            </w:pPr>
          </w:p>
        </w:tc>
        <w:tc>
          <w:tcPr>
            <w:tcW w:w="514" w:type="pct"/>
            <w:tcBorders>
              <w:left w:val="nil"/>
              <w:bottom w:val="single" w:sz="4" w:space="0" w:color="auto"/>
              <w:right w:val="nil"/>
            </w:tcBorders>
            <w:noWrap/>
            <w:hideMark/>
          </w:tcPr>
          <w:p w14:paraId="5F899E85" w14:textId="77777777" w:rsidR="00E30C57" w:rsidRPr="00341398" w:rsidRDefault="00E30C57" w:rsidP="00D748F9">
            <w:pPr>
              <w:pStyle w:val="TableText"/>
              <w:jc w:val="right"/>
              <w:rPr>
                <w:rFonts w:eastAsiaTheme="minorHAnsi" w:cstheme="minorBidi"/>
                <w:lang w:eastAsia="en-US"/>
              </w:rPr>
            </w:pPr>
          </w:p>
        </w:tc>
        <w:tc>
          <w:tcPr>
            <w:tcW w:w="529" w:type="pct"/>
            <w:tcBorders>
              <w:left w:val="nil"/>
              <w:bottom w:val="single" w:sz="4" w:space="0" w:color="auto"/>
              <w:right w:val="nil"/>
            </w:tcBorders>
            <w:noWrap/>
            <w:hideMark/>
          </w:tcPr>
          <w:p w14:paraId="3D934A41" w14:textId="77777777" w:rsidR="00E30C57" w:rsidRPr="00341398" w:rsidRDefault="00E30C57" w:rsidP="00D748F9">
            <w:pPr>
              <w:pStyle w:val="TableText"/>
              <w:jc w:val="right"/>
              <w:rPr>
                <w:rFonts w:eastAsiaTheme="minorHAnsi" w:cstheme="minorBidi"/>
                <w:lang w:eastAsia="en-US"/>
              </w:rPr>
            </w:pPr>
          </w:p>
        </w:tc>
        <w:tc>
          <w:tcPr>
            <w:tcW w:w="443" w:type="pct"/>
            <w:tcBorders>
              <w:left w:val="nil"/>
              <w:bottom w:val="single" w:sz="4" w:space="0" w:color="auto"/>
            </w:tcBorders>
            <w:noWrap/>
            <w:hideMark/>
          </w:tcPr>
          <w:p w14:paraId="569475B4" w14:textId="77777777" w:rsidR="00E30C57" w:rsidRPr="00341398" w:rsidRDefault="00E30C57" w:rsidP="00D748F9">
            <w:pPr>
              <w:pStyle w:val="TableText"/>
              <w:jc w:val="right"/>
              <w:rPr>
                <w:rFonts w:eastAsiaTheme="minorHAnsi" w:cstheme="minorBidi"/>
                <w:lang w:eastAsia="en-US"/>
              </w:rPr>
            </w:pPr>
          </w:p>
        </w:tc>
      </w:tr>
      <w:tr w:rsidR="00E30C57" w:rsidRPr="00341398" w14:paraId="58CF93A8" w14:textId="77777777" w:rsidTr="00D748F9">
        <w:trPr>
          <w:trHeight w:val="300"/>
        </w:trPr>
        <w:tc>
          <w:tcPr>
            <w:tcW w:w="2906" w:type="pct"/>
            <w:tcBorders>
              <w:bottom w:val="nil"/>
            </w:tcBorders>
            <w:noWrap/>
            <w:hideMark/>
          </w:tcPr>
          <w:p w14:paraId="45DDDE6B" w14:textId="77777777"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0% female</w:t>
            </w:r>
          </w:p>
        </w:tc>
        <w:tc>
          <w:tcPr>
            <w:tcW w:w="608" w:type="pct"/>
            <w:tcBorders>
              <w:bottom w:val="nil"/>
            </w:tcBorders>
            <w:noWrap/>
            <w:hideMark/>
          </w:tcPr>
          <w:p w14:paraId="6BAA90BA"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$71.36</w:t>
            </w:r>
          </w:p>
        </w:tc>
        <w:tc>
          <w:tcPr>
            <w:tcW w:w="514" w:type="pct"/>
            <w:tcBorders>
              <w:bottom w:val="nil"/>
            </w:tcBorders>
            <w:noWrap/>
            <w:hideMark/>
          </w:tcPr>
          <w:p w14:paraId="097F11F4"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0.0001</w:t>
            </w:r>
          </w:p>
        </w:tc>
        <w:tc>
          <w:tcPr>
            <w:tcW w:w="529" w:type="pct"/>
            <w:tcBorders>
              <w:bottom w:val="nil"/>
            </w:tcBorders>
            <w:noWrap/>
            <w:hideMark/>
          </w:tcPr>
          <w:p w14:paraId="6AE08425"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$871,779</w:t>
            </w:r>
          </w:p>
        </w:tc>
        <w:tc>
          <w:tcPr>
            <w:tcW w:w="443" w:type="pct"/>
            <w:tcBorders>
              <w:bottom w:val="nil"/>
            </w:tcBorders>
            <w:noWrap/>
            <w:hideMark/>
          </w:tcPr>
          <w:p w14:paraId="423A7CB9" w14:textId="77777777" w:rsidR="00E30C57" w:rsidRPr="00341398" w:rsidRDefault="00E30C57" w:rsidP="00D748F9">
            <w:pPr>
              <w:pStyle w:val="TableText"/>
              <w:jc w:val="right"/>
              <w:rPr>
                <w:rFonts w:eastAsiaTheme="minorHAnsi" w:cstheme="minorBidi"/>
                <w:lang w:eastAsia="en-US"/>
              </w:rPr>
            </w:pPr>
            <w:r w:rsidRPr="00341398">
              <w:t>4162%</w:t>
            </w:r>
          </w:p>
        </w:tc>
      </w:tr>
      <w:tr w:rsidR="00E30C57" w:rsidRPr="00341398" w14:paraId="264018D0" w14:textId="77777777" w:rsidTr="00D748F9">
        <w:trPr>
          <w:trHeight w:val="300"/>
        </w:trPr>
        <w:tc>
          <w:tcPr>
            <w:tcW w:w="2906" w:type="pct"/>
            <w:tcBorders>
              <w:top w:val="nil"/>
              <w:bottom w:val="nil"/>
            </w:tcBorders>
            <w:noWrap/>
            <w:hideMark/>
          </w:tcPr>
          <w:p w14:paraId="2E6074B1" w14:textId="08DDE306" w:rsidR="00E30C57" w:rsidRPr="00341398" w:rsidRDefault="00E30C57" w:rsidP="004A582F">
            <w:pPr>
              <w:pStyle w:val="TableText"/>
              <w:rPr>
                <w:rFonts w:eastAsiaTheme="minorHAnsi" w:cstheme="minorBidi"/>
                <w:lang w:eastAsia="en-US"/>
              </w:rPr>
            </w:pPr>
            <w:r w:rsidRPr="00341398">
              <w:rPr>
                <w:rFonts w:eastAsiaTheme="minorHAnsi" w:cstheme="minorBidi"/>
                <w:lang w:eastAsia="en-US"/>
              </w:rPr>
              <w:t>56.5% female</w:t>
            </w:r>
            <w:r w:rsidR="004A582F">
              <w:rPr>
                <w:rFonts w:eastAsiaTheme="minorHAnsi" w:cstheme="minorBidi"/>
                <w:lang w:eastAsia="en-US"/>
              </w:rPr>
              <w:t xml:space="preserve"> (distribution of attendees &lt;30 years in TTANGO2)</w:t>
            </w:r>
            <w:r w:rsidRPr="00341398">
              <w:rPr>
                <w:rFonts w:eastAsiaTheme="minorHAnsi" w:cstheme="minorBidi"/>
                <w:lang w:eastAsia="en-US"/>
              </w:rPr>
              <w:t xml:space="preserve"> </w:t>
            </w:r>
            <w:r w:rsidRPr="00341398">
              <w:rPr>
                <w:rFonts w:eastAsiaTheme="minorHAnsi" w:cstheme="minorBidi"/>
                <w:b/>
                <w:lang w:eastAsia="en-US"/>
              </w:rPr>
              <w:t>(#1)</w:t>
            </w:r>
          </w:p>
        </w:tc>
        <w:tc>
          <w:tcPr>
            <w:tcW w:w="608" w:type="pct"/>
            <w:tcBorders>
              <w:top w:val="nil"/>
              <w:bottom w:val="nil"/>
            </w:tcBorders>
            <w:noWrap/>
            <w:hideMark/>
          </w:tcPr>
          <w:p w14:paraId="456969EA"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$34.68</w:t>
            </w:r>
          </w:p>
        </w:tc>
        <w:tc>
          <w:tcPr>
            <w:tcW w:w="514" w:type="pct"/>
            <w:tcBorders>
              <w:top w:val="nil"/>
              <w:bottom w:val="nil"/>
            </w:tcBorders>
            <w:noWrap/>
            <w:hideMark/>
          </w:tcPr>
          <w:p w14:paraId="78111803"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0.0012</w:t>
            </w:r>
          </w:p>
        </w:tc>
        <w:tc>
          <w:tcPr>
            <w:tcW w:w="529" w:type="pct"/>
            <w:tcBorders>
              <w:top w:val="nil"/>
              <w:bottom w:val="nil"/>
            </w:tcBorders>
            <w:noWrap/>
            <w:hideMark/>
          </w:tcPr>
          <w:p w14:paraId="42D31B68"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$29,856</w:t>
            </w:r>
          </w:p>
        </w:tc>
        <w:tc>
          <w:tcPr>
            <w:tcW w:w="443" w:type="pct"/>
            <w:tcBorders>
              <w:top w:val="nil"/>
              <w:bottom w:val="nil"/>
            </w:tcBorders>
            <w:noWrap/>
            <w:hideMark/>
          </w:tcPr>
          <w:p w14:paraId="37CF4969" w14:textId="77777777" w:rsidR="00E30C57" w:rsidRPr="00341398" w:rsidRDefault="00E30C57" w:rsidP="00D748F9">
            <w:pPr>
              <w:pStyle w:val="TableText"/>
              <w:jc w:val="right"/>
              <w:rPr>
                <w:rFonts w:eastAsiaTheme="minorHAnsi" w:cstheme="minorBidi"/>
                <w:lang w:eastAsia="en-US"/>
              </w:rPr>
            </w:pPr>
            <w:r w:rsidRPr="00341398">
              <w:t>46%</w:t>
            </w:r>
          </w:p>
        </w:tc>
      </w:tr>
      <w:tr w:rsidR="00E30C57" w:rsidRPr="00341398" w14:paraId="6194A660" w14:textId="77777777" w:rsidTr="004A582F">
        <w:trPr>
          <w:trHeight w:val="300"/>
        </w:trPr>
        <w:tc>
          <w:tcPr>
            <w:tcW w:w="2906" w:type="pct"/>
            <w:tcBorders>
              <w:top w:val="nil"/>
              <w:bottom w:val="single" w:sz="4" w:space="0" w:color="auto"/>
            </w:tcBorders>
            <w:noWrap/>
            <w:hideMark/>
          </w:tcPr>
          <w:p w14:paraId="0404AAF9" w14:textId="77777777"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100% female</w:t>
            </w:r>
          </w:p>
        </w:tc>
        <w:tc>
          <w:tcPr>
            <w:tcW w:w="608" w:type="pct"/>
            <w:tcBorders>
              <w:top w:val="nil"/>
              <w:bottom w:val="single" w:sz="4" w:space="0" w:color="auto"/>
            </w:tcBorders>
            <w:noWrap/>
            <w:hideMark/>
          </w:tcPr>
          <w:p w14:paraId="421FC9E7"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$6.43</w:t>
            </w:r>
          </w:p>
        </w:tc>
        <w:tc>
          <w:tcPr>
            <w:tcW w:w="514" w:type="pct"/>
            <w:tcBorders>
              <w:top w:val="nil"/>
              <w:bottom w:val="single" w:sz="4" w:space="0" w:color="auto"/>
            </w:tcBorders>
            <w:noWrap/>
            <w:hideMark/>
          </w:tcPr>
          <w:p w14:paraId="58918CA4"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0.0020</w:t>
            </w:r>
          </w:p>
        </w:tc>
        <w:tc>
          <w:tcPr>
            <w:tcW w:w="529" w:type="pct"/>
            <w:tcBorders>
              <w:top w:val="nil"/>
              <w:bottom w:val="single" w:sz="4" w:space="0" w:color="auto"/>
            </w:tcBorders>
            <w:noWrap/>
            <w:hideMark/>
          </w:tcPr>
          <w:p w14:paraId="62CD54BB"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$3,228</w:t>
            </w:r>
          </w:p>
        </w:tc>
        <w:tc>
          <w:tcPr>
            <w:tcW w:w="443" w:type="pct"/>
            <w:tcBorders>
              <w:top w:val="nil"/>
              <w:bottom w:val="single" w:sz="4" w:space="0" w:color="auto"/>
            </w:tcBorders>
            <w:noWrap/>
            <w:hideMark/>
          </w:tcPr>
          <w:p w14:paraId="7A386C03" w14:textId="77777777" w:rsidR="00E30C57" w:rsidRPr="00341398" w:rsidRDefault="00E30C57" w:rsidP="00D748F9">
            <w:pPr>
              <w:pStyle w:val="TableText"/>
              <w:jc w:val="right"/>
              <w:rPr>
                <w:rFonts w:eastAsiaTheme="minorHAnsi" w:cstheme="minorBidi"/>
                <w:lang w:eastAsia="en-US"/>
              </w:rPr>
            </w:pPr>
            <w:r w:rsidRPr="00341398">
              <w:t>−84%</w:t>
            </w:r>
          </w:p>
        </w:tc>
      </w:tr>
      <w:tr w:rsidR="004A582F" w:rsidRPr="00341398" w14:paraId="09F91B91" w14:textId="77777777" w:rsidTr="001F1B23">
        <w:trPr>
          <w:trHeight w:val="300"/>
        </w:trPr>
        <w:tc>
          <w:tcPr>
            <w:tcW w:w="2906" w:type="pct"/>
            <w:tcBorders>
              <w:top w:val="single" w:sz="4" w:space="0" w:color="auto"/>
              <w:bottom w:val="single" w:sz="4" w:space="0" w:color="auto"/>
              <w:right w:val="nil"/>
            </w:tcBorders>
            <w:noWrap/>
          </w:tcPr>
          <w:p w14:paraId="0218E7F9" w14:textId="23C8DFA4" w:rsidR="004A582F" w:rsidRPr="00341398" w:rsidRDefault="004A582F" w:rsidP="004A582F">
            <w:pPr>
              <w:pStyle w:val="TableText"/>
            </w:pPr>
            <w:r w:rsidRPr="00341398">
              <w:rPr>
                <w:rFonts w:eastAsiaTheme="minorHAnsi" w:cstheme="minorBidi"/>
                <w:lang w:eastAsia="en-US"/>
              </w:rPr>
              <w:t>Females with infections (</w:t>
            </w:r>
            <w:r>
              <w:rPr>
                <w:rFonts w:eastAsiaTheme="minorHAnsi" w:cstheme="minorBidi"/>
                <w:lang w:eastAsia="en-US"/>
              </w:rPr>
              <w:t xml:space="preserve">revised </w:t>
            </w:r>
            <w:r w:rsidRPr="00341398">
              <w:rPr>
                <w:rFonts w:eastAsiaTheme="minorHAnsi" w:cstheme="minorBidi"/>
                <w:lang w:eastAsia="en-US"/>
              </w:rPr>
              <w:t>base case: 35.8%)</w:t>
            </w:r>
          </w:p>
        </w:tc>
        <w:tc>
          <w:tcPr>
            <w:tcW w:w="608" w:type="pct"/>
            <w:tcBorders>
              <w:top w:val="single" w:sz="4" w:space="0" w:color="auto"/>
              <w:left w:val="nil"/>
              <w:bottom w:val="single" w:sz="4" w:space="0" w:color="auto"/>
              <w:right w:val="nil"/>
            </w:tcBorders>
            <w:noWrap/>
          </w:tcPr>
          <w:p w14:paraId="1087EE30" w14:textId="77777777" w:rsidR="004A582F" w:rsidRPr="00341398" w:rsidRDefault="004A582F" w:rsidP="00D748F9">
            <w:pPr>
              <w:pStyle w:val="TableText"/>
              <w:jc w:val="right"/>
            </w:pPr>
          </w:p>
        </w:tc>
        <w:tc>
          <w:tcPr>
            <w:tcW w:w="514" w:type="pct"/>
            <w:tcBorders>
              <w:top w:val="single" w:sz="4" w:space="0" w:color="auto"/>
              <w:left w:val="nil"/>
              <w:bottom w:val="single" w:sz="4" w:space="0" w:color="auto"/>
              <w:right w:val="nil"/>
            </w:tcBorders>
            <w:noWrap/>
          </w:tcPr>
          <w:p w14:paraId="49C959CB" w14:textId="77777777" w:rsidR="004A582F" w:rsidRPr="00341398" w:rsidRDefault="004A582F" w:rsidP="00D748F9">
            <w:pPr>
              <w:pStyle w:val="TableText"/>
              <w:jc w:val="right"/>
            </w:pPr>
          </w:p>
        </w:tc>
        <w:tc>
          <w:tcPr>
            <w:tcW w:w="529" w:type="pct"/>
            <w:tcBorders>
              <w:top w:val="single" w:sz="4" w:space="0" w:color="auto"/>
              <w:left w:val="nil"/>
              <w:bottom w:val="single" w:sz="4" w:space="0" w:color="auto"/>
              <w:right w:val="nil"/>
            </w:tcBorders>
            <w:noWrap/>
          </w:tcPr>
          <w:p w14:paraId="4C868D9F" w14:textId="77777777" w:rsidR="004A582F" w:rsidRPr="00341398" w:rsidRDefault="004A582F" w:rsidP="00D748F9">
            <w:pPr>
              <w:pStyle w:val="TableText"/>
              <w:jc w:val="right"/>
            </w:pPr>
          </w:p>
        </w:tc>
        <w:tc>
          <w:tcPr>
            <w:tcW w:w="443" w:type="pct"/>
            <w:tcBorders>
              <w:top w:val="single" w:sz="4" w:space="0" w:color="auto"/>
              <w:left w:val="nil"/>
              <w:bottom w:val="single" w:sz="4" w:space="0" w:color="auto"/>
            </w:tcBorders>
            <w:noWrap/>
          </w:tcPr>
          <w:p w14:paraId="60F3F489" w14:textId="77777777" w:rsidR="004A582F" w:rsidRPr="00341398" w:rsidRDefault="004A582F" w:rsidP="00D748F9">
            <w:pPr>
              <w:pStyle w:val="TableText"/>
              <w:jc w:val="right"/>
            </w:pPr>
          </w:p>
        </w:tc>
      </w:tr>
      <w:tr w:rsidR="00AA7C90" w:rsidRPr="00341398" w14:paraId="7BEC2371" w14:textId="77777777" w:rsidTr="001F1B23">
        <w:trPr>
          <w:trHeight w:val="300"/>
        </w:trPr>
        <w:tc>
          <w:tcPr>
            <w:tcW w:w="2906" w:type="pct"/>
            <w:tcBorders>
              <w:top w:val="single" w:sz="4" w:space="0" w:color="auto"/>
              <w:bottom w:val="nil"/>
            </w:tcBorders>
            <w:noWrap/>
          </w:tcPr>
          <w:p w14:paraId="6EE93ECE" w14:textId="08D430B7" w:rsidR="00AA7C90" w:rsidRPr="00341398" w:rsidRDefault="00AA7C90" w:rsidP="00AA7C90">
            <w:pPr>
              <w:pStyle w:val="TableText"/>
            </w:pPr>
            <w:r>
              <w:t>30% (default in model file)</w:t>
            </w:r>
          </w:p>
        </w:tc>
        <w:tc>
          <w:tcPr>
            <w:tcW w:w="608" w:type="pct"/>
            <w:tcBorders>
              <w:top w:val="single" w:sz="4" w:space="0" w:color="auto"/>
              <w:bottom w:val="nil"/>
            </w:tcBorders>
            <w:noWrap/>
          </w:tcPr>
          <w:p w14:paraId="051B699D" w14:textId="3745E2E4" w:rsidR="00AA7C90" w:rsidRPr="00341398" w:rsidRDefault="00AA7C90" w:rsidP="00AA7C90">
            <w:pPr>
              <w:pStyle w:val="TableText"/>
              <w:jc w:val="right"/>
            </w:pPr>
            <w:r w:rsidRPr="00E57B8C">
              <w:t>$37.76</w:t>
            </w:r>
          </w:p>
        </w:tc>
        <w:tc>
          <w:tcPr>
            <w:tcW w:w="514" w:type="pct"/>
            <w:tcBorders>
              <w:top w:val="single" w:sz="4" w:space="0" w:color="auto"/>
              <w:bottom w:val="nil"/>
            </w:tcBorders>
            <w:noWrap/>
          </w:tcPr>
          <w:p w14:paraId="07AF5A6B" w14:textId="0F1E1EAC" w:rsidR="00AA7C90" w:rsidRPr="00341398" w:rsidRDefault="00AA7C90" w:rsidP="00AA7C90">
            <w:pPr>
              <w:pStyle w:val="TableText"/>
              <w:jc w:val="right"/>
            </w:pPr>
            <w:r w:rsidRPr="00E57B8C">
              <w:t>0.0011</w:t>
            </w:r>
          </w:p>
        </w:tc>
        <w:tc>
          <w:tcPr>
            <w:tcW w:w="529" w:type="pct"/>
            <w:tcBorders>
              <w:top w:val="single" w:sz="4" w:space="0" w:color="auto"/>
              <w:bottom w:val="nil"/>
            </w:tcBorders>
            <w:noWrap/>
          </w:tcPr>
          <w:p w14:paraId="6D2C7F0E" w14:textId="118B57CC" w:rsidR="00AA7C90" w:rsidRPr="00341398" w:rsidRDefault="00AA7C90" w:rsidP="00AA7C90">
            <w:pPr>
              <w:pStyle w:val="TableText"/>
              <w:jc w:val="right"/>
            </w:pPr>
            <w:r w:rsidRPr="00E57B8C">
              <w:t>$32,956</w:t>
            </w:r>
          </w:p>
        </w:tc>
        <w:tc>
          <w:tcPr>
            <w:tcW w:w="443" w:type="pct"/>
            <w:tcBorders>
              <w:top w:val="single" w:sz="4" w:space="0" w:color="auto"/>
              <w:bottom w:val="nil"/>
            </w:tcBorders>
            <w:noWrap/>
          </w:tcPr>
          <w:p w14:paraId="5F13212A" w14:textId="29B3E023" w:rsidR="00AA7C90" w:rsidRPr="00341398" w:rsidRDefault="00AA7C90" w:rsidP="00AA7C90">
            <w:pPr>
              <w:pStyle w:val="TableText"/>
              <w:jc w:val="right"/>
            </w:pPr>
            <w:r w:rsidRPr="00E57B8C">
              <w:t>61%</w:t>
            </w:r>
          </w:p>
        </w:tc>
      </w:tr>
      <w:tr w:rsidR="00E30C57" w:rsidRPr="00341398" w14:paraId="2116C431" w14:textId="77777777" w:rsidTr="001F1B23">
        <w:trPr>
          <w:trHeight w:val="300"/>
        </w:trPr>
        <w:tc>
          <w:tcPr>
            <w:tcW w:w="2906" w:type="pct"/>
            <w:tcBorders>
              <w:top w:val="nil"/>
            </w:tcBorders>
            <w:noWrap/>
            <w:hideMark/>
          </w:tcPr>
          <w:p w14:paraId="1EBF914F" w14:textId="6218556C" w:rsidR="00E30C57" w:rsidRPr="00341398" w:rsidRDefault="00E30C57" w:rsidP="004A582F">
            <w:pPr>
              <w:pStyle w:val="TableText"/>
              <w:rPr>
                <w:rFonts w:eastAsiaTheme="minorHAnsi" w:cstheme="minorBidi"/>
                <w:lang w:eastAsia="en-US"/>
              </w:rPr>
            </w:pPr>
            <w:r w:rsidRPr="00341398">
              <w:rPr>
                <w:rFonts w:eastAsiaTheme="minorHAnsi" w:cstheme="minorBidi"/>
                <w:lang w:eastAsia="en-US"/>
              </w:rPr>
              <w:t>40.6%</w:t>
            </w:r>
            <w:r w:rsidR="004A582F">
              <w:rPr>
                <w:rFonts w:eastAsiaTheme="minorHAnsi" w:cstheme="minorBidi"/>
                <w:lang w:eastAsia="en-US"/>
              </w:rPr>
              <w:t xml:space="preserve"> (any infections in &lt;30 years reported in Guy et al. (</w:t>
            </w:r>
            <w:proofErr w:type="gramStart"/>
            <w:r w:rsidR="004A582F">
              <w:rPr>
                <w:rFonts w:eastAsiaTheme="minorHAnsi" w:cstheme="minorBidi"/>
                <w:lang w:eastAsia="en-US"/>
              </w:rPr>
              <w:t>2015)</w:t>
            </w:r>
            <w:r w:rsidR="00F725FF" w:rsidRPr="001F1B23">
              <w:rPr>
                <w:rFonts w:eastAsiaTheme="minorHAnsi" w:cstheme="minorBidi"/>
                <w:vertAlign w:val="superscript"/>
                <w:lang w:eastAsia="en-US"/>
              </w:rPr>
              <w:t>a</w:t>
            </w:r>
            <w:proofErr w:type="gramEnd"/>
            <w:r w:rsidR="004A582F">
              <w:rPr>
                <w:rFonts w:eastAsiaTheme="minorHAnsi" w:cstheme="minorBidi"/>
                <w:lang w:eastAsia="en-US"/>
              </w:rPr>
              <w:t>)</w:t>
            </w:r>
          </w:p>
        </w:tc>
        <w:tc>
          <w:tcPr>
            <w:tcW w:w="608" w:type="pct"/>
            <w:tcBorders>
              <w:top w:val="nil"/>
            </w:tcBorders>
            <w:noWrap/>
            <w:hideMark/>
          </w:tcPr>
          <w:p w14:paraId="363654C6"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$19.66</w:t>
            </w:r>
          </w:p>
        </w:tc>
        <w:tc>
          <w:tcPr>
            <w:tcW w:w="514" w:type="pct"/>
            <w:tcBorders>
              <w:top w:val="nil"/>
            </w:tcBorders>
            <w:noWrap/>
            <w:hideMark/>
          </w:tcPr>
          <w:p w14:paraId="5D5EF7EF"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0.0015</w:t>
            </w:r>
          </w:p>
        </w:tc>
        <w:tc>
          <w:tcPr>
            <w:tcW w:w="529" w:type="pct"/>
            <w:tcBorders>
              <w:top w:val="nil"/>
            </w:tcBorders>
            <w:noWrap/>
            <w:hideMark/>
          </w:tcPr>
          <w:p w14:paraId="1F5A7B05"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$12,760</w:t>
            </w:r>
          </w:p>
        </w:tc>
        <w:tc>
          <w:tcPr>
            <w:tcW w:w="443" w:type="pct"/>
            <w:tcBorders>
              <w:top w:val="nil"/>
            </w:tcBorders>
            <w:noWrap/>
            <w:hideMark/>
          </w:tcPr>
          <w:p w14:paraId="6D2E3792" w14:textId="77777777" w:rsidR="00E30C57" w:rsidRPr="00341398" w:rsidRDefault="00E30C57" w:rsidP="00D748F9">
            <w:pPr>
              <w:pStyle w:val="TableText"/>
              <w:jc w:val="right"/>
              <w:rPr>
                <w:rFonts w:eastAsiaTheme="minorHAnsi" w:cstheme="minorBidi"/>
                <w:lang w:eastAsia="en-US"/>
              </w:rPr>
            </w:pPr>
            <w:r w:rsidRPr="00341398">
              <w:t>−38%</w:t>
            </w:r>
          </w:p>
        </w:tc>
      </w:tr>
      <w:tr w:rsidR="00F725FF" w:rsidRPr="00341398" w14:paraId="4BFDA763" w14:textId="77777777" w:rsidTr="00D748F9">
        <w:trPr>
          <w:trHeight w:val="300"/>
        </w:trPr>
        <w:tc>
          <w:tcPr>
            <w:tcW w:w="2906" w:type="pct"/>
            <w:noWrap/>
          </w:tcPr>
          <w:p w14:paraId="01A0FE70" w14:textId="01C31201" w:rsidR="00F725FF" w:rsidRPr="00341398" w:rsidDel="004A582F" w:rsidRDefault="00F725FF" w:rsidP="00F725FF">
            <w:pPr>
              <w:pStyle w:val="TableText"/>
            </w:pPr>
            <w:r w:rsidRPr="00046F40">
              <w:t>Females with infections, 30%, and males with infections, 25%</w:t>
            </w:r>
            <w:r>
              <w:t xml:space="preserve"> (default in model file) (revised base case: 35.8% and 29%, respectively)</w:t>
            </w:r>
          </w:p>
        </w:tc>
        <w:tc>
          <w:tcPr>
            <w:tcW w:w="608" w:type="pct"/>
            <w:noWrap/>
          </w:tcPr>
          <w:p w14:paraId="184DC6E3" w14:textId="1E8C32D5" w:rsidR="00F725FF" w:rsidRPr="00341398" w:rsidRDefault="00F725FF" w:rsidP="00F725FF">
            <w:pPr>
              <w:pStyle w:val="TableText"/>
              <w:jc w:val="right"/>
            </w:pPr>
            <w:r w:rsidRPr="00046F40">
              <w:t>$37.84</w:t>
            </w:r>
          </w:p>
        </w:tc>
        <w:tc>
          <w:tcPr>
            <w:tcW w:w="514" w:type="pct"/>
            <w:noWrap/>
          </w:tcPr>
          <w:p w14:paraId="7AD3AEC8" w14:textId="0386D5BF" w:rsidR="00F725FF" w:rsidRPr="00341398" w:rsidRDefault="00F725FF" w:rsidP="00F725FF">
            <w:pPr>
              <w:pStyle w:val="TableText"/>
              <w:jc w:val="right"/>
            </w:pPr>
            <w:r w:rsidRPr="00046F40">
              <w:t>0.0011</w:t>
            </w:r>
          </w:p>
        </w:tc>
        <w:tc>
          <w:tcPr>
            <w:tcW w:w="529" w:type="pct"/>
            <w:noWrap/>
          </w:tcPr>
          <w:p w14:paraId="25E51C77" w14:textId="66C2B4FC" w:rsidR="00F725FF" w:rsidRPr="00341398" w:rsidRDefault="00F725FF" w:rsidP="00F725FF">
            <w:pPr>
              <w:pStyle w:val="TableText"/>
              <w:jc w:val="right"/>
            </w:pPr>
            <w:r w:rsidRPr="00046F40">
              <w:t>$33,137</w:t>
            </w:r>
          </w:p>
        </w:tc>
        <w:tc>
          <w:tcPr>
            <w:tcW w:w="443" w:type="pct"/>
            <w:noWrap/>
          </w:tcPr>
          <w:p w14:paraId="6181CF61" w14:textId="56A61504" w:rsidR="00F725FF" w:rsidRPr="00341398" w:rsidRDefault="00F725FF" w:rsidP="00F725FF">
            <w:pPr>
              <w:pStyle w:val="TableText"/>
              <w:jc w:val="right"/>
            </w:pPr>
            <w:r w:rsidRPr="00046F40">
              <w:t>62%</w:t>
            </w:r>
          </w:p>
        </w:tc>
      </w:tr>
      <w:tr w:rsidR="00E30C57" w:rsidRPr="00341398" w14:paraId="4EA0A715" w14:textId="77777777" w:rsidTr="00D748F9">
        <w:trPr>
          <w:trHeight w:val="300"/>
        </w:trPr>
        <w:tc>
          <w:tcPr>
            <w:tcW w:w="2906" w:type="pct"/>
            <w:noWrap/>
            <w:hideMark/>
          </w:tcPr>
          <w:p w14:paraId="017151DD" w14:textId="4465CD8A"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 xml:space="preserve">Proportion of males who are symptomatic at time of testing, 27% </w:t>
            </w:r>
            <w:r w:rsidR="004A582F">
              <w:rPr>
                <w:rFonts w:eastAsiaTheme="minorHAnsi" w:cstheme="minorBidi"/>
                <w:lang w:eastAsia="en-US"/>
              </w:rPr>
              <w:t xml:space="preserve">(as per Table 12 of the ADAR) </w:t>
            </w:r>
            <w:r w:rsidRPr="00341398">
              <w:rPr>
                <w:rFonts w:eastAsiaTheme="minorHAnsi" w:cstheme="minorBidi"/>
                <w:lang w:eastAsia="en-US"/>
              </w:rPr>
              <w:t xml:space="preserve">(base case: 37%) </w:t>
            </w:r>
            <w:r w:rsidRPr="00341398">
              <w:rPr>
                <w:rFonts w:eastAsiaTheme="minorHAnsi" w:cstheme="minorBidi"/>
                <w:b/>
                <w:lang w:eastAsia="en-US"/>
              </w:rPr>
              <w:t>(#2)</w:t>
            </w:r>
          </w:p>
        </w:tc>
        <w:tc>
          <w:tcPr>
            <w:tcW w:w="608" w:type="pct"/>
            <w:noWrap/>
            <w:hideMark/>
          </w:tcPr>
          <w:p w14:paraId="735E3864"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$25.58</w:t>
            </w:r>
          </w:p>
        </w:tc>
        <w:tc>
          <w:tcPr>
            <w:tcW w:w="514" w:type="pct"/>
            <w:noWrap/>
            <w:hideMark/>
          </w:tcPr>
          <w:p w14:paraId="00A63B82"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0.0014</w:t>
            </w:r>
          </w:p>
        </w:tc>
        <w:tc>
          <w:tcPr>
            <w:tcW w:w="529" w:type="pct"/>
            <w:noWrap/>
            <w:hideMark/>
          </w:tcPr>
          <w:p w14:paraId="0445ADE4"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$18,719</w:t>
            </w:r>
          </w:p>
        </w:tc>
        <w:tc>
          <w:tcPr>
            <w:tcW w:w="443" w:type="pct"/>
            <w:noWrap/>
            <w:hideMark/>
          </w:tcPr>
          <w:p w14:paraId="002CB822" w14:textId="77777777" w:rsidR="00E30C57" w:rsidRPr="00341398" w:rsidRDefault="00E30C57" w:rsidP="00D748F9">
            <w:pPr>
              <w:pStyle w:val="TableText"/>
              <w:jc w:val="right"/>
              <w:rPr>
                <w:rFonts w:eastAsiaTheme="minorHAnsi" w:cstheme="minorBidi"/>
                <w:lang w:eastAsia="en-US"/>
              </w:rPr>
            </w:pPr>
            <w:r w:rsidRPr="00341398">
              <w:t>−8%</w:t>
            </w:r>
          </w:p>
        </w:tc>
      </w:tr>
      <w:tr w:rsidR="00E30C57" w:rsidRPr="00341398" w14:paraId="572436F7" w14:textId="77777777" w:rsidTr="00D748F9">
        <w:trPr>
          <w:trHeight w:val="300"/>
        </w:trPr>
        <w:tc>
          <w:tcPr>
            <w:tcW w:w="2906" w:type="pct"/>
            <w:noWrap/>
            <w:hideMark/>
          </w:tcPr>
          <w:p w14:paraId="0436AA13" w14:textId="531FE2E1" w:rsidR="00E30C57" w:rsidRPr="00341398" w:rsidRDefault="00E30C57" w:rsidP="004A582F">
            <w:pPr>
              <w:pStyle w:val="TableText"/>
              <w:rPr>
                <w:rFonts w:eastAsiaTheme="minorHAnsi" w:cstheme="minorBidi"/>
                <w:lang w:eastAsia="en-US"/>
              </w:rPr>
            </w:pPr>
            <w:r w:rsidRPr="00341398">
              <w:rPr>
                <w:rFonts w:eastAsiaTheme="minorHAnsi" w:cstheme="minorBidi"/>
                <w:lang w:eastAsia="en-US"/>
              </w:rPr>
              <w:t>Uptake of testing in asymptomatic females, 24.6%</w:t>
            </w:r>
            <w:r w:rsidR="004A582F">
              <w:rPr>
                <w:rFonts w:eastAsiaTheme="minorHAnsi" w:cstheme="minorBidi"/>
                <w:lang w:eastAsia="en-US"/>
              </w:rPr>
              <w:t xml:space="preserve"> (average female &lt;30 years testing rate in TTANGO2)</w:t>
            </w:r>
            <w:r w:rsidRPr="00341398">
              <w:rPr>
                <w:rFonts w:eastAsiaTheme="minorHAnsi" w:cstheme="minorBidi"/>
                <w:lang w:eastAsia="en-US"/>
              </w:rPr>
              <w:t xml:space="preserve"> (base case: 45%)</w:t>
            </w:r>
          </w:p>
        </w:tc>
        <w:tc>
          <w:tcPr>
            <w:tcW w:w="608" w:type="pct"/>
            <w:noWrap/>
            <w:hideMark/>
          </w:tcPr>
          <w:p w14:paraId="40275858"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$15.23</w:t>
            </w:r>
          </w:p>
        </w:tc>
        <w:tc>
          <w:tcPr>
            <w:tcW w:w="514" w:type="pct"/>
            <w:noWrap/>
            <w:hideMark/>
          </w:tcPr>
          <w:p w14:paraId="4074FFB6"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0.0008</w:t>
            </w:r>
          </w:p>
        </w:tc>
        <w:tc>
          <w:tcPr>
            <w:tcW w:w="529" w:type="pct"/>
            <w:noWrap/>
            <w:hideMark/>
          </w:tcPr>
          <w:p w14:paraId="6382B77E"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$17,967</w:t>
            </w:r>
          </w:p>
        </w:tc>
        <w:tc>
          <w:tcPr>
            <w:tcW w:w="443" w:type="pct"/>
            <w:noWrap/>
            <w:hideMark/>
          </w:tcPr>
          <w:p w14:paraId="28C63677" w14:textId="77777777" w:rsidR="00E30C57" w:rsidRPr="00341398" w:rsidRDefault="00E30C57" w:rsidP="00D748F9">
            <w:pPr>
              <w:pStyle w:val="TableText"/>
              <w:jc w:val="right"/>
              <w:rPr>
                <w:rFonts w:eastAsiaTheme="minorHAnsi" w:cstheme="minorBidi"/>
                <w:lang w:eastAsia="en-US"/>
              </w:rPr>
            </w:pPr>
            <w:r w:rsidRPr="00341398">
              <w:t>−12%</w:t>
            </w:r>
          </w:p>
        </w:tc>
      </w:tr>
      <w:tr w:rsidR="00E30C57" w:rsidRPr="00341398" w14:paraId="3A6DC170" w14:textId="77777777" w:rsidTr="00D748F9">
        <w:trPr>
          <w:trHeight w:val="300"/>
        </w:trPr>
        <w:tc>
          <w:tcPr>
            <w:tcW w:w="2906" w:type="pct"/>
            <w:noWrap/>
            <w:hideMark/>
          </w:tcPr>
          <w:p w14:paraId="235D835D" w14:textId="620C11CF" w:rsidR="00E30C57" w:rsidRPr="00341398" w:rsidRDefault="00E30C57" w:rsidP="004A582F">
            <w:pPr>
              <w:pStyle w:val="TableText"/>
              <w:rPr>
                <w:rFonts w:eastAsiaTheme="minorHAnsi" w:cstheme="minorBidi"/>
                <w:lang w:eastAsia="en-US"/>
              </w:rPr>
            </w:pPr>
            <w:r w:rsidRPr="00341398">
              <w:rPr>
                <w:rFonts w:eastAsiaTheme="minorHAnsi" w:cstheme="minorBidi"/>
                <w:lang w:eastAsia="en-US"/>
              </w:rPr>
              <w:t xml:space="preserve">Uptake of testing in asymptomatic males, 17.1% </w:t>
            </w:r>
            <w:r w:rsidR="004A582F">
              <w:rPr>
                <w:rFonts w:eastAsiaTheme="minorHAnsi" w:cstheme="minorBidi"/>
                <w:lang w:eastAsia="en-US"/>
              </w:rPr>
              <w:t>(average male &lt;30 years testing rate in TTANGO2)</w:t>
            </w:r>
            <w:r w:rsidR="004A582F" w:rsidRPr="00341398">
              <w:rPr>
                <w:rFonts w:eastAsiaTheme="minorHAnsi" w:cstheme="minorBidi"/>
                <w:lang w:eastAsia="en-US"/>
              </w:rPr>
              <w:t xml:space="preserve"> </w:t>
            </w:r>
            <w:r w:rsidRPr="00341398">
              <w:rPr>
                <w:rFonts w:eastAsiaTheme="minorHAnsi" w:cstheme="minorBidi"/>
                <w:lang w:eastAsia="en-US"/>
              </w:rPr>
              <w:t>(base case: 35%)</w:t>
            </w:r>
          </w:p>
        </w:tc>
        <w:tc>
          <w:tcPr>
            <w:tcW w:w="608" w:type="pct"/>
            <w:noWrap/>
            <w:hideMark/>
          </w:tcPr>
          <w:p w14:paraId="55855443"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$19.17</w:t>
            </w:r>
          </w:p>
        </w:tc>
        <w:tc>
          <w:tcPr>
            <w:tcW w:w="514" w:type="pct"/>
            <w:noWrap/>
            <w:hideMark/>
          </w:tcPr>
          <w:p w14:paraId="76FE6122"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0.0013</w:t>
            </w:r>
          </w:p>
        </w:tc>
        <w:tc>
          <w:tcPr>
            <w:tcW w:w="529" w:type="pct"/>
            <w:noWrap/>
            <w:hideMark/>
          </w:tcPr>
          <w:p w14:paraId="17E14A8B"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$14,220</w:t>
            </w:r>
          </w:p>
        </w:tc>
        <w:tc>
          <w:tcPr>
            <w:tcW w:w="443" w:type="pct"/>
            <w:noWrap/>
            <w:hideMark/>
          </w:tcPr>
          <w:p w14:paraId="38F56D45" w14:textId="77777777" w:rsidR="00E30C57" w:rsidRPr="00341398" w:rsidRDefault="00E30C57" w:rsidP="00D748F9">
            <w:pPr>
              <w:pStyle w:val="TableText"/>
              <w:jc w:val="right"/>
              <w:rPr>
                <w:rFonts w:eastAsiaTheme="minorHAnsi" w:cstheme="minorBidi"/>
                <w:lang w:eastAsia="en-US"/>
              </w:rPr>
            </w:pPr>
            <w:r w:rsidRPr="00341398">
              <w:t>−30%</w:t>
            </w:r>
          </w:p>
        </w:tc>
      </w:tr>
      <w:tr w:rsidR="00E30C57" w:rsidRPr="00341398" w14:paraId="05F76E74" w14:textId="77777777" w:rsidTr="00D748F9">
        <w:trPr>
          <w:trHeight w:val="300"/>
        </w:trPr>
        <w:tc>
          <w:tcPr>
            <w:tcW w:w="2906" w:type="pct"/>
            <w:noWrap/>
            <w:hideMark/>
          </w:tcPr>
          <w:p w14:paraId="1FA2C992" w14:textId="7389C6BA"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 xml:space="preserve">Incidence of pre-term birth in untreated pregnant females, 3.9% </w:t>
            </w:r>
            <w:r w:rsidR="004A582F">
              <w:rPr>
                <w:rFonts w:eastAsiaTheme="minorHAnsi" w:cstheme="minorBidi"/>
                <w:lang w:eastAsia="en-US"/>
              </w:rPr>
              <w:t xml:space="preserve">(see </w:t>
            </w:r>
            <w:r w:rsidR="004A582F">
              <w:fldChar w:fldCharType="begin"/>
            </w:r>
            <w:r w:rsidR="004A582F">
              <w:rPr>
                <w:rFonts w:eastAsiaTheme="minorHAnsi" w:cstheme="minorBidi"/>
                <w:lang w:eastAsia="en-US"/>
              </w:rPr>
              <w:instrText xml:space="preserve"> REF _Ref69726321 \h </w:instrText>
            </w:r>
            <w:r w:rsidR="004A582F">
              <w:fldChar w:fldCharType="separate"/>
            </w:r>
            <w:r w:rsidR="004A582F" w:rsidRPr="00E30C57">
              <w:t>Table</w:t>
            </w:r>
            <w:r w:rsidR="004A582F">
              <w:t xml:space="preserve"> </w:t>
            </w:r>
            <w:r w:rsidR="004A582F">
              <w:rPr>
                <w:noProof/>
              </w:rPr>
              <w:t>14</w:t>
            </w:r>
            <w:r w:rsidR="004A582F">
              <w:fldChar w:fldCharType="end"/>
            </w:r>
            <w:r w:rsidR="004A582F">
              <w:rPr>
                <w:rFonts w:eastAsiaTheme="minorHAnsi" w:cstheme="minorBidi"/>
                <w:lang w:eastAsia="en-US"/>
              </w:rPr>
              <w:t xml:space="preserve">) </w:t>
            </w:r>
            <w:r w:rsidRPr="00341398">
              <w:rPr>
                <w:rFonts w:eastAsiaTheme="minorHAnsi" w:cstheme="minorBidi"/>
                <w:lang w:eastAsia="en-US"/>
              </w:rPr>
              <w:t xml:space="preserve">(base case: 28%) </w:t>
            </w:r>
            <w:r w:rsidRPr="00341398">
              <w:rPr>
                <w:rFonts w:eastAsiaTheme="minorHAnsi" w:cstheme="minorBidi"/>
                <w:b/>
                <w:lang w:eastAsia="en-US"/>
              </w:rPr>
              <w:t>(#3)</w:t>
            </w:r>
          </w:p>
        </w:tc>
        <w:tc>
          <w:tcPr>
            <w:tcW w:w="608" w:type="pct"/>
            <w:noWrap/>
            <w:hideMark/>
          </w:tcPr>
          <w:p w14:paraId="431B9E63"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$53.17</w:t>
            </w:r>
          </w:p>
        </w:tc>
        <w:tc>
          <w:tcPr>
            <w:tcW w:w="514" w:type="pct"/>
            <w:noWrap/>
            <w:hideMark/>
          </w:tcPr>
          <w:p w14:paraId="15980639"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0.0014</w:t>
            </w:r>
          </w:p>
        </w:tc>
        <w:tc>
          <w:tcPr>
            <w:tcW w:w="529" w:type="pct"/>
            <w:noWrap/>
            <w:hideMark/>
          </w:tcPr>
          <w:p w14:paraId="04336C69"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$39,278</w:t>
            </w:r>
          </w:p>
        </w:tc>
        <w:tc>
          <w:tcPr>
            <w:tcW w:w="443" w:type="pct"/>
            <w:noWrap/>
            <w:hideMark/>
          </w:tcPr>
          <w:p w14:paraId="43D2B85C" w14:textId="77777777" w:rsidR="00E30C57" w:rsidRPr="00341398" w:rsidRDefault="00E30C57" w:rsidP="00D748F9">
            <w:pPr>
              <w:pStyle w:val="TableText"/>
              <w:jc w:val="right"/>
              <w:rPr>
                <w:rFonts w:eastAsiaTheme="minorHAnsi" w:cstheme="minorBidi"/>
                <w:lang w:eastAsia="en-US"/>
              </w:rPr>
            </w:pPr>
            <w:r w:rsidRPr="00341398">
              <w:t>92%</w:t>
            </w:r>
          </w:p>
        </w:tc>
      </w:tr>
      <w:tr w:rsidR="00E30C57" w:rsidRPr="00341398" w14:paraId="40E69275" w14:textId="77777777" w:rsidTr="00D748F9">
        <w:trPr>
          <w:trHeight w:val="300"/>
        </w:trPr>
        <w:tc>
          <w:tcPr>
            <w:tcW w:w="2906" w:type="pct"/>
            <w:noWrap/>
            <w:hideMark/>
          </w:tcPr>
          <w:p w14:paraId="00550121" w14:textId="374F7024"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Incidence of PROM in untreated pregnant females, 0.3%</w:t>
            </w:r>
            <w:r w:rsidR="00790F8D" w:rsidRPr="00790F8D">
              <w:rPr>
                <w:rFonts w:eastAsiaTheme="minorHAnsi" w:cstheme="minorBidi"/>
                <w:vertAlign w:val="superscript"/>
                <w:lang w:eastAsia="en-US"/>
              </w:rPr>
              <w:t>c</w:t>
            </w:r>
            <w:r w:rsidRPr="00341398">
              <w:rPr>
                <w:rFonts w:eastAsiaTheme="minorHAnsi" w:cstheme="minorBidi"/>
                <w:lang w:eastAsia="en-US"/>
              </w:rPr>
              <w:t xml:space="preserve"> (base case: 10%) </w:t>
            </w:r>
            <w:r w:rsidRPr="00341398">
              <w:rPr>
                <w:rFonts w:eastAsiaTheme="minorHAnsi" w:cstheme="minorBidi"/>
                <w:b/>
                <w:lang w:eastAsia="en-US"/>
              </w:rPr>
              <w:t>(#3)</w:t>
            </w:r>
          </w:p>
        </w:tc>
        <w:tc>
          <w:tcPr>
            <w:tcW w:w="608" w:type="pct"/>
            <w:noWrap/>
            <w:hideMark/>
          </w:tcPr>
          <w:p w14:paraId="5819102D"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$31.85</w:t>
            </w:r>
          </w:p>
        </w:tc>
        <w:tc>
          <w:tcPr>
            <w:tcW w:w="514" w:type="pct"/>
            <w:noWrap/>
            <w:hideMark/>
          </w:tcPr>
          <w:p w14:paraId="548E693C"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0.0014</w:t>
            </w:r>
          </w:p>
        </w:tc>
        <w:tc>
          <w:tcPr>
            <w:tcW w:w="529" w:type="pct"/>
            <w:noWrap/>
            <w:hideMark/>
          </w:tcPr>
          <w:p w14:paraId="766817AF"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$23,366</w:t>
            </w:r>
          </w:p>
        </w:tc>
        <w:tc>
          <w:tcPr>
            <w:tcW w:w="443" w:type="pct"/>
            <w:noWrap/>
            <w:hideMark/>
          </w:tcPr>
          <w:p w14:paraId="12617C34" w14:textId="77777777" w:rsidR="00E30C57" w:rsidRPr="00341398" w:rsidRDefault="00E30C57" w:rsidP="00D748F9">
            <w:pPr>
              <w:pStyle w:val="TableText"/>
              <w:jc w:val="right"/>
              <w:rPr>
                <w:rFonts w:eastAsiaTheme="minorHAnsi" w:cstheme="minorBidi"/>
                <w:lang w:eastAsia="en-US"/>
              </w:rPr>
            </w:pPr>
            <w:r w:rsidRPr="00341398">
              <w:t>14%</w:t>
            </w:r>
          </w:p>
        </w:tc>
      </w:tr>
      <w:tr w:rsidR="00E30C57" w:rsidRPr="00341398" w14:paraId="0A59FC43" w14:textId="77777777" w:rsidTr="00D748F9">
        <w:trPr>
          <w:trHeight w:val="300"/>
        </w:trPr>
        <w:tc>
          <w:tcPr>
            <w:tcW w:w="2906" w:type="pct"/>
            <w:noWrap/>
          </w:tcPr>
          <w:p w14:paraId="688D7BDA" w14:textId="5A91EA4C" w:rsidR="00E30C57" w:rsidRPr="00341398" w:rsidRDefault="00E30C57" w:rsidP="004A582F">
            <w:pPr>
              <w:pStyle w:val="TableText"/>
            </w:pPr>
            <w:r w:rsidRPr="00826E22">
              <w:t xml:space="preserve">Proportion preterm births classed as moderately preterm, 9.6% </w:t>
            </w:r>
            <w:r w:rsidR="004A582F">
              <w:t xml:space="preserve">(Newnham et al. </w:t>
            </w:r>
            <w:proofErr w:type="gramStart"/>
            <w:r w:rsidR="004A582F">
              <w:t>2022)</w:t>
            </w:r>
            <w:r w:rsidR="00F725FF" w:rsidRPr="001F1B23">
              <w:rPr>
                <w:vertAlign w:val="superscript"/>
              </w:rPr>
              <w:t>b</w:t>
            </w:r>
            <w:proofErr w:type="gramEnd"/>
            <w:r w:rsidR="004A582F">
              <w:t xml:space="preserve"> </w:t>
            </w:r>
            <w:r w:rsidRPr="00826E22">
              <w:t>(base case: 41%)</w:t>
            </w:r>
          </w:p>
        </w:tc>
        <w:tc>
          <w:tcPr>
            <w:tcW w:w="608" w:type="pct"/>
            <w:noWrap/>
          </w:tcPr>
          <w:p w14:paraId="16D542DF" w14:textId="77777777" w:rsidR="00E30C57" w:rsidRPr="00341398" w:rsidRDefault="00E30C57" w:rsidP="00D748F9">
            <w:pPr>
              <w:pStyle w:val="TableText"/>
              <w:jc w:val="right"/>
            </w:pPr>
            <w:r w:rsidRPr="00826E22">
              <w:t>$34.83</w:t>
            </w:r>
          </w:p>
        </w:tc>
        <w:tc>
          <w:tcPr>
            <w:tcW w:w="514" w:type="pct"/>
            <w:noWrap/>
          </w:tcPr>
          <w:p w14:paraId="0E733557" w14:textId="77777777" w:rsidR="00E30C57" w:rsidRPr="00341398" w:rsidRDefault="00E30C57" w:rsidP="00D748F9">
            <w:pPr>
              <w:pStyle w:val="TableText"/>
              <w:jc w:val="right"/>
            </w:pPr>
            <w:r w:rsidRPr="00826E22">
              <w:t>0.0014</w:t>
            </w:r>
          </w:p>
        </w:tc>
        <w:tc>
          <w:tcPr>
            <w:tcW w:w="529" w:type="pct"/>
            <w:noWrap/>
          </w:tcPr>
          <w:p w14:paraId="74D1F34A" w14:textId="77777777" w:rsidR="00E30C57" w:rsidRPr="00341398" w:rsidRDefault="00E30C57" w:rsidP="00D748F9">
            <w:pPr>
              <w:pStyle w:val="TableText"/>
              <w:jc w:val="right"/>
            </w:pPr>
            <w:r w:rsidRPr="00826E22">
              <w:t>$25,570</w:t>
            </w:r>
          </w:p>
        </w:tc>
        <w:tc>
          <w:tcPr>
            <w:tcW w:w="443" w:type="pct"/>
            <w:noWrap/>
          </w:tcPr>
          <w:p w14:paraId="356F4FED" w14:textId="77777777" w:rsidR="00E30C57" w:rsidRPr="00341398" w:rsidRDefault="00E30C57" w:rsidP="00D748F9">
            <w:pPr>
              <w:pStyle w:val="TableText"/>
              <w:jc w:val="right"/>
            </w:pPr>
            <w:r w:rsidRPr="00826E22">
              <w:t>25%</w:t>
            </w:r>
          </w:p>
        </w:tc>
      </w:tr>
      <w:tr w:rsidR="00E30C57" w:rsidRPr="00341398" w14:paraId="36B2850E" w14:textId="77777777" w:rsidTr="00D748F9">
        <w:trPr>
          <w:trHeight w:val="300"/>
        </w:trPr>
        <w:tc>
          <w:tcPr>
            <w:tcW w:w="2906" w:type="pct"/>
            <w:noWrap/>
            <w:hideMark/>
          </w:tcPr>
          <w:p w14:paraId="392F3C8E" w14:textId="11A080B6"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 xml:space="preserve">Exclude </w:t>
            </w:r>
            <w:r w:rsidR="004A582F">
              <w:rPr>
                <w:rFonts w:eastAsiaTheme="minorHAnsi" w:cstheme="minorBidi"/>
                <w:lang w:eastAsia="en-US"/>
              </w:rPr>
              <w:t xml:space="preserve">indirect health care </w:t>
            </w:r>
            <w:r w:rsidRPr="00341398">
              <w:rPr>
                <w:rFonts w:eastAsiaTheme="minorHAnsi" w:cstheme="minorBidi"/>
                <w:lang w:eastAsia="en-US"/>
              </w:rPr>
              <w:t>air evacuation costs</w:t>
            </w:r>
          </w:p>
        </w:tc>
        <w:tc>
          <w:tcPr>
            <w:tcW w:w="608" w:type="pct"/>
            <w:noWrap/>
            <w:hideMark/>
          </w:tcPr>
          <w:p w14:paraId="6432DF7D"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$55.79</w:t>
            </w:r>
          </w:p>
        </w:tc>
        <w:tc>
          <w:tcPr>
            <w:tcW w:w="514" w:type="pct"/>
            <w:noWrap/>
            <w:hideMark/>
          </w:tcPr>
          <w:p w14:paraId="0EB49854"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0.0014</w:t>
            </w:r>
          </w:p>
        </w:tc>
        <w:tc>
          <w:tcPr>
            <w:tcW w:w="529" w:type="pct"/>
            <w:noWrap/>
            <w:hideMark/>
          </w:tcPr>
          <w:p w14:paraId="414480CB"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$40,963</w:t>
            </w:r>
          </w:p>
        </w:tc>
        <w:tc>
          <w:tcPr>
            <w:tcW w:w="443" w:type="pct"/>
            <w:noWrap/>
            <w:hideMark/>
          </w:tcPr>
          <w:p w14:paraId="7C0DC103" w14:textId="77777777" w:rsidR="00E30C57" w:rsidRPr="00341398" w:rsidRDefault="00E30C57" w:rsidP="00D748F9">
            <w:pPr>
              <w:pStyle w:val="TableText"/>
              <w:jc w:val="right"/>
              <w:rPr>
                <w:rFonts w:eastAsiaTheme="minorHAnsi" w:cstheme="minorBidi"/>
                <w:lang w:eastAsia="en-US"/>
              </w:rPr>
            </w:pPr>
            <w:r w:rsidRPr="00341398">
              <w:t>100%</w:t>
            </w:r>
          </w:p>
        </w:tc>
      </w:tr>
      <w:tr w:rsidR="00E30C57" w:rsidRPr="00341398" w14:paraId="7DB4BB61" w14:textId="77777777" w:rsidTr="00D748F9">
        <w:trPr>
          <w:trHeight w:val="300"/>
        </w:trPr>
        <w:tc>
          <w:tcPr>
            <w:tcW w:w="2906" w:type="pct"/>
            <w:noWrap/>
            <w:hideMark/>
          </w:tcPr>
          <w:p w14:paraId="79A73263" w14:textId="776D95BD"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 xml:space="preserve">Exclude </w:t>
            </w:r>
            <w:r w:rsidR="004A582F">
              <w:rPr>
                <w:rFonts w:eastAsiaTheme="minorHAnsi" w:cstheme="minorBidi"/>
                <w:lang w:eastAsia="en-US"/>
              </w:rPr>
              <w:t xml:space="preserve">indirect health care </w:t>
            </w:r>
            <w:r w:rsidRPr="00341398">
              <w:rPr>
                <w:rFonts w:eastAsiaTheme="minorHAnsi" w:cstheme="minorBidi"/>
                <w:lang w:eastAsia="en-US"/>
              </w:rPr>
              <w:t>staff costs for patient contact and retrieval</w:t>
            </w:r>
          </w:p>
        </w:tc>
        <w:tc>
          <w:tcPr>
            <w:tcW w:w="608" w:type="pct"/>
            <w:noWrap/>
            <w:hideMark/>
          </w:tcPr>
          <w:p w14:paraId="1E450B09"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$44.32</w:t>
            </w:r>
          </w:p>
        </w:tc>
        <w:tc>
          <w:tcPr>
            <w:tcW w:w="514" w:type="pct"/>
            <w:noWrap/>
            <w:hideMark/>
          </w:tcPr>
          <w:p w14:paraId="59C5108A"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0.0014</w:t>
            </w:r>
          </w:p>
        </w:tc>
        <w:tc>
          <w:tcPr>
            <w:tcW w:w="529" w:type="pct"/>
            <w:noWrap/>
            <w:hideMark/>
          </w:tcPr>
          <w:p w14:paraId="781867C7"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$32,539</w:t>
            </w:r>
          </w:p>
        </w:tc>
        <w:tc>
          <w:tcPr>
            <w:tcW w:w="443" w:type="pct"/>
            <w:noWrap/>
            <w:hideMark/>
          </w:tcPr>
          <w:p w14:paraId="5B5241D7" w14:textId="77777777" w:rsidR="00E30C57" w:rsidRPr="00341398" w:rsidRDefault="00E30C57" w:rsidP="00D748F9">
            <w:pPr>
              <w:pStyle w:val="TableText"/>
              <w:jc w:val="right"/>
              <w:rPr>
                <w:rFonts w:eastAsiaTheme="minorHAnsi" w:cstheme="minorBidi"/>
                <w:lang w:eastAsia="en-US"/>
              </w:rPr>
            </w:pPr>
            <w:r w:rsidRPr="00341398">
              <w:t>59%</w:t>
            </w:r>
          </w:p>
        </w:tc>
      </w:tr>
      <w:tr w:rsidR="00E30C57" w:rsidRPr="00341398" w14:paraId="4BCB5785" w14:textId="77777777" w:rsidTr="00D748F9">
        <w:trPr>
          <w:trHeight w:val="300"/>
        </w:trPr>
        <w:tc>
          <w:tcPr>
            <w:tcW w:w="2906" w:type="pct"/>
            <w:noWrap/>
            <w:hideMark/>
          </w:tcPr>
          <w:p w14:paraId="1985761F" w14:textId="214EA544"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 xml:space="preserve">Exclude all indirect health care costs </w:t>
            </w:r>
            <w:r w:rsidRPr="00341398">
              <w:rPr>
                <w:rFonts w:eastAsiaTheme="minorHAnsi" w:cstheme="minorBidi"/>
                <w:b/>
                <w:lang w:eastAsia="en-US"/>
              </w:rPr>
              <w:t>(#6)</w:t>
            </w:r>
          </w:p>
        </w:tc>
        <w:tc>
          <w:tcPr>
            <w:tcW w:w="608" w:type="pct"/>
            <w:noWrap/>
            <w:hideMark/>
          </w:tcPr>
          <w:p w14:paraId="30113CBC"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$72.26</w:t>
            </w:r>
          </w:p>
        </w:tc>
        <w:tc>
          <w:tcPr>
            <w:tcW w:w="514" w:type="pct"/>
            <w:noWrap/>
            <w:hideMark/>
          </w:tcPr>
          <w:p w14:paraId="2053B7FD"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0.0014</w:t>
            </w:r>
          </w:p>
        </w:tc>
        <w:tc>
          <w:tcPr>
            <w:tcW w:w="529" w:type="pct"/>
            <w:noWrap/>
            <w:hideMark/>
          </w:tcPr>
          <w:p w14:paraId="46C62785"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$53,049</w:t>
            </w:r>
          </w:p>
        </w:tc>
        <w:tc>
          <w:tcPr>
            <w:tcW w:w="443" w:type="pct"/>
            <w:noWrap/>
            <w:hideMark/>
          </w:tcPr>
          <w:p w14:paraId="3AE70583" w14:textId="77777777" w:rsidR="00E30C57" w:rsidRPr="00341398" w:rsidRDefault="00E30C57" w:rsidP="00D748F9">
            <w:pPr>
              <w:pStyle w:val="TableText"/>
              <w:jc w:val="right"/>
              <w:rPr>
                <w:rFonts w:eastAsiaTheme="minorHAnsi" w:cstheme="minorBidi"/>
                <w:lang w:eastAsia="en-US"/>
              </w:rPr>
            </w:pPr>
            <w:r w:rsidRPr="00341398">
              <w:t>159%</w:t>
            </w:r>
          </w:p>
        </w:tc>
      </w:tr>
      <w:tr w:rsidR="00E30C57" w:rsidRPr="00341398" w14:paraId="45EBF5D9" w14:textId="77777777" w:rsidTr="00D748F9">
        <w:trPr>
          <w:trHeight w:val="300"/>
        </w:trPr>
        <w:tc>
          <w:tcPr>
            <w:tcW w:w="2906" w:type="pct"/>
            <w:noWrap/>
            <w:hideMark/>
          </w:tcPr>
          <w:p w14:paraId="52E9567E" w14:textId="7DF041F2"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Adjusting utility months for duration of events</w:t>
            </w:r>
            <w:r w:rsidR="004A582F">
              <w:rPr>
                <w:rFonts w:eastAsiaTheme="minorHAnsi" w:cstheme="minorBidi"/>
                <w:lang w:eastAsia="en-US"/>
              </w:rPr>
              <w:t xml:space="preserve"> (see </w:t>
            </w:r>
            <w:r w:rsidR="004A582F">
              <w:fldChar w:fldCharType="begin"/>
            </w:r>
            <w:r w:rsidR="004A582F">
              <w:rPr>
                <w:rFonts w:eastAsiaTheme="minorHAnsi" w:cstheme="minorBidi"/>
                <w:lang w:eastAsia="en-US"/>
              </w:rPr>
              <w:instrText xml:space="preserve"> REF _Ref69726321 \h </w:instrText>
            </w:r>
            <w:r w:rsidR="004A582F">
              <w:fldChar w:fldCharType="separate"/>
            </w:r>
            <w:r w:rsidR="004A582F" w:rsidRPr="00E30C57">
              <w:t>Table</w:t>
            </w:r>
            <w:r w:rsidR="004A582F">
              <w:t xml:space="preserve"> </w:t>
            </w:r>
            <w:r w:rsidR="004A582F">
              <w:rPr>
                <w:noProof/>
              </w:rPr>
              <w:t>14</w:t>
            </w:r>
            <w:r w:rsidR="004A582F">
              <w:fldChar w:fldCharType="end"/>
            </w:r>
            <w:r w:rsidR="004A582F">
              <w:rPr>
                <w:rFonts w:eastAsiaTheme="minorHAnsi" w:cstheme="minorBidi"/>
                <w:lang w:eastAsia="en-US"/>
              </w:rPr>
              <w:t>)</w:t>
            </w:r>
            <w:r w:rsidRPr="00341398">
              <w:rPr>
                <w:rFonts w:eastAsiaTheme="minorHAnsi" w:cstheme="minorBidi"/>
                <w:lang w:eastAsia="en-US"/>
              </w:rPr>
              <w:t xml:space="preserve"> </w:t>
            </w:r>
            <w:r w:rsidRPr="00341398">
              <w:rPr>
                <w:rFonts w:eastAsiaTheme="minorHAnsi" w:cstheme="minorBidi"/>
                <w:b/>
                <w:lang w:eastAsia="en-US"/>
              </w:rPr>
              <w:t>(#4)</w:t>
            </w:r>
          </w:p>
        </w:tc>
        <w:tc>
          <w:tcPr>
            <w:tcW w:w="608" w:type="pct"/>
            <w:noWrap/>
            <w:hideMark/>
          </w:tcPr>
          <w:p w14:paraId="5CA7FD0F"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$27.86</w:t>
            </w:r>
          </w:p>
        </w:tc>
        <w:tc>
          <w:tcPr>
            <w:tcW w:w="514" w:type="pct"/>
            <w:noWrap/>
            <w:hideMark/>
          </w:tcPr>
          <w:p w14:paraId="33A407C2"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0.0008</w:t>
            </w:r>
          </w:p>
        </w:tc>
        <w:tc>
          <w:tcPr>
            <w:tcW w:w="529" w:type="pct"/>
            <w:noWrap/>
            <w:hideMark/>
          </w:tcPr>
          <w:p w14:paraId="36CA791D"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$33,624</w:t>
            </w:r>
          </w:p>
        </w:tc>
        <w:tc>
          <w:tcPr>
            <w:tcW w:w="443" w:type="pct"/>
            <w:noWrap/>
            <w:hideMark/>
          </w:tcPr>
          <w:p w14:paraId="10952CFF" w14:textId="77777777" w:rsidR="00E30C57" w:rsidRPr="00341398" w:rsidRDefault="00E30C57" w:rsidP="00D748F9">
            <w:pPr>
              <w:pStyle w:val="TableText"/>
              <w:jc w:val="right"/>
              <w:rPr>
                <w:rFonts w:eastAsiaTheme="minorHAnsi" w:cstheme="minorBidi"/>
                <w:lang w:eastAsia="en-US"/>
              </w:rPr>
            </w:pPr>
            <w:r w:rsidRPr="00341398">
              <w:t>64%</w:t>
            </w:r>
          </w:p>
        </w:tc>
      </w:tr>
      <w:tr w:rsidR="00E30C57" w:rsidRPr="00341398" w14:paraId="4AEAB183" w14:textId="77777777" w:rsidTr="00D748F9">
        <w:trPr>
          <w:trHeight w:val="300"/>
        </w:trPr>
        <w:tc>
          <w:tcPr>
            <w:tcW w:w="2906" w:type="pct"/>
            <w:tcBorders>
              <w:bottom w:val="single" w:sz="4" w:space="0" w:color="auto"/>
            </w:tcBorders>
            <w:noWrap/>
            <w:hideMark/>
          </w:tcPr>
          <w:p w14:paraId="08435D0D" w14:textId="7A9BE57B"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Retesting cost with treatment</w:t>
            </w:r>
            <w:r w:rsidR="004A582F">
              <w:rPr>
                <w:rFonts w:eastAsiaTheme="minorHAnsi" w:cstheme="minorBidi"/>
                <w:lang w:eastAsia="en-US"/>
              </w:rPr>
              <w:t xml:space="preserve"> (see </w:t>
            </w:r>
            <w:r w:rsidR="004A582F">
              <w:fldChar w:fldCharType="begin"/>
            </w:r>
            <w:r w:rsidR="004A582F">
              <w:rPr>
                <w:rFonts w:eastAsiaTheme="minorHAnsi" w:cstheme="minorBidi"/>
                <w:lang w:eastAsia="en-US"/>
              </w:rPr>
              <w:instrText xml:space="preserve"> REF _Ref69726321 \h </w:instrText>
            </w:r>
            <w:r w:rsidR="004A582F">
              <w:fldChar w:fldCharType="separate"/>
            </w:r>
            <w:r w:rsidR="004A582F" w:rsidRPr="00E30C57">
              <w:t>Table</w:t>
            </w:r>
            <w:r w:rsidR="004A582F">
              <w:t xml:space="preserve"> </w:t>
            </w:r>
            <w:r w:rsidR="004A582F">
              <w:rPr>
                <w:noProof/>
              </w:rPr>
              <w:t>14</w:t>
            </w:r>
            <w:r w:rsidR="004A582F">
              <w:fldChar w:fldCharType="end"/>
            </w:r>
            <w:r w:rsidR="004A582F">
              <w:rPr>
                <w:rFonts w:eastAsiaTheme="minorHAnsi" w:cstheme="minorBidi"/>
                <w:lang w:eastAsia="en-US"/>
              </w:rPr>
              <w:t>)</w:t>
            </w:r>
            <w:r w:rsidRPr="00341398">
              <w:rPr>
                <w:rFonts w:eastAsiaTheme="minorHAnsi" w:cstheme="minorBidi"/>
                <w:lang w:eastAsia="en-US"/>
              </w:rPr>
              <w:t xml:space="preserve"> </w:t>
            </w:r>
            <w:r w:rsidRPr="00341398">
              <w:rPr>
                <w:rFonts w:eastAsiaTheme="minorHAnsi" w:cstheme="minorBidi"/>
                <w:b/>
                <w:lang w:eastAsia="en-US"/>
              </w:rPr>
              <w:t>(#5)</w:t>
            </w:r>
          </w:p>
        </w:tc>
        <w:tc>
          <w:tcPr>
            <w:tcW w:w="608" w:type="pct"/>
            <w:tcBorders>
              <w:bottom w:val="single" w:sz="4" w:space="0" w:color="auto"/>
            </w:tcBorders>
            <w:noWrap/>
            <w:hideMark/>
          </w:tcPr>
          <w:p w14:paraId="1B557FAF"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$68.19</w:t>
            </w:r>
          </w:p>
        </w:tc>
        <w:tc>
          <w:tcPr>
            <w:tcW w:w="514" w:type="pct"/>
            <w:tcBorders>
              <w:bottom w:val="single" w:sz="4" w:space="0" w:color="auto"/>
            </w:tcBorders>
            <w:noWrap/>
            <w:hideMark/>
          </w:tcPr>
          <w:p w14:paraId="3A102CC0"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0.0014</w:t>
            </w:r>
          </w:p>
        </w:tc>
        <w:tc>
          <w:tcPr>
            <w:tcW w:w="529" w:type="pct"/>
            <w:tcBorders>
              <w:bottom w:val="single" w:sz="4" w:space="0" w:color="auto"/>
            </w:tcBorders>
            <w:noWrap/>
            <w:hideMark/>
          </w:tcPr>
          <w:p w14:paraId="199182DE"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$50,065</w:t>
            </w:r>
          </w:p>
        </w:tc>
        <w:tc>
          <w:tcPr>
            <w:tcW w:w="443" w:type="pct"/>
            <w:tcBorders>
              <w:bottom w:val="single" w:sz="4" w:space="0" w:color="auto"/>
            </w:tcBorders>
            <w:noWrap/>
            <w:hideMark/>
          </w:tcPr>
          <w:p w14:paraId="7E562C34" w14:textId="77777777" w:rsidR="00E30C57" w:rsidRPr="00341398" w:rsidRDefault="00E30C57" w:rsidP="00D748F9">
            <w:pPr>
              <w:pStyle w:val="TableText"/>
              <w:jc w:val="right"/>
              <w:rPr>
                <w:rFonts w:eastAsiaTheme="minorHAnsi" w:cstheme="minorBidi"/>
                <w:lang w:eastAsia="en-US"/>
              </w:rPr>
            </w:pPr>
            <w:r w:rsidRPr="00341398">
              <w:t>145%</w:t>
            </w:r>
          </w:p>
        </w:tc>
      </w:tr>
      <w:tr w:rsidR="00E30C57" w:rsidRPr="00341398" w14:paraId="0D5079E8" w14:textId="77777777" w:rsidTr="00D748F9">
        <w:trPr>
          <w:trHeight w:val="300"/>
        </w:trPr>
        <w:tc>
          <w:tcPr>
            <w:tcW w:w="2906" w:type="pct"/>
            <w:tcBorders>
              <w:bottom w:val="single" w:sz="4" w:space="0" w:color="auto"/>
              <w:right w:val="nil"/>
            </w:tcBorders>
            <w:noWrap/>
            <w:hideMark/>
          </w:tcPr>
          <w:p w14:paraId="28A8DAB7" w14:textId="77777777" w:rsidR="00E30C57" w:rsidRPr="00341398" w:rsidRDefault="00E30C57" w:rsidP="00D748F9">
            <w:pPr>
              <w:pStyle w:val="TableText"/>
              <w:rPr>
                <w:rFonts w:eastAsiaTheme="minorHAnsi" w:cstheme="minorBidi"/>
                <w:b/>
                <w:lang w:eastAsia="en-US"/>
              </w:rPr>
            </w:pPr>
            <w:r w:rsidRPr="00341398">
              <w:rPr>
                <w:rFonts w:eastAsiaTheme="minorHAnsi" w:cstheme="minorBidi"/>
                <w:b/>
                <w:lang w:eastAsia="en-US"/>
              </w:rPr>
              <w:t>Multivariate analyses</w:t>
            </w:r>
          </w:p>
        </w:tc>
        <w:tc>
          <w:tcPr>
            <w:tcW w:w="608" w:type="pct"/>
            <w:tcBorders>
              <w:left w:val="nil"/>
              <w:bottom w:val="single" w:sz="4" w:space="0" w:color="auto"/>
              <w:right w:val="nil"/>
            </w:tcBorders>
            <w:noWrap/>
            <w:hideMark/>
          </w:tcPr>
          <w:p w14:paraId="70DB5613" w14:textId="77777777" w:rsidR="00E30C57" w:rsidRPr="00341398" w:rsidRDefault="00E30C57" w:rsidP="00D748F9">
            <w:pPr>
              <w:pStyle w:val="TableText"/>
              <w:jc w:val="right"/>
              <w:rPr>
                <w:rFonts w:eastAsiaTheme="minorHAnsi" w:cstheme="minorBidi"/>
                <w:b/>
                <w:lang w:eastAsia="en-US"/>
              </w:rPr>
            </w:pPr>
          </w:p>
        </w:tc>
        <w:tc>
          <w:tcPr>
            <w:tcW w:w="514" w:type="pct"/>
            <w:tcBorders>
              <w:left w:val="nil"/>
              <w:bottom w:val="single" w:sz="4" w:space="0" w:color="auto"/>
              <w:right w:val="nil"/>
            </w:tcBorders>
            <w:noWrap/>
            <w:hideMark/>
          </w:tcPr>
          <w:p w14:paraId="29820E91" w14:textId="77777777" w:rsidR="00E30C57" w:rsidRPr="00341398" w:rsidRDefault="00E30C57" w:rsidP="00D748F9">
            <w:pPr>
              <w:pStyle w:val="TableText"/>
              <w:jc w:val="right"/>
              <w:rPr>
                <w:rFonts w:eastAsiaTheme="minorHAnsi" w:cstheme="minorBidi"/>
                <w:b/>
                <w:lang w:eastAsia="en-US"/>
              </w:rPr>
            </w:pPr>
          </w:p>
        </w:tc>
        <w:tc>
          <w:tcPr>
            <w:tcW w:w="529" w:type="pct"/>
            <w:tcBorders>
              <w:left w:val="nil"/>
              <w:bottom w:val="single" w:sz="4" w:space="0" w:color="auto"/>
              <w:right w:val="nil"/>
            </w:tcBorders>
            <w:noWrap/>
            <w:hideMark/>
          </w:tcPr>
          <w:p w14:paraId="7D75874C" w14:textId="77777777" w:rsidR="00E30C57" w:rsidRPr="00341398" w:rsidRDefault="00E30C57" w:rsidP="00D748F9">
            <w:pPr>
              <w:pStyle w:val="TableText"/>
              <w:jc w:val="right"/>
              <w:rPr>
                <w:rFonts w:eastAsiaTheme="minorHAnsi" w:cstheme="minorBidi"/>
                <w:b/>
                <w:lang w:eastAsia="en-US"/>
              </w:rPr>
            </w:pPr>
          </w:p>
        </w:tc>
        <w:tc>
          <w:tcPr>
            <w:tcW w:w="443" w:type="pct"/>
            <w:tcBorders>
              <w:left w:val="nil"/>
              <w:bottom w:val="single" w:sz="4" w:space="0" w:color="auto"/>
            </w:tcBorders>
            <w:noWrap/>
            <w:hideMark/>
          </w:tcPr>
          <w:p w14:paraId="20D45869" w14:textId="77777777" w:rsidR="00E30C57" w:rsidRPr="00341398" w:rsidRDefault="00E30C57" w:rsidP="00D748F9">
            <w:pPr>
              <w:pStyle w:val="TableText"/>
              <w:jc w:val="right"/>
              <w:rPr>
                <w:rFonts w:eastAsiaTheme="minorHAnsi" w:cstheme="minorBidi"/>
                <w:b/>
                <w:lang w:eastAsia="en-US"/>
              </w:rPr>
            </w:pPr>
          </w:p>
        </w:tc>
      </w:tr>
      <w:tr w:rsidR="00E30C57" w:rsidRPr="00341398" w14:paraId="26407C76" w14:textId="77777777" w:rsidTr="00D748F9">
        <w:trPr>
          <w:trHeight w:val="300"/>
        </w:trPr>
        <w:tc>
          <w:tcPr>
            <w:tcW w:w="2906" w:type="pct"/>
            <w:tcBorders>
              <w:bottom w:val="nil"/>
            </w:tcBorders>
            <w:noWrap/>
            <w:hideMark/>
          </w:tcPr>
          <w:p w14:paraId="636170E0" w14:textId="77777777"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#1 AND #2</w:t>
            </w:r>
          </w:p>
        </w:tc>
        <w:tc>
          <w:tcPr>
            <w:tcW w:w="608" w:type="pct"/>
            <w:tcBorders>
              <w:bottom w:val="nil"/>
            </w:tcBorders>
            <w:noWrap/>
            <w:hideMark/>
          </w:tcPr>
          <w:p w14:paraId="2C343909"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$31.67</w:t>
            </w:r>
          </w:p>
        </w:tc>
        <w:tc>
          <w:tcPr>
            <w:tcW w:w="514" w:type="pct"/>
            <w:tcBorders>
              <w:bottom w:val="nil"/>
            </w:tcBorders>
            <w:noWrap/>
            <w:hideMark/>
          </w:tcPr>
          <w:p w14:paraId="6A7CEB2E"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0.0012</w:t>
            </w:r>
          </w:p>
        </w:tc>
        <w:tc>
          <w:tcPr>
            <w:tcW w:w="529" w:type="pct"/>
            <w:tcBorders>
              <w:bottom w:val="nil"/>
            </w:tcBorders>
            <w:noWrap/>
            <w:hideMark/>
          </w:tcPr>
          <w:p w14:paraId="5557268A"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$27,134</w:t>
            </w:r>
          </w:p>
        </w:tc>
        <w:tc>
          <w:tcPr>
            <w:tcW w:w="443" w:type="pct"/>
            <w:tcBorders>
              <w:bottom w:val="nil"/>
            </w:tcBorders>
            <w:noWrap/>
            <w:hideMark/>
          </w:tcPr>
          <w:p w14:paraId="0B6E6C61" w14:textId="77777777" w:rsidR="00E30C57" w:rsidRPr="00341398" w:rsidRDefault="00E30C57" w:rsidP="00D748F9">
            <w:pPr>
              <w:pStyle w:val="TableText"/>
              <w:jc w:val="right"/>
              <w:rPr>
                <w:rFonts w:eastAsiaTheme="minorHAnsi" w:cstheme="minorBidi"/>
                <w:lang w:eastAsia="en-US"/>
              </w:rPr>
            </w:pPr>
            <w:r w:rsidRPr="00341398">
              <w:t>33%</w:t>
            </w:r>
          </w:p>
        </w:tc>
      </w:tr>
      <w:tr w:rsidR="00E30C57" w:rsidRPr="00341398" w14:paraId="5F5409D7" w14:textId="77777777" w:rsidTr="00D748F9">
        <w:trPr>
          <w:trHeight w:val="300"/>
        </w:trPr>
        <w:tc>
          <w:tcPr>
            <w:tcW w:w="2906" w:type="pct"/>
            <w:tcBorders>
              <w:top w:val="nil"/>
              <w:bottom w:val="nil"/>
            </w:tcBorders>
            <w:noWrap/>
            <w:hideMark/>
          </w:tcPr>
          <w:p w14:paraId="12F38FB0" w14:textId="77777777"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#1, #2 AND #3</w:t>
            </w:r>
          </w:p>
        </w:tc>
        <w:tc>
          <w:tcPr>
            <w:tcW w:w="608" w:type="pct"/>
            <w:tcBorders>
              <w:top w:val="nil"/>
              <w:bottom w:val="nil"/>
            </w:tcBorders>
            <w:noWrap/>
            <w:hideMark/>
          </w:tcPr>
          <w:p w14:paraId="24DC1E18"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$47.64</w:t>
            </w:r>
          </w:p>
        </w:tc>
        <w:tc>
          <w:tcPr>
            <w:tcW w:w="514" w:type="pct"/>
            <w:tcBorders>
              <w:top w:val="nil"/>
              <w:bottom w:val="nil"/>
            </w:tcBorders>
            <w:noWrap/>
            <w:hideMark/>
          </w:tcPr>
          <w:p w14:paraId="2B7B3950"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0.0012</w:t>
            </w:r>
          </w:p>
        </w:tc>
        <w:tc>
          <w:tcPr>
            <w:tcW w:w="529" w:type="pct"/>
            <w:tcBorders>
              <w:top w:val="nil"/>
              <w:bottom w:val="nil"/>
            </w:tcBorders>
            <w:noWrap/>
            <w:hideMark/>
          </w:tcPr>
          <w:p w14:paraId="31528D8D"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$39,184</w:t>
            </w:r>
          </w:p>
        </w:tc>
        <w:tc>
          <w:tcPr>
            <w:tcW w:w="443" w:type="pct"/>
            <w:tcBorders>
              <w:top w:val="nil"/>
              <w:bottom w:val="nil"/>
            </w:tcBorders>
            <w:noWrap/>
            <w:hideMark/>
          </w:tcPr>
          <w:p w14:paraId="470D2BBF" w14:textId="77777777" w:rsidR="00E30C57" w:rsidRPr="00341398" w:rsidRDefault="00E30C57" w:rsidP="00D748F9">
            <w:pPr>
              <w:pStyle w:val="TableText"/>
              <w:jc w:val="right"/>
              <w:rPr>
                <w:rFonts w:eastAsiaTheme="minorHAnsi" w:cstheme="minorBidi"/>
                <w:lang w:eastAsia="en-US"/>
              </w:rPr>
            </w:pPr>
            <w:r w:rsidRPr="00341398">
              <w:t>92%</w:t>
            </w:r>
          </w:p>
        </w:tc>
      </w:tr>
      <w:tr w:rsidR="00E30C57" w:rsidRPr="00341398" w14:paraId="4D4A6841" w14:textId="77777777" w:rsidTr="00D748F9">
        <w:trPr>
          <w:trHeight w:val="300"/>
        </w:trPr>
        <w:tc>
          <w:tcPr>
            <w:tcW w:w="2906" w:type="pct"/>
            <w:tcBorders>
              <w:top w:val="nil"/>
              <w:bottom w:val="nil"/>
            </w:tcBorders>
            <w:noWrap/>
            <w:hideMark/>
          </w:tcPr>
          <w:p w14:paraId="360A5393" w14:textId="77777777"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#1, #2, #3 AND #4</w:t>
            </w:r>
          </w:p>
        </w:tc>
        <w:tc>
          <w:tcPr>
            <w:tcW w:w="608" w:type="pct"/>
            <w:tcBorders>
              <w:top w:val="nil"/>
              <w:bottom w:val="nil"/>
            </w:tcBorders>
            <w:noWrap/>
            <w:hideMark/>
          </w:tcPr>
          <w:p w14:paraId="4534F968"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$47.64</w:t>
            </w:r>
          </w:p>
        </w:tc>
        <w:tc>
          <w:tcPr>
            <w:tcW w:w="514" w:type="pct"/>
            <w:tcBorders>
              <w:top w:val="nil"/>
              <w:bottom w:val="nil"/>
            </w:tcBorders>
            <w:noWrap/>
            <w:hideMark/>
          </w:tcPr>
          <w:p w14:paraId="1C50DDCE"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0.0007</w:t>
            </w:r>
          </w:p>
        </w:tc>
        <w:tc>
          <w:tcPr>
            <w:tcW w:w="529" w:type="pct"/>
            <w:tcBorders>
              <w:top w:val="nil"/>
              <w:bottom w:val="nil"/>
            </w:tcBorders>
            <w:noWrap/>
            <w:hideMark/>
          </w:tcPr>
          <w:p w14:paraId="6559E533"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$64,634</w:t>
            </w:r>
          </w:p>
        </w:tc>
        <w:tc>
          <w:tcPr>
            <w:tcW w:w="443" w:type="pct"/>
            <w:tcBorders>
              <w:top w:val="nil"/>
              <w:bottom w:val="nil"/>
            </w:tcBorders>
            <w:noWrap/>
            <w:hideMark/>
          </w:tcPr>
          <w:p w14:paraId="44BACCAA" w14:textId="77777777" w:rsidR="00E30C57" w:rsidRPr="00341398" w:rsidRDefault="00E30C57" w:rsidP="00D748F9">
            <w:pPr>
              <w:pStyle w:val="TableText"/>
              <w:jc w:val="right"/>
              <w:rPr>
                <w:rFonts w:eastAsiaTheme="minorHAnsi" w:cstheme="minorBidi"/>
                <w:lang w:eastAsia="en-US"/>
              </w:rPr>
            </w:pPr>
            <w:r w:rsidRPr="00341398">
              <w:t>216%</w:t>
            </w:r>
          </w:p>
        </w:tc>
      </w:tr>
      <w:tr w:rsidR="00E30C57" w:rsidRPr="00341398" w14:paraId="7EC22758" w14:textId="77777777" w:rsidTr="00D748F9">
        <w:trPr>
          <w:trHeight w:val="300"/>
        </w:trPr>
        <w:tc>
          <w:tcPr>
            <w:tcW w:w="2906" w:type="pct"/>
            <w:tcBorders>
              <w:top w:val="nil"/>
              <w:bottom w:val="nil"/>
            </w:tcBorders>
            <w:noWrap/>
            <w:hideMark/>
          </w:tcPr>
          <w:p w14:paraId="3A8E5EEE" w14:textId="77777777" w:rsidR="00E30C57" w:rsidRPr="00341398" w:rsidRDefault="00E30C57" w:rsidP="00D748F9">
            <w:pPr>
              <w:pStyle w:val="TableText"/>
              <w:rPr>
                <w:rFonts w:eastAsiaTheme="minorHAnsi" w:cstheme="minorBidi"/>
                <w:lang w:eastAsia="en-US"/>
              </w:rPr>
            </w:pPr>
            <w:r w:rsidRPr="00341398">
              <w:rPr>
                <w:rFonts w:eastAsiaTheme="minorHAnsi" w:cstheme="minorBidi"/>
                <w:lang w:eastAsia="en-US"/>
              </w:rPr>
              <w:t>#1, #2, #3, #4 AND #5</w:t>
            </w:r>
          </w:p>
        </w:tc>
        <w:tc>
          <w:tcPr>
            <w:tcW w:w="608" w:type="pct"/>
            <w:tcBorders>
              <w:top w:val="nil"/>
              <w:bottom w:val="nil"/>
            </w:tcBorders>
            <w:noWrap/>
            <w:hideMark/>
          </w:tcPr>
          <w:p w14:paraId="02DC97B9"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$85.19</w:t>
            </w:r>
          </w:p>
        </w:tc>
        <w:tc>
          <w:tcPr>
            <w:tcW w:w="514" w:type="pct"/>
            <w:tcBorders>
              <w:top w:val="nil"/>
              <w:bottom w:val="nil"/>
            </w:tcBorders>
            <w:noWrap/>
            <w:hideMark/>
          </w:tcPr>
          <w:p w14:paraId="63B53DB7"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0.0007</w:t>
            </w:r>
          </w:p>
        </w:tc>
        <w:tc>
          <w:tcPr>
            <w:tcW w:w="529" w:type="pct"/>
            <w:tcBorders>
              <w:top w:val="nil"/>
              <w:bottom w:val="nil"/>
            </w:tcBorders>
            <w:noWrap/>
            <w:hideMark/>
          </w:tcPr>
          <w:p w14:paraId="3B0D8773" w14:textId="77777777" w:rsidR="00E30C57" w:rsidRPr="00341398" w:rsidRDefault="00E30C57" w:rsidP="00D748F9">
            <w:pPr>
              <w:pStyle w:val="TableText"/>
              <w:jc w:val="right"/>
              <w:rPr>
                <w:rFonts w:eastAsiaTheme="minorHAnsi" w:cstheme="minorBidi"/>
                <w:lang w:eastAsia="en-US"/>
              </w:rPr>
            </w:pPr>
            <w:r w:rsidRPr="00341398">
              <w:rPr>
                <w:rFonts w:eastAsiaTheme="minorHAnsi" w:cstheme="minorBidi"/>
                <w:lang w:eastAsia="en-US"/>
              </w:rPr>
              <w:t>$115,581</w:t>
            </w:r>
          </w:p>
        </w:tc>
        <w:tc>
          <w:tcPr>
            <w:tcW w:w="443" w:type="pct"/>
            <w:tcBorders>
              <w:top w:val="nil"/>
              <w:bottom w:val="nil"/>
            </w:tcBorders>
            <w:noWrap/>
            <w:hideMark/>
          </w:tcPr>
          <w:p w14:paraId="11121BD3" w14:textId="77777777" w:rsidR="00E30C57" w:rsidRPr="00341398" w:rsidRDefault="00E30C57" w:rsidP="00D748F9">
            <w:pPr>
              <w:pStyle w:val="TableText"/>
              <w:jc w:val="right"/>
              <w:rPr>
                <w:rFonts w:eastAsiaTheme="minorHAnsi" w:cstheme="minorBidi"/>
                <w:lang w:eastAsia="en-US"/>
              </w:rPr>
            </w:pPr>
            <w:r w:rsidRPr="00341398">
              <w:t>465%</w:t>
            </w:r>
          </w:p>
        </w:tc>
      </w:tr>
      <w:tr w:rsidR="00E30C57" w:rsidRPr="00341398" w14:paraId="3B7F88DC" w14:textId="77777777" w:rsidTr="00D748F9">
        <w:trPr>
          <w:trHeight w:val="300"/>
        </w:trPr>
        <w:tc>
          <w:tcPr>
            <w:tcW w:w="2906" w:type="pct"/>
            <w:tcBorders>
              <w:top w:val="nil"/>
            </w:tcBorders>
            <w:noWrap/>
          </w:tcPr>
          <w:p w14:paraId="796C55EC" w14:textId="77777777" w:rsidR="00E30C57" w:rsidRPr="00341398" w:rsidRDefault="00E30C57" w:rsidP="00D748F9">
            <w:pPr>
              <w:pStyle w:val="TableText"/>
            </w:pPr>
            <w:r w:rsidRPr="00341398">
              <w:rPr>
                <w:rFonts w:eastAsiaTheme="minorHAnsi" w:cstheme="minorBidi"/>
                <w:lang w:eastAsia="en-US"/>
              </w:rPr>
              <w:t>#1, #2, #3, #4, #5 AND #6</w:t>
            </w:r>
          </w:p>
        </w:tc>
        <w:tc>
          <w:tcPr>
            <w:tcW w:w="608" w:type="pct"/>
            <w:tcBorders>
              <w:top w:val="nil"/>
            </w:tcBorders>
            <w:noWrap/>
          </w:tcPr>
          <w:p w14:paraId="4C2941C9" w14:textId="77777777" w:rsidR="00E30C57" w:rsidRPr="00341398" w:rsidRDefault="00E30C57" w:rsidP="00D748F9">
            <w:pPr>
              <w:pStyle w:val="TableText"/>
              <w:jc w:val="right"/>
            </w:pPr>
            <w:r w:rsidRPr="00341398">
              <w:t>$118.73</w:t>
            </w:r>
          </w:p>
        </w:tc>
        <w:tc>
          <w:tcPr>
            <w:tcW w:w="514" w:type="pct"/>
            <w:tcBorders>
              <w:top w:val="nil"/>
            </w:tcBorders>
            <w:noWrap/>
          </w:tcPr>
          <w:p w14:paraId="65CD8A05" w14:textId="77777777" w:rsidR="00E30C57" w:rsidRPr="00341398" w:rsidRDefault="00E30C57" w:rsidP="00D748F9">
            <w:pPr>
              <w:pStyle w:val="TableText"/>
              <w:jc w:val="right"/>
            </w:pPr>
            <w:r w:rsidRPr="00341398">
              <w:t>0.0007</w:t>
            </w:r>
          </w:p>
        </w:tc>
        <w:tc>
          <w:tcPr>
            <w:tcW w:w="529" w:type="pct"/>
            <w:tcBorders>
              <w:top w:val="nil"/>
            </w:tcBorders>
            <w:noWrap/>
          </w:tcPr>
          <w:p w14:paraId="1934BF08" w14:textId="77777777" w:rsidR="00E30C57" w:rsidRPr="00341398" w:rsidRDefault="00E30C57" w:rsidP="00D748F9">
            <w:pPr>
              <w:pStyle w:val="TableText"/>
              <w:jc w:val="right"/>
            </w:pPr>
            <w:r w:rsidRPr="00341398">
              <w:t>$161,085</w:t>
            </w:r>
          </w:p>
        </w:tc>
        <w:tc>
          <w:tcPr>
            <w:tcW w:w="443" w:type="pct"/>
            <w:tcBorders>
              <w:top w:val="nil"/>
            </w:tcBorders>
            <w:noWrap/>
          </w:tcPr>
          <w:p w14:paraId="179147E3" w14:textId="77777777" w:rsidR="00E30C57" w:rsidRPr="00341398" w:rsidRDefault="00E30C57" w:rsidP="00D748F9">
            <w:pPr>
              <w:pStyle w:val="TableText"/>
              <w:jc w:val="right"/>
            </w:pPr>
            <w:r w:rsidRPr="00341398">
              <w:t>688%</w:t>
            </w:r>
          </w:p>
        </w:tc>
      </w:tr>
    </w:tbl>
    <w:p w14:paraId="26B23F02" w14:textId="47BFA895" w:rsidR="00E30C57" w:rsidRPr="005F2557" w:rsidRDefault="00E30C57" w:rsidP="00E30C57">
      <w:pPr>
        <w:pStyle w:val="TableFooter"/>
        <w:spacing w:before="0" w:after="120"/>
      </w:pPr>
      <w:r w:rsidRPr="005F2557">
        <w:t xml:space="preserve">Source: </w:t>
      </w:r>
      <w:r w:rsidR="006078D0">
        <w:t xml:space="preserve">Commentary Table 35, </w:t>
      </w:r>
      <w:proofErr w:type="spellStart"/>
      <w:r w:rsidR="006078D0">
        <w:t>pg</w:t>
      </w:r>
      <w:proofErr w:type="spellEnd"/>
      <w:r w:rsidR="006078D0">
        <w:t xml:space="preserve"> 151 of MSAC 1627 </w:t>
      </w:r>
      <w:proofErr w:type="spellStart"/>
      <w:r w:rsidR="006078D0">
        <w:t>ADAR</w:t>
      </w:r>
      <w:r w:rsidR="006078D0">
        <w:rPr>
          <w:szCs w:val="18"/>
        </w:rPr>
        <w:t>+in-line</w:t>
      </w:r>
      <w:proofErr w:type="spellEnd"/>
      <w:r w:rsidR="006078D0">
        <w:rPr>
          <w:szCs w:val="18"/>
        </w:rPr>
        <w:t xml:space="preserve"> commentary</w:t>
      </w:r>
      <w:r w:rsidRPr="005F2557">
        <w:t>.</w:t>
      </w:r>
    </w:p>
    <w:p w14:paraId="0B7B2287" w14:textId="3AADA190" w:rsidR="00F725FF" w:rsidRDefault="00F725FF" w:rsidP="00E30C57">
      <w:pPr>
        <w:pStyle w:val="TableFooter"/>
        <w:spacing w:before="0" w:after="120"/>
      </w:pPr>
      <w:r w:rsidRPr="001F1B23">
        <w:rPr>
          <w:vertAlign w:val="superscript"/>
        </w:rPr>
        <w:t>a</w:t>
      </w:r>
      <w:r>
        <w:t xml:space="preserve"> </w:t>
      </w:r>
      <w:r w:rsidRPr="00F725FF">
        <w:t xml:space="preserve">Guy R, Ward J, Wand H, et al. Coinfection with Chlamydia trachomatis, Neisseria gonorrhoeae and Trichomonas vaginalis: a cross-sectional analysis of positivity and risk factors in remote Australian Aboriginal communities. Sex </w:t>
      </w:r>
      <w:proofErr w:type="spellStart"/>
      <w:r w:rsidRPr="00F725FF">
        <w:t>Transm</w:t>
      </w:r>
      <w:proofErr w:type="spellEnd"/>
      <w:r w:rsidRPr="00F725FF">
        <w:t xml:space="preserve"> Infect 2015; 91(3): 201-6</w:t>
      </w:r>
    </w:p>
    <w:p w14:paraId="321BF651" w14:textId="2D877932" w:rsidR="00F725FF" w:rsidRDefault="00F725FF" w:rsidP="00E30C57">
      <w:pPr>
        <w:pStyle w:val="TableFooter"/>
        <w:spacing w:before="0" w:after="120"/>
      </w:pPr>
      <w:r w:rsidRPr="001F1B23">
        <w:rPr>
          <w:vertAlign w:val="superscript"/>
        </w:rPr>
        <w:t>b</w:t>
      </w:r>
      <w:r>
        <w:t xml:space="preserve"> </w:t>
      </w:r>
      <w:r w:rsidRPr="00F725FF">
        <w:t xml:space="preserve">Newnham, JP, Schilling, C, </w:t>
      </w:r>
      <w:proofErr w:type="spellStart"/>
      <w:r w:rsidRPr="00F725FF">
        <w:t>Petrou</w:t>
      </w:r>
      <w:proofErr w:type="spellEnd"/>
      <w:r w:rsidRPr="00F725FF">
        <w:t xml:space="preserve">, S, Morris, JM, Wallace, EM, Brown, K, Edwards, L, </w:t>
      </w:r>
      <w:proofErr w:type="spellStart"/>
      <w:r w:rsidRPr="00F725FF">
        <w:t>Skubisz</w:t>
      </w:r>
      <w:proofErr w:type="spellEnd"/>
      <w:r w:rsidRPr="00F725FF">
        <w:t xml:space="preserve">, MM, White, SW, </w:t>
      </w:r>
      <w:proofErr w:type="spellStart"/>
      <w:r w:rsidRPr="00F725FF">
        <w:t>Rynne</w:t>
      </w:r>
      <w:proofErr w:type="spellEnd"/>
      <w:r w:rsidRPr="00F725FF">
        <w:t xml:space="preserve">, B, </w:t>
      </w:r>
      <w:proofErr w:type="spellStart"/>
      <w:r w:rsidRPr="00F725FF">
        <w:t>Arrese</w:t>
      </w:r>
      <w:proofErr w:type="spellEnd"/>
      <w:r w:rsidRPr="00F725FF">
        <w:t xml:space="preserve">, CA &amp; Doherty, DA 2022, 'The health and educational costs of preterm birth to 18 years of age in Australia', Aust N Z J </w:t>
      </w:r>
      <w:proofErr w:type="spellStart"/>
      <w:r w:rsidRPr="00F725FF">
        <w:t>Obstet</w:t>
      </w:r>
      <w:proofErr w:type="spellEnd"/>
      <w:r w:rsidRPr="00F725FF">
        <w:t xml:space="preserve"> </w:t>
      </w:r>
      <w:proofErr w:type="spellStart"/>
      <w:r w:rsidRPr="00F725FF">
        <w:t>Gynaecol</w:t>
      </w:r>
      <w:proofErr w:type="spellEnd"/>
      <w:r w:rsidRPr="00F725FF">
        <w:t>, vol. 62, no. 1, Feb, pp. 55-61.</w:t>
      </w:r>
    </w:p>
    <w:p w14:paraId="41414D87" w14:textId="7D0B3277" w:rsidR="00790F8D" w:rsidRDefault="00790F8D" w:rsidP="00790F8D">
      <w:pPr>
        <w:pStyle w:val="TableFooter"/>
        <w:spacing w:before="0" w:after="120"/>
      </w:pPr>
      <w:r w:rsidRPr="00790F8D">
        <w:rPr>
          <w:vertAlign w:val="superscript"/>
        </w:rPr>
        <w:t>c</w:t>
      </w:r>
      <w:r>
        <w:t xml:space="preserve"> Assuming 2% of pregnancies are affected by PROMs (South Australian Perinatal Practice Guidelines preterm prelabour rupture of the membranes) where 16% due to STIs (Table 12 of the ADAR).</w:t>
      </w:r>
    </w:p>
    <w:p w14:paraId="1F27F676" w14:textId="65C68221" w:rsidR="00E30C57" w:rsidRPr="005969EB" w:rsidRDefault="00E30C57" w:rsidP="00E30C57">
      <w:pPr>
        <w:pStyle w:val="TableFooter"/>
        <w:spacing w:before="0" w:after="120"/>
      </w:pPr>
      <w:r w:rsidRPr="00341398">
        <w:t>DGI = disseminated gonococcal infection; ICER = incremental cost-effectiveness ratio; PID = pelvic inflammatory disease; POC = point of care; PROM = premature rupture of membranes; QALY = quality-adjusted life year; SOC = standard of care; STI = sexually transmitted infection.</w:t>
      </w:r>
    </w:p>
    <w:p w14:paraId="5258262D" w14:textId="07C2B36E" w:rsidR="005852A3" w:rsidRDefault="005852A3" w:rsidP="005852A3">
      <w:pPr>
        <w:spacing w:before="0" w:after="240" w:line="240" w:lineRule="auto"/>
        <w:rPr>
          <w:rFonts w:eastAsia="Calibri" w:cs="Times New Roman"/>
        </w:rPr>
      </w:pPr>
      <w:bookmarkStart w:id="53" w:name="_Toc69491426"/>
      <w:bookmarkEnd w:id="52"/>
      <w:r>
        <w:rPr>
          <w:rFonts w:eastAsia="Calibri" w:cs="Times New Roman"/>
        </w:rPr>
        <w:lastRenderedPageBreak/>
        <w:t xml:space="preserve">In the </w:t>
      </w:r>
      <w:r w:rsidR="002F5AC2">
        <w:rPr>
          <w:rFonts w:eastAsia="Calibri" w:cs="Times New Roman"/>
        </w:rPr>
        <w:t xml:space="preserve">applicant’s </w:t>
      </w:r>
      <w:r>
        <w:rPr>
          <w:rFonts w:eastAsia="Calibri" w:cs="Times New Roman"/>
        </w:rPr>
        <w:t xml:space="preserve">pre-ESC response, the applicant presented a revised ICER of </w:t>
      </w:r>
      <w:r w:rsidRPr="000C19B5">
        <w:rPr>
          <w:rFonts w:eastAsia="Calibri" w:cs="Times New Roman"/>
        </w:rPr>
        <w:t>$37,185 per QALY gained</w:t>
      </w:r>
      <w:r>
        <w:rPr>
          <w:rFonts w:eastAsia="Calibri" w:cs="Times New Roman"/>
        </w:rPr>
        <w:t xml:space="preserve">. No sensitivity analyses were presented alongside this updated ICER. The pre-ESC ICER was derived from changes made to the original ADAR ICER that included: </w:t>
      </w:r>
    </w:p>
    <w:p w14:paraId="1ABD6657" w14:textId="77777777" w:rsidR="005852A3" w:rsidRDefault="005852A3" w:rsidP="005852A3">
      <w:pPr>
        <w:pStyle w:val="ListParagraph"/>
        <w:numPr>
          <w:ilvl w:val="0"/>
          <w:numId w:val="24"/>
        </w:numPr>
        <w:spacing w:before="0" w:after="240" w:line="240" w:lineRule="auto"/>
        <w:rPr>
          <w:rFonts w:eastAsia="Calibri" w:cs="Times New Roman"/>
        </w:rPr>
      </w:pPr>
      <w:r>
        <w:rPr>
          <w:rFonts w:eastAsia="Calibri" w:cs="Times New Roman"/>
        </w:rPr>
        <w:t>a</w:t>
      </w:r>
      <w:r w:rsidRPr="00BB3A50">
        <w:rPr>
          <w:rFonts w:eastAsia="Calibri" w:cs="Times New Roman"/>
        </w:rPr>
        <w:t>mending the preterm birth rate 16.6 %</w:t>
      </w:r>
      <w:r>
        <w:rPr>
          <w:rFonts w:eastAsia="Calibri" w:cs="Times New Roman"/>
        </w:rPr>
        <w:t xml:space="preserve"> in the treated arm (the pre-ESC response noted that 0% was incorrectly used in the treated arm in the original model) </w:t>
      </w:r>
      <w:r w:rsidRPr="00BB3A50">
        <w:rPr>
          <w:rFonts w:eastAsia="Calibri" w:cs="Times New Roman"/>
        </w:rPr>
        <w:t xml:space="preserve"> </w:t>
      </w:r>
    </w:p>
    <w:p w14:paraId="6F0BD0D9" w14:textId="77777777" w:rsidR="005852A3" w:rsidRDefault="005852A3" w:rsidP="005852A3">
      <w:pPr>
        <w:pStyle w:val="ListParagraph"/>
        <w:numPr>
          <w:ilvl w:val="0"/>
          <w:numId w:val="24"/>
        </w:numPr>
        <w:spacing w:before="0" w:after="240" w:line="240" w:lineRule="auto"/>
        <w:rPr>
          <w:rFonts w:eastAsia="Calibri" w:cs="Times New Roman"/>
        </w:rPr>
      </w:pPr>
      <w:r w:rsidRPr="00BB3A50">
        <w:rPr>
          <w:rFonts w:eastAsia="Calibri" w:cs="Times New Roman"/>
        </w:rPr>
        <w:t xml:space="preserve">acceptance </w:t>
      </w:r>
      <w:r>
        <w:rPr>
          <w:rFonts w:eastAsia="Calibri" w:cs="Times New Roman"/>
        </w:rPr>
        <w:t xml:space="preserve">and incorporation </w:t>
      </w:r>
      <w:r w:rsidRPr="00BB3A50">
        <w:rPr>
          <w:rFonts w:eastAsia="Calibri" w:cs="Times New Roman"/>
        </w:rPr>
        <w:t xml:space="preserve">of the Commentary proportion of women </w:t>
      </w:r>
      <w:r>
        <w:rPr>
          <w:rFonts w:eastAsia="Calibri" w:cs="Times New Roman"/>
        </w:rPr>
        <w:t xml:space="preserve">of 56.5% (67% in the original ADAR) who attended a clinic at least once in the TTANGO study </w:t>
      </w:r>
    </w:p>
    <w:p w14:paraId="33580C58" w14:textId="77777777" w:rsidR="005852A3" w:rsidRDefault="005852A3" w:rsidP="005852A3">
      <w:pPr>
        <w:pStyle w:val="ListParagraph"/>
        <w:numPr>
          <w:ilvl w:val="0"/>
          <w:numId w:val="24"/>
        </w:numPr>
        <w:spacing w:before="0" w:after="240" w:line="240" w:lineRule="auto"/>
        <w:rPr>
          <w:rFonts w:eastAsia="Calibri" w:cs="Times New Roman"/>
        </w:rPr>
      </w:pPr>
      <w:r>
        <w:rPr>
          <w:rFonts w:eastAsia="Calibri" w:cs="Times New Roman"/>
        </w:rPr>
        <w:t xml:space="preserve">correction of the rounding </w:t>
      </w:r>
      <w:r w:rsidRPr="00BB3A50">
        <w:rPr>
          <w:rFonts w:eastAsia="Calibri" w:cs="Times New Roman"/>
        </w:rPr>
        <w:t>err</w:t>
      </w:r>
      <w:r>
        <w:rPr>
          <w:rFonts w:eastAsia="Calibri" w:cs="Times New Roman"/>
        </w:rPr>
        <w:t xml:space="preserve">ors in the </w:t>
      </w:r>
      <w:r w:rsidRPr="00BB3A50">
        <w:rPr>
          <w:rFonts w:eastAsia="Calibri" w:cs="Times New Roman"/>
        </w:rPr>
        <w:t>utilities associated with epididymitis</w:t>
      </w:r>
    </w:p>
    <w:p w14:paraId="17684978" w14:textId="23224EF5" w:rsidR="00BC20AB" w:rsidRDefault="005852A3" w:rsidP="00BC20AB">
      <w:pPr>
        <w:pStyle w:val="ListParagraph"/>
        <w:numPr>
          <w:ilvl w:val="0"/>
          <w:numId w:val="24"/>
        </w:numPr>
        <w:spacing w:before="0" w:after="240" w:line="240" w:lineRule="auto"/>
        <w:rPr>
          <w:rFonts w:eastAsia="Calibri" w:cs="Times New Roman"/>
        </w:rPr>
      </w:pPr>
      <w:r>
        <w:rPr>
          <w:rFonts w:eastAsia="Calibri" w:cs="Times New Roman"/>
        </w:rPr>
        <w:t>reduction of the days of disutility in PID state from 12 to 10 days (reflecting that some patients with acute PID will be treated as outpatients rather than as inpatients)</w:t>
      </w:r>
    </w:p>
    <w:p w14:paraId="24B555E6" w14:textId="77777777" w:rsidR="002D5300" w:rsidRPr="00CA478F" w:rsidRDefault="00BC20AB" w:rsidP="00CA478F">
      <w:pPr>
        <w:spacing w:before="0" w:after="240" w:line="240" w:lineRule="auto"/>
        <w:rPr>
          <w:rFonts w:eastAsia="Calibri" w:cs="Times New Roman"/>
        </w:rPr>
      </w:pPr>
      <w:r w:rsidRPr="00CA478F">
        <w:rPr>
          <w:rFonts w:eastAsia="Calibri" w:cs="Times New Roman"/>
        </w:rPr>
        <w:t xml:space="preserve">In the </w:t>
      </w:r>
      <w:r w:rsidR="002F5AC2" w:rsidRPr="00CA478F">
        <w:rPr>
          <w:rFonts w:eastAsia="Calibri" w:cs="Times New Roman"/>
        </w:rPr>
        <w:t xml:space="preserve">applicant’s </w:t>
      </w:r>
      <w:r w:rsidRPr="00CA478F">
        <w:rPr>
          <w:rFonts w:eastAsia="Calibri" w:cs="Times New Roman"/>
        </w:rPr>
        <w:t xml:space="preserve">pre-MSAC response, the applicant </w:t>
      </w:r>
      <w:r w:rsidR="00C958F2" w:rsidRPr="00CA478F">
        <w:rPr>
          <w:rFonts w:eastAsia="Calibri" w:cs="Times New Roman"/>
        </w:rPr>
        <w:t xml:space="preserve">updated the base-case to $33,387 per QALY gained with 10,000 microsimulations and noted that the base-case ICER was $38,398 per QALY gained using probabilistic sensitivity analysis. When the time horizon was changed from 10 years to 5 years in the probabilistic sensitivity analysis, this resulted in an ICER of $42,615 per QALY gained. Other sensitivity analyses were conducted on the base-case ICER and indicated that the ICER was most sensitive to the cost of the POC test and the probability of a positive test result. Additional analyses investigating the impact of other indirect out-of-pocket costs such as loss of productivity were explored. </w:t>
      </w:r>
      <w:r w:rsidR="007909E0" w:rsidRPr="00CA478F">
        <w:rPr>
          <w:rFonts w:eastAsia="Calibri" w:cs="Times New Roman"/>
        </w:rPr>
        <w:t>MSAC noted that due to the lack of transparency in the model and pre-MSAC response, the revised ICER and sensitivity analyses could not be verified prior to MSAC.</w:t>
      </w:r>
      <w:r w:rsidR="00E30C57" w:rsidRPr="00CA478F">
        <w:rPr>
          <w:rFonts w:eastAsia="Calibri" w:cs="Times New Roman"/>
        </w:rPr>
        <w:t>1</w:t>
      </w:r>
      <w:r w:rsidR="008A2C9F" w:rsidRPr="00CA478F">
        <w:rPr>
          <w:rFonts w:eastAsia="Calibri" w:cs="Times New Roman"/>
        </w:rPr>
        <w:t>4</w:t>
      </w:r>
      <w:r w:rsidR="00E30C57" w:rsidRPr="00CA478F">
        <w:rPr>
          <w:rFonts w:eastAsia="Calibri" w:cs="Times New Roman"/>
        </w:rPr>
        <w:t>.</w:t>
      </w:r>
    </w:p>
    <w:p w14:paraId="5B26D253" w14:textId="06D9A371" w:rsidR="00E30C57" w:rsidRPr="00CE28E3" w:rsidRDefault="00BC0139" w:rsidP="00E30C57">
      <w:pPr>
        <w:pStyle w:val="Heading2"/>
        <w:numPr>
          <w:ilvl w:val="0"/>
          <w:numId w:val="0"/>
        </w:numPr>
      </w:pPr>
      <w:r>
        <w:t>14.</w:t>
      </w:r>
      <w:r w:rsidR="00E30C57">
        <w:tab/>
      </w:r>
      <w:r w:rsidR="00E30C57" w:rsidRPr="00CE28E3">
        <w:t>Financial/budgetary impacts</w:t>
      </w:r>
      <w:bookmarkEnd w:id="53"/>
    </w:p>
    <w:p w14:paraId="7B5FA299" w14:textId="74F4A516" w:rsidR="00E30C57" w:rsidRDefault="00E30C57" w:rsidP="00E30C57">
      <w:r>
        <w:t xml:space="preserve">The ADAR adopted a market-based approach to estimate the use and cost of POC testing to the MBS, however rather than estimating the size of the market eligible for testing, current estimates of POC use were projected to account for use with MBS listing. </w:t>
      </w:r>
      <w:r w:rsidR="009705B5">
        <w:t>It wa</w:t>
      </w:r>
      <w:r w:rsidR="009705B5" w:rsidRPr="009C5754">
        <w:t xml:space="preserve">s </w:t>
      </w:r>
      <w:r w:rsidR="009705B5">
        <w:t>un</w:t>
      </w:r>
      <w:r w:rsidR="009705B5" w:rsidRPr="009C5754">
        <w:t xml:space="preserve">clear </w:t>
      </w:r>
      <w:r w:rsidR="009705B5">
        <w:t xml:space="preserve">from the ADAR whether the current estimates </w:t>
      </w:r>
      <w:r w:rsidR="009705B5" w:rsidRPr="009C5754">
        <w:t xml:space="preserve">reflected use across all age groups or whether this reflected use only in persons aged 16−29. </w:t>
      </w:r>
      <w:r w:rsidRPr="00C64E34">
        <w:t>The ADAR has assumed that each patient estimated to receive POC testing would have received standard laboratory t</w:t>
      </w:r>
      <w:r>
        <w:t>esting in the absence of POC.</w:t>
      </w:r>
    </w:p>
    <w:p w14:paraId="05DC11A0" w14:textId="669CE1A4" w:rsidR="00CA478F" w:rsidRPr="00CA478F" w:rsidRDefault="00E30C57" w:rsidP="00CA478F">
      <w:r w:rsidRPr="00CE28E3">
        <w:t xml:space="preserve">The financial implications to the </w:t>
      </w:r>
      <w:r w:rsidRPr="00794B36">
        <w:t>MBS</w:t>
      </w:r>
      <w:r w:rsidR="00A54E43">
        <w:t xml:space="preserve"> (</w:t>
      </w:r>
      <w:proofErr w:type="gramStart"/>
      <w:r w:rsidR="00A54E43">
        <w:t>i.e.</w:t>
      </w:r>
      <w:proofErr w:type="gramEnd"/>
      <w:r w:rsidR="00A54E43">
        <w:t xml:space="preserve"> calculated during the evaluation based on the MBS benefit)</w:t>
      </w:r>
      <w:r>
        <w:t xml:space="preserve"> </w:t>
      </w:r>
      <w:r w:rsidRPr="00CE28E3">
        <w:t xml:space="preserve">resulting from the proposed listing of </w:t>
      </w:r>
      <w:r>
        <w:t>POC testing for CT/NG and TV testing</w:t>
      </w:r>
      <w:r w:rsidRPr="00CE28E3">
        <w:t xml:space="preserve"> are summarised in </w:t>
      </w:r>
      <w:r>
        <w:fldChar w:fldCharType="begin"/>
      </w:r>
      <w:r>
        <w:instrText xml:space="preserve"> REF _Ref69726382 \h </w:instrText>
      </w:r>
      <w:r>
        <w:fldChar w:fldCharType="separate"/>
      </w:r>
      <w:r w:rsidR="00CE44AB" w:rsidRPr="00E30C57">
        <w:t>Table</w:t>
      </w:r>
      <w:r w:rsidR="00C6578F">
        <w:t xml:space="preserve"> </w:t>
      </w:r>
      <w:r w:rsidR="00CE44AB">
        <w:rPr>
          <w:noProof/>
        </w:rPr>
        <w:t>16</w:t>
      </w:r>
      <w:r>
        <w:fldChar w:fldCharType="end"/>
      </w:r>
      <w:r w:rsidRPr="00CE28E3">
        <w:t xml:space="preserve">. </w:t>
      </w:r>
      <w:bookmarkStart w:id="54" w:name="_Ref69726382"/>
      <w:r w:rsidR="00CA478F">
        <w:br w:type="page"/>
      </w:r>
    </w:p>
    <w:p w14:paraId="2446EE0F" w14:textId="5C8217E8" w:rsidR="00E30C57" w:rsidRPr="00E30C57" w:rsidRDefault="00E30C57" w:rsidP="00E30C57">
      <w:pPr>
        <w:pStyle w:val="Caption"/>
      </w:pPr>
      <w:r w:rsidRPr="00E30C57">
        <w:lastRenderedPageBreak/>
        <w:t>Table</w:t>
      </w:r>
      <w:r w:rsidR="00C6578F">
        <w:t xml:space="preserve"> </w:t>
      </w:r>
      <w:r w:rsidR="007D19FE">
        <w:fldChar w:fldCharType="begin"/>
      </w:r>
      <w:r w:rsidR="007D19FE">
        <w:instrText xml:space="preserve"> SEQ Table \* ARABIC </w:instrText>
      </w:r>
      <w:r w:rsidR="007D19FE">
        <w:fldChar w:fldCharType="separate"/>
      </w:r>
      <w:r w:rsidR="00C6578F">
        <w:rPr>
          <w:noProof/>
        </w:rPr>
        <w:t>16</w:t>
      </w:r>
      <w:r w:rsidR="007D19FE">
        <w:rPr>
          <w:noProof/>
        </w:rPr>
        <w:fldChar w:fldCharType="end"/>
      </w:r>
      <w:bookmarkEnd w:id="54"/>
      <w:r w:rsidRPr="00E30C57">
        <w:tab/>
        <w:t>Net financial implications of POC testing for CT/NG and TV to the MBS</w:t>
      </w:r>
    </w:p>
    <w:tbl>
      <w:tblPr>
        <w:tblStyle w:val="TableGrid1"/>
        <w:tblW w:w="5000" w:type="pct"/>
        <w:tblLayout w:type="fixed"/>
        <w:tblLook w:val="04A0" w:firstRow="1" w:lastRow="0" w:firstColumn="1" w:lastColumn="0" w:noHBand="0" w:noVBand="1"/>
        <w:tblCaption w:val="Net financial implications of POC testing for CT/NG and TV to the MBS"/>
        <w:tblDescription w:val="Net financial implications of POC testing for CT/NG and TV to the MBS"/>
      </w:tblPr>
      <w:tblGrid>
        <w:gridCol w:w="2122"/>
        <w:gridCol w:w="1149"/>
        <w:gridCol w:w="1149"/>
        <w:gridCol w:w="1149"/>
        <w:gridCol w:w="1149"/>
        <w:gridCol w:w="1149"/>
        <w:gridCol w:w="1149"/>
      </w:tblGrid>
      <w:tr w:rsidR="00E30C57" w:rsidRPr="005969EB" w14:paraId="159ACA04" w14:textId="77777777" w:rsidTr="00D748F9">
        <w:trPr>
          <w:cnfStyle w:val="100000000000" w:firstRow="1" w:lastRow="0" w:firstColumn="0" w:lastColumn="0" w:oddVBand="0" w:evenVBand="0" w:oddHBand="0" w:evenHBand="0" w:firstRowFirstColumn="0" w:firstRowLastColumn="0" w:lastRowFirstColumn="0" w:lastRowLastColumn="0"/>
          <w:trHeight w:val="300"/>
          <w:tblHeader/>
        </w:trPr>
        <w:tc>
          <w:tcPr>
            <w:tcW w:w="1177" w:type="pct"/>
            <w:noWrap/>
            <w:hideMark/>
          </w:tcPr>
          <w:p w14:paraId="502786F8" w14:textId="77777777" w:rsidR="00E30C57" w:rsidRPr="005969EB" w:rsidRDefault="00E30C57" w:rsidP="00D748F9">
            <w:pPr>
              <w:pStyle w:val="TableHeading"/>
              <w:rPr>
                <w:rFonts w:eastAsiaTheme="minorHAnsi" w:cstheme="minorBidi"/>
                <w:szCs w:val="22"/>
                <w:lang w:eastAsia="en-US"/>
              </w:rPr>
            </w:pPr>
          </w:p>
        </w:tc>
        <w:tc>
          <w:tcPr>
            <w:tcW w:w="637" w:type="pct"/>
            <w:noWrap/>
            <w:hideMark/>
          </w:tcPr>
          <w:p w14:paraId="1771C9EA" w14:textId="77777777" w:rsidR="00E30C57" w:rsidRPr="005969EB" w:rsidRDefault="00E30C57" w:rsidP="00D748F9">
            <w:pPr>
              <w:pStyle w:val="TableHeading"/>
              <w:jc w:val="center"/>
              <w:rPr>
                <w:rFonts w:eastAsiaTheme="minorHAnsi" w:cstheme="minorBidi"/>
                <w:lang w:eastAsia="en-US"/>
              </w:rPr>
            </w:pPr>
            <w:r w:rsidRPr="005969EB">
              <w:rPr>
                <w:rFonts w:eastAsiaTheme="minorHAnsi" w:cstheme="minorBidi"/>
                <w:lang w:eastAsia="en-US"/>
              </w:rPr>
              <w:t>2023</w:t>
            </w:r>
          </w:p>
        </w:tc>
        <w:tc>
          <w:tcPr>
            <w:tcW w:w="637" w:type="pct"/>
            <w:noWrap/>
            <w:hideMark/>
          </w:tcPr>
          <w:p w14:paraId="035BC61E" w14:textId="77777777" w:rsidR="00E30C57" w:rsidRPr="005969EB" w:rsidRDefault="00E30C57" w:rsidP="00D748F9">
            <w:pPr>
              <w:pStyle w:val="TableHeading"/>
              <w:jc w:val="center"/>
              <w:rPr>
                <w:rFonts w:eastAsiaTheme="minorHAnsi" w:cstheme="minorBidi"/>
                <w:lang w:eastAsia="en-US"/>
              </w:rPr>
            </w:pPr>
            <w:r w:rsidRPr="005969EB">
              <w:rPr>
                <w:rFonts w:eastAsiaTheme="minorHAnsi" w:cstheme="minorBidi"/>
                <w:lang w:eastAsia="en-US"/>
              </w:rPr>
              <w:t>2024</w:t>
            </w:r>
          </w:p>
        </w:tc>
        <w:tc>
          <w:tcPr>
            <w:tcW w:w="637" w:type="pct"/>
            <w:noWrap/>
            <w:hideMark/>
          </w:tcPr>
          <w:p w14:paraId="72CC1189" w14:textId="77777777" w:rsidR="00E30C57" w:rsidRPr="005969EB" w:rsidRDefault="00E30C57" w:rsidP="00D748F9">
            <w:pPr>
              <w:pStyle w:val="TableHeading"/>
              <w:jc w:val="center"/>
              <w:rPr>
                <w:rFonts w:eastAsiaTheme="minorHAnsi" w:cstheme="minorBidi"/>
                <w:lang w:eastAsia="en-US"/>
              </w:rPr>
            </w:pPr>
            <w:r w:rsidRPr="005969EB">
              <w:rPr>
                <w:rFonts w:eastAsiaTheme="minorHAnsi" w:cstheme="minorBidi"/>
                <w:lang w:eastAsia="en-US"/>
              </w:rPr>
              <w:t>2025</w:t>
            </w:r>
          </w:p>
        </w:tc>
        <w:tc>
          <w:tcPr>
            <w:tcW w:w="637" w:type="pct"/>
            <w:noWrap/>
            <w:hideMark/>
          </w:tcPr>
          <w:p w14:paraId="19C9AE28" w14:textId="77777777" w:rsidR="00E30C57" w:rsidRPr="005969EB" w:rsidRDefault="00E30C57" w:rsidP="00D748F9">
            <w:pPr>
              <w:pStyle w:val="TableHeading"/>
              <w:jc w:val="center"/>
              <w:rPr>
                <w:rFonts w:eastAsiaTheme="minorHAnsi" w:cstheme="minorBidi"/>
                <w:lang w:eastAsia="en-US"/>
              </w:rPr>
            </w:pPr>
            <w:r w:rsidRPr="005969EB">
              <w:rPr>
                <w:rFonts w:eastAsiaTheme="minorHAnsi" w:cstheme="minorBidi"/>
                <w:lang w:eastAsia="en-US"/>
              </w:rPr>
              <w:t>2026</w:t>
            </w:r>
          </w:p>
        </w:tc>
        <w:tc>
          <w:tcPr>
            <w:tcW w:w="637" w:type="pct"/>
            <w:noWrap/>
            <w:hideMark/>
          </w:tcPr>
          <w:p w14:paraId="692AF1E5" w14:textId="77777777" w:rsidR="00E30C57" w:rsidRPr="005969EB" w:rsidRDefault="00E30C57" w:rsidP="00D748F9">
            <w:pPr>
              <w:pStyle w:val="TableHeading"/>
              <w:jc w:val="center"/>
              <w:rPr>
                <w:rFonts w:eastAsiaTheme="minorHAnsi" w:cstheme="minorBidi"/>
                <w:lang w:eastAsia="en-US"/>
              </w:rPr>
            </w:pPr>
            <w:r w:rsidRPr="005969EB">
              <w:rPr>
                <w:rFonts w:eastAsiaTheme="minorHAnsi" w:cstheme="minorBidi"/>
                <w:lang w:eastAsia="en-US"/>
              </w:rPr>
              <w:t>2027</w:t>
            </w:r>
          </w:p>
        </w:tc>
        <w:tc>
          <w:tcPr>
            <w:tcW w:w="637" w:type="pct"/>
            <w:noWrap/>
            <w:hideMark/>
          </w:tcPr>
          <w:p w14:paraId="2F8ED554" w14:textId="77777777" w:rsidR="00E30C57" w:rsidRPr="005969EB" w:rsidRDefault="00E30C57" w:rsidP="00D748F9">
            <w:pPr>
              <w:pStyle w:val="TableHeading"/>
              <w:jc w:val="center"/>
              <w:rPr>
                <w:rFonts w:eastAsiaTheme="minorHAnsi" w:cstheme="minorBidi"/>
                <w:lang w:eastAsia="en-US"/>
              </w:rPr>
            </w:pPr>
            <w:r w:rsidRPr="005969EB">
              <w:rPr>
                <w:rFonts w:eastAsiaTheme="minorHAnsi" w:cstheme="minorBidi"/>
                <w:lang w:eastAsia="en-US"/>
              </w:rPr>
              <w:t>2028</w:t>
            </w:r>
          </w:p>
        </w:tc>
      </w:tr>
      <w:tr w:rsidR="00E30C57" w:rsidRPr="005969EB" w14:paraId="6786815F" w14:textId="77777777" w:rsidTr="00D748F9">
        <w:trPr>
          <w:trHeight w:val="300"/>
        </w:trPr>
        <w:tc>
          <w:tcPr>
            <w:tcW w:w="1177" w:type="pct"/>
            <w:noWrap/>
            <w:hideMark/>
          </w:tcPr>
          <w:p w14:paraId="6E44AE67" w14:textId="416296B4" w:rsidR="00E30C57" w:rsidRPr="005969EB" w:rsidRDefault="00E30C57" w:rsidP="00D748F9">
            <w:pPr>
              <w:pStyle w:val="TableText"/>
              <w:rPr>
                <w:rFonts w:eastAsiaTheme="minorHAnsi" w:cstheme="minorBidi"/>
                <w:lang w:eastAsia="en-US"/>
              </w:rPr>
            </w:pPr>
            <w:r w:rsidRPr="005969EB">
              <w:rPr>
                <w:rFonts w:eastAsiaTheme="minorHAnsi" w:cstheme="minorBidi"/>
                <w:lang w:eastAsia="en-US"/>
              </w:rPr>
              <w:t>No. persons tested per year</w:t>
            </w:r>
            <w:r w:rsidR="00F11163">
              <w:rPr>
                <w:rFonts w:eastAsiaTheme="minorHAnsi" w:cstheme="minorBidi"/>
                <w:lang w:eastAsia="en-US"/>
              </w:rPr>
              <w:t xml:space="preserve"> using POC test</w:t>
            </w:r>
          </w:p>
        </w:tc>
        <w:tc>
          <w:tcPr>
            <w:tcW w:w="637" w:type="pct"/>
            <w:noWrap/>
            <w:hideMark/>
          </w:tcPr>
          <w:p w14:paraId="5BE39309"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18,360</w:t>
            </w:r>
          </w:p>
        </w:tc>
        <w:tc>
          <w:tcPr>
            <w:tcW w:w="637" w:type="pct"/>
            <w:noWrap/>
            <w:hideMark/>
          </w:tcPr>
          <w:p w14:paraId="448CB695"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20,196</w:t>
            </w:r>
          </w:p>
        </w:tc>
        <w:tc>
          <w:tcPr>
            <w:tcW w:w="637" w:type="pct"/>
            <w:noWrap/>
            <w:hideMark/>
          </w:tcPr>
          <w:p w14:paraId="654544B3"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26,136</w:t>
            </w:r>
          </w:p>
        </w:tc>
        <w:tc>
          <w:tcPr>
            <w:tcW w:w="637" w:type="pct"/>
            <w:noWrap/>
            <w:hideMark/>
          </w:tcPr>
          <w:p w14:paraId="2D696750"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35,937</w:t>
            </w:r>
          </w:p>
        </w:tc>
        <w:tc>
          <w:tcPr>
            <w:tcW w:w="637" w:type="pct"/>
            <w:noWrap/>
            <w:hideMark/>
          </w:tcPr>
          <w:p w14:paraId="3FAD2B33"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47,437</w:t>
            </w:r>
          </w:p>
        </w:tc>
        <w:tc>
          <w:tcPr>
            <w:tcW w:w="637" w:type="pct"/>
            <w:noWrap/>
            <w:hideMark/>
          </w:tcPr>
          <w:p w14:paraId="715F13C6"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52,181</w:t>
            </w:r>
          </w:p>
        </w:tc>
      </w:tr>
      <w:tr w:rsidR="00E30C57" w:rsidRPr="005969EB" w14:paraId="62C29891" w14:textId="77777777" w:rsidTr="00D748F9">
        <w:trPr>
          <w:trHeight w:val="300"/>
        </w:trPr>
        <w:tc>
          <w:tcPr>
            <w:tcW w:w="1177" w:type="pct"/>
            <w:noWrap/>
            <w:hideMark/>
          </w:tcPr>
          <w:p w14:paraId="2E1E0FD3" w14:textId="77777777" w:rsidR="00E30C57" w:rsidRPr="005969EB" w:rsidRDefault="00E30C57" w:rsidP="00D748F9">
            <w:pPr>
              <w:pStyle w:val="TableText"/>
              <w:rPr>
                <w:rFonts w:eastAsiaTheme="minorHAnsi" w:cstheme="minorBidi"/>
                <w:lang w:eastAsia="en-US"/>
              </w:rPr>
            </w:pPr>
            <w:r w:rsidRPr="005969EB">
              <w:rPr>
                <w:rFonts w:eastAsiaTheme="minorHAnsi" w:cstheme="minorBidi"/>
                <w:lang w:eastAsia="en-US"/>
              </w:rPr>
              <w:t>Cost to the MBS for POC CT/NG testing</w:t>
            </w:r>
            <w:r w:rsidRPr="005969EB">
              <w:rPr>
                <w:rFonts w:eastAsiaTheme="minorHAnsi" w:cstheme="minorBidi"/>
                <w:lang w:eastAsia="en-US"/>
              </w:rPr>
              <w:br/>
              <w:t xml:space="preserve">($127.50 per </w:t>
            </w:r>
            <w:proofErr w:type="gramStart"/>
            <w:r w:rsidRPr="005969EB">
              <w:rPr>
                <w:rFonts w:eastAsiaTheme="minorHAnsi" w:cstheme="minorBidi"/>
                <w:lang w:eastAsia="en-US"/>
              </w:rPr>
              <w:t>service)</w:t>
            </w:r>
            <w:r w:rsidRPr="005969EB">
              <w:rPr>
                <w:rFonts w:eastAsiaTheme="minorHAnsi" w:cstheme="minorBidi"/>
                <w:vertAlign w:val="superscript"/>
                <w:lang w:eastAsia="en-US"/>
              </w:rPr>
              <w:t>a</w:t>
            </w:r>
            <w:proofErr w:type="gramEnd"/>
          </w:p>
        </w:tc>
        <w:tc>
          <w:tcPr>
            <w:tcW w:w="637" w:type="pct"/>
            <w:noWrap/>
            <w:hideMark/>
          </w:tcPr>
          <w:p w14:paraId="5251E439"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$2,340,900</w:t>
            </w:r>
          </w:p>
        </w:tc>
        <w:tc>
          <w:tcPr>
            <w:tcW w:w="637" w:type="pct"/>
            <w:noWrap/>
            <w:hideMark/>
          </w:tcPr>
          <w:p w14:paraId="2AAD3EFE"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$2,574,990</w:t>
            </w:r>
          </w:p>
        </w:tc>
        <w:tc>
          <w:tcPr>
            <w:tcW w:w="637" w:type="pct"/>
            <w:noWrap/>
            <w:hideMark/>
          </w:tcPr>
          <w:p w14:paraId="53565969"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$3,332,340</w:t>
            </w:r>
          </w:p>
        </w:tc>
        <w:tc>
          <w:tcPr>
            <w:tcW w:w="637" w:type="pct"/>
            <w:noWrap/>
            <w:hideMark/>
          </w:tcPr>
          <w:p w14:paraId="32B0E165"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$4,581,968</w:t>
            </w:r>
          </w:p>
        </w:tc>
        <w:tc>
          <w:tcPr>
            <w:tcW w:w="637" w:type="pct"/>
            <w:noWrap/>
            <w:hideMark/>
          </w:tcPr>
          <w:p w14:paraId="46C3A7C6"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$6,048,197</w:t>
            </w:r>
          </w:p>
        </w:tc>
        <w:tc>
          <w:tcPr>
            <w:tcW w:w="637" w:type="pct"/>
            <w:noWrap/>
            <w:hideMark/>
          </w:tcPr>
          <w:p w14:paraId="5B0826BA"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$6,653,017</w:t>
            </w:r>
          </w:p>
        </w:tc>
      </w:tr>
      <w:tr w:rsidR="00E30C57" w:rsidRPr="005969EB" w14:paraId="30837F34" w14:textId="77777777" w:rsidTr="00D748F9">
        <w:trPr>
          <w:trHeight w:val="300"/>
        </w:trPr>
        <w:tc>
          <w:tcPr>
            <w:tcW w:w="1177" w:type="pct"/>
            <w:noWrap/>
            <w:hideMark/>
          </w:tcPr>
          <w:p w14:paraId="5E63DB33" w14:textId="77777777" w:rsidR="00E30C57" w:rsidRPr="005969EB" w:rsidRDefault="00E30C57" w:rsidP="00D748F9">
            <w:pPr>
              <w:pStyle w:val="TableText"/>
              <w:rPr>
                <w:rFonts w:eastAsiaTheme="minorHAnsi" w:cstheme="minorBidi"/>
                <w:lang w:eastAsia="en-US"/>
              </w:rPr>
            </w:pPr>
            <w:r w:rsidRPr="005969EB">
              <w:rPr>
                <w:rFonts w:eastAsiaTheme="minorHAnsi" w:cstheme="minorBidi"/>
                <w:lang w:eastAsia="en-US"/>
              </w:rPr>
              <w:t xml:space="preserve">Cost to the MBS for POC TV testing </w:t>
            </w:r>
            <w:r w:rsidRPr="005969EB">
              <w:rPr>
                <w:rFonts w:eastAsiaTheme="minorHAnsi" w:cstheme="minorBidi"/>
                <w:lang w:eastAsia="en-US"/>
              </w:rPr>
              <w:br/>
              <w:t xml:space="preserve">($97.75 per </w:t>
            </w:r>
            <w:proofErr w:type="gramStart"/>
            <w:r w:rsidRPr="005969EB">
              <w:rPr>
                <w:rFonts w:eastAsiaTheme="minorHAnsi" w:cstheme="minorBidi"/>
                <w:lang w:eastAsia="en-US"/>
              </w:rPr>
              <w:t>service)</w:t>
            </w:r>
            <w:r w:rsidRPr="005969EB">
              <w:rPr>
                <w:rFonts w:eastAsiaTheme="minorHAnsi" w:cstheme="minorBidi"/>
                <w:vertAlign w:val="superscript"/>
                <w:lang w:eastAsia="en-US"/>
              </w:rPr>
              <w:t>a</w:t>
            </w:r>
            <w:proofErr w:type="gramEnd"/>
          </w:p>
        </w:tc>
        <w:tc>
          <w:tcPr>
            <w:tcW w:w="637" w:type="pct"/>
            <w:noWrap/>
            <w:hideMark/>
          </w:tcPr>
          <w:p w14:paraId="37DD1C47"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$1,794,690</w:t>
            </w:r>
          </w:p>
        </w:tc>
        <w:tc>
          <w:tcPr>
            <w:tcW w:w="637" w:type="pct"/>
            <w:noWrap/>
            <w:hideMark/>
          </w:tcPr>
          <w:p w14:paraId="3892A716"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$1,974,159</w:t>
            </w:r>
          </w:p>
        </w:tc>
        <w:tc>
          <w:tcPr>
            <w:tcW w:w="637" w:type="pct"/>
            <w:noWrap/>
            <w:hideMark/>
          </w:tcPr>
          <w:p w14:paraId="6D20C1EB"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$2,554,794</w:t>
            </w:r>
          </w:p>
        </w:tc>
        <w:tc>
          <w:tcPr>
            <w:tcW w:w="637" w:type="pct"/>
            <w:noWrap/>
            <w:hideMark/>
          </w:tcPr>
          <w:p w14:paraId="1CBC46CA"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$3,512,842</w:t>
            </w:r>
          </w:p>
        </w:tc>
        <w:tc>
          <w:tcPr>
            <w:tcW w:w="637" w:type="pct"/>
            <w:noWrap/>
            <w:hideMark/>
          </w:tcPr>
          <w:p w14:paraId="7DF474F1"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$4,636,951</w:t>
            </w:r>
          </w:p>
        </w:tc>
        <w:tc>
          <w:tcPr>
            <w:tcW w:w="637" w:type="pct"/>
            <w:noWrap/>
            <w:hideMark/>
          </w:tcPr>
          <w:p w14:paraId="26373F48" w14:textId="77777777" w:rsidR="00E30C57" w:rsidRPr="005969EB" w:rsidRDefault="00E30C57" w:rsidP="00D748F9">
            <w:pPr>
              <w:pStyle w:val="TableText"/>
              <w:jc w:val="right"/>
              <w:rPr>
                <w:rFonts w:eastAsiaTheme="minorHAnsi" w:cstheme="minorBidi"/>
                <w:lang w:eastAsia="en-US"/>
              </w:rPr>
            </w:pPr>
            <w:r w:rsidRPr="005969EB">
              <w:rPr>
                <w:rFonts w:eastAsiaTheme="minorHAnsi" w:cstheme="minorBidi"/>
                <w:lang w:eastAsia="en-US"/>
              </w:rPr>
              <w:t>$5,100,646</w:t>
            </w:r>
          </w:p>
        </w:tc>
      </w:tr>
      <w:tr w:rsidR="00E30C57" w:rsidRPr="005969EB" w14:paraId="57E587C4" w14:textId="77777777" w:rsidTr="00D748F9">
        <w:trPr>
          <w:trHeight w:val="300"/>
        </w:trPr>
        <w:tc>
          <w:tcPr>
            <w:tcW w:w="1177" w:type="pct"/>
            <w:noWrap/>
            <w:hideMark/>
          </w:tcPr>
          <w:p w14:paraId="3FB3C3C2" w14:textId="77777777" w:rsidR="00E30C57" w:rsidRPr="005969EB" w:rsidRDefault="00E30C57" w:rsidP="00D748F9">
            <w:pPr>
              <w:pStyle w:val="TableText"/>
              <w:rPr>
                <w:rFonts w:eastAsiaTheme="minorHAnsi" w:cstheme="minorBidi"/>
                <w:b/>
                <w:lang w:eastAsia="en-US"/>
              </w:rPr>
            </w:pPr>
            <w:r w:rsidRPr="005969EB">
              <w:rPr>
                <w:rFonts w:eastAsiaTheme="minorHAnsi" w:cstheme="minorBidi"/>
                <w:b/>
                <w:lang w:eastAsia="en-US"/>
              </w:rPr>
              <w:t>Cost to the MBS for proposed POC testing</w:t>
            </w:r>
          </w:p>
        </w:tc>
        <w:tc>
          <w:tcPr>
            <w:tcW w:w="637" w:type="pct"/>
            <w:noWrap/>
            <w:hideMark/>
          </w:tcPr>
          <w:p w14:paraId="6E69C975" w14:textId="77777777" w:rsidR="00E30C57" w:rsidRPr="005969EB" w:rsidRDefault="00E30C57" w:rsidP="00D748F9">
            <w:pPr>
              <w:pStyle w:val="TableText"/>
              <w:jc w:val="right"/>
              <w:rPr>
                <w:rFonts w:eastAsiaTheme="minorHAnsi" w:cstheme="minorBidi"/>
                <w:b/>
                <w:lang w:eastAsia="en-US"/>
              </w:rPr>
            </w:pPr>
            <w:r w:rsidRPr="005969EB">
              <w:rPr>
                <w:rFonts w:eastAsiaTheme="minorHAnsi" w:cstheme="minorBidi"/>
                <w:b/>
                <w:lang w:eastAsia="en-US"/>
              </w:rPr>
              <w:t>$4,135,590</w:t>
            </w:r>
          </w:p>
        </w:tc>
        <w:tc>
          <w:tcPr>
            <w:tcW w:w="637" w:type="pct"/>
            <w:noWrap/>
            <w:hideMark/>
          </w:tcPr>
          <w:p w14:paraId="6B62817E" w14:textId="77777777" w:rsidR="00E30C57" w:rsidRPr="005969EB" w:rsidRDefault="00E30C57" w:rsidP="00D748F9">
            <w:pPr>
              <w:pStyle w:val="TableText"/>
              <w:jc w:val="right"/>
              <w:rPr>
                <w:rFonts w:eastAsiaTheme="minorHAnsi" w:cstheme="minorBidi"/>
                <w:b/>
                <w:lang w:eastAsia="en-US"/>
              </w:rPr>
            </w:pPr>
            <w:r w:rsidRPr="005969EB">
              <w:rPr>
                <w:rFonts w:eastAsiaTheme="minorHAnsi" w:cstheme="minorBidi"/>
                <w:b/>
                <w:lang w:eastAsia="en-US"/>
              </w:rPr>
              <w:t>$4,549,149</w:t>
            </w:r>
          </w:p>
        </w:tc>
        <w:tc>
          <w:tcPr>
            <w:tcW w:w="637" w:type="pct"/>
            <w:noWrap/>
            <w:hideMark/>
          </w:tcPr>
          <w:p w14:paraId="3D0E9F82" w14:textId="77777777" w:rsidR="00E30C57" w:rsidRPr="005969EB" w:rsidRDefault="00E30C57" w:rsidP="00D748F9">
            <w:pPr>
              <w:pStyle w:val="TableText"/>
              <w:jc w:val="right"/>
              <w:rPr>
                <w:rFonts w:eastAsiaTheme="minorHAnsi" w:cstheme="minorBidi"/>
                <w:b/>
                <w:lang w:eastAsia="en-US"/>
              </w:rPr>
            </w:pPr>
            <w:r w:rsidRPr="005969EB">
              <w:rPr>
                <w:rFonts w:eastAsiaTheme="minorHAnsi" w:cstheme="minorBidi"/>
                <w:b/>
                <w:lang w:eastAsia="en-US"/>
              </w:rPr>
              <w:t>$5,887,134</w:t>
            </w:r>
          </w:p>
        </w:tc>
        <w:tc>
          <w:tcPr>
            <w:tcW w:w="637" w:type="pct"/>
            <w:noWrap/>
            <w:hideMark/>
          </w:tcPr>
          <w:p w14:paraId="750A04E2" w14:textId="77777777" w:rsidR="00E30C57" w:rsidRPr="005969EB" w:rsidRDefault="00E30C57" w:rsidP="00D748F9">
            <w:pPr>
              <w:pStyle w:val="TableText"/>
              <w:jc w:val="right"/>
              <w:rPr>
                <w:rFonts w:eastAsiaTheme="minorHAnsi" w:cstheme="minorBidi"/>
                <w:b/>
                <w:lang w:eastAsia="en-US"/>
              </w:rPr>
            </w:pPr>
            <w:r w:rsidRPr="005969EB">
              <w:rPr>
                <w:rFonts w:eastAsiaTheme="minorHAnsi" w:cstheme="minorBidi"/>
                <w:b/>
                <w:lang w:eastAsia="en-US"/>
              </w:rPr>
              <w:t>$8,094,809</w:t>
            </w:r>
          </w:p>
        </w:tc>
        <w:tc>
          <w:tcPr>
            <w:tcW w:w="637" w:type="pct"/>
            <w:noWrap/>
            <w:hideMark/>
          </w:tcPr>
          <w:p w14:paraId="1C6A36F5" w14:textId="77777777" w:rsidR="00E30C57" w:rsidRPr="005969EB" w:rsidRDefault="00E30C57" w:rsidP="00D748F9">
            <w:pPr>
              <w:pStyle w:val="TableText"/>
              <w:jc w:val="right"/>
              <w:rPr>
                <w:rFonts w:eastAsiaTheme="minorHAnsi" w:cstheme="minorBidi"/>
                <w:b/>
                <w:lang w:eastAsia="en-US"/>
              </w:rPr>
            </w:pPr>
            <w:r w:rsidRPr="005969EB">
              <w:rPr>
                <w:rFonts w:eastAsiaTheme="minorHAnsi" w:cstheme="minorBidi"/>
                <w:b/>
                <w:lang w:eastAsia="en-US"/>
              </w:rPr>
              <w:t>$10,685,148</w:t>
            </w:r>
          </w:p>
        </w:tc>
        <w:tc>
          <w:tcPr>
            <w:tcW w:w="637" w:type="pct"/>
            <w:noWrap/>
            <w:hideMark/>
          </w:tcPr>
          <w:p w14:paraId="31CB1B5D" w14:textId="77777777" w:rsidR="00E30C57" w:rsidRPr="005969EB" w:rsidRDefault="00E30C57" w:rsidP="00D748F9">
            <w:pPr>
              <w:pStyle w:val="TableText"/>
              <w:jc w:val="right"/>
              <w:rPr>
                <w:rFonts w:eastAsiaTheme="minorHAnsi" w:cstheme="minorBidi"/>
                <w:b/>
                <w:lang w:eastAsia="en-US"/>
              </w:rPr>
            </w:pPr>
            <w:r w:rsidRPr="005969EB">
              <w:rPr>
                <w:rFonts w:eastAsiaTheme="minorHAnsi" w:cstheme="minorBidi"/>
                <w:b/>
                <w:lang w:eastAsia="en-US"/>
              </w:rPr>
              <w:t>$11,753,663</w:t>
            </w:r>
          </w:p>
        </w:tc>
      </w:tr>
      <w:tr w:rsidR="00E30C57" w:rsidRPr="005969EB" w14:paraId="7AD19FE7" w14:textId="77777777" w:rsidTr="00D748F9">
        <w:trPr>
          <w:trHeight w:val="300"/>
        </w:trPr>
        <w:tc>
          <w:tcPr>
            <w:tcW w:w="1177" w:type="pct"/>
            <w:noWrap/>
            <w:hideMark/>
          </w:tcPr>
          <w:p w14:paraId="1B9640E6" w14:textId="77777777" w:rsidR="00E30C57" w:rsidRPr="005969EB" w:rsidRDefault="00E30C57" w:rsidP="00D748F9">
            <w:pPr>
              <w:pStyle w:val="TableText"/>
              <w:rPr>
                <w:rFonts w:eastAsiaTheme="minorHAnsi" w:cstheme="minorBidi"/>
                <w:lang w:eastAsia="en-US"/>
              </w:rPr>
            </w:pPr>
            <w:r w:rsidRPr="005969EB">
              <w:t>Reduction in use of standard CT/NG/TV tests</w:t>
            </w:r>
          </w:p>
        </w:tc>
        <w:tc>
          <w:tcPr>
            <w:tcW w:w="637" w:type="pct"/>
            <w:noWrap/>
            <w:hideMark/>
          </w:tcPr>
          <w:p w14:paraId="6E447119" w14:textId="77777777" w:rsidR="00E30C57" w:rsidRPr="005969EB" w:rsidRDefault="00E30C57" w:rsidP="00D748F9">
            <w:pPr>
              <w:pStyle w:val="TableText"/>
              <w:jc w:val="right"/>
              <w:rPr>
                <w:rFonts w:eastAsiaTheme="minorHAnsi" w:cstheme="minorBidi"/>
                <w:lang w:eastAsia="en-US"/>
              </w:rPr>
            </w:pPr>
            <w:r w:rsidRPr="005969EB">
              <w:t>18,360</w:t>
            </w:r>
          </w:p>
        </w:tc>
        <w:tc>
          <w:tcPr>
            <w:tcW w:w="637" w:type="pct"/>
            <w:noWrap/>
            <w:hideMark/>
          </w:tcPr>
          <w:p w14:paraId="52B3B91A" w14:textId="77777777" w:rsidR="00E30C57" w:rsidRPr="005969EB" w:rsidRDefault="00E30C57" w:rsidP="00D748F9">
            <w:pPr>
              <w:pStyle w:val="TableText"/>
              <w:jc w:val="right"/>
              <w:rPr>
                <w:rFonts w:eastAsiaTheme="minorHAnsi" w:cstheme="minorBidi"/>
                <w:lang w:eastAsia="en-US"/>
              </w:rPr>
            </w:pPr>
            <w:r w:rsidRPr="005969EB">
              <w:t>20,196</w:t>
            </w:r>
          </w:p>
        </w:tc>
        <w:tc>
          <w:tcPr>
            <w:tcW w:w="637" w:type="pct"/>
            <w:noWrap/>
            <w:hideMark/>
          </w:tcPr>
          <w:p w14:paraId="53D0FF5F" w14:textId="77777777" w:rsidR="00E30C57" w:rsidRPr="005969EB" w:rsidRDefault="00E30C57" w:rsidP="00D748F9">
            <w:pPr>
              <w:pStyle w:val="TableText"/>
              <w:jc w:val="right"/>
              <w:rPr>
                <w:rFonts w:eastAsiaTheme="minorHAnsi" w:cstheme="minorBidi"/>
                <w:lang w:eastAsia="en-US"/>
              </w:rPr>
            </w:pPr>
            <w:r w:rsidRPr="005969EB">
              <w:t>26,136</w:t>
            </w:r>
          </w:p>
        </w:tc>
        <w:tc>
          <w:tcPr>
            <w:tcW w:w="637" w:type="pct"/>
            <w:noWrap/>
            <w:hideMark/>
          </w:tcPr>
          <w:p w14:paraId="13E1D30E" w14:textId="77777777" w:rsidR="00E30C57" w:rsidRPr="005969EB" w:rsidRDefault="00E30C57" w:rsidP="00D748F9">
            <w:pPr>
              <w:pStyle w:val="TableText"/>
              <w:jc w:val="right"/>
              <w:rPr>
                <w:rFonts w:eastAsiaTheme="minorHAnsi" w:cstheme="minorBidi"/>
                <w:lang w:eastAsia="en-US"/>
              </w:rPr>
            </w:pPr>
            <w:r w:rsidRPr="005969EB">
              <w:t>35,937</w:t>
            </w:r>
          </w:p>
        </w:tc>
        <w:tc>
          <w:tcPr>
            <w:tcW w:w="637" w:type="pct"/>
            <w:noWrap/>
            <w:hideMark/>
          </w:tcPr>
          <w:p w14:paraId="596A7702" w14:textId="77777777" w:rsidR="00E30C57" w:rsidRPr="005969EB" w:rsidRDefault="00E30C57" w:rsidP="00D748F9">
            <w:pPr>
              <w:pStyle w:val="TableText"/>
              <w:jc w:val="right"/>
              <w:rPr>
                <w:rFonts w:eastAsiaTheme="minorHAnsi" w:cstheme="minorBidi"/>
                <w:lang w:eastAsia="en-US"/>
              </w:rPr>
            </w:pPr>
            <w:r w:rsidRPr="005969EB">
              <w:t>47,437</w:t>
            </w:r>
          </w:p>
        </w:tc>
        <w:tc>
          <w:tcPr>
            <w:tcW w:w="637" w:type="pct"/>
            <w:noWrap/>
            <w:hideMark/>
          </w:tcPr>
          <w:p w14:paraId="64646709" w14:textId="77777777" w:rsidR="00E30C57" w:rsidRPr="005969EB" w:rsidRDefault="00E30C57" w:rsidP="00D748F9">
            <w:pPr>
              <w:pStyle w:val="TableText"/>
              <w:jc w:val="right"/>
              <w:rPr>
                <w:rFonts w:eastAsiaTheme="minorHAnsi" w:cstheme="minorBidi"/>
                <w:lang w:eastAsia="en-US"/>
              </w:rPr>
            </w:pPr>
            <w:r w:rsidRPr="005969EB">
              <w:t>52,181</w:t>
            </w:r>
          </w:p>
        </w:tc>
      </w:tr>
      <w:tr w:rsidR="00E30C57" w:rsidRPr="005969EB" w14:paraId="272E2FB2" w14:textId="77777777" w:rsidTr="00D748F9">
        <w:trPr>
          <w:trHeight w:val="300"/>
        </w:trPr>
        <w:tc>
          <w:tcPr>
            <w:tcW w:w="1177" w:type="pct"/>
            <w:noWrap/>
            <w:hideMark/>
          </w:tcPr>
          <w:p w14:paraId="56F066BD" w14:textId="77777777" w:rsidR="00E30C57" w:rsidRPr="005969EB" w:rsidRDefault="00E30C57" w:rsidP="00D748F9">
            <w:pPr>
              <w:pStyle w:val="TableText"/>
              <w:rPr>
                <w:rFonts w:eastAsiaTheme="minorHAnsi" w:cstheme="minorBidi"/>
                <w:lang w:eastAsia="en-US"/>
              </w:rPr>
            </w:pPr>
            <w:r w:rsidRPr="005969EB">
              <w:t xml:space="preserve">Reduction in cost to the MBS for standard CT/NG/TV testing ($36.55 per </w:t>
            </w:r>
            <w:proofErr w:type="gramStart"/>
            <w:r w:rsidRPr="005969EB">
              <w:t>service)</w:t>
            </w:r>
            <w:r w:rsidRPr="005969EB">
              <w:rPr>
                <w:vertAlign w:val="superscript"/>
              </w:rPr>
              <w:t>a</w:t>
            </w:r>
            <w:proofErr w:type="gramEnd"/>
          </w:p>
        </w:tc>
        <w:tc>
          <w:tcPr>
            <w:tcW w:w="637" w:type="pct"/>
            <w:noWrap/>
            <w:hideMark/>
          </w:tcPr>
          <w:p w14:paraId="5FA24A62" w14:textId="77777777" w:rsidR="00E30C57" w:rsidRPr="005969EB" w:rsidRDefault="00E30C57" w:rsidP="00D748F9">
            <w:pPr>
              <w:pStyle w:val="TableText"/>
              <w:jc w:val="right"/>
              <w:rPr>
                <w:rFonts w:eastAsiaTheme="minorHAnsi" w:cstheme="minorBidi"/>
                <w:lang w:eastAsia="en-US"/>
              </w:rPr>
            </w:pPr>
            <w:r w:rsidRPr="005969EB">
              <w:t>$671,058</w:t>
            </w:r>
          </w:p>
        </w:tc>
        <w:tc>
          <w:tcPr>
            <w:tcW w:w="637" w:type="pct"/>
            <w:noWrap/>
            <w:hideMark/>
          </w:tcPr>
          <w:p w14:paraId="700C76C1" w14:textId="77777777" w:rsidR="00E30C57" w:rsidRPr="005969EB" w:rsidRDefault="00E30C57" w:rsidP="00D748F9">
            <w:pPr>
              <w:pStyle w:val="TableText"/>
              <w:jc w:val="right"/>
              <w:rPr>
                <w:rFonts w:eastAsiaTheme="minorHAnsi" w:cstheme="minorBidi"/>
                <w:lang w:eastAsia="en-US"/>
              </w:rPr>
            </w:pPr>
            <w:r w:rsidRPr="005969EB">
              <w:t>$738,164</w:t>
            </w:r>
          </w:p>
        </w:tc>
        <w:tc>
          <w:tcPr>
            <w:tcW w:w="637" w:type="pct"/>
            <w:noWrap/>
            <w:hideMark/>
          </w:tcPr>
          <w:p w14:paraId="2934AC32" w14:textId="77777777" w:rsidR="00E30C57" w:rsidRPr="005969EB" w:rsidRDefault="00E30C57" w:rsidP="00D748F9">
            <w:pPr>
              <w:pStyle w:val="TableText"/>
              <w:jc w:val="right"/>
              <w:rPr>
                <w:rFonts w:eastAsiaTheme="minorHAnsi" w:cstheme="minorBidi"/>
                <w:lang w:eastAsia="en-US"/>
              </w:rPr>
            </w:pPr>
            <w:r w:rsidRPr="005969EB">
              <w:t>$955,271</w:t>
            </w:r>
          </w:p>
        </w:tc>
        <w:tc>
          <w:tcPr>
            <w:tcW w:w="637" w:type="pct"/>
            <w:noWrap/>
            <w:hideMark/>
          </w:tcPr>
          <w:p w14:paraId="64BECB29" w14:textId="77777777" w:rsidR="00E30C57" w:rsidRPr="005969EB" w:rsidRDefault="00E30C57" w:rsidP="00D748F9">
            <w:pPr>
              <w:pStyle w:val="TableText"/>
              <w:jc w:val="right"/>
              <w:rPr>
                <w:rFonts w:eastAsiaTheme="minorHAnsi" w:cstheme="minorBidi"/>
                <w:lang w:eastAsia="en-US"/>
              </w:rPr>
            </w:pPr>
            <w:r w:rsidRPr="005969EB">
              <w:t>$1,313,497</w:t>
            </w:r>
          </w:p>
        </w:tc>
        <w:tc>
          <w:tcPr>
            <w:tcW w:w="637" w:type="pct"/>
            <w:noWrap/>
            <w:hideMark/>
          </w:tcPr>
          <w:p w14:paraId="0684CB4D" w14:textId="77777777" w:rsidR="00E30C57" w:rsidRPr="005969EB" w:rsidRDefault="00E30C57" w:rsidP="00D748F9">
            <w:pPr>
              <w:pStyle w:val="TableText"/>
              <w:jc w:val="right"/>
              <w:rPr>
                <w:rFonts w:eastAsiaTheme="minorHAnsi" w:cstheme="minorBidi"/>
                <w:lang w:eastAsia="en-US"/>
              </w:rPr>
            </w:pPr>
            <w:r w:rsidRPr="005969EB">
              <w:t>$1,733,817</w:t>
            </w:r>
          </w:p>
        </w:tc>
        <w:tc>
          <w:tcPr>
            <w:tcW w:w="637" w:type="pct"/>
            <w:noWrap/>
            <w:hideMark/>
          </w:tcPr>
          <w:p w14:paraId="2F77EF90" w14:textId="77777777" w:rsidR="00E30C57" w:rsidRPr="005969EB" w:rsidRDefault="00E30C57" w:rsidP="00D748F9">
            <w:pPr>
              <w:pStyle w:val="TableText"/>
              <w:jc w:val="right"/>
              <w:rPr>
                <w:rFonts w:eastAsiaTheme="minorHAnsi" w:cstheme="minorBidi"/>
                <w:lang w:eastAsia="en-US"/>
              </w:rPr>
            </w:pPr>
            <w:r w:rsidRPr="005969EB">
              <w:t>$1,907,198</w:t>
            </w:r>
          </w:p>
        </w:tc>
      </w:tr>
      <w:tr w:rsidR="00E30C57" w:rsidRPr="005969EB" w14:paraId="4C1C7F22" w14:textId="77777777" w:rsidTr="00D748F9">
        <w:trPr>
          <w:trHeight w:val="300"/>
        </w:trPr>
        <w:tc>
          <w:tcPr>
            <w:tcW w:w="1177" w:type="pct"/>
            <w:noWrap/>
            <w:hideMark/>
          </w:tcPr>
          <w:p w14:paraId="31E884F9" w14:textId="77777777" w:rsidR="00E30C57" w:rsidRPr="005969EB" w:rsidRDefault="00E30C57" w:rsidP="00D748F9">
            <w:pPr>
              <w:pStyle w:val="TableText"/>
              <w:rPr>
                <w:rFonts w:eastAsiaTheme="minorHAnsi" w:cstheme="minorBidi"/>
                <w:lang w:eastAsia="en-US"/>
              </w:rPr>
            </w:pPr>
            <w:r w:rsidRPr="005969EB">
              <w:t xml:space="preserve">Reduction in the cost of episode fees to the MBS ($2.05 per </w:t>
            </w:r>
            <w:proofErr w:type="gramStart"/>
            <w:r w:rsidRPr="005969EB">
              <w:t>service)</w:t>
            </w:r>
            <w:r w:rsidRPr="005969EB">
              <w:rPr>
                <w:vertAlign w:val="superscript"/>
              </w:rPr>
              <w:t>a</w:t>
            </w:r>
            <w:proofErr w:type="gramEnd"/>
          </w:p>
        </w:tc>
        <w:tc>
          <w:tcPr>
            <w:tcW w:w="637" w:type="pct"/>
            <w:noWrap/>
            <w:hideMark/>
          </w:tcPr>
          <w:p w14:paraId="40421EF9" w14:textId="77777777" w:rsidR="00E30C57" w:rsidRPr="005969EB" w:rsidRDefault="00E30C57" w:rsidP="00D748F9">
            <w:pPr>
              <w:pStyle w:val="TableText"/>
              <w:jc w:val="right"/>
              <w:rPr>
                <w:rFonts w:eastAsiaTheme="minorHAnsi" w:cstheme="minorBidi"/>
                <w:lang w:eastAsia="en-US"/>
              </w:rPr>
            </w:pPr>
            <w:r w:rsidRPr="005969EB">
              <w:t>$37,638</w:t>
            </w:r>
          </w:p>
        </w:tc>
        <w:tc>
          <w:tcPr>
            <w:tcW w:w="637" w:type="pct"/>
            <w:noWrap/>
            <w:hideMark/>
          </w:tcPr>
          <w:p w14:paraId="43AAFA1E" w14:textId="77777777" w:rsidR="00E30C57" w:rsidRPr="005969EB" w:rsidRDefault="00E30C57" w:rsidP="00D748F9">
            <w:pPr>
              <w:pStyle w:val="TableText"/>
              <w:jc w:val="right"/>
              <w:rPr>
                <w:rFonts w:eastAsiaTheme="minorHAnsi" w:cstheme="minorBidi"/>
                <w:lang w:eastAsia="en-US"/>
              </w:rPr>
            </w:pPr>
            <w:r w:rsidRPr="005969EB">
              <w:t>$41,402</w:t>
            </w:r>
          </w:p>
        </w:tc>
        <w:tc>
          <w:tcPr>
            <w:tcW w:w="637" w:type="pct"/>
            <w:noWrap/>
            <w:hideMark/>
          </w:tcPr>
          <w:p w14:paraId="114A2B91" w14:textId="77777777" w:rsidR="00E30C57" w:rsidRPr="005969EB" w:rsidRDefault="00E30C57" w:rsidP="00D748F9">
            <w:pPr>
              <w:pStyle w:val="TableText"/>
              <w:jc w:val="right"/>
              <w:rPr>
                <w:rFonts w:eastAsiaTheme="minorHAnsi" w:cstheme="minorBidi"/>
                <w:lang w:eastAsia="en-US"/>
              </w:rPr>
            </w:pPr>
            <w:r w:rsidRPr="005969EB">
              <w:t>$53,579</w:t>
            </w:r>
          </w:p>
        </w:tc>
        <w:tc>
          <w:tcPr>
            <w:tcW w:w="637" w:type="pct"/>
            <w:noWrap/>
            <w:hideMark/>
          </w:tcPr>
          <w:p w14:paraId="657604E8" w14:textId="77777777" w:rsidR="00E30C57" w:rsidRPr="005969EB" w:rsidRDefault="00E30C57" w:rsidP="00D748F9">
            <w:pPr>
              <w:pStyle w:val="TableText"/>
              <w:jc w:val="right"/>
              <w:rPr>
                <w:rFonts w:eastAsiaTheme="minorHAnsi" w:cstheme="minorBidi"/>
                <w:lang w:eastAsia="en-US"/>
              </w:rPr>
            </w:pPr>
            <w:r w:rsidRPr="005969EB">
              <w:t>$73,671</w:t>
            </w:r>
          </w:p>
        </w:tc>
        <w:tc>
          <w:tcPr>
            <w:tcW w:w="637" w:type="pct"/>
            <w:noWrap/>
            <w:hideMark/>
          </w:tcPr>
          <w:p w14:paraId="7BA73110" w14:textId="77777777" w:rsidR="00E30C57" w:rsidRPr="005969EB" w:rsidRDefault="00E30C57" w:rsidP="00D748F9">
            <w:pPr>
              <w:pStyle w:val="TableText"/>
              <w:jc w:val="right"/>
              <w:rPr>
                <w:rFonts w:eastAsiaTheme="minorHAnsi" w:cstheme="minorBidi"/>
                <w:lang w:eastAsia="en-US"/>
              </w:rPr>
            </w:pPr>
            <w:r w:rsidRPr="005969EB">
              <w:t>$97,246</w:t>
            </w:r>
          </w:p>
        </w:tc>
        <w:tc>
          <w:tcPr>
            <w:tcW w:w="637" w:type="pct"/>
            <w:noWrap/>
            <w:hideMark/>
          </w:tcPr>
          <w:p w14:paraId="58122B85" w14:textId="77777777" w:rsidR="00E30C57" w:rsidRPr="005969EB" w:rsidRDefault="00E30C57" w:rsidP="00D748F9">
            <w:pPr>
              <w:pStyle w:val="TableText"/>
              <w:jc w:val="right"/>
              <w:rPr>
                <w:rFonts w:eastAsiaTheme="minorHAnsi" w:cstheme="minorBidi"/>
                <w:lang w:eastAsia="en-US"/>
              </w:rPr>
            </w:pPr>
            <w:r w:rsidRPr="005969EB">
              <w:t>$106,970</w:t>
            </w:r>
          </w:p>
        </w:tc>
      </w:tr>
      <w:tr w:rsidR="00E30C57" w:rsidRPr="005969EB" w14:paraId="345EE6CB" w14:textId="77777777" w:rsidTr="00D748F9">
        <w:trPr>
          <w:trHeight w:val="300"/>
        </w:trPr>
        <w:tc>
          <w:tcPr>
            <w:tcW w:w="1177" w:type="pct"/>
            <w:noWrap/>
          </w:tcPr>
          <w:p w14:paraId="7C4611D1" w14:textId="77777777" w:rsidR="00E30C57" w:rsidRPr="005969EB" w:rsidRDefault="00E30C57" w:rsidP="00D748F9">
            <w:pPr>
              <w:pStyle w:val="TableText"/>
              <w:rPr>
                <w:b/>
              </w:rPr>
            </w:pPr>
            <w:r w:rsidRPr="005969EB">
              <w:rPr>
                <w:b/>
              </w:rPr>
              <w:t>Total reduction in costs to the MBS related to standard testing</w:t>
            </w:r>
          </w:p>
        </w:tc>
        <w:tc>
          <w:tcPr>
            <w:tcW w:w="637" w:type="pct"/>
            <w:noWrap/>
          </w:tcPr>
          <w:p w14:paraId="2726704B" w14:textId="77777777" w:rsidR="00E30C57" w:rsidRPr="005969EB" w:rsidRDefault="00E30C57" w:rsidP="00D748F9">
            <w:pPr>
              <w:pStyle w:val="TableText"/>
              <w:jc w:val="right"/>
              <w:rPr>
                <w:b/>
              </w:rPr>
            </w:pPr>
            <w:r w:rsidRPr="005969EB">
              <w:rPr>
                <w:b/>
              </w:rPr>
              <w:t>$708,696</w:t>
            </w:r>
          </w:p>
        </w:tc>
        <w:tc>
          <w:tcPr>
            <w:tcW w:w="637" w:type="pct"/>
            <w:noWrap/>
          </w:tcPr>
          <w:p w14:paraId="08AEC058" w14:textId="77777777" w:rsidR="00E30C57" w:rsidRPr="005969EB" w:rsidRDefault="00E30C57" w:rsidP="00D748F9">
            <w:pPr>
              <w:pStyle w:val="TableText"/>
              <w:jc w:val="right"/>
              <w:rPr>
                <w:b/>
              </w:rPr>
            </w:pPr>
            <w:r w:rsidRPr="005969EB">
              <w:rPr>
                <w:b/>
              </w:rPr>
              <w:t>$779,566</w:t>
            </w:r>
          </w:p>
        </w:tc>
        <w:tc>
          <w:tcPr>
            <w:tcW w:w="637" w:type="pct"/>
            <w:noWrap/>
          </w:tcPr>
          <w:p w14:paraId="3315B44E" w14:textId="77777777" w:rsidR="00E30C57" w:rsidRPr="005969EB" w:rsidRDefault="00E30C57" w:rsidP="00D748F9">
            <w:pPr>
              <w:pStyle w:val="TableText"/>
              <w:jc w:val="right"/>
              <w:rPr>
                <w:b/>
              </w:rPr>
            </w:pPr>
            <w:r w:rsidRPr="005969EB">
              <w:rPr>
                <w:b/>
              </w:rPr>
              <w:t>$1,008,850</w:t>
            </w:r>
          </w:p>
        </w:tc>
        <w:tc>
          <w:tcPr>
            <w:tcW w:w="637" w:type="pct"/>
            <w:noWrap/>
          </w:tcPr>
          <w:p w14:paraId="62B2E0FC" w14:textId="77777777" w:rsidR="00E30C57" w:rsidRPr="005969EB" w:rsidRDefault="00E30C57" w:rsidP="00D748F9">
            <w:pPr>
              <w:pStyle w:val="TableText"/>
              <w:jc w:val="right"/>
              <w:rPr>
                <w:b/>
              </w:rPr>
            </w:pPr>
            <w:r w:rsidRPr="005969EB">
              <w:rPr>
                <w:b/>
              </w:rPr>
              <w:t>$1,387,168</w:t>
            </w:r>
          </w:p>
        </w:tc>
        <w:tc>
          <w:tcPr>
            <w:tcW w:w="637" w:type="pct"/>
            <w:noWrap/>
          </w:tcPr>
          <w:p w14:paraId="036E1CC9" w14:textId="77777777" w:rsidR="00E30C57" w:rsidRPr="005969EB" w:rsidRDefault="00E30C57" w:rsidP="00D748F9">
            <w:pPr>
              <w:pStyle w:val="TableText"/>
              <w:jc w:val="right"/>
              <w:rPr>
                <w:b/>
              </w:rPr>
            </w:pPr>
            <w:r w:rsidRPr="005969EB">
              <w:rPr>
                <w:b/>
              </w:rPr>
              <w:t>$1,831,062</w:t>
            </w:r>
          </w:p>
        </w:tc>
        <w:tc>
          <w:tcPr>
            <w:tcW w:w="637" w:type="pct"/>
            <w:noWrap/>
          </w:tcPr>
          <w:p w14:paraId="3252FA73" w14:textId="77777777" w:rsidR="00E30C57" w:rsidRPr="005969EB" w:rsidRDefault="00E30C57" w:rsidP="00D748F9">
            <w:pPr>
              <w:pStyle w:val="TableText"/>
              <w:jc w:val="right"/>
              <w:rPr>
                <w:b/>
              </w:rPr>
            </w:pPr>
            <w:r w:rsidRPr="005969EB">
              <w:rPr>
                <w:b/>
              </w:rPr>
              <w:t>$2,014,168</w:t>
            </w:r>
          </w:p>
        </w:tc>
      </w:tr>
      <w:tr w:rsidR="00E30C57" w:rsidRPr="005969EB" w14:paraId="0D1D9EC3" w14:textId="77777777" w:rsidTr="00D748F9">
        <w:trPr>
          <w:trHeight w:val="300"/>
        </w:trPr>
        <w:tc>
          <w:tcPr>
            <w:tcW w:w="1177" w:type="pct"/>
            <w:tcBorders>
              <w:bottom w:val="single" w:sz="4" w:space="0" w:color="auto"/>
            </w:tcBorders>
            <w:noWrap/>
          </w:tcPr>
          <w:p w14:paraId="37C8CB7E" w14:textId="77777777" w:rsidR="00E30C57" w:rsidRPr="005969EB" w:rsidRDefault="00E30C57" w:rsidP="00D748F9">
            <w:pPr>
              <w:pStyle w:val="TableText"/>
              <w:rPr>
                <w:b/>
              </w:rPr>
            </w:pPr>
            <w:r w:rsidRPr="005969EB">
              <w:rPr>
                <w:b/>
              </w:rPr>
              <w:t>Net cost to the MBS</w:t>
            </w:r>
          </w:p>
        </w:tc>
        <w:tc>
          <w:tcPr>
            <w:tcW w:w="637" w:type="pct"/>
            <w:tcBorders>
              <w:bottom w:val="single" w:sz="4" w:space="0" w:color="auto"/>
            </w:tcBorders>
            <w:noWrap/>
          </w:tcPr>
          <w:p w14:paraId="2D338122" w14:textId="77777777" w:rsidR="00E30C57" w:rsidRPr="005969EB" w:rsidRDefault="00E30C57" w:rsidP="00D748F9">
            <w:pPr>
              <w:pStyle w:val="TableText"/>
              <w:jc w:val="right"/>
              <w:rPr>
                <w:b/>
              </w:rPr>
            </w:pPr>
            <w:r w:rsidRPr="005969EB">
              <w:rPr>
                <w:b/>
              </w:rPr>
              <w:t>$3,426,894</w:t>
            </w:r>
          </w:p>
        </w:tc>
        <w:tc>
          <w:tcPr>
            <w:tcW w:w="637" w:type="pct"/>
            <w:tcBorders>
              <w:bottom w:val="single" w:sz="4" w:space="0" w:color="auto"/>
            </w:tcBorders>
            <w:noWrap/>
          </w:tcPr>
          <w:p w14:paraId="2BEDBF75" w14:textId="77777777" w:rsidR="00E30C57" w:rsidRPr="005969EB" w:rsidRDefault="00E30C57" w:rsidP="00D748F9">
            <w:pPr>
              <w:pStyle w:val="TableText"/>
              <w:jc w:val="right"/>
              <w:rPr>
                <w:b/>
              </w:rPr>
            </w:pPr>
            <w:r w:rsidRPr="005969EB">
              <w:rPr>
                <w:b/>
              </w:rPr>
              <w:t>$3,769,583</w:t>
            </w:r>
          </w:p>
        </w:tc>
        <w:tc>
          <w:tcPr>
            <w:tcW w:w="637" w:type="pct"/>
            <w:tcBorders>
              <w:bottom w:val="single" w:sz="4" w:space="0" w:color="auto"/>
            </w:tcBorders>
            <w:noWrap/>
          </w:tcPr>
          <w:p w14:paraId="5AD6B7A1" w14:textId="77777777" w:rsidR="00E30C57" w:rsidRPr="005969EB" w:rsidRDefault="00E30C57" w:rsidP="00D748F9">
            <w:pPr>
              <w:pStyle w:val="TableText"/>
              <w:jc w:val="right"/>
              <w:rPr>
                <w:b/>
              </w:rPr>
            </w:pPr>
            <w:r w:rsidRPr="005969EB">
              <w:rPr>
                <w:b/>
              </w:rPr>
              <w:t>$4,878,284</w:t>
            </w:r>
          </w:p>
        </w:tc>
        <w:tc>
          <w:tcPr>
            <w:tcW w:w="637" w:type="pct"/>
            <w:tcBorders>
              <w:bottom w:val="single" w:sz="4" w:space="0" w:color="auto"/>
            </w:tcBorders>
            <w:noWrap/>
          </w:tcPr>
          <w:p w14:paraId="7A4F8A4E" w14:textId="77777777" w:rsidR="00E30C57" w:rsidRPr="005969EB" w:rsidRDefault="00E30C57" w:rsidP="00D748F9">
            <w:pPr>
              <w:pStyle w:val="TableText"/>
              <w:jc w:val="right"/>
              <w:rPr>
                <w:b/>
              </w:rPr>
            </w:pPr>
            <w:r w:rsidRPr="005969EB">
              <w:rPr>
                <w:b/>
              </w:rPr>
              <w:t>$6,707,641</w:t>
            </w:r>
          </w:p>
        </w:tc>
        <w:tc>
          <w:tcPr>
            <w:tcW w:w="637" w:type="pct"/>
            <w:tcBorders>
              <w:bottom w:val="single" w:sz="4" w:space="0" w:color="auto"/>
            </w:tcBorders>
            <w:noWrap/>
          </w:tcPr>
          <w:p w14:paraId="5879C4FA" w14:textId="77777777" w:rsidR="00E30C57" w:rsidRPr="005969EB" w:rsidRDefault="00E30C57" w:rsidP="00D748F9">
            <w:pPr>
              <w:pStyle w:val="TableText"/>
              <w:jc w:val="right"/>
              <w:rPr>
                <w:b/>
              </w:rPr>
            </w:pPr>
            <w:r w:rsidRPr="005969EB">
              <w:rPr>
                <w:b/>
              </w:rPr>
              <w:t>$8,854,086</w:t>
            </w:r>
          </w:p>
        </w:tc>
        <w:tc>
          <w:tcPr>
            <w:tcW w:w="637" w:type="pct"/>
            <w:tcBorders>
              <w:bottom w:val="single" w:sz="4" w:space="0" w:color="auto"/>
            </w:tcBorders>
            <w:noWrap/>
          </w:tcPr>
          <w:p w14:paraId="5286815D" w14:textId="77777777" w:rsidR="00E30C57" w:rsidRPr="005969EB" w:rsidRDefault="00E30C57" w:rsidP="00D748F9">
            <w:pPr>
              <w:pStyle w:val="TableText"/>
              <w:jc w:val="right"/>
              <w:rPr>
                <w:b/>
              </w:rPr>
            </w:pPr>
            <w:r w:rsidRPr="005969EB">
              <w:rPr>
                <w:b/>
              </w:rPr>
              <w:t>$9,739,495</w:t>
            </w:r>
          </w:p>
        </w:tc>
      </w:tr>
      <w:tr w:rsidR="00E30C57" w:rsidRPr="005969EB" w14:paraId="01CD4E48" w14:textId="77777777" w:rsidTr="00D748F9">
        <w:trPr>
          <w:trHeight w:val="300"/>
        </w:trPr>
        <w:tc>
          <w:tcPr>
            <w:tcW w:w="1177" w:type="pct"/>
            <w:tcBorders>
              <w:right w:val="nil"/>
            </w:tcBorders>
            <w:noWrap/>
          </w:tcPr>
          <w:p w14:paraId="44604760" w14:textId="77777777" w:rsidR="00E30C57" w:rsidRPr="005969EB" w:rsidRDefault="00E30C57" w:rsidP="00D748F9">
            <w:pPr>
              <w:pStyle w:val="TableText"/>
              <w:rPr>
                <w:b/>
              </w:rPr>
            </w:pPr>
            <w:r>
              <w:rPr>
                <w:b/>
              </w:rPr>
              <w:t>Sensitivity analyses</w:t>
            </w:r>
          </w:p>
        </w:tc>
        <w:tc>
          <w:tcPr>
            <w:tcW w:w="637" w:type="pct"/>
            <w:tcBorders>
              <w:left w:val="nil"/>
              <w:right w:val="nil"/>
            </w:tcBorders>
            <w:noWrap/>
          </w:tcPr>
          <w:p w14:paraId="3C9F11FB" w14:textId="77777777" w:rsidR="00E30C57" w:rsidRPr="005969EB" w:rsidRDefault="00E30C57" w:rsidP="00D748F9">
            <w:pPr>
              <w:pStyle w:val="TableText"/>
              <w:jc w:val="right"/>
              <w:rPr>
                <w:b/>
              </w:rPr>
            </w:pPr>
          </w:p>
        </w:tc>
        <w:tc>
          <w:tcPr>
            <w:tcW w:w="637" w:type="pct"/>
            <w:tcBorders>
              <w:left w:val="nil"/>
              <w:right w:val="nil"/>
            </w:tcBorders>
            <w:noWrap/>
          </w:tcPr>
          <w:p w14:paraId="3D81976F" w14:textId="77777777" w:rsidR="00E30C57" w:rsidRPr="005969EB" w:rsidRDefault="00E30C57" w:rsidP="00D748F9">
            <w:pPr>
              <w:pStyle w:val="TableText"/>
              <w:jc w:val="right"/>
              <w:rPr>
                <w:b/>
              </w:rPr>
            </w:pPr>
          </w:p>
        </w:tc>
        <w:tc>
          <w:tcPr>
            <w:tcW w:w="637" w:type="pct"/>
            <w:tcBorders>
              <w:left w:val="nil"/>
              <w:right w:val="nil"/>
            </w:tcBorders>
            <w:noWrap/>
          </w:tcPr>
          <w:p w14:paraId="2F9B6194" w14:textId="77777777" w:rsidR="00E30C57" w:rsidRPr="005969EB" w:rsidRDefault="00E30C57" w:rsidP="00D748F9">
            <w:pPr>
              <w:pStyle w:val="TableText"/>
              <w:jc w:val="right"/>
              <w:rPr>
                <w:b/>
              </w:rPr>
            </w:pPr>
          </w:p>
        </w:tc>
        <w:tc>
          <w:tcPr>
            <w:tcW w:w="637" w:type="pct"/>
            <w:tcBorders>
              <w:left w:val="nil"/>
              <w:right w:val="nil"/>
            </w:tcBorders>
            <w:noWrap/>
          </w:tcPr>
          <w:p w14:paraId="76FB45F3" w14:textId="77777777" w:rsidR="00E30C57" w:rsidRPr="005969EB" w:rsidRDefault="00E30C57" w:rsidP="00D748F9">
            <w:pPr>
              <w:pStyle w:val="TableText"/>
              <w:jc w:val="right"/>
              <w:rPr>
                <w:b/>
              </w:rPr>
            </w:pPr>
          </w:p>
        </w:tc>
        <w:tc>
          <w:tcPr>
            <w:tcW w:w="637" w:type="pct"/>
            <w:tcBorders>
              <w:left w:val="nil"/>
              <w:right w:val="nil"/>
            </w:tcBorders>
            <w:noWrap/>
          </w:tcPr>
          <w:p w14:paraId="20B77DA8" w14:textId="77777777" w:rsidR="00E30C57" w:rsidRPr="005969EB" w:rsidRDefault="00E30C57" w:rsidP="00D748F9">
            <w:pPr>
              <w:pStyle w:val="TableText"/>
              <w:jc w:val="right"/>
              <w:rPr>
                <w:b/>
              </w:rPr>
            </w:pPr>
          </w:p>
        </w:tc>
        <w:tc>
          <w:tcPr>
            <w:tcW w:w="637" w:type="pct"/>
            <w:tcBorders>
              <w:left w:val="nil"/>
            </w:tcBorders>
            <w:noWrap/>
          </w:tcPr>
          <w:p w14:paraId="3A5C4B9B" w14:textId="77777777" w:rsidR="00E30C57" w:rsidRPr="005969EB" w:rsidRDefault="00E30C57" w:rsidP="00D748F9">
            <w:pPr>
              <w:pStyle w:val="TableText"/>
              <w:jc w:val="right"/>
              <w:rPr>
                <w:b/>
              </w:rPr>
            </w:pPr>
          </w:p>
        </w:tc>
      </w:tr>
      <w:tr w:rsidR="00E30C57" w:rsidRPr="005969EB" w14:paraId="739602BD" w14:textId="77777777" w:rsidTr="00D748F9">
        <w:trPr>
          <w:trHeight w:val="300"/>
        </w:trPr>
        <w:tc>
          <w:tcPr>
            <w:tcW w:w="1177" w:type="pct"/>
            <w:tcBorders>
              <w:bottom w:val="single" w:sz="4" w:space="0" w:color="auto"/>
            </w:tcBorders>
            <w:noWrap/>
          </w:tcPr>
          <w:p w14:paraId="3C40D2E2" w14:textId="1585A503" w:rsidR="00E30C57" w:rsidRPr="00E010C1" w:rsidRDefault="00E30C57" w:rsidP="00D748F9">
            <w:pPr>
              <w:pStyle w:val="TableText"/>
            </w:pPr>
            <w:r w:rsidRPr="00E010C1">
              <w:t xml:space="preserve">Increase to 300 patients tested </w:t>
            </w:r>
            <w:r w:rsidR="00F11163" w:rsidRPr="00E010C1">
              <w:t xml:space="preserve">per site </w:t>
            </w:r>
            <w:r w:rsidRPr="00E010C1">
              <w:t>per year</w:t>
            </w:r>
          </w:p>
        </w:tc>
        <w:tc>
          <w:tcPr>
            <w:tcW w:w="637" w:type="pct"/>
            <w:tcBorders>
              <w:bottom w:val="single" w:sz="4" w:space="0" w:color="auto"/>
            </w:tcBorders>
            <w:noWrap/>
            <w:vAlign w:val="bottom"/>
          </w:tcPr>
          <w:p w14:paraId="1DE700D2" w14:textId="77777777" w:rsidR="00E30C57" w:rsidRPr="00E010C1" w:rsidRDefault="00E30C57" w:rsidP="00D748F9">
            <w:pPr>
              <w:pStyle w:val="TableText"/>
              <w:jc w:val="right"/>
            </w:pPr>
            <w:r w:rsidRPr="00E010C1">
              <w:t>$6,047,460</w:t>
            </w:r>
          </w:p>
        </w:tc>
        <w:tc>
          <w:tcPr>
            <w:tcW w:w="637" w:type="pct"/>
            <w:tcBorders>
              <w:bottom w:val="single" w:sz="4" w:space="0" w:color="auto"/>
            </w:tcBorders>
            <w:noWrap/>
            <w:vAlign w:val="bottom"/>
          </w:tcPr>
          <w:p w14:paraId="4217452A" w14:textId="77777777" w:rsidR="00E30C57" w:rsidRPr="00E010C1" w:rsidRDefault="00E30C57" w:rsidP="00D748F9">
            <w:pPr>
              <w:pStyle w:val="TableText"/>
              <w:jc w:val="right"/>
            </w:pPr>
            <w:r w:rsidRPr="00E010C1">
              <w:t>$6,652,206</w:t>
            </w:r>
          </w:p>
        </w:tc>
        <w:tc>
          <w:tcPr>
            <w:tcW w:w="637" w:type="pct"/>
            <w:tcBorders>
              <w:bottom w:val="single" w:sz="4" w:space="0" w:color="auto"/>
            </w:tcBorders>
            <w:noWrap/>
            <w:vAlign w:val="bottom"/>
          </w:tcPr>
          <w:p w14:paraId="11C54409" w14:textId="77777777" w:rsidR="00E30C57" w:rsidRPr="00E010C1" w:rsidRDefault="00E30C57" w:rsidP="00D748F9">
            <w:pPr>
              <w:pStyle w:val="TableText"/>
              <w:jc w:val="right"/>
            </w:pPr>
            <w:r w:rsidRPr="00E010C1">
              <w:t>$7,317,427</w:t>
            </w:r>
          </w:p>
        </w:tc>
        <w:tc>
          <w:tcPr>
            <w:tcW w:w="637" w:type="pct"/>
            <w:tcBorders>
              <w:bottom w:val="single" w:sz="4" w:space="0" w:color="auto"/>
            </w:tcBorders>
            <w:noWrap/>
            <w:vAlign w:val="bottom"/>
          </w:tcPr>
          <w:p w14:paraId="57CFD6B3" w14:textId="77777777" w:rsidR="00E30C57" w:rsidRPr="00E010C1" w:rsidRDefault="00E30C57" w:rsidP="00D748F9">
            <w:pPr>
              <w:pStyle w:val="TableText"/>
              <w:jc w:val="right"/>
            </w:pPr>
            <w:r w:rsidRPr="00E010C1">
              <w:t>$8,049,169</w:t>
            </w:r>
          </w:p>
        </w:tc>
        <w:tc>
          <w:tcPr>
            <w:tcW w:w="637" w:type="pct"/>
            <w:tcBorders>
              <w:bottom w:val="single" w:sz="4" w:space="0" w:color="auto"/>
            </w:tcBorders>
            <w:noWrap/>
            <w:vAlign w:val="bottom"/>
          </w:tcPr>
          <w:p w14:paraId="5B6C6B2A" w14:textId="77777777" w:rsidR="00E30C57" w:rsidRPr="00E010C1" w:rsidRDefault="00E30C57" w:rsidP="00D748F9">
            <w:pPr>
              <w:pStyle w:val="TableText"/>
              <w:jc w:val="right"/>
            </w:pPr>
            <w:r w:rsidRPr="00E010C1">
              <w:t>$8,854,086</w:t>
            </w:r>
          </w:p>
        </w:tc>
        <w:tc>
          <w:tcPr>
            <w:tcW w:w="637" w:type="pct"/>
            <w:tcBorders>
              <w:bottom w:val="single" w:sz="4" w:space="0" w:color="auto"/>
            </w:tcBorders>
            <w:noWrap/>
            <w:vAlign w:val="bottom"/>
          </w:tcPr>
          <w:p w14:paraId="695817CD" w14:textId="77777777" w:rsidR="00E30C57" w:rsidRPr="00E010C1" w:rsidRDefault="00E30C57" w:rsidP="00D748F9">
            <w:pPr>
              <w:pStyle w:val="TableText"/>
              <w:jc w:val="right"/>
            </w:pPr>
            <w:r w:rsidRPr="00E010C1">
              <w:t>$9,739,495</w:t>
            </w:r>
          </w:p>
        </w:tc>
      </w:tr>
      <w:tr w:rsidR="00E30C57" w:rsidRPr="005969EB" w14:paraId="082C1DCA" w14:textId="77777777" w:rsidTr="00D748F9">
        <w:trPr>
          <w:trHeight w:val="300"/>
        </w:trPr>
        <w:tc>
          <w:tcPr>
            <w:tcW w:w="1177" w:type="pct"/>
            <w:tcBorders>
              <w:right w:val="nil"/>
            </w:tcBorders>
            <w:noWrap/>
          </w:tcPr>
          <w:p w14:paraId="5CF402BF" w14:textId="77777777" w:rsidR="00E30C57" w:rsidRPr="00E010C1" w:rsidRDefault="00E30C57" w:rsidP="00D748F9">
            <w:pPr>
              <w:pStyle w:val="TableText"/>
            </w:pPr>
            <w:r w:rsidRPr="00E010C1">
              <w:t>Incorporate re-testing</w:t>
            </w:r>
          </w:p>
        </w:tc>
        <w:tc>
          <w:tcPr>
            <w:tcW w:w="637" w:type="pct"/>
            <w:tcBorders>
              <w:left w:val="nil"/>
              <w:right w:val="nil"/>
            </w:tcBorders>
            <w:noWrap/>
          </w:tcPr>
          <w:p w14:paraId="181A3D6B" w14:textId="77777777" w:rsidR="00E30C57" w:rsidRPr="00E010C1" w:rsidRDefault="00E30C57" w:rsidP="00D748F9">
            <w:pPr>
              <w:pStyle w:val="TableText"/>
              <w:jc w:val="right"/>
            </w:pPr>
          </w:p>
        </w:tc>
        <w:tc>
          <w:tcPr>
            <w:tcW w:w="637" w:type="pct"/>
            <w:tcBorders>
              <w:left w:val="nil"/>
              <w:right w:val="nil"/>
            </w:tcBorders>
            <w:noWrap/>
          </w:tcPr>
          <w:p w14:paraId="41B2F827" w14:textId="77777777" w:rsidR="00E30C57" w:rsidRPr="00E010C1" w:rsidRDefault="00E30C57" w:rsidP="00D748F9">
            <w:pPr>
              <w:pStyle w:val="TableText"/>
              <w:jc w:val="right"/>
            </w:pPr>
          </w:p>
        </w:tc>
        <w:tc>
          <w:tcPr>
            <w:tcW w:w="637" w:type="pct"/>
            <w:tcBorders>
              <w:left w:val="nil"/>
              <w:right w:val="nil"/>
            </w:tcBorders>
            <w:noWrap/>
          </w:tcPr>
          <w:p w14:paraId="09E6D88C" w14:textId="77777777" w:rsidR="00E30C57" w:rsidRPr="00E010C1" w:rsidRDefault="00E30C57" w:rsidP="00D748F9">
            <w:pPr>
              <w:pStyle w:val="TableText"/>
              <w:jc w:val="right"/>
            </w:pPr>
          </w:p>
        </w:tc>
        <w:tc>
          <w:tcPr>
            <w:tcW w:w="637" w:type="pct"/>
            <w:tcBorders>
              <w:left w:val="nil"/>
              <w:right w:val="nil"/>
            </w:tcBorders>
            <w:noWrap/>
          </w:tcPr>
          <w:p w14:paraId="780E274E" w14:textId="77777777" w:rsidR="00E30C57" w:rsidRPr="00E010C1" w:rsidRDefault="00E30C57" w:rsidP="00D748F9">
            <w:pPr>
              <w:pStyle w:val="TableText"/>
              <w:jc w:val="right"/>
            </w:pPr>
          </w:p>
        </w:tc>
        <w:tc>
          <w:tcPr>
            <w:tcW w:w="637" w:type="pct"/>
            <w:tcBorders>
              <w:left w:val="nil"/>
              <w:right w:val="nil"/>
            </w:tcBorders>
            <w:noWrap/>
          </w:tcPr>
          <w:p w14:paraId="5206E13B" w14:textId="77777777" w:rsidR="00E30C57" w:rsidRPr="00E010C1" w:rsidRDefault="00E30C57" w:rsidP="00D748F9">
            <w:pPr>
              <w:pStyle w:val="TableText"/>
              <w:jc w:val="right"/>
            </w:pPr>
          </w:p>
        </w:tc>
        <w:tc>
          <w:tcPr>
            <w:tcW w:w="637" w:type="pct"/>
            <w:tcBorders>
              <w:left w:val="nil"/>
            </w:tcBorders>
            <w:noWrap/>
          </w:tcPr>
          <w:p w14:paraId="6CFB850C" w14:textId="77777777" w:rsidR="00E30C57" w:rsidRPr="00E010C1" w:rsidRDefault="00E30C57" w:rsidP="00D748F9">
            <w:pPr>
              <w:pStyle w:val="TableText"/>
              <w:jc w:val="right"/>
            </w:pPr>
          </w:p>
        </w:tc>
      </w:tr>
      <w:tr w:rsidR="00E30C57" w:rsidRPr="005969EB" w14:paraId="6AEE0ECC" w14:textId="77777777" w:rsidTr="00D748F9">
        <w:trPr>
          <w:trHeight w:val="300"/>
        </w:trPr>
        <w:tc>
          <w:tcPr>
            <w:tcW w:w="1177" w:type="pct"/>
            <w:noWrap/>
          </w:tcPr>
          <w:p w14:paraId="1F7F8EC0" w14:textId="77777777" w:rsidR="00E30C57" w:rsidRPr="00E010C1" w:rsidRDefault="00E30C57" w:rsidP="00D748F9">
            <w:pPr>
              <w:pStyle w:val="TableText"/>
            </w:pPr>
            <w:r w:rsidRPr="00E010C1">
              <w:t xml:space="preserve">4% re-testing rate </w:t>
            </w:r>
            <w:r w:rsidRPr="00E010C1">
              <w:br/>
              <w:t xml:space="preserve">(14% of those with infections identified, as per </w:t>
            </w:r>
            <w:proofErr w:type="spellStart"/>
            <w:r w:rsidRPr="00E010C1">
              <w:t>TTANGO</w:t>
            </w:r>
            <w:r w:rsidRPr="00E010C1">
              <w:rPr>
                <w:vertAlign w:val="superscript"/>
              </w:rPr>
              <w:t>b</w:t>
            </w:r>
            <w:proofErr w:type="spellEnd"/>
            <w:r w:rsidRPr="00E010C1">
              <w:t>)</w:t>
            </w:r>
          </w:p>
        </w:tc>
        <w:tc>
          <w:tcPr>
            <w:tcW w:w="637" w:type="pct"/>
            <w:noWrap/>
          </w:tcPr>
          <w:p w14:paraId="7B941059" w14:textId="77777777" w:rsidR="00E30C57" w:rsidRPr="00E010C1" w:rsidRDefault="00E30C57" w:rsidP="00D748F9">
            <w:pPr>
              <w:pStyle w:val="TableText"/>
              <w:jc w:val="right"/>
            </w:pPr>
            <w:r w:rsidRPr="00E010C1">
              <w:t>$3,570,824</w:t>
            </w:r>
          </w:p>
        </w:tc>
        <w:tc>
          <w:tcPr>
            <w:tcW w:w="637" w:type="pct"/>
            <w:noWrap/>
          </w:tcPr>
          <w:p w14:paraId="7A4413CD" w14:textId="77777777" w:rsidR="00E30C57" w:rsidRPr="00E010C1" w:rsidRDefault="00E30C57" w:rsidP="00D748F9">
            <w:pPr>
              <w:pStyle w:val="TableText"/>
              <w:jc w:val="right"/>
            </w:pPr>
            <w:r w:rsidRPr="00E010C1">
              <w:t>$3,927,906</w:t>
            </w:r>
          </w:p>
        </w:tc>
        <w:tc>
          <w:tcPr>
            <w:tcW w:w="637" w:type="pct"/>
            <w:noWrap/>
          </w:tcPr>
          <w:p w14:paraId="20B887DA" w14:textId="77777777" w:rsidR="00E30C57" w:rsidRPr="00E010C1" w:rsidRDefault="00E30C57" w:rsidP="00D748F9">
            <w:pPr>
              <w:pStyle w:val="TableText"/>
              <w:jc w:val="right"/>
            </w:pPr>
            <w:r w:rsidRPr="00E010C1">
              <w:t>$5,083,172</w:t>
            </w:r>
          </w:p>
        </w:tc>
        <w:tc>
          <w:tcPr>
            <w:tcW w:w="637" w:type="pct"/>
            <w:noWrap/>
          </w:tcPr>
          <w:p w14:paraId="62406AB8" w14:textId="77777777" w:rsidR="00E30C57" w:rsidRPr="00E010C1" w:rsidRDefault="00E30C57" w:rsidP="00D748F9">
            <w:pPr>
              <w:pStyle w:val="TableText"/>
              <w:jc w:val="right"/>
            </w:pPr>
            <w:r w:rsidRPr="00E010C1">
              <w:t>$6,989,362</w:t>
            </w:r>
          </w:p>
        </w:tc>
        <w:tc>
          <w:tcPr>
            <w:tcW w:w="637" w:type="pct"/>
            <w:noWrap/>
          </w:tcPr>
          <w:p w14:paraId="5C4AFB58" w14:textId="77777777" w:rsidR="00E30C57" w:rsidRPr="00E010C1" w:rsidRDefault="00E30C57" w:rsidP="00D748F9">
            <w:pPr>
              <w:pStyle w:val="TableText"/>
              <w:jc w:val="right"/>
            </w:pPr>
            <w:r w:rsidRPr="00E010C1">
              <w:t>$9,225,958</w:t>
            </w:r>
          </w:p>
        </w:tc>
        <w:tc>
          <w:tcPr>
            <w:tcW w:w="637" w:type="pct"/>
            <w:noWrap/>
          </w:tcPr>
          <w:p w14:paraId="43994B64" w14:textId="77777777" w:rsidR="00E30C57" w:rsidRPr="00E010C1" w:rsidRDefault="00E30C57" w:rsidP="00D748F9">
            <w:pPr>
              <w:pStyle w:val="TableText"/>
              <w:jc w:val="right"/>
            </w:pPr>
            <w:r w:rsidRPr="00E010C1">
              <w:t>$10,148,554</w:t>
            </w:r>
          </w:p>
        </w:tc>
      </w:tr>
      <w:tr w:rsidR="00E30C57" w:rsidRPr="005969EB" w14:paraId="04D4AFC1" w14:textId="77777777" w:rsidTr="00D748F9">
        <w:trPr>
          <w:trHeight w:val="300"/>
        </w:trPr>
        <w:tc>
          <w:tcPr>
            <w:tcW w:w="1177" w:type="pct"/>
            <w:noWrap/>
          </w:tcPr>
          <w:p w14:paraId="49BA8F49" w14:textId="77777777" w:rsidR="00E30C57" w:rsidRPr="00E010C1" w:rsidRDefault="00E30C57" w:rsidP="00D748F9">
            <w:pPr>
              <w:pStyle w:val="TableText"/>
            </w:pPr>
            <w:r w:rsidRPr="00E010C1">
              <w:t>15% re-testing rate</w:t>
            </w:r>
            <w:r w:rsidRPr="00E010C1">
              <w:br/>
              <w:t>(50% of those with infections identified)</w:t>
            </w:r>
          </w:p>
        </w:tc>
        <w:tc>
          <w:tcPr>
            <w:tcW w:w="637" w:type="pct"/>
            <w:noWrap/>
          </w:tcPr>
          <w:p w14:paraId="1517C202" w14:textId="77777777" w:rsidR="00E30C57" w:rsidRPr="00E010C1" w:rsidRDefault="00E30C57" w:rsidP="00D748F9">
            <w:pPr>
              <w:pStyle w:val="TableText"/>
              <w:jc w:val="right"/>
            </w:pPr>
            <w:r w:rsidRPr="00E010C1">
              <w:t>$3,940,928</w:t>
            </w:r>
          </w:p>
        </w:tc>
        <w:tc>
          <w:tcPr>
            <w:tcW w:w="637" w:type="pct"/>
            <w:noWrap/>
          </w:tcPr>
          <w:p w14:paraId="4B7A7C13" w14:textId="77777777" w:rsidR="00E30C57" w:rsidRPr="00E010C1" w:rsidRDefault="00E30C57" w:rsidP="00D748F9">
            <w:pPr>
              <w:pStyle w:val="TableText"/>
              <w:jc w:val="right"/>
            </w:pPr>
            <w:r w:rsidRPr="00E010C1">
              <w:t>$4,335,021</w:t>
            </w:r>
          </w:p>
        </w:tc>
        <w:tc>
          <w:tcPr>
            <w:tcW w:w="637" w:type="pct"/>
            <w:noWrap/>
          </w:tcPr>
          <w:p w14:paraId="34F6CB55" w14:textId="77777777" w:rsidR="00E30C57" w:rsidRPr="00E010C1" w:rsidRDefault="00E30C57" w:rsidP="00D748F9">
            <w:pPr>
              <w:pStyle w:val="TableText"/>
              <w:jc w:val="right"/>
            </w:pPr>
            <w:r w:rsidRPr="00E010C1">
              <w:t>$5,610,027</w:t>
            </w:r>
          </w:p>
        </w:tc>
        <w:tc>
          <w:tcPr>
            <w:tcW w:w="637" w:type="pct"/>
            <w:noWrap/>
          </w:tcPr>
          <w:p w14:paraId="7AE33AF7" w14:textId="77777777" w:rsidR="00E30C57" w:rsidRPr="00E010C1" w:rsidRDefault="00E30C57" w:rsidP="00D748F9">
            <w:pPr>
              <w:pStyle w:val="TableText"/>
              <w:jc w:val="right"/>
            </w:pPr>
            <w:r w:rsidRPr="00E010C1">
              <w:t>$7,713,787</w:t>
            </w:r>
          </w:p>
        </w:tc>
        <w:tc>
          <w:tcPr>
            <w:tcW w:w="637" w:type="pct"/>
            <w:noWrap/>
          </w:tcPr>
          <w:p w14:paraId="7A5A13AF" w14:textId="77777777" w:rsidR="00E30C57" w:rsidRPr="00E010C1" w:rsidRDefault="00E30C57" w:rsidP="00D748F9">
            <w:pPr>
              <w:pStyle w:val="TableText"/>
              <w:jc w:val="right"/>
            </w:pPr>
            <w:r w:rsidRPr="00E010C1">
              <w:t>$10,182,199</w:t>
            </w:r>
          </w:p>
        </w:tc>
        <w:tc>
          <w:tcPr>
            <w:tcW w:w="637" w:type="pct"/>
            <w:noWrap/>
          </w:tcPr>
          <w:p w14:paraId="6CB20773" w14:textId="77777777" w:rsidR="00E30C57" w:rsidRPr="00E010C1" w:rsidRDefault="00E30C57" w:rsidP="00D748F9">
            <w:pPr>
              <w:pStyle w:val="TableText"/>
              <w:jc w:val="right"/>
            </w:pPr>
            <w:r w:rsidRPr="00E010C1">
              <w:t>$11,200,419</w:t>
            </w:r>
          </w:p>
        </w:tc>
      </w:tr>
      <w:tr w:rsidR="00E30C57" w:rsidRPr="005969EB" w14:paraId="5C9417E0" w14:textId="77777777" w:rsidTr="00D748F9">
        <w:trPr>
          <w:trHeight w:val="300"/>
        </w:trPr>
        <w:tc>
          <w:tcPr>
            <w:tcW w:w="1177" w:type="pct"/>
            <w:noWrap/>
          </w:tcPr>
          <w:p w14:paraId="6E674505" w14:textId="77777777" w:rsidR="00E30C57" w:rsidRPr="00E010C1" w:rsidRDefault="00E30C57" w:rsidP="00D748F9">
            <w:pPr>
              <w:pStyle w:val="TableText"/>
            </w:pPr>
            <w:r w:rsidRPr="00E010C1">
              <w:t>30% re-testing rate</w:t>
            </w:r>
            <w:r w:rsidRPr="00E010C1">
              <w:br/>
              <w:t>(100% of those with infections identified)</w:t>
            </w:r>
          </w:p>
        </w:tc>
        <w:tc>
          <w:tcPr>
            <w:tcW w:w="637" w:type="pct"/>
            <w:noWrap/>
          </w:tcPr>
          <w:p w14:paraId="0ACFBCB7" w14:textId="77777777" w:rsidR="00E30C57" w:rsidRPr="00E010C1" w:rsidRDefault="00E30C57" w:rsidP="00D748F9">
            <w:pPr>
              <w:pStyle w:val="TableText"/>
              <w:jc w:val="right"/>
            </w:pPr>
            <w:r w:rsidRPr="00E010C1">
              <w:t>$4,454,962</w:t>
            </w:r>
          </w:p>
        </w:tc>
        <w:tc>
          <w:tcPr>
            <w:tcW w:w="637" w:type="pct"/>
            <w:noWrap/>
          </w:tcPr>
          <w:p w14:paraId="5E878189" w14:textId="77777777" w:rsidR="00E30C57" w:rsidRPr="00E010C1" w:rsidRDefault="00E30C57" w:rsidP="00D748F9">
            <w:pPr>
              <w:pStyle w:val="TableText"/>
              <w:jc w:val="right"/>
            </w:pPr>
            <w:r w:rsidRPr="00E010C1">
              <w:t>$4,900,458</w:t>
            </w:r>
          </w:p>
        </w:tc>
        <w:tc>
          <w:tcPr>
            <w:tcW w:w="637" w:type="pct"/>
            <w:noWrap/>
          </w:tcPr>
          <w:p w14:paraId="0F81426F" w14:textId="77777777" w:rsidR="00E30C57" w:rsidRPr="00E010C1" w:rsidRDefault="00E30C57" w:rsidP="00D748F9">
            <w:pPr>
              <w:pStyle w:val="TableText"/>
              <w:jc w:val="right"/>
            </w:pPr>
            <w:r w:rsidRPr="00E010C1">
              <w:t>$6,341,770</w:t>
            </w:r>
          </w:p>
        </w:tc>
        <w:tc>
          <w:tcPr>
            <w:tcW w:w="637" w:type="pct"/>
            <w:noWrap/>
          </w:tcPr>
          <w:p w14:paraId="6CDE51BF" w14:textId="77777777" w:rsidR="00E30C57" w:rsidRPr="00E010C1" w:rsidRDefault="00E30C57" w:rsidP="00D748F9">
            <w:pPr>
              <w:pStyle w:val="TableText"/>
              <w:jc w:val="right"/>
            </w:pPr>
            <w:r w:rsidRPr="00E010C1">
              <w:t>$8,719,933</w:t>
            </w:r>
          </w:p>
        </w:tc>
        <w:tc>
          <w:tcPr>
            <w:tcW w:w="637" w:type="pct"/>
            <w:noWrap/>
          </w:tcPr>
          <w:p w14:paraId="27F2F9C9" w14:textId="77777777" w:rsidR="00E30C57" w:rsidRPr="00E010C1" w:rsidRDefault="00E30C57" w:rsidP="00D748F9">
            <w:pPr>
              <w:pStyle w:val="TableText"/>
              <w:jc w:val="right"/>
            </w:pPr>
            <w:r w:rsidRPr="00E010C1">
              <w:t>$11,510,312</w:t>
            </w:r>
          </w:p>
        </w:tc>
        <w:tc>
          <w:tcPr>
            <w:tcW w:w="637" w:type="pct"/>
            <w:noWrap/>
          </w:tcPr>
          <w:p w14:paraId="2F654EFD" w14:textId="77777777" w:rsidR="00E30C57" w:rsidRPr="00E010C1" w:rsidRDefault="00E30C57" w:rsidP="00D748F9">
            <w:pPr>
              <w:pStyle w:val="TableText"/>
              <w:jc w:val="right"/>
            </w:pPr>
            <w:r w:rsidRPr="00E010C1">
              <w:t>$12,661,343</w:t>
            </w:r>
          </w:p>
        </w:tc>
      </w:tr>
    </w:tbl>
    <w:p w14:paraId="3864CFA8" w14:textId="7B04F362" w:rsidR="00E30C57" w:rsidRPr="00E6407B" w:rsidRDefault="00E30C57" w:rsidP="00E30C57">
      <w:pPr>
        <w:pStyle w:val="TableFooter"/>
        <w:spacing w:before="0" w:after="120"/>
      </w:pPr>
      <w:r w:rsidRPr="00E6407B">
        <w:t xml:space="preserve">Source: </w:t>
      </w:r>
      <w:r w:rsidR="006078D0">
        <w:t xml:space="preserve">Commentary Table 38 and 39, </w:t>
      </w:r>
      <w:proofErr w:type="spellStart"/>
      <w:r w:rsidR="006078D0">
        <w:t>pg</w:t>
      </w:r>
      <w:proofErr w:type="spellEnd"/>
      <w:r w:rsidR="006078D0">
        <w:t xml:space="preserve"> 158 of MSAC 1627 </w:t>
      </w:r>
      <w:proofErr w:type="spellStart"/>
      <w:r w:rsidR="006078D0">
        <w:t>ADAR</w:t>
      </w:r>
      <w:r w:rsidR="006078D0">
        <w:rPr>
          <w:szCs w:val="18"/>
        </w:rPr>
        <w:t>+in-line</w:t>
      </w:r>
      <w:proofErr w:type="spellEnd"/>
      <w:r w:rsidR="006078D0">
        <w:rPr>
          <w:szCs w:val="18"/>
        </w:rPr>
        <w:t xml:space="preserve"> commentary</w:t>
      </w:r>
      <w:r w:rsidRPr="00E6407B">
        <w:t>.</w:t>
      </w:r>
    </w:p>
    <w:p w14:paraId="0E7F2D5C" w14:textId="77777777" w:rsidR="00E30C57" w:rsidRDefault="00E30C57" w:rsidP="00E30C57">
      <w:pPr>
        <w:pStyle w:val="TableFooter"/>
        <w:spacing w:before="0" w:after="120"/>
      </w:pPr>
      <w:proofErr w:type="spellStart"/>
      <w:r w:rsidRPr="005969EB">
        <w:rPr>
          <w:vertAlign w:val="superscript"/>
        </w:rPr>
        <w:t>a</w:t>
      </w:r>
      <w:proofErr w:type="spellEnd"/>
      <w:r w:rsidRPr="005969EB">
        <w:t xml:space="preserve"> Assuming the 85% level of rebate applies</w:t>
      </w:r>
    </w:p>
    <w:p w14:paraId="3FFBE748" w14:textId="77777777" w:rsidR="00E30C57" w:rsidRPr="005969EB" w:rsidRDefault="00E30C57" w:rsidP="00E30C57">
      <w:pPr>
        <w:pStyle w:val="TableFooter"/>
        <w:spacing w:before="0" w:after="120"/>
      </w:pPr>
      <w:r>
        <w:rPr>
          <w:b/>
          <w:vertAlign w:val="superscript"/>
        </w:rPr>
        <w:t>b</w:t>
      </w:r>
      <w:r>
        <w:t xml:space="preserve"> </w:t>
      </w:r>
      <w:r w:rsidRPr="00C84CED">
        <w:t xml:space="preserve">Guy, RJ, Ward, J, Causer, LM, </w:t>
      </w:r>
      <w:proofErr w:type="spellStart"/>
      <w:r w:rsidRPr="00C84CED">
        <w:t>Natoli</w:t>
      </w:r>
      <w:proofErr w:type="spellEnd"/>
      <w:r w:rsidRPr="00C84CED">
        <w:t xml:space="preserve">, L, Badman, SG, </w:t>
      </w:r>
      <w:proofErr w:type="spellStart"/>
      <w:r w:rsidRPr="00C84CED">
        <w:t>Tangey</w:t>
      </w:r>
      <w:proofErr w:type="spellEnd"/>
      <w:r w:rsidRPr="00C84CED">
        <w:t xml:space="preserve">, A, </w:t>
      </w:r>
      <w:proofErr w:type="spellStart"/>
      <w:r w:rsidRPr="00C84CED">
        <w:t>Hengel</w:t>
      </w:r>
      <w:proofErr w:type="spellEnd"/>
      <w:r w:rsidRPr="00C84CED">
        <w:t>, B, Wand, H, Whiley, D, Tabrizi, SN, Shephard, M, Fairley, CK, Donovan, B, Anderson, DA, Regan, DG, Maher, L &amp; Kaldor, JM 2018, 'Molecular point-of-care testing for chlamydia and gonorrhoea in Indigenous Australians attending remote primary health services (TTANGO): a cluster-randomised, controlled, crossover trial', Lancet Infect Dis, vol. 18, no. 10, Oct, pp. 1117-1126.</w:t>
      </w:r>
    </w:p>
    <w:p w14:paraId="3DE48C39" w14:textId="77777777" w:rsidR="00E30C57" w:rsidRPr="005969EB" w:rsidRDefault="00E30C57" w:rsidP="00E30C57">
      <w:pPr>
        <w:pStyle w:val="TableFooter"/>
        <w:spacing w:before="0" w:after="120"/>
      </w:pPr>
      <w:r w:rsidRPr="005969EB">
        <w:t xml:space="preserve">CT = </w:t>
      </w:r>
      <w:r w:rsidRPr="005969EB">
        <w:rPr>
          <w:i/>
        </w:rPr>
        <w:t>Chlamydia trachomatis</w:t>
      </w:r>
      <w:r w:rsidRPr="005969EB">
        <w:t xml:space="preserve">; NG = </w:t>
      </w:r>
      <w:r w:rsidRPr="005969EB">
        <w:rPr>
          <w:i/>
        </w:rPr>
        <w:t>Neisseria gonorrhoeae</w:t>
      </w:r>
      <w:r w:rsidRPr="005969EB">
        <w:t xml:space="preserve">; POC = point of care; TV = </w:t>
      </w:r>
      <w:r w:rsidRPr="005969EB">
        <w:rPr>
          <w:i/>
        </w:rPr>
        <w:t>Trichomonas vaginalis</w:t>
      </w:r>
      <w:r w:rsidRPr="005969EB">
        <w:t>.</w:t>
      </w:r>
    </w:p>
    <w:p w14:paraId="03E44319" w14:textId="7034453A" w:rsidR="00E30C57" w:rsidRDefault="00E30C57" w:rsidP="00E30C57">
      <w:pPr>
        <w:pStyle w:val="Instructionaltext-afterfiguretable"/>
        <w:rPr>
          <w:color w:val="auto"/>
        </w:rPr>
      </w:pPr>
      <w:r w:rsidRPr="00C64E34">
        <w:rPr>
          <w:color w:val="auto"/>
        </w:rPr>
        <w:t xml:space="preserve">The average number of people tested per year at each site was assumed to increase from 170 in 2023 to 300 by 2028. The </w:t>
      </w:r>
      <w:r>
        <w:rPr>
          <w:color w:val="auto"/>
        </w:rPr>
        <w:t xml:space="preserve">Commentary noted that the </w:t>
      </w:r>
      <w:r w:rsidRPr="00C64E34">
        <w:rPr>
          <w:color w:val="auto"/>
        </w:rPr>
        <w:t>basis for the average number of tests performed was not described</w:t>
      </w:r>
      <w:r w:rsidR="0019035E">
        <w:rPr>
          <w:color w:val="auto"/>
        </w:rPr>
        <w:t>.</w:t>
      </w:r>
      <w:r>
        <w:rPr>
          <w:color w:val="auto"/>
        </w:rPr>
        <w:t xml:space="preserve"> </w:t>
      </w:r>
      <w:r w:rsidR="0019035E">
        <w:rPr>
          <w:color w:val="auto"/>
        </w:rPr>
        <w:t>While this</w:t>
      </w:r>
      <w:r w:rsidR="002A0A22">
        <w:rPr>
          <w:color w:val="auto"/>
        </w:rPr>
        <w:t xml:space="preserve"> appeared </w:t>
      </w:r>
      <w:proofErr w:type="gramStart"/>
      <w:r w:rsidR="002A0A22">
        <w:rPr>
          <w:color w:val="auto"/>
        </w:rPr>
        <w:t>similar to</w:t>
      </w:r>
      <w:proofErr w:type="gramEnd"/>
      <w:r w:rsidR="002A0A22">
        <w:rPr>
          <w:color w:val="auto"/>
        </w:rPr>
        <w:t xml:space="preserve"> the average number of tests per site </w:t>
      </w:r>
      <w:r w:rsidR="002A0A22">
        <w:rPr>
          <w:color w:val="auto"/>
        </w:rPr>
        <w:lastRenderedPageBreak/>
        <w:t>2020−2022 (178)</w:t>
      </w:r>
      <w:r w:rsidR="0019035E">
        <w:rPr>
          <w:rStyle w:val="FootnoteReference"/>
          <w:color w:val="auto"/>
        </w:rPr>
        <w:footnoteReference w:id="20"/>
      </w:r>
      <w:r w:rsidR="00F830D9">
        <w:rPr>
          <w:color w:val="auto"/>
        </w:rPr>
        <w:t>, this was lower than average test numbers in 2018 (300 tests per site per year)</w:t>
      </w:r>
      <w:r w:rsidR="0019035E">
        <w:rPr>
          <w:rStyle w:val="FootnoteReference"/>
          <w:color w:val="auto"/>
        </w:rPr>
        <w:footnoteReference w:id="21"/>
      </w:r>
      <w:r w:rsidR="00F830D9">
        <w:rPr>
          <w:color w:val="auto"/>
        </w:rPr>
        <w:t xml:space="preserve">. </w:t>
      </w:r>
      <w:r>
        <w:rPr>
          <w:color w:val="auto"/>
        </w:rPr>
        <w:t>The number of POC tests performed may be underestimated</w:t>
      </w:r>
      <w:r w:rsidR="00F830D9">
        <w:rPr>
          <w:color w:val="auto"/>
        </w:rPr>
        <w:t xml:space="preserve"> if use of testing returns to pre-COVID19 pandemic levels</w:t>
      </w:r>
      <w:r>
        <w:rPr>
          <w:color w:val="auto"/>
        </w:rPr>
        <w:t>.</w:t>
      </w:r>
    </w:p>
    <w:p w14:paraId="66EEC822" w14:textId="2050B7DC" w:rsidR="00E30C57" w:rsidRDefault="00E30C57" w:rsidP="00E30C57">
      <w:pPr>
        <w:pStyle w:val="Instructionaltext-afterfiguretable"/>
        <w:rPr>
          <w:color w:val="auto"/>
        </w:rPr>
      </w:pPr>
      <w:r w:rsidRPr="00C64E34">
        <w:rPr>
          <w:color w:val="auto"/>
        </w:rPr>
        <w:t xml:space="preserve">The ADAR </w:t>
      </w:r>
      <w:r>
        <w:rPr>
          <w:color w:val="auto"/>
        </w:rPr>
        <w:t>did</w:t>
      </w:r>
      <w:r w:rsidRPr="00C64E34">
        <w:rPr>
          <w:color w:val="auto"/>
        </w:rPr>
        <w:t xml:space="preserve"> not </w:t>
      </w:r>
      <w:r w:rsidR="00AB5006" w:rsidRPr="00C64E34">
        <w:rPr>
          <w:color w:val="auto"/>
        </w:rPr>
        <w:t>consider</w:t>
      </w:r>
      <w:r w:rsidRPr="00C64E34">
        <w:rPr>
          <w:color w:val="auto"/>
        </w:rPr>
        <w:t xml:space="preserve"> the cost of retesting</w:t>
      </w:r>
      <w:r w:rsidR="006D236B">
        <w:rPr>
          <w:color w:val="auto"/>
        </w:rPr>
        <w:t xml:space="preserve"> three months after treatment initiation</w:t>
      </w:r>
      <w:r w:rsidRPr="00C64E34">
        <w:rPr>
          <w:color w:val="auto"/>
        </w:rPr>
        <w:t xml:space="preserve"> as recommended in the guidelines and as per the clinical management algorithms presented in </w:t>
      </w:r>
      <w:r>
        <w:rPr>
          <w:color w:val="auto"/>
        </w:rPr>
        <w:t>the ADAR</w:t>
      </w:r>
      <w:r w:rsidRPr="00C64E34">
        <w:rPr>
          <w:color w:val="auto"/>
        </w:rPr>
        <w:t xml:space="preserve">. Given the additional cost associated with POC testing, and that as more patients are expected to receive treatment (as per the TTANGO trial), these costs may be substantial. Based on the estimations presented in </w:t>
      </w:r>
      <w:r>
        <w:rPr>
          <w:color w:val="auto"/>
        </w:rPr>
        <w:t>the ADAR</w:t>
      </w:r>
      <w:r w:rsidRPr="00C64E34">
        <w:rPr>
          <w:color w:val="auto"/>
        </w:rPr>
        <w:t>, up to 30% of patients each year tested may require retesting.</w:t>
      </w:r>
      <w:r>
        <w:rPr>
          <w:color w:val="auto"/>
        </w:rPr>
        <w:t xml:space="preserve"> </w:t>
      </w:r>
    </w:p>
    <w:p w14:paraId="7180A713" w14:textId="6376819A" w:rsidR="00E30C57" w:rsidRDefault="00E30C57" w:rsidP="00E30C57">
      <w:pPr>
        <w:pStyle w:val="Instructionaltext-afterfiguretable"/>
        <w:rPr>
          <w:color w:val="auto"/>
        </w:rPr>
      </w:pPr>
      <w:r w:rsidRPr="00A536E3">
        <w:rPr>
          <w:color w:val="auto"/>
        </w:rPr>
        <w:t xml:space="preserve">The ADAR included a reduction in cost due to fewer sequelae related to CT, </w:t>
      </w:r>
      <w:proofErr w:type="gramStart"/>
      <w:r w:rsidRPr="00A536E3">
        <w:rPr>
          <w:color w:val="auto"/>
        </w:rPr>
        <w:t>NG</w:t>
      </w:r>
      <w:proofErr w:type="gramEnd"/>
      <w:r w:rsidRPr="00A536E3">
        <w:rPr>
          <w:color w:val="auto"/>
        </w:rPr>
        <w:t xml:space="preserve"> or TV infections</w:t>
      </w:r>
      <w:r>
        <w:rPr>
          <w:color w:val="auto"/>
        </w:rPr>
        <w:t xml:space="preserve"> </w:t>
      </w:r>
      <w:r w:rsidRPr="00306337">
        <w:rPr>
          <w:color w:val="auto"/>
        </w:rPr>
        <w:t>(</w:t>
      </w:r>
      <w:r w:rsidRPr="002E6137">
        <w:rPr>
          <w:color w:val="auto"/>
          <w:highlight w:val="yellow"/>
        </w:rPr>
        <w:fldChar w:fldCharType="begin"/>
      </w:r>
      <w:r w:rsidRPr="00015E0E">
        <w:rPr>
          <w:color w:val="auto"/>
        </w:rPr>
        <w:instrText xml:space="preserve"> REF _Ref110430200 \h </w:instrText>
      </w:r>
      <w:r w:rsidRPr="002E6137">
        <w:rPr>
          <w:color w:val="auto"/>
          <w:highlight w:val="yellow"/>
        </w:rPr>
      </w:r>
      <w:r w:rsidRPr="002E6137">
        <w:rPr>
          <w:color w:val="auto"/>
          <w:highlight w:val="yellow"/>
        </w:rPr>
        <w:fldChar w:fldCharType="separate"/>
      </w:r>
      <w:r w:rsidR="00C6578F" w:rsidRPr="007F04F9">
        <w:rPr>
          <w:color w:val="auto"/>
        </w:rPr>
        <w:t xml:space="preserve">Table </w:t>
      </w:r>
      <w:r w:rsidR="00C6578F" w:rsidRPr="007F04F9">
        <w:rPr>
          <w:noProof/>
          <w:color w:val="auto"/>
        </w:rPr>
        <w:t>17</w:t>
      </w:r>
      <w:r w:rsidRPr="002E6137">
        <w:rPr>
          <w:color w:val="auto"/>
          <w:highlight w:val="yellow"/>
        </w:rPr>
        <w:fldChar w:fldCharType="end"/>
      </w:r>
      <w:r w:rsidRPr="00306337">
        <w:rPr>
          <w:color w:val="auto"/>
        </w:rPr>
        <w:t>)</w:t>
      </w:r>
      <w:r w:rsidRPr="00A536E3">
        <w:rPr>
          <w:color w:val="auto"/>
        </w:rPr>
        <w:t xml:space="preserve">. </w:t>
      </w:r>
      <w:r>
        <w:rPr>
          <w:color w:val="auto"/>
        </w:rPr>
        <w:t>The Commentary noted that estimates</w:t>
      </w:r>
      <w:r w:rsidRPr="00A536E3">
        <w:rPr>
          <w:color w:val="auto"/>
        </w:rPr>
        <w:t xml:space="preserve"> used to </w:t>
      </w:r>
      <w:r>
        <w:rPr>
          <w:color w:val="auto"/>
        </w:rPr>
        <w:t>derive</w:t>
      </w:r>
      <w:r w:rsidRPr="00A536E3">
        <w:rPr>
          <w:color w:val="auto"/>
        </w:rPr>
        <w:t xml:space="preserve"> the reduction in cases of PID, infertility, ectopic pregnancy, pre-term births and acute epididymitis</w:t>
      </w:r>
      <w:r>
        <w:rPr>
          <w:color w:val="auto"/>
        </w:rPr>
        <w:t xml:space="preserve"> were difficult to verify, and where able to, were likely overestimated (</w:t>
      </w:r>
      <w:proofErr w:type="gramStart"/>
      <w:r>
        <w:rPr>
          <w:color w:val="auto"/>
        </w:rPr>
        <w:t>e.g.</w:t>
      </w:r>
      <w:proofErr w:type="gramEnd"/>
      <w:r>
        <w:rPr>
          <w:color w:val="auto"/>
        </w:rPr>
        <w:t xml:space="preserve"> preterm births)</w:t>
      </w:r>
      <w:r w:rsidRPr="00A536E3">
        <w:rPr>
          <w:color w:val="auto"/>
        </w:rPr>
        <w:t>.</w:t>
      </w:r>
      <w:r>
        <w:rPr>
          <w:color w:val="auto"/>
        </w:rPr>
        <w:t xml:space="preserve"> Further it was noted that these costs were not separated by funding source and were higher than those applied for the treatment of the relevant sequelae applied in the economic analysis. </w:t>
      </w:r>
    </w:p>
    <w:p w14:paraId="6F96853A" w14:textId="630F089A" w:rsidR="00E30C57" w:rsidRPr="00E30C57" w:rsidRDefault="00E30C57" w:rsidP="00E30C57">
      <w:pPr>
        <w:pStyle w:val="Caption"/>
      </w:pPr>
      <w:bookmarkStart w:id="55" w:name="_Ref110430200"/>
      <w:r w:rsidRPr="00E30C57">
        <w:t>Table</w:t>
      </w:r>
      <w:r w:rsidR="00C6578F">
        <w:t xml:space="preserve"> </w:t>
      </w:r>
      <w:r w:rsidRPr="00E30C57">
        <w:rPr>
          <w:noProof/>
        </w:rPr>
        <w:fldChar w:fldCharType="begin"/>
      </w:r>
      <w:r w:rsidRPr="00E30C57">
        <w:rPr>
          <w:noProof/>
        </w:rPr>
        <w:instrText xml:space="preserve"> SEQ Table \* ARABIC </w:instrText>
      </w:r>
      <w:r w:rsidRPr="00E30C57">
        <w:rPr>
          <w:noProof/>
        </w:rPr>
        <w:fldChar w:fldCharType="separate"/>
      </w:r>
      <w:r w:rsidR="00C6578F">
        <w:rPr>
          <w:noProof/>
        </w:rPr>
        <w:t>17</w:t>
      </w:r>
      <w:r w:rsidRPr="00E30C57">
        <w:rPr>
          <w:noProof/>
        </w:rPr>
        <w:fldChar w:fldCharType="end"/>
      </w:r>
      <w:bookmarkEnd w:id="55"/>
      <w:r w:rsidRPr="00E30C57">
        <w:tab/>
        <w:t>Estimated reduction in costs</w:t>
      </w:r>
    </w:p>
    <w:tbl>
      <w:tblPr>
        <w:tblStyle w:val="TableGrid1"/>
        <w:tblW w:w="5000" w:type="pct"/>
        <w:tblLayout w:type="fixed"/>
        <w:tblLook w:val="04A0" w:firstRow="1" w:lastRow="0" w:firstColumn="1" w:lastColumn="0" w:noHBand="0" w:noVBand="1"/>
        <w:tblCaption w:val="Estimated reduction in costs"/>
        <w:tblDescription w:val="Estimated reduction in costs"/>
      </w:tblPr>
      <w:tblGrid>
        <w:gridCol w:w="2688"/>
        <w:gridCol w:w="1055"/>
        <w:gridCol w:w="1055"/>
        <w:gridCol w:w="1055"/>
        <w:gridCol w:w="1055"/>
        <w:gridCol w:w="1055"/>
        <w:gridCol w:w="1053"/>
      </w:tblGrid>
      <w:tr w:rsidR="00E30C57" w:rsidRPr="00A536E3" w14:paraId="14997548" w14:textId="77777777" w:rsidTr="007F04F9">
        <w:trPr>
          <w:cnfStyle w:val="100000000000" w:firstRow="1" w:lastRow="0" w:firstColumn="0" w:lastColumn="0" w:oddVBand="0" w:evenVBand="0" w:oddHBand="0" w:evenHBand="0" w:firstRowFirstColumn="0" w:firstRowLastColumn="0" w:lastRowFirstColumn="0" w:lastRowLastColumn="0"/>
          <w:trHeight w:val="300"/>
          <w:tblHeader/>
        </w:trPr>
        <w:tc>
          <w:tcPr>
            <w:tcW w:w="1491" w:type="pct"/>
            <w:tcBorders>
              <w:bottom w:val="single" w:sz="4" w:space="0" w:color="auto"/>
            </w:tcBorders>
            <w:noWrap/>
            <w:hideMark/>
          </w:tcPr>
          <w:p w14:paraId="7C81EFB0" w14:textId="77777777" w:rsidR="00E30C57" w:rsidRPr="00A536E3" w:rsidRDefault="00E30C57" w:rsidP="00D748F9">
            <w:pPr>
              <w:pStyle w:val="TableHeading"/>
              <w:rPr>
                <w:rFonts w:eastAsiaTheme="minorHAnsi" w:cstheme="minorBidi"/>
                <w:szCs w:val="22"/>
                <w:lang w:eastAsia="en-US"/>
              </w:rPr>
            </w:pPr>
          </w:p>
        </w:tc>
        <w:tc>
          <w:tcPr>
            <w:tcW w:w="585" w:type="pct"/>
            <w:tcBorders>
              <w:bottom w:val="single" w:sz="4" w:space="0" w:color="auto"/>
            </w:tcBorders>
            <w:noWrap/>
            <w:hideMark/>
          </w:tcPr>
          <w:p w14:paraId="1FD52940" w14:textId="77777777" w:rsidR="00E30C57" w:rsidRPr="00A536E3" w:rsidRDefault="00E30C57" w:rsidP="00D748F9">
            <w:pPr>
              <w:pStyle w:val="TableHeading"/>
              <w:jc w:val="center"/>
              <w:rPr>
                <w:rFonts w:eastAsiaTheme="minorHAnsi" w:cstheme="minorBidi"/>
                <w:lang w:eastAsia="en-US"/>
              </w:rPr>
            </w:pPr>
            <w:r w:rsidRPr="00A536E3">
              <w:rPr>
                <w:rFonts w:eastAsiaTheme="minorHAnsi" w:cstheme="minorBidi"/>
                <w:lang w:eastAsia="en-US"/>
              </w:rPr>
              <w:t>2023</w:t>
            </w:r>
          </w:p>
        </w:tc>
        <w:tc>
          <w:tcPr>
            <w:tcW w:w="585" w:type="pct"/>
            <w:tcBorders>
              <w:bottom w:val="single" w:sz="4" w:space="0" w:color="auto"/>
            </w:tcBorders>
            <w:noWrap/>
            <w:hideMark/>
          </w:tcPr>
          <w:p w14:paraId="4F9C4EE5" w14:textId="77777777" w:rsidR="00E30C57" w:rsidRPr="00A536E3" w:rsidRDefault="00E30C57" w:rsidP="00D748F9">
            <w:pPr>
              <w:pStyle w:val="TableHeading"/>
              <w:jc w:val="center"/>
              <w:rPr>
                <w:rFonts w:eastAsiaTheme="minorHAnsi" w:cstheme="minorBidi"/>
                <w:lang w:eastAsia="en-US"/>
              </w:rPr>
            </w:pPr>
            <w:r w:rsidRPr="00A536E3">
              <w:rPr>
                <w:rFonts w:eastAsiaTheme="minorHAnsi" w:cstheme="minorBidi"/>
                <w:lang w:eastAsia="en-US"/>
              </w:rPr>
              <w:t>2024</w:t>
            </w:r>
          </w:p>
        </w:tc>
        <w:tc>
          <w:tcPr>
            <w:tcW w:w="585" w:type="pct"/>
            <w:tcBorders>
              <w:bottom w:val="single" w:sz="4" w:space="0" w:color="auto"/>
            </w:tcBorders>
            <w:noWrap/>
            <w:hideMark/>
          </w:tcPr>
          <w:p w14:paraId="3A8B8E71" w14:textId="77777777" w:rsidR="00E30C57" w:rsidRPr="00A536E3" w:rsidRDefault="00E30C57" w:rsidP="00D748F9">
            <w:pPr>
              <w:pStyle w:val="TableHeading"/>
              <w:jc w:val="center"/>
              <w:rPr>
                <w:rFonts w:eastAsiaTheme="minorHAnsi" w:cstheme="minorBidi"/>
                <w:lang w:eastAsia="en-US"/>
              </w:rPr>
            </w:pPr>
            <w:r w:rsidRPr="00A536E3">
              <w:rPr>
                <w:rFonts w:eastAsiaTheme="minorHAnsi" w:cstheme="minorBidi"/>
                <w:lang w:eastAsia="en-US"/>
              </w:rPr>
              <w:t>2025</w:t>
            </w:r>
          </w:p>
        </w:tc>
        <w:tc>
          <w:tcPr>
            <w:tcW w:w="585" w:type="pct"/>
            <w:tcBorders>
              <w:bottom w:val="single" w:sz="4" w:space="0" w:color="auto"/>
            </w:tcBorders>
            <w:noWrap/>
            <w:hideMark/>
          </w:tcPr>
          <w:p w14:paraId="16E46A6E" w14:textId="77777777" w:rsidR="00E30C57" w:rsidRPr="00A536E3" w:rsidRDefault="00E30C57" w:rsidP="00D748F9">
            <w:pPr>
              <w:pStyle w:val="TableHeading"/>
              <w:jc w:val="center"/>
              <w:rPr>
                <w:rFonts w:eastAsiaTheme="minorHAnsi" w:cstheme="minorBidi"/>
                <w:lang w:eastAsia="en-US"/>
              </w:rPr>
            </w:pPr>
            <w:r w:rsidRPr="00A536E3">
              <w:rPr>
                <w:rFonts w:eastAsiaTheme="minorHAnsi" w:cstheme="minorBidi"/>
                <w:lang w:eastAsia="en-US"/>
              </w:rPr>
              <w:t>2026</w:t>
            </w:r>
          </w:p>
        </w:tc>
        <w:tc>
          <w:tcPr>
            <w:tcW w:w="585" w:type="pct"/>
            <w:tcBorders>
              <w:bottom w:val="single" w:sz="4" w:space="0" w:color="auto"/>
            </w:tcBorders>
            <w:noWrap/>
            <w:hideMark/>
          </w:tcPr>
          <w:p w14:paraId="53D3CE95" w14:textId="77777777" w:rsidR="00E30C57" w:rsidRPr="00A536E3" w:rsidRDefault="00E30C57" w:rsidP="00D748F9">
            <w:pPr>
              <w:pStyle w:val="TableHeading"/>
              <w:jc w:val="center"/>
              <w:rPr>
                <w:rFonts w:eastAsiaTheme="minorHAnsi" w:cstheme="minorBidi"/>
                <w:lang w:eastAsia="en-US"/>
              </w:rPr>
            </w:pPr>
            <w:r w:rsidRPr="00A536E3">
              <w:rPr>
                <w:rFonts w:eastAsiaTheme="minorHAnsi" w:cstheme="minorBidi"/>
                <w:lang w:eastAsia="en-US"/>
              </w:rPr>
              <w:t>2027</w:t>
            </w:r>
          </w:p>
        </w:tc>
        <w:tc>
          <w:tcPr>
            <w:tcW w:w="584" w:type="pct"/>
            <w:tcBorders>
              <w:bottom w:val="single" w:sz="4" w:space="0" w:color="auto"/>
            </w:tcBorders>
            <w:noWrap/>
            <w:hideMark/>
          </w:tcPr>
          <w:p w14:paraId="7FA9150C" w14:textId="77777777" w:rsidR="00E30C57" w:rsidRPr="00A536E3" w:rsidRDefault="00E30C57" w:rsidP="00D748F9">
            <w:pPr>
              <w:pStyle w:val="TableHeading"/>
              <w:jc w:val="center"/>
              <w:rPr>
                <w:rFonts w:eastAsiaTheme="minorHAnsi" w:cstheme="minorBidi"/>
                <w:lang w:eastAsia="en-US"/>
              </w:rPr>
            </w:pPr>
            <w:r w:rsidRPr="00A536E3">
              <w:rPr>
                <w:rFonts w:eastAsiaTheme="minorHAnsi" w:cstheme="minorBidi"/>
                <w:lang w:eastAsia="en-US"/>
              </w:rPr>
              <w:t>2028</w:t>
            </w:r>
          </w:p>
        </w:tc>
      </w:tr>
      <w:tr w:rsidR="00E30C57" w:rsidRPr="00A536E3" w14:paraId="4189FB02" w14:textId="77777777" w:rsidTr="00D748F9">
        <w:trPr>
          <w:trHeight w:val="300"/>
        </w:trPr>
        <w:tc>
          <w:tcPr>
            <w:tcW w:w="1491" w:type="pct"/>
            <w:tcBorders>
              <w:bottom w:val="nil"/>
            </w:tcBorders>
            <w:noWrap/>
          </w:tcPr>
          <w:p w14:paraId="5E3511D0" w14:textId="77777777" w:rsidR="00E30C57" w:rsidRPr="00A536E3" w:rsidRDefault="00E30C57" w:rsidP="00D748F9">
            <w:pPr>
              <w:pStyle w:val="TableText"/>
            </w:pPr>
            <w:r w:rsidRPr="00A536E3">
              <w:t>Total reduction in costs related to cases avoided</w:t>
            </w:r>
          </w:p>
        </w:tc>
        <w:tc>
          <w:tcPr>
            <w:tcW w:w="585" w:type="pct"/>
            <w:tcBorders>
              <w:bottom w:val="nil"/>
            </w:tcBorders>
            <w:noWrap/>
          </w:tcPr>
          <w:p w14:paraId="34F93D6B" w14:textId="77777777" w:rsidR="00E30C57" w:rsidRPr="00A536E3" w:rsidRDefault="00E30C57" w:rsidP="00D748F9">
            <w:pPr>
              <w:pStyle w:val="TableText"/>
              <w:jc w:val="right"/>
            </w:pPr>
            <w:r w:rsidRPr="00A536E3">
              <w:t>$2,882,166</w:t>
            </w:r>
          </w:p>
        </w:tc>
        <w:tc>
          <w:tcPr>
            <w:tcW w:w="585" w:type="pct"/>
            <w:tcBorders>
              <w:bottom w:val="nil"/>
            </w:tcBorders>
            <w:noWrap/>
          </w:tcPr>
          <w:p w14:paraId="58B5F814" w14:textId="77777777" w:rsidR="00E30C57" w:rsidRPr="00A536E3" w:rsidRDefault="00E30C57" w:rsidP="00D748F9">
            <w:pPr>
              <w:pStyle w:val="TableText"/>
              <w:jc w:val="right"/>
            </w:pPr>
            <w:r w:rsidRPr="00A536E3">
              <w:t>$3,170,383</w:t>
            </w:r>
          </w:p>
        </w:tc>
        <w:tc>
          <w:tcPr>
            <w:tcW w:w="585" w:type="pct"/>
            <w:tcBorders>
              <w:bottom w:val="nil"/>
            </w:tcBorders>
            <w:noWrap/>
          </w:tcPr>
          <w:p w14:paraId="57FAF8AC" w14:textId="77777777" w:rsidR="00E30C57" w:rsidRPr="00A536E3" w:rsidRDefault="00E30C57" w:rsidP="00D748F9">
            <w:pPr>
              <w:pStyle w:val="TableText"/>
              <w:jc w:val="right"/>
            </w:pPr>
            <w:r w:rsidRPr="00A536E3">
              <w:t>$4,383,917</w:t>
            </w:r>
          </w:p>
        </w:tc>
        <w:tc>
          <w:tcPr>
            <w:tcW w:w="585" w:type="pct"/>
            <w:tcBorders>
              <w:bottom w:val="nil"/>
            </w:tcBorders>
            <w:noWrap/>
          </w:tcPr>
          <w:p w14:paraId="5222BD6B" w14:textId="77777777" w:rsidR="00E30C57" w:rsidRPr="00A536E3" w:rsidRDefault="00E30C57" w:rsidP="00D748F9">
            <w:pPr>
              <w:pStyle w:val="TableText"/>
              <w:jc w:val="right"/>
            </w:pPr>
            <w:r w:rsidRPr="00A536E3">
              <w:t>$5,641,417</w:t>
            </w:r>
          </w:p>
        </w:tc>
        <w:tc>
          <w:tcPr>
            <w:tcW w:w="585" w:type="pct"/>
            <w:tcBorders>
              <w:bottom w:val="nil"/>
            </w:tcBorders>
            <w:noWrap/>
          </w:tcPr>
          <w:p w14:paraId="19C99108" w14:textId="77777777" w:rsidR="00E30C57" w:rsidRPr="00A536E3" w:rsidRDefault="00E30C57" w:rsidP="00D748F9">
            <w:pPr>
              <w:pStyle w:val="TableText"/>
              <w:jc w:val="right"/>
            </w:pPr>
            <w:r w:rsidRPr="00A536E3">
              <w:t>$7,446,670</w:t>
            </w:r>
          </w:p>
        </w:tc>
        <w:tc>
          <w:tcPr>
            <w:tcW w:w="584" w:type="pct"/>
            <w:tcBorders>
              <w:bottom w:val="nil"/>
            </w:tcBorders>
            <w:noWrap/>
          </w:tcPr>
          <w:p w14:paraId="64CDAD9B" w14:textId="77777777" w:rsidR="00E30C57" w:rsidRPr="00A536E3" w:rsidRDefault="00E30C57" w:rsidP="00D748F9">
            <w:pPr>
              <w:pStyle w:val="TableText"/>
              <w:jc w:val="right"/>
            </w:pPr>
            <w:r w:rsidRPr="00A536E3">
              <w:t>$8,143,838</w:t>
            </w:r>
          </w:p>
        </w:tc>
      </w:tr>
      <w:tr w:rsidR="00E30C57" w:rsidRPr="00A536E3" w14:paraId="3726317F" w14:textId="77777777" w:rsidTr="00D748F9">
        <w:trPr>
          <w:trHeight w:val="300"/>
        </w:trPr>
        <w:tc>
          <w:tcPr>
            <w:tcW w:w="1491" w:type="pct"/>
            <w:tcBorders>
              <w:top w:val="nil"/>
            </w:tcBorders>
            <w:noWrap/>
          </w:tcPr>
          <w:p w14:paraId="656F648D" w14:textId="77777777" w:rsidR="00E30C57" w:rsidRPr="00A536E3" w:rsidRDefault="00E30C57" w:rsidP="00D748F9">
            <w:pPr>
              <w:pStyle w:val="TableText"/>
              <w:rPr>
                <w:i/>
              </w:rPr>
            </w:pPr>
            <w:r w:rsidRPr="00A536E3">
              <w:rPr>
                <w:i/>
              </w:rPr>
              <w:t>Revised</w:t>
            </w:r>
          </w:p>
        </w:tc>
        <w:tc>
          <w:tcPr>
            <w:tcW w:w="585" w:type="pct"/>
            <w:tcBorders>
              <w:top w:val="nil"/>
            </w:tcBorders>
            <w:noWrap/>
          </w:tcPr>
          <w:p w14:paraId="7D71537B" w14:textId="77777777" w:rsidR="00E30C57" w:rsidRPr="00A536E3" w:rsidRDefault="00E30C57" w:rsidP="00D748F9">
            <w:pPr>
              <w:pStyle w:val="TableText"/>
              <w:jc w:val="right"/>
              <w:rPr>
                <w:i/>
              </w:rPr>
            </w:pPr>
            <w:r w:rsidRPr="00A536E3">
              <w:rPr>
                <w:i/>
              </w:rPr>
              <w:t>$2,172,309</w:t>
            </w:r>
          </w:p>
        </w:tc>
        <w:tc>
          <w:tcPr>
            <w:tcW w:w="585" w:type="pct"/>
            <w:tcBorders>
              <w:top w:val="nil"/>
            </w:tcBorders>
            <w:noWrap/>
          </w:tcPr>
          <w:p w14:paraId="7F9C82DA" w14:textId="77777777" w:rsidR="00E30C57" w:rsidRPr="00A536E3" w:rsidRDefault="00E30C57" w:rsidP="00D748F9">
            <w:pPr>
              <w:pStyle w:val="TableText"/>
              <w:jc w:val="right"/>
              <w:rPr>
                <w:i/>
              </w:rPr>
            </w:pPr>
            <w:r w:rsidRPr="00A536E3">
              <w:rPr>
                <w:i/>
              </w:rPr>
              <w:t>$2,389,540</w:t>
            </w:r>
          </w:p>
        </w:tc>
        <w:tc>
          <w:tcPr>
            <w:tcW w:w="585" w:type="pct"/>
            <w:tcBorders>
              <w:top w:val="nil"/>
            </w:tcBorders>
            <w:noWrap/>
          </w:tcPr>
          <w:p w14:paraId="3254D810" w14:textId="77777777" w:rsidR="00E30C57" w:rsidRPr="00A536E3" w:rsidRDefault="00E30C57" w:rsidP="00D748F9">
            <w:pPr>
              <w:pStyle w:val="TableText"/>
              <w:jc w:val="right"/>
              <w:rPr>
                <w:i/>
              </w:rPr>
            </w:pPr>
            <w:r w:rsidRPr="00A536E3">
              <w:rPr>
                <w:i/>
              </w:rPr>
              <w:t>$3,092,346</w:t>
            </w:r>
          </w:p>
        </w:tc>
        <w:tc>
          <w:tcPr>
            <w:tcW w:w="585" w:type="pct"/>
            <w:tcBorders>
              <w:top w:val="nil"/>
            </w:tcBorders>
            <w:noWrap/>
          </w:tcPr>
          <w:p w14:paraId="7BF1A2D1" w14:textId="77777777" w:rsidR="00E30C57" w:rsidRPr="00A536E3" w:rsidRDefault="00E30C57" w:rsidP="00D748F9">
            <w:pPr>
              <w:pStyle w:val="TableText"/>
              <w:jc w:val="right"/>
              <w:rPr>
                <w:i/>
              </w:rPr>
            </w:pPr>
            <w:r w:rsidRPr="00A536E3">
              <w:rPr>
                <w:i/>
              </w:rPr>
              <w:t>$4,251,976</w:t>
            </w:r>
          </w:p>
        </w:tc>
        <w:tc>
          <w:tcPr>
            <w:tcW w:w="585" w:type="pct"/>
            <w:tcBorders>
              <w:top w:val="nil"/>
            </w:tcBorders>
            <w:noWrap/>
          </w:tcPr>
          <w:p w14:paraId="0000374C" w14:textId="77777777" w:rsidR="00E30C57" w:rsidRPr="00A536E3" w:rsidRDefault="00E30C57" w:rsidP="00D748F9">
            <w:pPr>
              <w:pStyle w:val="TableText"/>
              <w:jc w:val="right"/>
              <w:rPr>
                <w:i/>
              </w:rPr>
            </w:pPr>
            <w:r w:rsidRPr="00A536E3">
              <w:rPr>
                <w:i/>
              </w:rPr>
              <w:t>$5,612,609</w:t>
            </w:r>
          </w:p>
        </w:tc>
        <w:tc>
          <w:tcPr>
            <w:tcW w:w="584" w:type="pct"/>
            <w:tcBorders>
              <w:top w:val="nil"/>
            </w:tcBorders>
            <w:noWrap/>
          </w:tcPr>
          <w:p w14:paraId="23560C65" w14:textId="77777777" w:rsidR="00E30C57" w:rsidRPr="00A536E3" w:rsidRDefault="00E30C57" w:rsidP="00D748F9">
            <w:pPr>
              <w:pStyle w:val="TableText"/>
              <w:jc w:val="right"/>
              <w:rPr>
                <w:i/>
              </w:rPr>
            </w:pPr>
            <w:r w:rsidRPr="00A536E3">
              <w:rPr>
                <w:i/>
              </w:rPr>
              <w:t>$6,173,870</w:t>
            </w:r>
          </w:p>
        </w:tc>
      </w:tr>
    </w:tbl>
    <w:p w14:paraId="4F459C3E" w14:textId="5F2BA7C8" w:rsidR="00E30C57" w:rsidRPr="00E6407B" w:rsidRDefault="00E30C57" w:rsidP="00E30C57">
      <w:pPr>
        <w:pStyle w:val="TableFooter"/>
        <w:spacing w:before="0" w:after="120"/>
      </w:pPr>
      <w:r w:rsidRPr="00E6407B">
        <w:t xml:space="preserve">Source: </w:t>
      </w:r>
      <w:r w:rsidR="000418DE">
        <w:t xml:space="preserve">Commentary Table 47, </w:t>
      </w:r>
      <w:proofErr w:type="spellStart"/>
      <w:r w:rsidR="000418DE">
        <w:t>pg</w:t>
      </w:r>
      <w:proofErr w:type="spellEnd"/>
      <w:r w:rsidR="000418DE">
        <w:t xml:space="preserve"> 169 of MSAC 1627 </w:t>
      </w:r>
      <w:proofErr w:type="spellStart"/>
      <w:r w:rsidR="000418DE">
        <w:t>ADAR</w:t>
      </w:r>
      <w:r w:rsidR="000418DE">
        <w:rPr>
          <w:szCs w:val="18"/>
        </w:rPr>
        <w:t>+in-line</w:t>
      </w:r>
      <w:proofErr w:type="spellEnd"/>
      <w:r w:rsidR="000418DE">
        <w:rPr>
          <w:szCs w:val="18"/>
        </w:rPr>
        <w:t xml:space="preserve"> commentary</w:t>
      </w:r>
      <w:r w:rsidRPr="00E6407B">
        <w:t>.</w:t>
      </w:r>
    </w:p>
    <w:p w14:paraId="3C87DED3" w14:textId="77777777" w:rsidR="00E30C57" w:rsidRPr="00A536E3" w:rsidRDefault="00E30C57" w:rsidP="00E30C57">
      <w:pPr>
        <w:pStyle w:val="TableFooter"/>
        <w:spacing w:before="0" w:after="120"/>
      </w:pPr>
      <w:r w:rsidRPr="00A536E3">
        <w:t xml:space="preserve">CT = </w:t>
      </w:r>
      <w:r w:rsidRPr="00A536E3">
        <w:rPr>
          <w:i/>
        </w:rPr>
        <w:t>Chlamydia trachomatis</w:t>
      </w:r>
      <w:r w:rsidRPr="00A536E3">
        <w:t xml:space="preserve">; NG = </w:t>
      </w:r>
      <w:r w:rsidRPr="00A536E3">
        <w:rPr>
          <w:i/>
        </w:rPr>
        <w:t>Neisseria gonorrhoeae</w:t>
      </w:r>
      <w:r w:rsidRPr="00A536E3">
        <w:t xml:space="preserve">; POC = point of care; TV = </w:t>
      </w:r>
      <w:r w:rsidRPr="00A536E3">
        <w:rPr>
          <w:i/>
        </w:rPr>
        <w:t>Trichomonas vaginalis</w:t>
      </w:r>
      <w:r w:rsidRPr="00A536E3">
        <w:t>.</w:t>
      </w:r>
    </w:p>
    <w:p w14:paraId="7838A9FF" w14:textId="17FFE180" w:rsidR="00772829" w:rsidRPr="00CE28E3" w:rsidRDefault="00C36633" w:rsidP="002A18BE">
      <w:pPr>
        <w:pStyle w:val="Heading2"/>
        <w:numPr>
          <w:ilvl w:val="0"/>
          <w:numId w:val="0"/>
        </w:numPr>
      </w:pPr>
      <w:r>
        <w:t>1</w:t>
      </w:r>
      <w:r w:rsidR="008A2C9F">
        <w:t>5</w:t>
      </w:r>
      <w:r>
        <w:t>.</w:t>
      </w:r>
      <w:r>
        <w:tab/>
      </w:r>
      <w:r w:rsidR="00772829" w:rsidRPr="00CE28E3">
        <w:t xml:space="preserve">Other relevant </w:t>
      </w:r>
      <w:bookmarkEnd w:id="37"/>
      <w:r w:rsidR="00FA5766">
        <w:t>information</w:t>
      </w:r>
    </w:p>
    <w:p w14:paraId="5AE0DC6F" w14:textId="77777777" w:rsidR="002B4A21" w:rsidRDefault="002B4A21" w:rsidP="002B4A21">
      <w:pPr>
        <w:pStyle w:val="Heading3"/>
      </w:pPr>
      <w:bookmarkStart w:id="56" w:name="_Toc69491428"/>
      <w:r>
        <w:t xml:space="preserve">Influences on the feasibility and acceptability of POC </w:t>
      </w:r>
      <w:proofErr w:type="spellStart"/>
      <w:r>
        <w:t>Xpert</w:t>
      </w:r>
      <w:proofErr w:type="spellEnd"/>
      <w:r>
        <w:t xml:space="preserve"> CT/NG and TV testing in health care clinics in remote Aboriginal and Torres Strait Islander communities.</w:t>
      </w:r>
    </w:p>
    <w:p w14:paraId="7F756A7C" w14:textId="77777777" w:rsidR="002B4A21" w:rsidRDefault="002B4A21" w:rsidP="002B4A21">
      <w:r>
        <w:t xml:space="preserve">Six qualitative studies included in Table 8 of the ADAR provided information on the experiences of either healthcare workers and/or laboratory staff (n=5) or patients (n=1) with POC </w:t>
      </w:r>
      <w:proofErr w:type="spellStart"/>
      <w:r>
        <w:t>Xpert</w:t>
      </w:r>
      <w:proofErr w:type="spellEnd"/>
      <w:r>
        <w:t xml:space="preserve"> testing in remote communities. The additional articles included in Table 8 either provided opinions without any data or reported on the POC test used in settings that are not analogous to a remote </w:t>
      </w:r>
      <w:proofErr w:type="gramStart"/>
      <w:r>
        <w:t>community, and</w:t>
      </w:r>
      <w:proofErr w:type="gramEnd"/>
      <w:r>
        <w:t xml:space="preserve"> have not been discussed further.</w:t>
      </w:r>
    </w:p>
    <w:p w14:paraId="568300EB" w14:textId="77777777" w:rsidR="002B4A21" w:rsidRDefault="002B4A21" w:rsidP="002B4A21">
      <w:r>
        <w:t xml:space="preserve">The three Australian studies (Lafferty et al 2021, </w:t>
      </w:r>
      <w:proofErr w:type="spellStart"/>
      <w:r>
        <w:t>Natoli</w:t>
      </w:r>
      <w:proofErr w:type="spellEnd"/>
      <w:r>
        <w:t xml:space="preserve"> et al 2015, </w:t>
      </w:r>
      <w:proofErr w:type="spellStart"/>
      <w:r>
        <w:t>Natoli</w:t>
      </w:r>
      <w:proofErr w:type="spellEnd"/>
      <w:r>
        <w:t xml:space="preserve"> et al 2015b) reported on the experiences and/or public health implications for POC </w:t>
      </w:r>
      <w:proofErr w:type="spellStart"/>
      <w:r>
        <w:t>Xpert</w:t>
      </w:r>
      <w:proofErr w:type="spellEnd"/>
      <w:r>
        <w:t xml:space="preserve"> CT/NG testing from the TTANGO trial. These studies all reported common themes around the feasibility and acceptability of POC </w:t>
      </w:r>
      <w:proofErr w:type="spellStart"/>
      <w:r>
        <w:t>Xpert</w:t>
      </w:r>
      <w:proofErr w:type="spellEnd"/>
      <w:r>
        <w:t xml:space="preserve"> testing from the healthcare workers’ perspective. These themes are summarised below:</w:t>
      </w:r>
    </w:p>
    <w:p w14:paraId="7AC72A88" w14:textId="77777777" w:rsidR="002B4A21" w:rsidRDefault="002B4A21" w:rsidP="002B4A21">
      <w:r>
        <w:t xml:space="preserve">Three studies were conducted in countries where routine diagnostic testing is not readily available due to lack of laboratory capacity. In these countries, syndromic management of STIs is the SOC. As many patients are asymptomatic, they are not treated. Identification and treatment </w:t>
      </w:r>
      <w:r>
        <w:lastRenderedPageBreak/>
        <w:t>of these patients would potentially decrease both the prevalence and the morbidity from untreated STIs within these communities. These studies reported on the patient uptake of POC testing. One study also reported on the patients’ attitude towards POC testing.</w:t>
      </w:r>
    </w:p>
    <w:p w14:paraId="45B7AA94" w14:textId="77777777" w:rsidR="002B4A21" w:rsidRDefault="002B4A21" w:rsidP="002B4A21">
      <w:r>
        <w:t xml:space="preserve">It should be noted that there was no explicit comparison to SOC in any of these studies, but it could be hypothesised that </w:t>
      </w:r>
    </w:p>
    <w:p w14:paraId="3217BD51" w14:textId="6546C997" w:rsidR="002B4A21" w:rsidRDefault="002B4A21" w:rsidP="002B4A21">
      <w:pPr>
        <w:pStyle w:val="ListParagraph"/>
        <w:numPr>
          <w:ilvl w:val="0"/>
          <w:numId w:val="15"/>
        </w:numPr>
        <w:ind w:left="426" w:hanging="414"/>
      </w:pPr>
      <w:r>
        <w:t xml:space="preserve">An effective POC </w:t>
      </w:r>
      <w:proofErr w:type="spellStart"/>
      <w:r>
        <w:t>Xpert</w:t>
      </w:r>
      <w:proofErr w:type="spellEnd"/>
      <w:r>
        <w:t xml:space="preserve"> CT/NG and TV testing program requires education and training programs to ensure healthcare workers and communities are well informed about STIs and available treatments, and the advantages of POC testing</w:t>
      </w:r>
    </w:p>
    <w:p w14:paraId="53C6A630" w14:textId="28B94886" w:rsidR="002B4A21" w:rsidRDefault="002B4A21" w:rsidP="002B4A21">
      <w:pPr>
        <w:pStyle w:val="ListParagraph"/>
        <w:numPr>
          <w:ilvl w:val="1"/>
          <w:numId w:val="15"/>
        </w:numPr>
        <w:ind w:left="851"/>
      </w:pPr>
      <w:r>
        <w:t>Effective training programs on the use of the GeneXpert device and on conducting routine quality assurance are required</w:t>
      </w:r>
    </w:p>
    <w:p w14:paraId="06E27082" w14:textId="04210F20" w:rsidR="002B4A21" w:rsidRDefault="002B4A21" w:rsidP="002B4A21">
      <w:pPr>
        <w:pStyle w:val="ListParagraph"/>
        <w:numPr>
          <w:ilvl w:val="0"/>
          <w:numId w:val="15"/>
        </w:numPr>
        <w:ind w:left="426" w:hanging="414"/>
      </w:pPr>
      <w:r>
        <w:t xml:space="preserve">A successful POC </w:t>
      </w:r>
      <w:proofErr w:type="spellStart"/>
      <w:r>
        <w:t>Xpert</w:t>
      </w:r>
      <w:proofErr w:type="spellEnd"/>
      <w:r>
        <w:t xml:space="preserve"> CT/NG and TV testing program </w:t>
      </w:r>
      <w:proofErr w:type="gramStart"/>
      <w:r>
        <w:t>results</w:t>
      </w:r>
      <w:proofErr w:type="gramEnd"/>
      <w:r>
        <w:t xml:space="preserve"> in most individuals who participate receiving same-day test results and treatment initiation, and also results in more effective contact tracing.</w:t>
      </w:r>
    </w:p>
    <w:p w14:paraId="3802E260" w14:textId="7D50E8A7" w:rsidR="002B4A21" w:rsidRDefault="002B4A21" w:rsidP="002B4A21">
      <w:pPr>
        <w:pStyle w:val="ListParagraph"/>
        <w:numPr>
          <w:ilvl w:val="1"/>
          <w:numId w:val="15"/>
        </w:numPr>
        <w:ind w:left="851"/>
      </w:pPr>
      <w:r>
        <w:t xml:space="preserve">The major limitation of the </w:t>
      </w:r>
      <w:r w:rsidR="005F6A90">
        <w:t>test was that it does not determine</w:t>
      </w:r>
      <w:r>
        <w:t xml:space="preserve"> antimicrobial resistance</w:t>
      </w:r>
    </w:p>
    <w:p w14:paraId="01B2A9FA" w14:textId="11C1319F" w:rsidR="00772829" w:rsidRDefault="002B4A21" w:rsidP="002B4A21">
      <w:pPr>
        <w:pStyle w:val="ListParagraph"/>
        <w:numPr>
          <w:ilvl w:val="0"/>
          <w:numId w:val="15"/>
        </w:numPr>
        <w:ind w:left="426" w:hanging="414"/>
      </w:pPr>
      <w:r>
        <w:t xml:space="preserve">Overall, the advantages of POC </w:t>
      </w:r>
      <w:proofErr w:type="spellStart"/>
      <w:r>
        <w:t>Xpert</w:t>
      </w:r>
      <w:proofErr w:type="spellEnd"/>
      <w:r>
        <w:t xml:space="preserve"> CT/NG and TV testing identified by healthcare workers seemed to outweigh the perceived drawbacks or limitations associated with the test.</w:t>
      </w:r>
      <w:bookmarkEnd w:id="56"/>
    </w:p>
    <w:p w14:paraId="60ED29EE" w14:textId="0A422A2E" w:rsidR="00AF3A51" w:rsidRPr="008A2C9F" w:rsidRDefault="008A2C9F" w:rsidP="008A2C9F">
      <w:pPr>
        <w:pStyle w:val="Heading2"/>
        <w:numPr>
          <w:ilvl w:val="0"/>
          <w:numId w:val="0"/>
        </w:numPr>
      </w:pPr>
      <w:r>
        <w:t>16.</w:t>
      </w:r>
      <w:r>
        <w:tab/>
        <w:t>Key issues from ESC to MSAC</w:t>
      </w:r>
    </w:p>
    <w:tbl>
      <w:tblPr>
        <w:tblStyle w:val="TableGrid"/>
        <w:tblpPr w:leftFromText="180" w:rightFromText="180" w:vertAnchor="text" w:tblpY="1"/>
        <w:tblOverlap w:val="never"/>
        <w:tblW w:w="0" w:type="auto"/>
        <w:tblBorders>
          <w:insideH w:val="none" w:sz="0" w:space="0" w:color="auto"/>
        </w:tblBorders>
        <w:tblLook w:val="04A0" w:firstRow="1" w:lastRow="0" w:firstColumn="1" w:lastColumn="0" w:noHBand="0" w:noVBand="1"/>
        <w:tblCaption w:val="Main issues for MSAC consideration"/>
        <w:tblDescription w:val="Lists the main clinical, economic and financial issues, as well as any other issues, for MSAC to consider."/>
      </w:tblPr>
      <w:tblGrid>
        <w:gridCol w:w="9016"/>
      </w:tblGrid>
      <w:tr w:rsidR="00AF3A51" w:rsidRPr="00CE28E3" w14:paraId="5E55A329" w14:textId="77777777" w:rsidTr="009F74CA">
        <w:tc>
          <w:tcPr>
            <w:tcW w:w="9016" w:type="dxa"/>
          </w:tcPr>
          <w:p w14:paraId="056E8819" w14:textId="77777777" w:rsidR="00AF3A51" w:rsidRDefault="00AF3A51" w:rsidP="009F74CA">
            <w:pPr>
              <w:rPr>
                <w:b/>
                <w:bCs/>
                <w:sz w:val="24"/>
                <w:szCs w:val="24"/>
              </w:rPr>
            </w:pPr>
            <w:bookmarkStart w:id="57" w:name="_Hlk69734340"/>
            <w:r w:rsidRPr="008967C4">
              <w:rPr>
                <w:b/>
                <w:bCs/>
                <w:sz w:val="24"/>
                <w:szCs w:val="24"/>
              </w:rPr>
              <w:t xml:space="preserve">Main issues for MSAC consideration </w:t>
            </w:r>
            <w:r>
              <w:rPr>
                <w:b/>
                <w:bCs/>
                <w:sz w:val="24"/>
                <w:szCs w:val="24"/>
              </w:rPr>
              <w:t xml:space="preserve"> </w:t>
            </w:r>
          </w:p>
          <w:p w14:paraId="7C67EB7D" w14:textId="77777777" w:rsidR="00AF3A51" w:rsidRDefault="00AF3A51" w:rsidP="009F74CA">
            <w:pPr>
              <w:rPr>
                <w:rFonts w:eastAsia="Calibri" w:cs="Times New Roman"/>
                <w:b/>
              </w:rPr>
            </w:pPr>
            <w:r>
              <w:rPr>
                <w:rFonts w:eastAsia="Calibri" w:cs="Times New Roman"/>
                <w:b/>
              </w:rPr>
              <w:t xml:space="preserve">Proposed MBS fee and item descriptor: </w:t>
            </w:r>
          </w:p>
          <w:p w14:paraId="39C21465" w14:textId="77777777" w:rsidR="00AF3A51" w:rsidRPr="00351B97" w:rsidRDefault="00AF3A51" w:rsidP="009F74CA">
            <w:pPr>
              <w:pStyle w:val="ListParagraph"/>
              <w:numPr>
                <w:ilvl w:val="0"/>
                <w:numId w:val="28"/>
              </w:numPr>
              <w:spacing w:after="120"/>
              <w:rPr>
                <w:rFonts w:eastAsia="Calibri" w:cs="Times New Roman"/>
              </w:rPr>
            </w:pPr>
            <w:r>
              <w:rPr>
                <w:rFonts w:eastAsia="Calibri" w:cs="Times New Roman"/>
              </w:rPr>
              <w:t>ESC supported t</w:t>
            </w:r>
            <w:r w:rsidRPr="00351B97">
              <w:rPr>
                <w:rFonts w:eastAsia="Calibri" w:cs="Times New Roman"/>
              </w:rPr>
              <w:t>he MBS item descriptor not</w:t>
            </w:r>
            <w:r>
              <w:rPr>
                <w:rFonts w:eastAsia="Calibri" w:cs="Times New Roman"/>
              </w:rPr>
              <w:t xml:space="preserve"> being</w:t>
            </w:r>
            <w:r w:rsidRPr="00351B97">
              <w:rPr>
                <w:rFonts w:eastAsia="Calibri" w:cs="Times New Roman"/>
              </w:rPr>
              <w:t xml:space="preserve"> restrict</w:t>
            </w:r>
            <w:r>
              <w:rPr>
                <w:rFonts w:eastAsia="Calibri" w:cs="Times New Roman"/>
              </w:rPr>
              <w:t>ed</w:t>
            </w:r>
            <w:r w:rsidRPr="00351B97">
              <w:rPr>
                <w:rFonts w:eastAsia="Calibri" w:cs="Times New Roman"/>
              </w:rPr>
              <w:t xml:space="preserve"> by age or by </w:t>
            </w:r>
            <w:r>
              <w:rPr>
                <w:rFonts w:eastAsia="Calibri" w:cs="Times New Roman"/>
              </w:rPr>
              <w:t>Aboriginal or Torres Strait Islander origin</w:t>
            </w:r>
            <w:r w:rsidRPr="00351B97">
              <w:rPr>
                <w:rFonts w:eastAsia="Calibri" w:cs="Times New Roman"/>
              </w:rPr>
              <w:t xml:space="preserve">, though </w:t>
            </w:r>
            <w:r>
              <w:rPr>
                <w:rFonts w:eastAsia="Calibri" w:cs="Times New Roman"/>
              </w:rPr>
              <w:t xml:space="preserve">considered that </w:t>
            </w:r>
            <w:r w:rsidRPr="00351B97">
              <w:rPr>
                <w:rFonts w:eastAsia="Calibri" w:cs="Times New Roman"/>
              </w:rPr>
              <w:t xml:space="preserve">it should specify that it is for point-of-care testing at Aboriginal Medical Services and Aboriginal Community Controlled Health Organisations in rural and remote locations. </w:t>
            </w:r>
          </w:p>
          <w:p w14:paraId="65953570" w14:textId="77777777" w:rsidR="00AF3A51" w:rsidRPr="00351B97" w:rsidRDefault="00AF3A51" w:rsidP="009F74CA">
            <w:pPr>
              <w:pStyle w:val="ListParagraph"/>
              <w:numPr>
                <w:ilvl w:val="0"/>
                <w:numId w:val="28"/>
              </w:numPr>
              <w:spacing w:after="120"/>
              <w:rPr>
                <w:rFonts w:eastAsia="Calibri" w:cs="Times New Roman"/>
              </w:rPr>
            </w:pPr>
            <w:r w:rsidRPr="00351B97">
              <w:rPr>
                <w:rFonts w:eastAsia="Calibri" w:cs="Times New Roman"/>
              </w:rPr>
              <w:t xml:space="preserve">The </w:t>
            </w:r>
            <w:r>
              <w:rPr>
                <w:rFonts w:eastAsia="Calibri" w:cs="Times New Roman"/>
              </w:rPr>
              <w:t xml:space="preserve">MBS item descriptor (YYYY) for </w:t>
            </w:r>
            <w:r w:rsidRPr="00351B97">
              <w:rPr>
                <w:rFonts w:eastAsia="Calibri" w:cs="Times New Roman"/>
              </w:rPr>
              <w:t>testing following a previous infection appears redundant</w:t>
            </w:r>
            <w:r>
              <w:t>.</w:t>
            </w:r>
          </w:p>
          <w:p w14:paraId="28300638" w14:textId="01AC04F9" w:rsidR="00AF3A51" w:rsidRPr="00351B97" w:rsidRDefault="00AF3A51" w:rsidP="009F74CA">
            <w:pPr>
              <w:pStyle w:val="ListParagraph"/>
              <w:numPr>
                <w:ilvl w:val="0"/>
                <w:numId w:val="28"/>
              </w:numPr>
              <w:rPr>
                <w:rFonts w:eastAsia="Calibri" w:cs="Times New Roman"/>
              </w:rPr>
            </w:pPr>
            <w:r w:rsidRPr="00351B97">
              <w:rPr>
                <w:rFonts w:eastAsia="Calibri" w:cs="Times New Roman"/>
              </w:rPr>
              <w:t>The proposed fees of $150 (</w:t>
            </w:r>
            <w:r w:rsidRPr="00351B97">
              <w:rPr>
                <w:rFonts w:cstheme="minorHAnsi"/>
                <w:i/>
                <w:iCs/>
              </w:rPr>
              <w:t>Chlamydia</w:t>
            </w:r>
            <w:r w:rsidRPr="00351B97">
              <w:rPr>
                <w:rFonts w:cstheme="minorHAnsi"/>
              </w:rPr>
              <w:t xml:space="preserve"> </w:t>
            </w:r>
            <w:r w:rsidRPr="00351B97">
              <w:rPr>
                <w:rFonts w:cstheme="minorHAnsi"/>
                <w:i/>
                <w:iCs/>
              </w:rPr>
              <w:t>trachomatis</w:t>
            </w:r>
            <w:r w:rsidRPr="00351B97">
              <w:rPr>
                <w:rFonts w:cstheme="minorHAnsi"/>
              </w:rPr>
              <w:t xml:space="preserve"> and </w:t>
            </w:r>
            <w:r w:rsidRPr="00351B97">
              <w:rPr>
                <w:rFonts w:cstheme="minorHAnsi"/>
                <w:i/>
                <w:iCs/>
              </w:rPr>
              <w:t>Neisseria gonorrhoeae</w:t>
            </w:r>
            <w:r w:rsidRPr="00351B97">
              <w:rPr>
                <w:rFonts w:cstheme="minorHAnsi"/>
              </w:rPr>
              <w:t xml:space="preserve">) </w:t>
            </w:r>
            <w:r w:rsidRPr="00351B97">
              <w:rPr>
                <w:rFonts w:eastAsia="Calibri" w:cs="Times New Roman"/>
              </w:rPr>
              <w:t>and $115 (</w:t>
            </w:r>
            <w:r w:rsidRPr="00351B97">
              <w:rPr>
                <w:rFonts w:cstheme="minorHAnsi"/>
                <w:i/>
                <w:iCs/>
              </w:rPr>
              <w:t>T</w:t>
            </w:r>
            <w:proofErr w:type="spellStart"/>
            <w:r w:rsidRPr="00351B97">
              <w:rPr>
                <w:rFonts w:cstheme="minorHAnsi"/>
                <w:i/>
                <w:iCs/>
                <w:lang w:val="en"/>
              </w:rPr>
              <w:t>richomonas</w:t>
            </w:r>
            <w:proofErr w:type="spellEnd"/>
            <w:r w:rsidRPr="00351B97">
              <w:rPr>
                <w:rFonts w:cstheme="minorHAnsi"/>
                <w:b/>
                <w:bCs/>
                <w:i/>
                <w:iCs/>
                <w:lang w:val="en"/>
              </w:rPr>
              <w:t xml:space="preserve"> </w:t>
            </w:r>
            <w:r w:rsidRPr="00351B97">
              <w:rPr>
                <w:rFonts w:cstheme="minorHAnsi"/>
                <w:i/>
                <w:iCs/>
                <w:lang w:val="en"/>
              </w:rPr>
              <w:t>vaginalis</w:t>
            </w:r>
            <w:r w:rsidRPr="00351B97">
              <w:rPr>
                <w:rFonts w:cstheme="minorHAnsi"/>
                <w:lang w:val="en"/>
              </w:rPr>
              <w:t xml:space="preserve">) </w:t>
            </w:r>
            <w:r w:rsidRPr="00351B97">
              <w:rPr>
                <w:rFonts w:eastAsia="Calibri" w:cs="Times New Roman"/>
              </w:rPr>
              <w:t xml:space="preserve">for the point-of-care tests </w:t>
            </w:r>
            <w:r>
              <w:rPr>
                <w:rFonts w:eastAsia="Calibri" w:cs="Times New Roman"/>
              </w:rPr>
              <w:t>are</w:t>
            </w:r>
            <w:r w:rsidRPr="00351B97">
              <w:rPr>
                <w:rFonts w:eastAsia="Calibri" w:cs="Times New Roman"/>
              </w:rPr>
              <w:t xml:space="preserve"> high relative to MBS fees for </w:t>
            </w:r>
            <w:r w:rsidR="00F300F3">
              <w:rPr>
                <w:rFonts w:eastAsia="Calibri" w:cs="Times New Roman"/>
              </w:rPr>
              <w:t>standard</w:t>
            </w:r>
            <w:r w:rsidR="00F300F3" w:rsidRPr="00351B97">
              <w:rPr>
                <w:rFonts w:eastAsia="Calibri" w:cs="Times New Roman"/>
              </w:rPr>
              <w:t xml:space="preserve"> </w:t>
            </w:r>
            <w:r w:rsidRPr="00351B97">
              <w:rPr>
                <w:rFonts w:eastAsia="Calibri" w:cs="Times New Roman"/>
              </w:rPr>
              <w:t xml:space="preserve">laboratory testing and other point-of-care tests. </w:t>
            </w:r>
          </w:p>
          <w:p w14:paraId="556B67D6" w14:textId="77777777" w:rsidR="00AF3A51" w:rsidRDefault="00AF3A51" w:rsidP="009F74CA">
            <w:pPr>
              <w:rPr>
                <w:rFonts w:eastAsia="Calibri" w:cs="Times New Roman"/>
                <w:b/>
              </w:rPr>
            </w:pPr>
            <w:r w:rsidRPr="009A4697">
              <w:rPr>
                <w:rFonts w:eastAsia="Calibri" w:cs="Times New Roman"/>
                <w:b/>
              </w:rPr>
              <w:t>Clinical</w:t>
            </w:r>
            <w:r>
              <w:rPr>
                <w:rFonts w:eastAsia="Calibri" w:cs="Times New Roman"/>
                <w:b/>
              </w:rPr>
              <w:t xml:space="preserve"> </w:t>
            </w:r>
            <w:r w:rsidRPr="009A4697">
              <w:rPr>
                <w:rFonts w:eastAsia="Calibri" w:cs="Times New Roman"/>
                <w:b/>
              </w:rPr>
              <w:t>issues:</w:t>
            </w:r>
          </w:p>
          <w:p w14:paraId="147B6040" w14:textId="22B59FC5" w:rsidR="00AF3A51" w:rsidRPr="00351B97" w:rsidRDefault="00AF3A51" w:rsidP="009F74CA">
            <w:pPr>
              <w:pStyle w:val="ListParagraph"/>
              <w:numPr>
                <w:ilvl w:val="0"/>
                <w:numId w:val="28"/>
              </w:numPr>
              <w:rPr>
                <w:rFonts w:eastAsia="Calibri" w:cs="Times New Roman"/>
                <w:bCs/>
              </w:rPr>
            </w:pPr>
            <w:r w:rsidRPr="00351B97">
              <w:rPr>
                <w:rFonts w:eastAsia="Calibri" w:cs="Times New Roman"/>
                <w:bCs/>
              </w:rPr>
              <w:t xml:space="preserve">The specificity and sensitivity of the point-of-care tests compared with standard laboratory testing had been previously accepted by the MSAC Executive and ESC considered that this was appropriate.  ESC noted that the claim of non-inferior effectiveness was supported, and that point-of-care tests are likely to be superior to standard laboratory testing. </w:t>
            </w:r>
          </w:p>
          <w:p w14:paraId="5C28331E" w14:textId="639FB2D3" w:rsidR="00AF3A51" w:rsidRPr="00351B97" w:rsidRDefault="00AF3A51" w:rsidP="009F74CA">
            <w:pPr>
              <w:pStyle w:val="ListParagraph"/>
              <w:numPr>
                <w:ilvl w:val="0"/>
                <w:numId w:val="28"/>
              </w:numPr>
              <w:rPr>
                <w:rFonts w:eastAsia="Calibri" w:cs="Times New Roman"/>
                <w:bCs/>
              </w:rPr>
            </w:pPr>
            <w:r w:rsidRPr="00351B97">
              <w:rPr>
                <w:rFonts w:eastAsia="Calibri" w:cs="Times New Roman"/>
                <w:bCs/>
              </w:rPr>
              <w:t xml:space="preserve">The clinical data suggested that there was a reduced time to test results with point-of-care tests compared with standard laboratory tests. </w:t>
            </w:r>
          </w:p>
          <w:p w14:paraId="0D3DE4C3" w14:textId="77777777" w:rsidR="00AF3A51" w:rsidRPr="00351B97" w:rsidRDefault="00AF3A51" w:rsidP="009F74CA">
            <w:pPr>
              <w:pStyle w:val="ListParagraph"/>
              <w:numPr>
                <w:ilvl w:val="0"/>
                <w:numId w:val="28"/>
              </w:numPr>
              <w:rPr>
                <w:rFonts w:eastAsia="Calibri" w:cs="Times New Roman"/>
                <w:bCs/>
              </w:rPr>
            </w:pPr>
            <w:r w:rsidRPr="00351B97">
              <w:rPr>
                <w:rFonts w:eastAsia="Calibri" w:cs="Times New Roman"/>
                <w:bCs/>
              </w:rPr>
              <w:t xml:space="preserve">There was limited evidence regarding improvements in health outcomes; the main trials were not powered or </w:t>
            </w:r>
            <w:r>
              <w:rPr>
                <w:rFonts w:eastAsia="Calibri" w:cs="Times New Roman"/>
                <w:bCs/>
              </w:rPr>
              <w:t xml:space="preserve">of </w:t>
            </w:r>
            <w:r w:rsidRPr="00351B97">
              <w:rPr>
                <w:rFonts w:eastAsia="Calibri" w:cs="Times New Roman"/>
                <w:bCs/>
              </w:rPr>
              <w:t>long enough</w:t>
            </w:r>
            <w:r>
              <w:rPr>
                <w:rFonts w:eastAsia="Calibri" w:cs="Times New Roman"/>
                <w:bCs/>
              </w:rPr>
              <w:t xml:space="preserve"> duration</w:t>
            </w:r>
            <w:r w:rsidRPr="00351B97">
              <w:rPr>
                <w:rFonts w:eastAsia="Calibri" w:cs="Times New Roman"/>
                <w:bCs/>
              </w:rPr>
              <w:t xml:space="preserve"> to detect changes in longer term outcomes (such as maternal outcomes and downstream sequalae). </w:t>
            </w:r>
          </w:p>
          <w:p w14:paraId="1A7DBEAB" w14:textId="77777777" w:rsidR="00AF3A51" w:rsidRDefault="00AF3A51" w:rsidP="009F74CA">
            <w:pPr>
              <w:spacing w:after="120"/>
              <w:rPr>
                <w:rFonts w:eastAsia="Calibri" w:cs="Times New Roman"/>
                <w:b/>
                <w:bCs/>
              </w:rPr>
            </w:pPr>
            <w:r w:rsidRPr="003523B6">
              <w:rPr>
                <w:rFonts w:eastAsia="Calibri" w:cs="Times New Roman"/>
                <w:b/>
                <w:bCs/>
              </w:rPr>
              <w:t>Safety:</w:t>
            </w:r>
          </w:p>
          <w:p w14:paraId="650877F1" w14:textId="06397005" w:rsidR="00AF3A51" w:rsidRPr="00351B97" w:rsidRDefault="00AF3A51" w:rsidP="009F74CA">
            <w:pPr>
              <w:pStyle w:val="ListParagraph"/>
              <w:numPr>
                <w:ilvl w:val="0"/>
                <w:numId w:val="28"/>
              </w:numPr>
              <w:spacing w:after="120"/>
              <w:rPr>
                <w:rFonts w:eastAsia="Calibri" w:cs="Times New Roman"/>
              </w:rPr>
            </w:pPr>
            <w:r w:rsidRPr="00351B97">
              <w:rPr>
                <w:rFonts w:eastAsia="Calibri" w:cs="Times New Roman"/>
              </w:rPr>
              <w:t xml:space="preserve">ESC considered that the point-of-care tests had non-inferior safety compared to standard laboratory testing and no safety concerns were identified. </w:t>
            </w:r>
          </w:p>
          <w:p w14:paraId="10EE3FE1" w14:textId="77777777" w:rsidR="00AF3A51" w:rsidRDefault="00AF3A51" w:rsidP="009F74CA">
            <w:pPr>
              <w:spacing w:after="120"/>
              <w:rPr>
                <w:rFonts w:eastAsia="Calibri" w:cs="Times New Roman"/>
                <w:b/>
              </w:rPr>
            </w:pPr>
            <w:r w:rsidRPr="009A4697">
              <w:rPr>
                <w:rFonts w:eastAsia="Calibri" w:cs="Times New Roman"/>
                <w:b/>
              </w:rPr>
              <w:t>Economic issues:</w:t>
            </w:r>
          </w:p>
          <w:p w14:paraId="1F1560B9" w14:textId="77777777" w:rsidR="00AF3A51" w:rsidRDefault="00AF3A51" w:rsidP="009F74CA">
            <w:pPr>
              <w:pStyle w:val="ListParagraph"/>
              <w:numPr>
                <w:ilvl w:val="0"/>
                <w:numId w:val="28"/>
              </w:numPr>
              <w:spacing w:after="120"/>
              <w:rPr>
                <w:rFonts w:eastAsia="Calibri" w:cs="Times New Roman"/>
                <w:bCs/>
              </w:rPr>
            </w:pPr>
            <w:r w:rsidRPr="00351B97">
              <w:rPr>
                <w:rFonts w:eastAsia="Calibri" w:cs="Times New Roman"/>
                <w:bCs/>
              </w:rPr>
              <w:t xml:space="preserve">The economic model developed by the applicant was overly complex and had errors that made interpretation of the results challenging. The model was based on the reduced times </w:t>
            </w:r>
            <w:r w:rsidRPr="00351B97">
              <w:rPr>
                <w:rFonts w:eastAsia="Calibri" w:cs="Times New Roman"/>
                <w:bCs/>
              </w:rPr>
              <w:lastRenderedPageBreak/>
              <w:t xml:space="preserve">to treatment observed in the clinical data and these were then extrapolated to longer-term health outcomes. </w:t>
            </w:r>
          </w:p>
          <w:p w14:paraId="122C65B6" w14:textId="1D221F93" w:rsidR="00AF3A51" w:rsidRPr="00351B97" w:rsidRDefault="00AF3A51" w:rsidP="009F74CA">
            <w:pPr>
              <w:pStyle w:val="ListParagraph"/>
              <w:numPr>
                <w:ilvl w:val="0"/>
                <w:numId w:val="28"/>
              </w:numPr>
              <w:spacing w:after="120"/>
              <w:rPr>
                <w:rFonts w:eastAsia="Calibri" w:cs="Times New Roman"/>
                <w:bCs/>
              </w:rPr>
            </w:pPr>
            <w:r>
              <w:rPr>
                <w:rFonts w:eastAsia="Calibri" w:cs="Times New Roman"/>
                <w:bCs/>
              </w:rPr>
              <w:t xml:space="preserve">The commentary conducted one-way and multivariate sensitivity analyses that showed that the ICER was highly sensitive to variations in </w:t>
            </w:r>
            <w:proofErr w:type="gramStart"/>
            <w:r>
              <w:rPr>
                <w:rFonts w:eastAsia="Calibri" w:cs="Times New Roman"/>
                <w:bCs/>
              </w:rPr>
              <w:t>a number of</w:t>
            </w:r>
            <w:proofErr w:type="gramEnd"/>
            <w:r>
              <w:rPr>
                <w:rFonts w:eastAsia="Calibri" w:cs="Times New Roman"/>
                <w:bCs/>
              </w:rPr>
              <w:t xml:space="preserve"> assumptions underlying the model. The commentary base case ICER of $20,453 increased to $161,085 per QALY gained in a multivariate sensitivity analysis</w:t>
            </w:r>
            <w:r w:rsidR="00F66609">
              <w:rPr>
                <w:rFonts w:eastAsia="Calibri" w:cs="Times New Roman"/>
                <w:bCs/>
              </w:rPr>
              <w:t xml:space="preserve"> (see Table 15)</w:t>
            </w:r>
            <w:r>
              <w:rPr>
                <w:rFonts w:eastAsia="Calibri" w:cs="Times New Roman"/>
                <w:bCs/>
              </w:rPr>
              <w:t xml:space="preserve">. </w:t>
            </w:r>
            <w:r w:rsidRPr="00351B97">
              <w:rPr>
                <w:rFonts w:eastAsia="Calibri" w:cs="Times New Roman"/>
                <w:bCs/>
              </w:rPr>
              <w:t>The applicant</w:t>
            </w:r>
            <w:r>
              <w:rPr>
                <w:rFonts w:eastAsia="Calibri" w:cs="Times New Roman"/>
                <w:bCs/>
              </w:rPr>
              <w:t>’s</w:t>
            </w:r>
            <w:r w:rsidRPr="00351B97">
              <w:rPr>
                <w:rFonts w:eastAsia="Calibri" w:cs="Times New Roman"/>
                <w:bCs/>
              </w:rPr>
              <w:t xml:space="preserve"> pre-ESC response presented an updated ICER of $37,185 per QALY gained that corrected for some of the errors identified in the commentary evaluation. No updated sensitivity analyses were provided by the applicant. </w:t>
            </w:r>
          </w:p>
          <w:p w14:paraId="4C46BC0D" w14:textId="77777777" w:rsidR="00AF3A51" w:rsidRPr="00351B97" w:rsidRDefault="00AF3A51" w:rsidP="009F74CA">
            <w:pPr>
              <w:pStyle w:val="ListParagraph"/>
              <w:numPr>
                <w:ilvl w:val="0"/>
                <w:numId w:val="28"/>
              </w:numPr>
              <w:spacing w:after="120"/>
              <w:rPr>
                <w:rFonts w:eastAsia="Calibri" w:cs="Times New Roman"/>
                <w:bCs/>
              </w:rPr>
            </w:pPr>
            <w:r w:rsidRPr="0064069D">
              <w:rPr>
                <w:rFonts w:eastAsia="Calibri" w:cs="Times New Roman"/>
                <w:bCs/>
              </w:rPr>
              <w:t xml:space="preserve">Given the significant impact of input changes on the ICER in the commentary evaluation sensitivity analyses, ESC requested the applicant conduct updated sensitivity analyses to demonstrate how robust the new ICER is to changes in the model inputs. Alongside updating the sensitivity analyses around key parameters as identified in the commentary, ESC considered that additional sensitivity analyses to explore the impact of changes to the range of utility values and a reduced time horizon (10 years to 5 years) would also be informative. </w:t>
            </w:r>
            <w:r w:rsidRPr="00724080">
              <w:rPr>
                <w:rFonts w:eastAsia="Calibri" w:cs="Times New Roman"/>
              </w:rPr>
              <w:t xml:space="preserve">ESC considered </w:t>
            </w:r>
            <w:r>
              <w:rPr>
                <w:rFonts w:eastAsia="Calibri" w:cs="Times New Roman"/>
              </w:rPr>
              <w:t xml:space="preserve">it would still be beneficial to show MSAC two scenario analyses that demonstrated the impact of including indirect costs on the economic estimates. </w:t>
            </w:r>
          </w:p>
          <w:p w14:paraId="50A91CC2" w14:textId="77777777" w:rsidR="00AF3A51" w:rsidRDefault="00AF3A51" w:rsidP="009F74CA">
            <w:pPr>
              <w:keepNext/>
              <w:rPr>
                <w:rFonts w:eastAsia="Calibri" w:cs="Times New Roman"/>
                <w:b/>
              </w:rPr>
            </w:pPr>
            <w:r w:rsidRPr="009A4697">
              <w:rPr>
                <w:rFonts w:eastAsia="Calibri" w:cs="Times New Roman"/>
                <w:b/>
              </w:rPr>
              <w:t>Financial issues:</w:t>
            </w:r>
          </w:p>
          <w:p w14:paraId="02C116BF" w14:textId="77777777" w:rsidR="00AF3A51" w:rsidRPr="00351B97" w:rsidRDefault="00AF3A51" w:rsidP="009F74CA">
            <w:pPr>
              <w:pStyle w:val="ListParagraph"/>
              <w:numPr>
                <w:ilvl w:val="0"/>
                <w:numId w:val="28"/>
              </w:numPr>
              <w:spacing w:after="120"/>
              <w:rPr>
                <w:rFonts w:eastAsia="Calibri" w:cs="Times New Roman"/>
                <w:bCs/>
              </w:rPr>
            </w:pPr>
            <w:r w:rsidRPr="00351B97">
              <w:rPr>
                <w:rFonts w:eastAsia="Calibri" w:cs="Times New Roman"/>
                <w:bCs/>
              </w:rPr>
              <w:t>The assumptions underpinning the financial estimates were unclear and ESC requested improved transparency to understand the assumptions informing the financial estimates.</w:t>
            </w:r>
          </w:p>
          <w:p w14:paraId="44924FD0" w14:textId="77777777" w:rsidR="00AF3A51" w:rsidRDefault="00AF3A51" w:rsidP="009F74CA">
            <w:pPr>
              <w:pStyle w:val="ListParagraph"/>
              <w:keepNext/>
              <w:numPr>
                <w:ilvl w:val="0"/>
                <w:numId w:val="28"/>
              </w:numPr>
              <w:rPr>
                <w:rFonts w:eastAsia="Calibri" w:cs="Times New Roman"/>
                <w:bCs/>
              </w:rPr>
            </w:pPr>
            <w:r w:rsidRPr="00351B97">
              <w:rPr>
                <w:rFonts w:eastAsia="Calibri" w:cs="Times New Roman"/>
                <w:bCs/>
              </w:rPr>
              <w:t xml:space="preserve">ESC requested that the financial estimates be updated to account for the corrected parameter inputs provided with the applicant’s pre-ESC response. Updated sensitivity analyses of the financial estimates should also be presented in line with the relevant input changes in the updated economic sensitivity analyses. </w:t>
            </w:r>
          </w:p>
          <w:p w14:paraId="3C0CC1C5" w14:textId="77777777" w:rsidR="00AF3A51" w:rsidRPr="009A4697" w:rsidRDefault="00AF3A51" w:rsidP="009F74CA">
            <w:pPr>
              <w:spacing w:after="120"/>
              <w:rPr>
                <w:rFonts w:eastAsia="Calibri" w:cs="Times New Roman"/>
                <w:b/>
                <w:bCs/>
              </w:rPr>
            </w:pPr>
            <w:r w:rsidRPr="009A4697">
              <w:rPr>
                <w:rFonts w:eastAsia="Calibri" w:cs="Times New Roman"/>
                <w:b/>
                <w:bCs/>
              </w:rPr>
              <w:t>Other relevant information:</w:t>
            </w:r>
          </w:p>
          <w:p w14:paraId="50727FED" w14:textId="4C59E01C" w:rsidR="00AF3A51" w:rsidRDefault="00AF3A51" w:rsidP="009F74CA">
            <w:pPr>
              <w:pStyle w:val="ListParagraph"/>
              <w:numPr>
                <w:ilvl w:val="0"/>
                <w:numId w:val="28"/>
              </w:numPr>
              <w:spacing w:before="0"/>
              <w:rPr>
                <w:rFonts w:eastAsia="Calibri" w:cs="Times New Roman"/>
                <w:bCs/>
              </w:rPr>
            </w:pPr>
            <w:r w:rsidRPr="008A1078">
              <w:rPr>
                <w:rFonts w:eastAsia="Calibri" w:cs="Times New Roman"/>
                <w:bCs/>
              </w:rPr>
              <w:t xml:space="preserve">ESC considered that there could be additional benefits of cultural importance associated with point-of-care testing (such as greater ownership of samples and the testing process, which in turn could lead to increased self-management). However, these aspects were not fully explored </w:t>
            </w:r>
            <w:r w:rsidR="00000C88">
              <w:rPr>
                <w:rFonts w:eastAsia="Calibri" w:cs="Times New Roman"/>
                <w:b/>
              </w:rPr>
              <w:t>redacted</w:t>
            </w:r>
            <w:r w:rsidRPr="009139E9">
              <w:rPr>
                <w:rFonts w:eastAsia="Calibri" w:cs="Times New Roman"/>
                <w:bCs/>
              </w:rPr>
              <w:t>.</w:t>
            </w:r>
            <w:r w:rsidRPr="008A1078">
              <w:rPr>
                <w:rFonts w:eastAsia="Calibri" w:cs="Times New Roman"/>
                <w:bCs/>
              </w:rPr>
              <w:t xml:space="preserve"> ESC considered </w:t>
            </w:r>
            <w:r w:rsidRPr="00CF1850">
              <w:rPr>
                <w:rFonts w:eastAsia="Calibri" w:cs="Times New Roman"/>
                <w:bCs/>
              </w:rPr>
              <w:t>that more information regarding these aspects would be useful.</w:t>
            </w:r>
          </w:p>
          <w:p w14:paraId="53A28D60" w14:textId="77777777" w:rsidR="00AF3A51" w:rsidRDefault="00AF3A51" w:rsidP="009F74CA">
            <w:pPr>
              <w:pStyle w:val="ListParagraph"/>
              <w:numPr>
                <w:ilvl w:val="0"/>
                <w:numId w:val="28"/>
              </w:numPr>
              <w:spacing w:before="0"/>
              <w:rPr>
                <w:rFonts w:eastAsia="Calibri" w:cs="Times New Roman"/>
                <w:bCs/>
              </w:rPr>
            </w:pPr>
            <w:r w:rsidRPr="00CF1850">
              <w:rPr>
                <w:rFonts w:eastAsia="Calibri" w:cs="Times New Roman"/>
                <w:bCs/>
              </w:rPr>
              <w:t xml:space="preserve">ESC noted that more than 95% of health services who were involved in the key Australian study stated that they would continue their involvement. </w:t>
            </w:r>
          </w:p>
          <w:p w14:paraId="1E167365" w14:textId="77777777" w:rsidR="00AF3A51" w:rsidRPr="00CF1850" w:rsidRDefault="00AF3A51" w:rsidP="009F74CA">
            <w:pPr>
              <w:pStyle w:val="ListParagraph"/>
              <w:spacing w:before="0"/>
              <w:ind w:left="360"/>
              <w:rPr>
                <w:rFonts w:eastAsia="Calibri" w:cs="Times New Roman"/>
                <w:bCs/>
              </w:rPr>
            </w:pPr>
          </w:p>
        </w:tc>
      </w:tr>
    </w:tbl>
    <w:bookmarkEnd w:id="57"/>
    <w:p w14:paraId="166141F3" w14:textId="77777777" w:rsidR="00AF3A51" w:rsidRDefault="00AF3A51" w:rsidP="008A2C9F">
      <w:pPr>
        <w:spacing w:before="240"/>
        <w:rPr>
          <w:rStyle w:val="Strong"/>
        </w:rPr>
      </w:pPr>
      <w:r w:rsidRPr="00194327">
        <w:rPr>
          <w:rStyle w:val="Strong"/>
        </w:rPr>
        <w:lastRenderedPageBreak/>
        <w:t>ESC discussion</w:t>
      </w:r>
    </w:p>
    <w:p w14:paraId="2C2BC9E4" w14:textId="77777777" w:rsidR="00AF3A51" w:rsidRDefault="00AF3A51" w:rsidP="00AF3A51">
      <w:pPr>
        <w:spacing w:after="240"/>
        <w:rPr>
          <w:rFonts w:eastAsia="Calibri" w:cs="Times New Roman"/>
          <w:iCs/>
        </w:rPr>
      </w:pPr>
      <w:r w:rsidRPr="009A4697">
        <w:rPr>
          <w:rFonts w:eastAsia="Calibri" w:cs="Times New Roman"/>
          <w:iCs/>
        </w:rPr>
        <w:t xml:space="preserve">ESC noted that the application was for Medicare Benefits Schedule (MBS) listing of </w:t>
      </w:r>
      <w:r>
        <w:rPr>
          <w:rFonts w:eastAsia="Calibri" w:cs="Times New Roman"/>
          <w:iCs/>
        </w:rPr>
        <w:t xml:space="preserve">point-of-care (POC) testing for sexually transmitted infections provided by Aboriginal Medical Services or Aboriginal Community Controlled Health Services in rural or remote areas. </w:t>
      </w:r>
    </w:p>
    <w:p w14:paraId="26ECF5AA" w14:textId="7CF943AA" w:rsidR="00AF3A51" w:rsidRDefault="00AF3A51" w:rsidP="00AF3A51">
      <w:pPr>
        <w:spacing w:after="240"/>
        <w:rPr>
          <w:rFonts w:cstheme="minorHAnsi"/>
          <w:color w:val="000000"/>
          <w:shd w:val="clear" w:color="auto" w:fill="FFFFFF"/>
        </w:rPr>
      </w:pPr>
      <w:r>
        <w:rPr>
          <w:rFonts w:eastAsia="Calibri" w:cs="Times New Roman"/>
          <w:iCs/>
        </w:rPr>
        <w:t xml:space="preserve">ESC noted that there were two POC tests under consideration. One was a dual cartridge test for </w:t>
      </w:r>
      <w:r w:rsidRPr="006319F1">
        <w:rPr>
          <w:rFonts w:cstheme="minorHAnsi"/>
          <w:i/>
          <w:iCs/>
        </w:rPr>
        <w:t>Chlamydia</w:t>
      </w:r>
      <w:r w:rsidRPr="006319F1">
        <w:rPr>
          <w:rFonts w:cstheme="minorHAnsi"/>
        </w:rPr>
        <w:t xml:space="preserve"> </w:t>
      </w:r>
      <w:r w:rsidRPr="006319F1">
        <w:rPr>
          <w:rFonts w:cstheme="minorHAnsi"/>
          <w:i/>
          <w:iCs/>
        </w:rPr>
        <w:t xml:space="preserve">trachomatis </w:t>
      </w:r>
      <w:r w:rsidRPr="006319F1">
        <w:rPr>
          <w:rFonts w:cstheme="minorHAnsi"/>
        </w:rPr>
        <w:t>(CT)</w:t>
      </w:r>
      <w:r>
        <w:rPr>
          <w:rFonts w:cstheme="minorHAnsi"/>
        </w:rPr>
        <w:t xml:space="preserve"> and</w:t>
      </w:r>
      <w:r w:rsidRPr="006319F1">
        <w:rPr>
          <w:rFonts w:cstheme="minorHAnsi"/>
        </w:rPr>
        <w:t xml:space="preserve"> </w:t>
      </w:r>
      <w:r w:rsidRPr="006319F1">
        <w:rPr>
          <w:rFonts w:cstheme="minorHAnsi"/>
          <w:i/>
          <w:iCs/>
        </w:rPr>
        <w:t>Neisseria gonorrhoeae</w:t>
      </w:r>
      <w:r w:rsidRPr="006319F1">
        <w:rPr>
          <w:rFonts w:cstheme="minorHAnsi"/>
        </w:rPr>
        <w:t xml:space="preserve"> (NG</w:t>
      </w:r>
      <w:proofErr w:type="gramStart"/>
      <w:r>
        <w:rPr>
          <w:rFonts w:cstheme="minorHAnsi"/>
        </w:rPr>
        <w:t>)</w:t>
      </w:r>
      <w:proofErr w:type="gramEnd"/>
      <w:r>
        <w:rPr>
          <w:rFonts w:cstheme="minorHAnsi"/>
        </w:rPr>
        <w:t xml:space="preserve"> and the other was a single cartridge test for </w:t>
      </w:r>
      <w:r w:rsidRPr="00DA7E4B">
        <w:rPr>
          <w:rFonts w:cstheme="minorHAnsi"/>
          <w:i/>
          <w:iCs/>
        </w:rPr>
        <w:t>T</w:t>
      </w:r>
      <w:proofErr w:type="spellStart"/>
      <w:r w:rsidRPr="006319F1">
        <w:rPr>
          <w:rFonts w:cstheme="minorHAnsi"/>
          <w:i/>
          <w:iCs/>
          <w:lang w:val="en"/>
        </w:rPr>
        <w:t>richomonas</w:t>
      </w:r>
      <w:proofErr w:type="spellEnd"/>
      <w:r w:rsidRPr="006319F1">
        <w:rPr>
          <w:rFonts w:cstheme="minorHAnsi"/>
          <w:b/>
          <w:bCs/>
          <w:i/>
          <w:iCs/>
          <w:lang w:val="en"/>
        </w:rPr>
        <w:t xml:space="preserve"> </w:t>
      </w:r>
      <w:r w:rsidRPr="006319F1">
        <w:rPr>
          <w:rFonts w:cstheme="minorHAnsi"/>
          <w:i/>
          <w:iCs/>
          <w:lang w:val="en"/>
        </w:rPr>
        <w:t>vaginalis</w:t>
      </w:r>
      <w:r w:rsidRPr="006319F1">
        <w:rPr>
          <w:rFonts w:cstheme="minorHAnsi"/>
          <w:lang w:val="en"/>
        </w:rPr>
        <w:t xml:space="preserve"> (TV)</w:t>
      </w:r>
      <w:r>
        <w:rPr>
          <w:rFonts w:cstheme="minorHAnsi"/>
          <w:lang w:val="en"/>
        </w:rPr>
        <w:t xml:space="preserve">. </w:t>
      </w:r>
      <w:r w:rsidRPr="0054796D">
        <w:rPr>
          <w:rFonts w:cstheme="minorHAnsi"/>
          <w:bCs/>
        </w:rPr>
        <w:t>Both tests</w:t>
      </w:r>
      <w:r>
        <w:rPr>
          <w:rFonts w:cstheme="minorHAnsi"/>
          <w:bCs/>
        </w:rPr>
        <w:t xml:space="preserve"> have been included on the Australian Register of Therapeutic Goods. </w:t>
      </w:r>
    </w:p>
    <w:p w14:paraId="6B993952" w14:textId="1C08F637" w:rsidR="00AF3A51" w:rsidRDefault="00AF3A51" w:rsidP="00AF3A51">
      <w:pPr>
        <w:spacing w:before="0" w:after="0" w:line="240" w:lineRule="auto"/>
      </w:pPr>
      <w:r>
        <w:t xml:space="preserve">ESC noted that these POC tests had been previously considered by the MSAC Executive. </w:t>
      </w:r>
      <w:r w:rsidRPr="007872E7">
        <w:rPr>
          <w:lang w:val="en-US"/>
        </w:rPr>
        <w:t>The MSAC Executive noted that the evidence provided indicate</w:t>
      </w:r>
      <w:r>
        <w:rPr>
          <w:lang w:val="en-US"/>
        </w:rPr>
        <w:t>d</w:t>
      </w:r>
      <w:r w:rsidRPr="007872E7">
        <w:rPr>
          <w:lang w:val="en-US"/>
        </w:rPr>
        <w:t xml:space="preserve"> that the sensitivity and specificity are comparable to </w:t>
      </w:r>
      <w:r w:rsidR="00F300F3">
        <w:rPr>
          <w:lang w:val="en-US"/>
        </w:rPr>
        <w:t xml:space="preserve">standard </w:t>
      </w:r>
      <w:r w:rsidRPr="007872E7">
        <w:rPr>
          <w:lang w:val="en-US"/>
        </w:rPr>
        <w:t xml:space="preserve">laboratory testing. The MSAC Executive considered that the evidence provided was sufficient to confirm the validity of using </w:t>
      </w:r>
      <w:r>
        <w:rPr>
          <w:lang w:val="en-US"/>
        </w:rPr>
        <w:t>POC testing</w:t>
      </w:r>
      <w:r w:rsidRPr="007872E7">
        <w:rPr>
          <w:lang w:val="en-US"/>
        </w:rPr>
        <w:t xml:space="preserve"> as a diagnostic test for NG/CT and TV</w:t>
      </w:r>
      <w:r>
        <w:rPr>
          <w:lang w:val="en-US"/>
        </w:rPr>
        <w:t xml:space="preserve">. </w:t>
      </w:r>
      <w:r w:rsidRPr="007872E7">
        <w:rPr>
          <w:lang w:val="en-US"/>
        </w:rPr>
        <w:t xml:space="preserve">The MSAC Executive considered that if the </w:t>
      </w:r>
      <w:r w:rsidR="008E72D6">
        <w:rPr>
          <w:lang w:val="en-US"/>
        </w:rPr>
        <w:t>a</w:t>
      </w:r>
      <w:r w:rsidRPr="007872E7">
        <w:rPr>
          <w:lang w:val="en-US"/>
        </w:rPr>
        <w:t>pplicant wished to pursue a</w:t>
      </w:r>
      <w:r>
        <w:rPr>
          <w:lang w:val="en-US"/>
        </w:rPr>
        <w:t xml:space="preserve">n MBS fee </w:t>
      </w:r>
      <w:r w:rsidRPr="007872E7">
        <w:rPr>
          <w:lang w:val="en-US"/>
        </w:rPr>
        <w:t xml:space="preserve">that is higher than the existing MBS laboratory testing fees, </w:t>
      </w:r>
      <w:r>
        <w:rPr>
          <w:lang w:val="en-US"/>
        </w:rPr>
        <w:t xml:space="preserve">the </w:t>
      </w:r>
      <w:r w:rsidR="008E72D6">
        <w:rPr>
          <w:lang w:val="en-US"/>
        </w:rPr>
        <w:t>a</w:t>
      </w:r>
      <w:r>
        <w:rPr>
          <w:lang w:val="en-US"/>
        </w:rPr>
        <w:t>pplicant</w:t>
      </w:r>
      <w:r w:rsidRPr="007872E7">
        <w:rPr>
          <w:lang w:val="en-US"/>
        </w:rPr>
        <w:t xml:space="preserve"> would need to provide </w:t>
      </w:r>
      <w:r w:rsidRPr="007872E7">
        <w:rPr>
          <w:lang w:val="en-US"/>
        </w:rPr>
        <w:lastRenderedPageBreak/>
        <w:t>evidence that P</w:t>
      </w:r>
      <w:r>
        <w:rPr>
          <w:lang w:val="en-US"/>
        </w:rPr>
        <w:t>O</w:t>
      </w:r>
      <w:r w:rsidRPr="007872E7">
        <w:rPr>
          <w:lang w:val="en-US"/>
        </w:rPr>
        <w:t>C</w:t>
      </w:r>
      <w:r>
        <w:rPr>
          <w:lang w:val="en-US"/>
        </w:rPr>
        <w:t xml:space="preserve"> testing</w:t>
      </w:r>
      <w:r w:rsidRPr="007872E7">
        <w:rPr>
          <w:lang w:val="en-US"/>
        </w:rPr>
        <w:t xml:space="preserve"> results in better health outcomes than </w:t>
      </w:r>
      <w:r w:rsidR="00F300F3">
        <w:rPr>
          <w:lang w:val="en-US"/>
        </w:rPr>
        <w:t xml:space="preserve">standard </w:t>
      </w:r>
      <w:r w:rsidRPr="007872E7">
        <w:rPr>
          <w:lang w:val="en-US"/>
        </w:rPr>
        <w:t>laboratory testing, and this evidence would need to be supported with an appropriate economic analysis</w:t>
      </w:r>
      <w:r>
        <w:t>.  </w:t>
      </w:r>
    </w:p>
    <w:p w14:paraId="53B55DF3" w14:textId="3090F689" w:rsidR="00AF3A51" w:rsidRPr="00570454" w:rsidRDefault="00AF3A51" w:rsidP="00CA478F">
      <w:pPr>
        <w:pStyle w:val="PlainText"/>
        <w:spacing w:before="240"/>
        <w:rPr>
          <w:rFonts w:ascii="Franklin Gothic Book" w:hAnsi="Franklin Gothic Book"/>
        </w:rPr>
      </w:pPr>
      <w:r w:rsidRPr="00570454">
        <w:rPr>
          <w:rFonts w:ascii="Franklin Gothic Book" w:hAnsi="Franklin Gothic Book"/>
        </w:rPr>
        <w:t xml:space="preserve">ESC noted the consultation responses received. ESC considered that all feedback was generally very supportive of POC testing and that the sexually transmitted infections considered in the application are a significant public health issue in predominantly Aboriginal and Torres Strait Islander communities in rural and remote Australia. ESC noted that the statements highlighted that increased access to testing could help to close the gap and reduce health inequalities for Aboriginal and Torres Strait Islander people. ESC noted that the main disadvantage with the POC test was that the current timeframe of up to 90 minutes to wait for a result is potentially a long time for patients to wait for a result. However, ESC noted that the ability to trace patients after 90 minutes is greater than up to 14 days and that the waiting time would present an opportunity for sexual health education. ESC also noted that adequate quality control and training and support for providers was important. </w:t>
      </w:r>
      <w:r w:rsidRPr="00570454">
        <w:rPr>
          <w:rFonts w:ascii="Franklin Gothic Book" w:hAnsi="Franklin Gothic Book" w:cs="Segoe UI"/>
        </w:rPr>
        <w:t>H</w:t>
      </w:r>
      <w:r w:rsidRPr="00570454">
        <w:rPr>
          <w:rFonts w:ascii="Franklin Gothic Book" w:hAnsi="Franklin Gothic Book"/>
        </w:rPr>
        <w:t xml:space="preserve">owever, ESC raised concern about the </w:t>
      </w:r>
      <w:r>
        <w:rPr>
          <w:rFonts w:ascii="Franklin Gothic Book" w:hAnsi="Franklin Gothic Book"/>
        </w:rPr>
        <w:t xml:space="preserve">very limited </w:t>
      </w:r>
      <w:r w:rsidRPr="00570454">
        <w:rPr>
          <w:rFonts w:ascii="Franklin Gothic Book" w:hAnsi="Franklin Gothic Book"/>
        </w:rPr>
        <w:t xml:space="preserve">consultation with individual communities (particularly with patients and community members) undertaken during the pivotal Australian study. ESC considered that additional qualitative evidence from consultation would have been informative, particularly </w:t>
      </w:r>
      <w:proofErr w:type="gramStart"/>
      <w:r w:rsidRPr="00570454">
        <w:rPr>
          <w:rFonts w:ascii="Franklin Gothic Book" w:hAnsi="Franklin Gothic Book"/>
        </w:rPr>
        <w:t>in regards to</w:t>
      </w:r>
      <w:proofErr w:type="gramEnd"/>
      <w:r w:rsidRPr="00570454">
        <w:rPr>
          <w:rFonts w:ascii="Franklin Gothic Book" w:hAnsi="Franklin Gothic Book"/>
        </w:rPr>
        <w:t xml:space="preserve"> addressing potential implementation factors </w:t>
      </w:r>
      <w:r w:rsidR="00940AEF">
        <w:rPr>
          <w:rFonts w:ascii="Franklin Gothic Book" w:hAnsi="Franklin Gothic Book"/>
        </w:rPr>
        <w:t>(</w:t>
      </w:r>
      <w:r w:rsidRPr="00570454">
        <w:rPr>
          <w:rFonts w:ascii="Franklin Gothic Book" w:hAnsi="Franklin Gothic Book"/>
        </w:rPr>
        <w:t xml:space="preserve">such as culturally sensitive issues around education on STI issues) and the impact of POC testing on the local workforce and community. ESC noted that such issues could influence the uptake of POC testing in rural and remote Australia.  </w:t>
      </w:r>
    </w:p>
    <w:p w14:paraId="510967F2" w14:textId="77777777" w:rsidR="00AF3A51" w:rsidRDefault="00AF3A51" w:rsidP="00CA478F">
      <w:pPr>
        <w:spacing w:before="240" w:after="0" w:line="240" w:lineRule="auto"/>
        <w:rPr>
          <w:rFonts w:eastAsia="Calibri" w:cs="Times New Roman"/>
          <w:iCs/>
        </w:rPr>
      </w:pPr>
      <w:r>
        <w:t>ESC noted that the rates of sexually transmitted infections have been increasing in Aboriginal and Torres Strait Islander people in Australia and represent a significant public health issue in regional and remote communities with potentially serious downstream sequalae. ESC noted that current guidelines recommend opportunistic testing of all people aged 16-29 years old</w:t>
      </w:r>
      <w:r>
        <w:rPr>
          <w:rStyle w:val="FootnoteReference"/>
        </w:rPr>
        <w:footnoteReference w:id="22"/>
      </w:r>
      <w:r>
        <w:t xml:space="preserve">, or 15-35 years old (depending on jurisdiction) annually, as well as testing of all symptomatic patients on presentation to a health service. </w:t>
      </w:r>
      <w:r>
        <w:rPr>
          <w:rFonts w:eastAsia="Calibri" w:cs="Times New Roman"/>
          <w:iCs/>
        </w:rPr>
        <w:t xml:space="preserve">ESC noted that the MBS item descriptor in the application was not restricted by age. ESC considered that this was appropriate as there would be increased public health benefits in being age agnostic and not limiting the testing by age. ESC discussed whether the item descriptor should reference the guidelines but noted that the guidelines could change in the future, however ESC considered it could be useful to reference the guidelines in the explanatory note.  </w:t>
      </w:r>
    </w:p>
    <w:p w14:paraId="311821A6" w14:textId="77777777" w:rsidR="00AF3A51" w:rsidRPr="00A21786" w:rsidRDefault="00AF3A51" w:rsidP="00CA478F">
      <w:pPr>
        <w:spacing w:before="240" w:after="240"/>
        <w:rPr>
          <w:rFonts w:eastAsia="Calibri" w:cs="Times New Roman"/>
          <w:iCs/>
        </w:rPr>
      </w:pPr>
      <w:r>
        <w:rPr>
          <w:rFonts w:eastAsia="Calibri" w:cs="Times New Roman"/>
          <w:iCs/>
        </w:rPr>
        <w:t xml:space="preserve">ESC noted that the proposed MBS item descriptor was specific to people presenting to Aboriginal Medical Services or Aboriginal Community Controlled Health Services in rural and remote areas, irrespective of Aboriginal and Torres Strait Islander origin. ESC noted that the policy paper questioned whether the MBS item descriptor should be restricted to Aboriginal and Torres Strait Islander people. ESC considered that including Indigenous Status within the MBS item descriptor could be potentially discriminatory and that some people may not wish to disclose whether they are of Aboriginal and Torres Strait Islander origin. ESC noted that there is a high prevalence of sexually transmitted infections throughout rural and remote locations and that people living in these regions are underserved by current testing modalities irrespective of Aboriginal and Torres Strait Islander origin. </w:t>
      </w:r>
      <w:r>
        <w:t>ESC further considered that any expansion of POC testing beyond the rural and remote setting (</w:t>
      </w:r>
      <w:proofErr w:type="gramStart"/>
      <w:r>
        <w:t>i.e.</w:t>
      </w:r>
      <w:proofErr w:type="gramEnd"/>
      <w:r>
        <w:t xml:space="preserve"> to metropolitan or urban settings) and/or removal of this restriction in the MBS item descriptor would necessitate the development of a new economic model as the benefits of POC testing would be different in urban compared with rural and remote settings.</w:t>
      </w:r>
    </w:p>
    <w:p w14:paraId="05CFA610" w14:textId="77777777" w:rsidR="00AF3A51" w:rsidRDefault="00AF3A51" w:rsidP="00AF3A51">
      <w:pPr>
        <w:spacing w:after="240"/>
      </w:pPr>
      <w:r>
        <w:t xml:space="preserve">ESC noted that the applicant proposed separate fees for a POC test to detect CT/NG (item XXXX) and TV (item ZZZZ) and considered that this was appropriate. ESC also noted the proposed item descriptors (item YYYY) for testing of CT/NG following previous infection. ESC considered that this item descriptor appeared redundant as the aim of retesting appears to be to identify any new </w:t>
      </w:r>
      <w:r>
        <w:lastRenderedPageBreak/>
        <w:t xml:space="preserve">infection (not resolution of previous infection) and therefore it is not clinically relevant whether a test is a screening diagnostic test or a follow-up test. </w:t>
      </w:r>
    </w:p>
    <w:p w14:paraId="0A22759A" w14:textId="3A1576EF" w:rsidR="00AF3A51" w:rsidRDefault="00AF3A51" w:rsidP="00AF3A51">
      <w:pPr>
        <w:spacing w:after="240"/>
        <w:rPr>
          <w:rFonts w:eastAsia="Calibri" w:cs="Times New Roman"/>
          <w:iCs/>
        </w:rPr>
      </w:pPr>
      <w:r w:rsidRPr="009A4697">
        <w:rPr>
          <w:rFonts w:eastAsia="Calibri" w:cs="Times New Roman"/>
          <w:iCs/>
        </w:rPr>
        <w:t>ESC noted that the</w:t>
      </w:r>
      <w:r>
        <w:rPr>
          <w:rFonts w:eastAsia="Calibri" w:cs="Times New Roman"/>
          <w:iCs/>
        </w:rPr>
        <w:t xml:space="preserve"> proposed fee for the POC testing ($150 for CT/NG and $115 for TV) was significantly higher than the MBS fee for standard laboratory testing. The proposed fee for POC testing was also significantly higher than the current MBS fee for other POC tests (for example items 73812 and 73826 [$11.80] or 73839 [$16.80] for quantification of glycated haemoglobin, the latter fee reflecting a Quality Assurance in Aboriginal Medical Services [QAAMS] Program item). </w:t>
      </w:r>
    </w:p>
    <w:p w14:paraId="67065ADA" w14:textId="1B0C643B" w:rsidR="00AF3A51" w:rsidRDefault="00AF3A51" w:rsidP="00AF3A51">
      <w:pPr>
        <w:spacing w:after="240"/>
        <w:rPr>
          <w:rFonts w:eastAsia="Calibri" w:cs="Times New Roman"/>
          <w:iCs/>
        </w:rPr>
      </w:pPr>
      <w:r>
        <w:rPr>
          <w:rFonts w:eastAsia="Calibri" w:cs="Times New Roman"/>
          <w:iCs/>
        </w:rPr>
        <w:t xml:space="preserve">ESC noted the proposed fee was comprised primarily of operator time, consumables and training but excluded practitioner time and capital costs. ESC noted that the proposed item would be claimed in combination with a consultation item which is already subsidised. In addition, ESC noted that the capital equipment (the GeneXpert platform) has already been purchased at </w:t>
      </w:r>
      <w:proofErr w:type="gramStart"/>
      <w:r>
        <w:rPr>
          <w:rFonts w:eastAsia="Calibri" w:cs="Times New Roman"/>
          <w:iCs/>
        </w:rPr>
        <w:t>the majority of</w:t>
      </w:r>
      <w:proofErr w:type="gramEnd"/>
      <w:r>
        <w:rPr>
          <w:rFonts w:eastAsia="Calibri" w:cs="Times New Roman"/>
          <w:iCs/>
        </w:rPr>
        <w:t xml:space="preserve"> centres through other Commonwealth-funded programs. </w:t>
      </w:r>
      <w:r>
        <w:t>ESC also noted that the fee would likely be the same irrespective of number or types of swabs taken (as is the case for the current standard laboratory testing items).</w:t>
      </w:r>
    </w:p>
    <w:p w14:paraId="79D84917" w14:textId="77777777" w:rsidR="00AF3A51" w:rsidRDefault="00AF3A51" w:rsidP="00AF3A51">
      <w:pPr>
        <w:spacing w:before="0" w:after="0" w:line="240" w:lineRule="auto"/>
      </w:pPr>
      <w:r>
        <w:t xml:space="preserve">ESC noted the policy paper queried whether the proposed MBS item descriptor should contain restrictions around the frequency of testing. ESC noted the public health benefits of regular and repeated testing and considered that frequency restrictions would likely be a barrier to this. </w:t>
      </w:r>
    </w:p>
    <w:p w14:paraId="7978E6C5" w14:textId="74F38DC5" w:rsidR="00AF3A51" w:rsidRDefault="00AF3A51" w:rsidP="00AF3A51">
      <w:pPr>
        <w:spacing w:after="240"/>
        <w:rPr>
          <w:rFonts w:eastAsia="Calibri" w:cs="Times New Roman"/>
          <w:iCs/>
        </w:rPr>
      </w:pPr>
      <w:r>
        <w:rPr>
          <w:rFonts w:eastAsia="Calibri" w:cs="Times New Roman"/>
          <w:iCs/>
        </w:rPr>
        <w:t>Regarding comparative safety, ESC noted the studies attributed no specific harms to POC testing for CT/NG and TV. ESC noted concerns that there could be a potential for increase in inappropriate treatment for patients with a positive POC test from asymptomatic NG (because they are treated before the antibiotic resistance profile of the NG strain is known), however considered that this outcome was not demonstrated in any dataset and the risk would be low. ESC therefore considered that the claim of non-inferior safety of POC testing compared to standard laboratory</w:t>
      </w:r>
      <w:r w:rsidR="00D537E6">
        <w:rPr>
          <w:rFonts w:eastAsia="Calibri" w:cs="Times New Roman"/>
          <w:iCs/>
        </w:rPr>
        <w:t xml:space="preserve"> </w:t>
      </w:r>
      <w:r>
        <w:rPr>
          <w:rFonts w:eastAsia="Calibri" w:cs="Times New Roman"/>
          <w:iCs/>
        </w:rPr>
        <w:t xml:space="preserve">testing to be reasonable.  </w:t>
      </w:r>
    </w:p>
    <w:p w14:paraId="2E3A17AB" w14:textId="77777777" w:rsidR="00AF3A51" w:rsidRDefault="00AF3A51" w:rsidP="00AF3A51">
      <w:pPr>
        <w:spacing w:after="240"/>
      </w:pPr>
      <w:r>
        <w:rPr>
          <w:rFonts w:eastAsia="Calibri" w:cs="Times New Roman"/>
          <w:iCs/>
        </w:rPr>
        <w:t>ESC noted the</w:t>
      </w:r>
      <w:r>
        <w:t xml:space="preserve"> evidence on the accuracy and performance of the POC tests was deemed to be at a low risk of bias and relatively robust with up to 9 datasets. ESC noted the reliability and validity (</w:t>
      </w:r>
      <w:proofErr w:type="gramStart"/>
      <w:r>
        <w:t>i.e.</w:t>
      </w:r>
      <w:proofErr w:type="gramEnd"/>
      <w:r>
        <w:t xml:space="preserve"> sensitivity and specificity) of the POC testing had been previously accepted by the MSAC Executive.</w:t>
      </w:r>
    </w:p>
    <w:p w14:paraId="05AAB798" w14:textId="0458FA94" w:rsidR="00AF3A51" w:rsidRDefault="00AF3A51" w:rsidP="00AF3A51">
      <w:pPr>
        <w:spacing w:after="240"/>
        <w:rPr>
          <w:rFonts w:eastAsia="Calibri" w:cs="Times New Roman"/>
          <w:iCs/>
        </w:rPr>
      </w:pPr>
      <w:r>
        <w:rPr>
          <w:rFonts w:eastAsia="Calibri" w:cs="Times New Roman"/>
          <w:iCs/>
        </w:rPr>
        <w:t xml:space="preserve">ESC noted the applicant’s claim that POC testing for CT/NG and TV will mean that test results are available in 60-90 minutes (as opposed to up to 2 weeks with standard laboratory testing). The applicant claimed that this would change clinical management with more timely curative treatment; less clinic visits; more timely treatment of contacts and increased treatment of infection sequalae (such as mild to moderate Pelvic Inflammatory Disease [PID]).  </w:t>
      </w:r>
    </w:p>
    <w:p w14:paraId="0151E5BD" w14:textId="77777777" w:rsidR="00AF3A51" w:rsidRDefault="00AF3A51" w:rsidP="00AF3A51">
      <w:pPr>
        <w:spacing w:after="240"/>
      </w:pPr>
      <w:r>
        <w:t xml:space="preserve">ESC noted that the evidence for change in patient management and processes was more limited; based on 4 to 8 studies (depending on test type) and all studies had a moderate risk of bias. ESC noted the evidence came from small studies with relatively narrow populations. </w:t>
      </w:r>
    </w:p>
    <w:p w14:paraId="3DE73AE2" w14:textId="77777777" w:rsidR="00AF3A51" w:rsidRPr="004C1D08" w:rsidRDefault="00AF3A51" w:rsidP="00AF3A51">
      <w:pPr>
        <w:spacing w:after="240"/>
      </w:pPr>
      <w:r>
        <w:t>ESC noted that the evidence supporting change in patient outcomes was based on two studies (total n=1,095), both with moderate risks of bias. One study (</w:t>
      </w:r>
      <w:proofErr w:type="spellStart"/>
      <w:r>
        <w:t>Keizur</w:t>
      </w:r>
      <w:proofErr w:type="spellEnd"/>
      <w:r>
        <w:t>, 2020)</w:t>
      </w:r>
      <w:r>
        <w:rPr>
          <w:rStyle w:val="FootnoteReference"/>
        </w:rPr>
        <w:footnoteReference w:id="23"/>
      </w:r>
      <w:r>
        <w:t xml:space="preserve"> was a diagnostic before/after study conducted in two American cities. The other was the Australian Test, Treat and </w:t>
      </w:r>
      <w:r>
        <w:lastRenderedPageBreak/>
        <w:t>Go (TTANGO) cluster-randomised controlled crossover trial</w:t>
      </w:r>
      <w:r>
        <w:rPr>
          <w:rStyle w:val="FootnoteReference"/>
        </w:rPr>
        <w:footnoteReference w:id="24"/>
      </w:r>
      <w:r>
        <w:t xml:space="preserve"> led by the applicant which had a highly relevant population. ESC noted that in the TTANGO study, there were substantial reductions in the time to test results and time to appropriate treatment, fewer clinic visits and more timely treatment of contacts with POC testing compared with standard laboratory testing. There were no significant differences reported in rates of infection at re-testing, and </w:t>
      </w:r>
      <w:proofErr w:type="gramStart"/>
      <w:r>
        <w:t>the majority of</w:t>
      </w:r>
      <w:proofErr w:type="gramEnd"/>
      <w:r>
        <w:t xml:space="preserve"> patients from both arms were uninfected at re-testing. ESC noted that the TTANGO study was not adequately powered or of long enough duration to determine longer-term outcomes such as maternal outcomes and there was an absence of preference-sensitive measures. ESC noted that further evidence from the expanded TTANGO trial (TTANGO 2, </w:t>
      </w:r>
      <w:r>
        <w:rPr>
          <w:lang w:val="en-US"/>
        </w:rPr>
        <w:t xml:space="preserve">recently </w:t>
      </w:r>
      <w:r w:rsidRPr="004C1D08">
        <w:rPr>
          <w:lang w:val="en-US"/>
        </w:rPr>
        <w:t>scaled</w:t>
      </w:r>
      <w:r>
        <w:rPr>
          <w:lang w:val="en-US"/>
        </w:rPr>
        <w:t xml:space="preserve"> </w:t>
      </w:r>
      <w:r w:rsidRPr="004C1D08">
        <w:rPr>
          <w:lang w:val="en-US"/>
        </w:rPr>
        <w:t xml:space="preserve">up </w:t>
      </w:r>
      <w:r>
        <w:rPr>
          <w:lang w:val="en-US"/>
        </w:rPr>
        <w:t xml:space="preserve">to </w:t>
      </w:r>
      <w:r w:rsidRPr="004C1D08">
        <w:rPr>
          <w:lang w:val="en-US"/>
        </w:rPr>
        <w:t>TTANGO3</w:t>
      </w:r>
      <w:r>
        <w:rPr>
          <w:lang w:val="en-US"/>
        </w:rPr>
        <w:t>)</w:t>
      </w:r>
      <w:r w:rsidRPr="004C1D08">
        <w:rPr>
          <w:lang w:val="en-US"/>
        </w:rPr>
        <w:t xml:space="preserve"> </w:t>
      </w:r>
      <w:r>
        <w:rPr>
          <w:lang w:val="en-US"/>
        </w:rPr>
        <w:t xml:space="preserve">is expected but it is unclear when this might be available. </w:t>
      </w:r>
    </w:p>
    <w:p w14:paraId="6ACAC4EB" w14:textId="77777777" w:rsidR="00AF3A51" w:rsidRPr="004F4D1D" w:rsidRDefault="00AF3A51" w:rsidP="00AF3A51">
      <w:pPr>
        <w:spacing w:before="0" w:after="0" w:line="240" w:lineRule="auto"/>
        <w:rPr>
          <w:rFonts w:eastAsia="Calibri" w:cs="Times New Roman"/>
          <w:iCs/>
        </w:rPr>
      </w:pPr>
      <w:r w:rsidRPr="004F4D1D">
        <w:rPr>
          <w:rFonts w:eastAsia="Calibri" w:cs="Times New Roman"/>
          <w:iCs/>
        </w:rPr>
        <w:t xml:space="preserve">ESC noted that there were additional factors that were not presented in the applicant developed assessment report (ADAR) that could have been relevant. For example, </w:t>
      </w:r>
      <w:r>
        <w:rPr>
          <w:rFonts w:eastAsia="Calibri" w:cs="Times New Roman"/>
          <w:iCs/>
        </w:rPr>
        <w:t xml:space="preserve">the potential for </w:t>
      </w:r>
      <w:r w:rsidRPr="004F4D1D">
        <w:rPr>
          <w:rFonts w:eastAsia="Calibri" w:cs="Times New Roman"/>
          <w:iCs/>
        </w:rPr>
        <w:t>PO</w:t>
      </w:r>
      <w:r>
        <w:rPr>
          <w:rFonts w:eastAsia="Calibri" w:cs="Times New Roman"/>
          <w:iCs/>
        </w:rPr>
        <w:t>C</w:t>
      </w:r>
      <w:r w:rsidRPr="004F4D1D">
        <w:rPr>
          <w:rFonts w:eastAsia="Calibri" w:cs="Times New Roman"/>
          <w:iCs/>
        </w:rPr>
        <w:t xml:space="preserve"> testing increasing trust between patient and healthcare provider</w:t>
      </w:r>
      <w:r>
        <w:rPr>
          <w:rFonts w:eastAsia="Calibri" w:cs="Times New Roman"/>
          <w:iCs/>
        </w:rPr>
        <w:t>s</w:t>
      </w:r>
      <w:r w:rsidRPr="004F4D1D">
        <w:rPr>
          <w:rFonts w:eastAsia="Calibri" w:cs="Times New Roman"/>
          <w:iCs/>
        </w:rPr>
        <w:t xml:space="preserve"> and </w:t>
      </w:r>
      <w:r>
        <w:rPr>
          <w:rFonts w:eastAsia="Calibri" w:cs="Times New Roman"/>
          <w:iCs/>
        </w:rPr>
        <w:t xml:space="preserve">possible </w:t>
      </w:r>
      <w:r w:rsidRPr="004F4D1D">
        <w:rPr>
          <w:rFonts w:eastAsia="Calibri" w:cs="Times New Roman"/>
          <w:iCs/>
        </w:rPr>
        <w:t xml:space="preserve">motivation </w:t>
      </w:r>
      <w:r>
        <w:rPr>
          <w:rFonts w:eastAsia="Calibri" w:cs="Times New Roman"/>
          <w:iCs/>
        </w:rPr>
        <w:t>for</w:t>
      </w:r>
      <w:r w:rsidRPr="004F4D1D">
        <w:rPr>
          <w:rFonts w:eastAsia="Calibri" w:cs="Times New Roman"/>
          <w:iCs/>
        </w:rPr>
        <w:t xml:space="preserve"> healthcare workers in being able to provide a diagnostic service that results in immediate treatment. The cultural acceptability and individual preference for POCT testing compared with laboratory testing (</w:t>
      </w:r>
      <w:proofErr w:type="gramStart"/>
      <w:r w:rsidRPr="004F4D1D">
        <w:rPr>
          <w:rFonts w:eastAsia="Calibri" w:cs="Times New Roman"/>
          <w:iCs/>
        </w:rPr>
        <w:t>i.e.</w:t>
      </w:r>
      <w:proofErr w:type="gramEnd"/>
      <w:r w:rsidRPr="004F4D1D">
        <w:rPr>
          <w:rFonts w:eastAsia="Calibri" w:cs="Times New Roman"/>
          <w:iCs/>
        </w:rPr>
        <w:t xml:space="preserve"> through a sense of ownership of the process and results which may </w:t>
      </w:r>
      <w:r>
        <w:rPr>
          <w:rFonts w:eastAsia="Calibri" w:cs="Times New Roman"/>
          <w:iCs/>
        </w:rPr>
        <w:t>be motivational for self-management</w:t>
      </w:r>
      <w:r w:rsidRPr="004F4D1D">
        <w:rPr>
          <w:rFonts w:eastAsia="Calibri" w:cs="Times New Roman"/>
          <w:iCs/>
        </w:rPr>
        <w:t xml:space="preserve">), ethical considerations and the potential to decrease the disparity of health outcomes related to sexually transmitted infections in Aboriginal and/or Torres Strait Islander Peoples (as per the ratified PICO) were not included as quantified outcomes. ESC noted that 95% of the services that were included in the TTANGO study stated that they wished to continue to offer POC testing and that there was considerable support from the healthcare workers in the study for POC testing. </w:t>
      </w:r>
    </w:p>
    <w:p w14:paraId="6B3D1DA2" w14:textId="6CC581C6" w:rsidR="00AF3A51" w:rsidRDefault="00AF3A51" w:rsidP="00CA478F">
      <w:pPr>
        <w:spacing w:before="240" w:after="0" w:line="240" w:lineRule="auto"/>
        <w:rPr>
          <w:rFonts w:eastAsia="Calibri" w:cs="Times New Roman"/>
          <w:iCs/>
        </w:rPr>
      </w:pPr>
      <w:r>
        <w:rPr>
          <w:rFonts w:eastAsia="Calibri" w:cs="Times New Roman"/>
          <w:iCs/>
        </w:rPr>
        <w:t>ESC considered that POC testing had noninferior clinical effectiveness compared to standard laboratory</w:t>
      </w:r>
      <w:r w:rsidR="00D537E6">
        <w:rPr>
          <w:rFonts w:eastAsia="Calibri" w:cs="Times New Roman"/>
          <w:iCs/>
        </w:rPr>
        <w:t xml:space="preserve"> </w:t>
      </w:r>
      <w:r>
        <w:rPr>
          <w:rFonts w:eastAsia="Calibri" w:cs="Times New Roman"/>
          <w:iCs/>
        </w:rPr>
        <w:t xml:space="preserve">testing for CT/NG and TV. ESC considered that POC testing had the potential to have superior clinical effectiveness but that the evidence was highly uncertain. </w:t>
      </w:r>
    </w:p>
    <w:p w14:paraId="724994B2" w14:textId="77777777" w:rsidR="00AF3A51" w:rsidRDefault="00AF3A51" w:rsidP="00CA478F">
      <w:pPr>
        <w:spacing w:before="240" w:after="0" w:line="252" w:lineRule="auto"/>
      </w:pPr>
      <w:r w:rsidRPr="00610F95">
        <w:rPr>
          <w:rFonts w:eastAsia="Calibri" w:cs="Times New Roman"/>
        </w:rPr>
        <w:t xml:space="preserve">ESC </w:t>
      </w:r>
      <w:r>
        <w:rPr>
          <w:rFonts w:eastAsia="Calibri" w:cs="Times New Roman"/>
        </w:rPr>
        <w:t>noted</w:t>
      </w:r>
      <w:r w:rsidRPr="00610F95">
        <w:rPr>
          <w:rFonts w:eastAsia="Calibri" w:cs="Times New Roman"/>
        </w:rPr>
        <w:t xml:space="preserve"> the ADAR presented</w:t>
      </w:r>
      <w:r>
        <w:rPr>
          <w:rFonts w:eastAsia="Calibri" w:cs="Times New Roman"/>
        </w:rPr>
        <w:t xml:space="preserve"> a cost-utility analysis that was based on reduced time to treatment with POC testing leading to a reduction in infection sequalae. ESC noted that the available evidence from the trials and the data underlying the health impacts in the economic model was limited. </w:t>
      </w:r>
      <w:r w:rsidRPr="00452C24">
        <w:rPr>
          <w:rFonts w:eastAsia="Calibri" w:cs="Times New Roman"/>
          <w:iCs/>
        </w:rPr>
        <w:t>ESC noted that the model inputs were based on</w:t>
      </w:r>
      <w:r>
        <w:rPr>
          <w:rFonts w:eastAsia="Calibri" w:cs="Times New Roman"/>
          <w:iCs/>
        </w:rPr>
        <w:t xml:space="preserve"> the TTANGO</w:t>
      </w:r>
      <w:r w:rsidRPr="00452C24">
        <w:rPr>
          <w:rFonts w:eastAsia="Calibri" w:cs="Times New Roman"/>
          <w:iCs/>
        </w:rPr>
        <w:t xml:space="preserve"> trial data that included only 16–29-year-old participants</w:t>
      </w:r>
      <w:r>
        <w:rPr>
          <w:rFonts w:eastAsia="Calibri" w:cs="Times New Roman"/>
          <w:iCs/>
        </w:rPr>
        <w:t xml:space="preserve"> and that the </w:t>
      </w:r>
      <w:r w:rsidRPr="00452C24">
        <w:rPr>
          <w:rFonts w:eastAsia="Calibri" w:cs="Times New Roman"/>
          <w:iCs/>
        </w:rPr>
        <w:t>model inputs were based on infection and sequalae rates pertaining to Aboriginal and Torres Strait Island people</w:t>
      </w:r>
      <w:r>
        <w:rPr>
          <w:rFonts w:eastAsia="Calibri" w:cs="Times New Roman"/>
          <w:iCs/>
        </w:rPr>
        <w:t xml:space="preserve">. ESC recalled the discussion around the MBS item descriptor and noted that if the prevalence of sexually transmitted infections in the eligible </w:t>
      </w:r>
      <w:r w:rsidRPr="00B41553">
        <w:t xml:space="preserve">MBS population differs to the prevalence in the </w:t>
      </w:r>
      <w:proofErr w:type="gramStart"/>
      <w:r w:rsidRPr="00B41553">
        <w:t>16-29 year old</w:t>
      </w:r>
      <w:proofErr w:type="gramEnd"/>
      <w:r w:rsidRPr="00B41553">
        <w:t xml:space="preserve"> population in the TTANGO trial and </w:t>
      </w:r>
      <w:r>
        <w:t xml:space="preserve">if this was </w:t>
      </w:r>
      <w:r w:rsidRPr="00B41553">
        <w:t>applied in the economic model then the ICER may change.</w:t>
      </w:r>
    </w:p>
    <w:p w14:paraId="542BFD5C" w14:textId="77777777" w:rsidR="00AF3A51" w:rsidRDefault="00AF3A51" w:rsidP="00CA478F">
      <w:pPr>
        <w:spacing w:before="240" w:after="240" w:line="240" w:lineRule="auto"/>
        <w:rPr>
          <w:rFonts w:eastAsia="Calibri" w:cs="Times New Roman"/>
        </w:rPr>
      </w:pPr>
      <w:r>
        <w:rPr>
          <w:rFonts w:eastAsia="Calibri" w:cs="Times New Roman"/>
        </w:rPr>
        <w:t xml:space="preserve">ESC noted that the structure of the model was overly </w:t>
      </w:r>
      <w:proofErr w:type="gramStart"/>
      <w:r>
        <w:rPr>
          <w:rFonts w:eastAsia="Calibri" w:cs="Times New Roman"/>
        </w:rPr>
        <w:t>complex</w:t>
      </w:r>
      <w:proofErr w:type="gramEnd"/>
      <w:r>
        <w:rPr>
          <w:rFonts w:eastAsia="Calibri" w:cs="Times New Roman"/>
        </w:rPr>
        <w:t xml:space="preserve"> and a number of errors were identified during evaluation. The model assumed a 10-year time horizon with annual cycles. ESC noted that this further increased the complexity and challenges for interpreting model inputs as relatively short health events were transitioned to occur within annual cycles. While ESC considered shorter cycles would have been more straightforward, it did not consider that reducing the cycle length would change the economic estimates. </w:t>
      </w:r>
    </w:p>
    <w:p w14:paraId="36A39A46" w14:textId="77777777" w:rsidR="00AF3A51" w:rsidRDefault="00AF3A51" w:rsidP="00AF3A51">
      <w:pPr>
        <w:spacing w:before="0" w:after="240" w:line="240" w:lineRule="auto"/>
        <w:rPr>
          <w:rFonts w:eastAsia="Calibri" w:cs="Times New Roman"/>
        </w:rPr>
      </w:pPr>
      <w:r>
        <w:rPr>
          <w:rFonts w:eastAsia="Calibri" w:cs="Times New Roman"/>
        </w:rPr>
        <w:t xml:space="preserve">ESC noted the population modelled represented a cross section of people eligible for testing who present repeatedly over the 10-year time horizon, resulting in accrual of costs and consequences that are not reflective of a single test, but rather a series of testing episodes over ten years. This approach resulted in a complex microsimulation modelling that required large numbers of </w:t>
      </w:r>
      <w:r>
        <w:rPr>
          <w:rFonts w:eastAsia="Calibri" w:cs="Times New Roman"/>
        </w:rPr>
        <w:lastRenderedPageBreak/>
        <w:t xml:space="preserve">simulations to generate stability in the results. This was adjusted in the commentary, with a single episode of testing and cohort approach adopted. However, ESC noted the applicant’s pre-ESC response that this was not appropriate as it excludes the probability of repeat testing and repeat infection which would be contrary to the guidelines. </w:t>
      </w:r>
    </w:p>
    <w:p w14:paraId="3D623FD4" w14:textId="3CD6C7D5" w:rsidR="00AF3A51" w:rsidRDefault="00AF3A51" w:rsidP="00AF3A51">
      <w:pPr>
        <w:spacing w:before="0" w:after="240" w:line="240" w:lineRule="auto"/>
        <w:rPr>
          <w:rFonts w:eastAsia="Calibri" w:cs="Times New Roman"/>
        </w:rPr>
      </w:pPr>
      <w:r>
        <w:rPr>
          <w:rFonts w:eastAsia="Calibri" w:cs="Times New Roman"/>
        </w:rPr>
        <w:t xml:space="preserve">ESC noted that the commentary sensitivity analyses demonstrated that the ICER was highly sensitive to </w:t>
      </w:r>
      <w:proofErr w:type="gramStart"/>
      <w:r>
        <w:rPr>
          <w:rFonts w:eastAsia="Calibri" w:cs="Times New Roman"/>
        </w:rPr>
        <w:t>a number of</w:t>
      </w:r>
      <w:proofErr w:type="gramEnd"/>
      <w:r>
        <w:rPr>
          <w:rFonts w:eastAsia="Calibri" w:cs="Times New Roman"/>
        </w:rPr>
        <w:t xml:space="preserve"> key drivers (with the Commentary base case ICER of $20,453 per QALY gained increasing to $161,085 per QALY gained in a multivariate sensitivity analysis</w:t>
      </w:r>
      <w:r w:rsidR="00B9178E">
        <w:rPr>
          <w:rFonts w:eastAsia="Calibri" w:cs="Times New Roman"/>
        </w:rPr>
        <w:t>, see Table 15</w:t>
      </w:r>
      <w:r>
        <w:rPr>
          <w:rFonts w:eastAsia="Calibri" w:cs="Times New Roman"/>
        </w:rPr>
        <w:t xml:space="preserve">). ESC noted from the pre-ESC response, the applicant had revised the ADAR model to correct some of the errors (but not all) that had been identified in the commentary and made some adjustments to variables based on the commentary sensitivity analyses. The pre-ESC response presented a revised ICER of </w:t>
      </w:r>
      <w:r w:rsidRPr="000C19B5">
        <w:rPr>
          <w:rFonts w:eastAsia="Calibri" w:cs="Times New Roman"/>
        </w:rPr>
        <w:t>$37,185 per QALY gained</w:t>
      </w:r>
      <w:r>
        <w:rPr>
          <w:rFonts w:eastAsia="Calibri" w:cs="Times New Roman"/>
        </w:rPr>
        <w:t>. These changes included:</w:t>
      </w:r>
    </w:p>
    <w:p w14:paraId="7D377E08" w14:textId="77777777" w:rsidR="00AF3A51" w:rsidRDefault="00AF3A51" w:rsidP="00AF3A51">
      <w:pPr>
        <w:pStyle w:val="ListParagraph"/>
        <w:numPr>
          <w:ilvl w:val="0"/>
          <w:numId w:val="24"/>
        </w:numPr>
        <w:spacing w:before="0" w:after="240" w:line="240" w:lineRule="auto"/>
        <w:rPr>
          <w:rFonts w:eastAsia="Calibri" w:cs="Times New Roman"/>
        </w:rPr>
      </w:pPr>
      <w:r>
        <w:rPr>
          <w:rFonts w:eastAsia="Calibri" w:cs="Times New Roman"/>
        </w:rPr>
        <w:t>a</w:t>
      </w:r>
      <w:r w:rsidRPr="00BB3A50">
        <w:rPr>
          <w:rFonts w:eastAsia="Calibri" w:cs="Times New Roman"/>
        </w:rPr>
        <w:t>mending the preterm birth rate 16.6 %</w:t>
      </w:r>
      <w:r>
        <w:rPr>
          <w:rFonts w:eastAsia="Calibri" w:cs="Times New Roman"/>
        </w:rPr>
        <w:t xml:space="preserve"> in the treated arm (the pre-ESC response noted that 0% was incorrectly used in the treated arm in the original model) </w:t>
      </w:r>
      <w:r w:rsidRPr="00BB3A50">
        <w:rPr>
          <w:rFonts w:eastAsia="Calibri" w:cs="Times New Roman"/>
        </w:rPr>
        <w:t xml:space="preserve"> </w:t>
      </w:r>
    </w:p>
    <w:p w14:paraId="54EAE6D3" w14:textId="77777777" w:rsidR="00AF3A51" w:rsidRDefault="00AF3A51" w:rsidP="00AF3A51">
      <w:pPr>
        <w:pStyle w:val="ListParagraph"/>
        <w:numPr>
          <w:ilvl w:val="0"/>
          <w:numId w:val="24"/>
        </w:numPr>
        <w:spacing w:before="0" w:after="240" w:line="240" w:lineRule="auto"/>
        <w:rPr>
          <w:rFonts w:eastAsia="Calibri" w:cs="Times New Roman"/>
        </w:rPr>
      </w:pPr>
      <w:r w:rsidRPr="00BB3A50">
        <w:rPr>
          <w:rFonts w:eastAsia="Calibri" w:cs="Times New Roman"/>
        </w:rPr>
        <w:t xml:space="preserve">acceptance </w:t>
      </w:r>
      <w:r>
        <w:rPr>
          <w:rFonts w:eastAsia="Calibri" w:cs="Times New Roman"/>
        </w:rPr>
        <w:t xml:space="preserve">and incorporation </w:t>
      </w:r>
      <w:r w:rsidRPr="00BB3A50">
        <w:rPr>
          <w:rFonts w:eastAsia="Calibri" w:cs="Times New Roman"/>
        </w:rPr>
        <w:t xml:space="preserve">of the Commentary proportion of women </w:t>
      </w:r>
      <w:r>
        <w:rPr>
          <w:rFonts w:eastAsia="Calibri" w:cs="Times New Roman"/>
        </w:rPr>
        <w:t xml:space="preserve">of 56.5% (67% in the original ADAR) who attended a clinic at least once in the TTANGO study </w:t>
      </w:r>
    </w:p>
    <w:p w14:paraId="52A61879" w14:textId="77777777" w:rsidR="00AF3A51" w:rsidRDefault="00AF3A51" w:rsidP="00AF3A51">
      <w:pPr>
        <w:pStyle w:val="ListParagraph"/>
        <w:numPr>
          <w:ilvl w:val="0"/>
          <w:numId w:val="24"/>
        </w:numPr>
        <w:spacing w:before="0" w:after="240" w:line="240" w:lineRule="auto"/>
        <w:rPr>
          <w:rFonts w:eastAsia="Calibri" w:cs="Times New Roman"/>
        </w:rPr>
      </w:pPr>
      <w:r>
        <w:rPr>
          <w:rFonts w:eastAsia="Calibri" w:cs="Times New Roman"/>
        </w:rPr>
        <w:t xml:space="preserve">correction of the rounding </w:t>
      </w:r>
      <w:r w:rsidRPr="00BB3A50">
        <w:rPr>
          <w:rFonts w:eastAsia="Calibri" w:cs="Times New Roman"/>
        </w:rPr>
        <w:t>err</w:t>
      </w:r>
      <w:r>
        <w:rPr>
          <w:rFonts w:eastAsia="Calibri" w:cs="Times New Roman"/>
        </w:rPr>
        <w:t xml:space="preserve">ors in the </w:t>
      </w:r>
      <w:r w:rsidRPr="00BB3A50">
        <w:rPr>
          <w:rFonts w:eastAsia="Calibri" w:cs="Times New Roman"/>
        </w:rPr>
        <w:t>utilities associated with epididymitis</w:t>
      </w:r>
    </w:p>
    <w:p w14:paraId="4905C268" w14:textId="77777777" w:rsidR="00AF3A51" w:rsidRDefault="00AF3A51" w:rsidP="00AF3A51">
      <w:pPr>
        <w:pStyle w:val="ListParagraph"/>
        <w:numPr>
          <w:ilvl w:val="0"/>
          <w:numId w:val="24"/>
        </w:numPr>
        <w:spacing w:before="0" w:after="240" w:line="240" w:lineRule="auto"/>
        <w:rPr>
          <w:rFonts w:eastAsia="Calibri" w:cs="Times New Roman"/>
        </w:rPr>
      </w:pPr>
      <w:r>
        <w:rPr>
          <w:rFonts w:eastAsia="Calibri" w:cs="Times New Roman"/>
        </w:rPr>
        <w:t>reduction of the days of disutility in PID state from 12 to 10 days (reflecting that some patients with acute PID will be treated as outpatients rather than as inpatients)</w:t>
      </w:r>
    </w:p>
    <w:p w14:paraId="7CFFF18F" w14:textId="7006D64C" w:rsidR="00AF3A51" w:rsidRDefault="00AF3A51" w:rsidP="00AF3A51">
      <w:pPr>
        <w:spacing w:before="0" w:after="240" w:line="240" w:lineRule="auto"/>
        <w:rPr>
          <w:rFonts w:eastAsia="Calibri" w:cs="Times New Roman"/>
        </w:rPr>
      </w:pPr>
      <w:r>
        <w:rPr>
          <w:rFonts w:eastAsia="Calibri" w:cs="Times New Roman"/>
        </w:rPr>
        <w:t>However, ESC noted that n</w:t>
      </w:r>
      <w:r w:rsidRPr="000C19B5">
        <w:rPr>
          <w:rFonts w:eastAsia="Calibri" w:cs="Times New Roman"/>
        </w:rPr>
        <w:t>o new sensitivity analyses were provided in the pre-ESC response</w:t>
      </w:r>
      <w:r>
        <w:rPr>
          <w:rFonts w:eastAsia="Calibri" w:cs="Times New Roman"/>
        </w:rPr>
        <w:t xml:space="preserve"> and the updated ICER could not be validated by the Department</w:t>
      </w:r>
      <w:r w:rsidR="00F467EE">
        <w:rPr>
          <w:rStyle w:val="FootnoteReference"/>
          <w:rFonts w:eastAsia="Calibri" w:cs="Times New Roman"/>
        </w:rPr>
        <w:footnoteReference w:id="25"/>
      </w:r>
      <w:r>
        <w:rPr>
          <w:rFonts w:eastAsia="Calibri" w:cs="Times New Roman"/>
        </w:rPr>
        <w:t xml:space="preserve">. </w:t>
      </w:r>
      <w:r w:rsidRPr="000C19B5">
        <w:rPr>
          <w:rFonts w:eastAsia="Calibri" w:cs="Times New Roman"/>
        </w:rPr>
        <w:t xml:space="preserve"> </w:t>
      </w:r>
    </w:p>
    <w:p w14:paraId="01E2FCBB" w14:textId="77777777" w:rsidR="00AF3A51" w:rsidRDefault="00AF3A51" w:rsidP="00AF3A51">
      <w:pPr>
        <w:spacing w:before="0" w:after="240" w:line="240" w:lineRule="auto"/>
        <w:rPr>
          <w:rFonts w:eastAsia="Calibri" w:cs="Times New Roman"/>
        </w:rPr>
      </w:pPr>
      <w:r>
        <w:rPr>
          <w:rFonts w:eastAsia="Calibri" w:cs="Times New Roman"/>
        </w:rPr>
        <w:t xml:space="preserve">ESC considered that it would be informative to have the commentary sensitivity analyses (as per Executive Summary table 15; ADAR plus in-line commentary table 35) re-conducted using the applicant’s updated pre-ESC ICER to demonstrate how </w:t>
      </w:r>
      <w:r w:rsidRPr="00750770">
        <w:rPr>
          <w:rFonts w:eastAsia="Calibri" w:cs="Times New Roman"/>
        </w:rPr>
        <w:t>robust</w:t>
      </w:r>
      <w:r>
        <w:rPr>
          <w:rFonts w:eastAsia="Calibri" w:cs="Times New Roman"/>
        </w:rPr>
        <w:t xml:space="preserve"> the updated </w:t>
      </w:r>
      <w:r w:rsidRPr="00750770">
        <w:rPr>
          <w:rFonts w:eastAsia="Calibri" w:cs="Times New Roman"/>
        </w:rPr>
        <w:t xml:space="preserve">results </w:t>
      </w:r>
      <w:r>
        <w:rPr>
          <w:rFonts w:eastAsia="Calibri" w:cs="Times New Roman"/>
        </w:rPr>
        <w:t xml:space="preserve">are </w:t>
      </w:r>
      <w:r w:rsidRPr="00750770">
        <w:rPr>
          <w:rFonts w:eastAsia="Calibri" w:cs="Times New Roman"/>
        </w:rPr>
        <w:t>to variations in key assumptions</w:t>
      </w:r>
      <w:r>
        <w:rPr>
          <w:rFonts w:eastAsia="Calibri" w:cs="Times New Roman"/>
        </w:rPr>
        <w:t xml:space="preserve">. ESC noted that the commentary sensitivity analysis regarding proportion of people who attend the clinic who are female (56.5%) had been accepted in the pre-ESC ICER. ESC considered that further exploration of this variable in the updated sensitivity analyses would still be informative to determine how sensitive the ICER is to changes in this proportion. </w:t>
      </w:r>
    </w:p>
    <w:p w14:paraId="7C06361F" w14:textId="77777777" w:rsidR="00AF3A51" w:rsidRDefault="00AF3A51" w:rsidP="00AF3A51">
      <w:pPr>
        <w:spacing w:before="0" w:after="240" w:line="240" w:lineRule="auto"/>
        <w:rPr>
          <w:rFonts w:eastAsia="Calibri" w:cs="Times New Roman"/>
        </w:rPr>
      </w:pPr>
      <w:r>
        <w:rPr>
          <w:rFonts w:eastAsia="Calibri" w:cs="Times New Roman"/>
        </w:rPr>
        <w:t xml:space="preserve">ESC considered that additional sensitivity analyses would also be informative. ESC noted that there was uncertainty regarding downstream utility values (particularly as up 50% of sexually transmitted infections are asymptomatic). ESC considered that exploration of the impact of changes to the range utility values (potentially testing the lower and upper bounds of any confidence intervals) used in the economic model (as opposed to a sensitivity analysis that accounts for rounding errors in utility values only) would be useful. ESC also noted that given the short-term follow-up of the key trial informing the model (3 months) that the 10-year time horizon of the model may be too long and that an additional sensitivity analysis using a 5-year time horizon would be informative. </w:t>
      </w:r>
    </w:p>
    <w:p w14:paraId="15573934" w14:textId="77777777" w:rsidR="00AF3A51" w:rsidRDefault="00AF3A51" w:rsidP="00AF3A51">
      <w:pPr>
        <w:spacing w:before="0" w:after="240" w:line="240" w:lineRule="auto"/>
        <w:rPr>
          <w:rFonts w:eastAsia="Calibri" w:cs="Times New Roman"/>
        </w:rPr>
      </w:pPr>
      <w:r w:rsidRPr="00724080">
        <w:rPr>
          <w:rFonts w:eastAsia="Calibri" w:cs="Times New Roman"/>
        </w:rPr>
        <w:t xml:space="preserve">ESC noted that one of the key drivers of the economic estimates was the inclusion of indirect costs (such as air evacuation costs and costs for locating and following up patients). ESC noted the applicant’s pre-ESC response that stated that these costs are significant and borne by the services and so should be included. ESC considered </w:t>
      </w:r>
      <w:r>
        <w:rPr>
          <w:rFonts w:eastAsia="Calibri" w:cs="Times New Roman"/>
        </w:rPr>
        <w:t xml:space="preserve">it would still be beneficial to show MSAC the impact of including these costs. ESC considered that two scenario analyses should be conducted to explore the effect of these costs. One scenario (and set of sensitivity analyses) should be run with all indirect costs included and the second scenario (and set of sensitivity analyses) should be run with all indirect costs excluded. </w:t>
      </w:r>
    </w:p>
    <w:p w14:paraId="4E3A46B3" w14:textId="77777777" w:rsidR="00AF3A51" w:rsidRDefault="00AF3A51" w:rsidP="00AF3A51">
      <w:pPr>
        <w:spacing w:before="0" w:after="240" w:line="240" w:lineRule="auto"/>
        <w:rPr>
          <w:rFonts w:eastAsia="Calibri" w:cs="Times New Roman"/>
        </w:rPr>
      </w:pPr>
      <w:r>
        <w:rPr>
          <w:rFonts w:eastAsia="Calibri" w:cs="Times New Roman"/>
        </w:rPr>
        <w:lastRenderedPageBreak/>
        <w:t xml:space="preserve">ESC noted that the approach to estimating the uptake of POC testing and financials was not well described in the ADAR. ESC noted that the financial estimates assumed that all those who receive a POC test in the future would have received a standard laboratory test. ESC noted that it was assumed that the number of sites would grow from 45 to 108 (a 140% increase) and then a further 10% each year and the average number of people tested at each site was assumed to increase from 170 to 300 people per year. The source for these assumptions was not clear. ESC noted further concerns with the financial estimates that the follow-up costs were assumed to be 70% less with POC testing and that the scheduled fees were used (as opposed to the 85% rebate amount). ESC considered that providing MSAC with greater clarity around the assumptions used in the financial estimated would be informative for decision-making.  </w:t>
      </w:r>
    </w:p>
    <w:p w14:paraId="2CB70D75" w14:textId="77777777" w:rsidR="00AF3A51" w:rsidRDefault="00AF3A51" w:rsidP="00AF3A51">
      <w:pPr>
        <w:spacing w:before="0" w:after="240" w:line="240" w:lineRule="auto"/>
      </w:pPr>
      <w:r>
        <w:rPr>
          <w:rFonts w:eastAsia="Calibri" w:cs="Times New Roman"/>
        </w:rPr>
        <w:t>ESC noted that amendments made in the revised model presented in the pre-ESC response would potentially impact the financial estimates and these had not been updated. ESC considered that updated estimates accounting for the changes made to the ICER would be informative. The updated financial analyses should also include sensitivity analyses where key parameters (as per the economic model sensitivity analyses) are also varied to assess how robust the estimates are to various parameters (such as the proportion of women presenting to clinic and rates of preterm birth).</w:t>
      </w:r>
    </w:p>
    <w:p w14:paraId="19A2F9D9" w14:textId="77777777" w:rsidR="008A2C9F" w:rsidRDefault="008A2C9F" w:rsidP="008A2C9F">
      <w:pPr>
        <w:pStyle w:val="Heading2"/>
        <w:numPr>
          <w:ilvl w:val="0"/>
          <w:numId w:val="0"/>
        </w:numPr>
      </w:pPr>
      <w:r>
        <w:t>17.</w:t>
      </w:r>
      <w:r>
        <w:tab/>
        <w:t>Applicant comments on MSAC’s Public Summary Document</w:t>
      </w:r>
    </w:p>
    <w:p w14:paraId="601613B4" w14:textId="4BBAF650" w:rsidR="00163717" w:rsidRPr="00506DE4" w:rsidRDefault="00506DE4" w:rsidP="00506DE4">
      <w:pPr>
        <w:rPr>
          <w:rFonts w:ascii="Calibri" w:hAnsi="Calibri"/>
        </w:rPr>
      </w:pPr>
      <w:r>
        <w:t>This rebate would contribute to reducing the substantial inequity of access to timely diagnostic results and treatment, and the subsequent reduction in poor health outcomes. The suggestion by MSAC to consider other funding models is not a sustainable solution and entrenches disempowerment.  Aboriginal Health Organisations are largely reimbursed through Medicare and a rebate would ensure a sustainable funding model for the provision of STI POC testing to achieve the anticipated improvements in clinical and public health outcomes for First Nations people. Limitation of the rebate to only health services located in MM6-7 would continue to leave a large proportion of the target population without access to timely STI diagnosis and treatment as non-geographic barriers would remain unaddressed. Our analysis accurately reflects the health system costs including higher staff costs in regional and remote Australia, use of staff time to locate patients and evacuations to regional centres when additional care is required as standard practice. We reiterate the measurement of all short and long term clinically plausible outcomes (including pelvic inflammatory disease, premature rupture of membranes, pre-term births, and low birth weight babies) is not feasible in one trial. We used the best available evidence (1 locally relevant RCT; 36 observational studies) to inform the cost-effectiveness analysis presented in the application. Extensive community consultation has underpinned the successful implementation of STI POC testing in rural and remote primary health services for the past 7 years to ensure the cultural acceptability of this intervention. This includes peak Aboriginal Health organisations, their member health services, POC testing Leaders group (includes clinical staff responsible for POCT such as Aboriginal Health Workers and Practitioners), and patients. The advice to not recommend the rebate for STI POC testing in rural and remote primary health services is highly disappointing.</w:t>
      </w:r>
    </w:p>
    <w:p w14:paraId="1593234B" w14:textId="77777777" w:rsidR="008A2C9F" w:rsidRDefault="008A2C9F" w:rsidP="008A2C9F">
      <w:pPr>
        <w:pStyle w:val="Heading2"/>
        <w:numPr>
          <w:ilvl w:val="0"/>
          <w:numId w:val="0"/>
        </w:numPr>
      </w:pPr>
      <w:r>
        <w:t>18.</w:t>
      </w:r>
      <w:r>
        <w:tab/>
        <w:t>Further information on MSAC</w:t>
      </w:r>
    </w:p>
    <w:p w14:paraId="55F3908E" w14:textId="6DD4C7E6" w:rsidR="006B39ED" w:rsidRPr="00CA478F" w:rsidRDefault="008A2C9F" w:rsidP="00CA478F">
      <w:pPr>
        <w:pStyle w:val="BodyText"/>
        <w:rPr>
          <w:rFonts w:ascii="Franklin Gothic Book" w:hAnsi="Franklin Gothic Book" w:cstheme="minorBidi"/>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9" w:tooltip="Link to the MSAC website" w:history="1">
        <w:r w:rsidRPr="00F309FA">
          <w:rPr>
            <w:rStyle w:val="Hyperlink"/>
            <w:rFonts w:ascii="Franklin Gothic Book" w:hAnsi="Franklin Gothic Book"/>
            <w:b w:val="0"/>
            <w:bCs/>
            <w:i w:val="0"/>
            <w:iCs/>
            <w:sz w:val="22"/>
          </w:rPr>
          <w:t>visit the MSAC website</w:t>
        </w:r>
      </w:hyperlink>
    </w:p>
    <w:sectPr w:rsidR="006B39ED" w:rsidRPr="00CA478F" w:rsidSect="009E404C">
      <w:footerReference w:type="even" r:id="rId10"/>
      <w:footerReference w:type="default" r:id="rId11"/>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F9A6" w14:textId="77777777" w:rsidR="007B5E72" w:rsidRDefault="007B5E72" w:rsidP="00B62DF2">
      <w:pPr>
        <w:spacing w:after="0" w:line="240" w:lineRule="auto"/>
      </w:pPr>
      <w:r>
        <w:separator/>
      </w:r>
    </w:p>
  </w:endnote>
  <w:endnote w:type="continuationSeparator" w:id="0">
    <w:p w14:paraId="5EF43F7C" w14:textId="77777777" w:rsidR="007B5E72" w:rsidRDefault="007B5E72" w:rsidP="00B62DF2">
      <w:pPr>
        <w:spacing w:after="0" w:line="240" w:lineRule="auto"/>
      </w:pPr>
      <w:r>
        <w:continuationSeparator/>
      </w:r>
    </w:p>
  </w:endnote>
  <w:endnote w:type="continuationNotice" w:id="1">
    <w:p w14:paraId="04A5DB91" w14:textId="77777777" w:rsidR="007B5E72" w:rsidRDefault="007B5E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Std-CnO">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HelveticaNeueLTStd-Cn">
    <w:altName w:val="Arial"/>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D958" w14:textId="14E3EDE6" w:rsidR="000E5686" w:rsidRDefault="000E5686" w:rsidP="00800A8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1F4CA4AC" w:rsidR="000E5686" w:rsidRDefault="000E5686" w:rsidP="00052DD3">
        <w:pPr>
          <w:pStyle w:val="Footer"/>
          <w:jc w:val="right"/>
        </w:pPr>
        <w:r>
          <w:fldChar w:fldCharType="begin"/>
        </w:r>
        <w:r>
          <w:instrText xml:space="preserve"> PAGE   \* MERGEFORMAT </w:instrText>
        </w:r>
        <w:r>
          <w:fldChar w:fldCharType="separate"/>
        </w:r>
        <w:r w:rsidR="005F6A90">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72B5" w14:textId="77777777" w:rsidR="007B5E72" w:rsidRDefault="007B5E72" w:rsidP="00B62DF2">
      <w:pPr>
        <w:spacing w:after="0" w:line="240" w:lineRule="auto"/>
      </w:pPr>
      <w:r>
        <w:separator/>
      </w:r>
    </w:p>
  </w:footnote>
  <w:footnote w:type="continuationSeparator" w:id="0">
    <w:p w14:paraId="6BAE4B61" w14:textId="77777777" w:rsidR="007B5E72" w:rsidRDefault="007B5E72" w:rsidP="00B62DF2">
      <w:pPr>
        <w:spacing w:after="0" w:line="240" w:lineRule="auto"/>
      </w:pPr>
      <w:r>
        <w:continuationSeparator/>
      </w:r>
    </w:p>
  </w:footnote>
  <w:footnote w:type="continuationNotice" w:id="1">
    <w:p w14:paraId="353CD05F" w14:textId="77777777" w:rsidR="007B5E72" w:rsidRDefault="007B5E72">
      <w:pPr>
        <w:spacing w:before="0" w:after="0" w:line="240" w:lineRule="auto"/>
      </w:pPr>
    </w:p>
  </w:footnote>
  <w:footnote w:id="2">
    <w:p w14:paraId="0AFF3694" w14:textId="295F4AA7" w:rsidR="0080264B" w:rsidRPr="00F300F3" w:rsidRDefault="0080264B" w:rsidP="00F300F3">
      <w:pPr>
        <w:pStyle w:val="FootnoteText"/>
      </w:pPr>
      <w:r w:rsidRPr="00F300F3">
        <w:rPr>
          <w:rStyle w:val="FootnoteReference"/>
        </w:rPr>
        <w:footnoteRef/>
      </w:r>
      <w:r w:rsidRPr="00F300F3">
        <w:t xml:space="preserve"> </w:t>
      </w:r>
      <w:proofErr w:type="spellStart"/>
      <w:r w:rsidR="00F300F3" w:rsidRPr="00F300F3">
        <w:t>Keizur</w:t>
      </w:r>
      <w:proofErr w:type="spellEnd"/>
      <w:r w:rsidR="00F300F3" w:rsidRPr="00F300F3">
        <w:t xml:space="preserve"> EM, </w:t>
      </w:r>
      <w:proofErr w:type="spellStart"/>
      <w:r w:rsidR="00F300F3" w:rsidRPr="00F300F3">
        <w:t>Goldbeck</w:t>
      </w:r>
      <w:proofErr w:type="spellEnd"/>
      <w:r w:rsidR="00F300F3" w:rsidRPr="00F300F3">
        <w:t xml:space="preserve"> C, </w:t>
      </w:r>
      <w:proofErr w:type="spellStart"/>
      <w:r w:rsidR="00F300F3" w:rsidRPr="00F300F3">
        <w:t>Vavala</w:t>
      </w:r>
      <w:proofErr w:type="spellEnd"/>
      <w:r w:rsidR="00F300F3" w:rsidRPr="00F300F3">
        <w:t xml:space="preserve"> G, et al. Safety and Effectiveness of Same-Day Chlamydia trachomatis and Neisseria gonorrhoeae Screening and Treatment Among Gay, Bisexual, Transgender, and Homeless Youth in Los Angeles, California, and New Orleans, Louisiana. </w:t>
      </w:r>
      <w:r w:rsidR="00F300F3" w:rsidRPr="00F300F3">
        <w:rPr>
          <w:i/>
        </w:rPr>
        <w:t xml:space="preserve">Sex </w:t>
      </w:r>
      <w:proofErr w:type="spellStart"/>
      <w:r w:rsidR="00F300F3" w:rsidRPr="00F300F3">
        <w:rPr>
          <w:i/>
        </w:rPr>
        <w:t>Transm</w:t>
      </w:r>
      <w:proofErr w:type="spellEnd"/>
      <w:r w:rsidR="00F300F3" w:rsidRPr="00F300F3">
        <w:rPr>
          <w:i/>
        </w:rPr>
        <w:t xml:space="preserve"> Dis</w:t>
      </w:r>
      <w:r w:rsidR="00F300F3" w:rsidRPr="00F300F3">
        <w:t xml:space="preserve"> 2020; </w:t>
      </w:r>
      <w:r w:rsidR="00F300F3" w:rsidRPr="00F300F3">
        <w:rPr>
          <w:b/>
        </w:rPr>
        <w:t>47</w:t>
      </w:r>
      <w:r w:rsidR="00F300F3" w:rsidRPr="00F300F3">
        <w:t>(1): 19-23.</w:t>
      </w:r>
    </w:p>
  </w:footnote>
  <w:footnote w:id="3">
    <w:p w14:paraId="467E8EFA" w14:textId="51B050BC" w:rsidR="00F300F3" w:rsidRDefault="00F300F3">
      <w:pPr>
        <w:pStyle w:val="FootnoteText"/>
      </w:pPr>
      <w:r w:rsidRPr="00F300F3">
        <w:rPr>
          <w:rStyle w:val="FootnoteReference"/>
        </w:rPr>
        <w:footnoteRef/>
      </w:r>
      <w:r w:rsidRPr="00F300F3">
        <w:t xml:space="preserve"> Guy RJ, Ward J, Causer LM, et al. Molecular point-of-care testing for chlamydia and gonorrhoea in Indigenous Australians attending remote primary health services (TTANGO): a cluster-randomised, controlled, crossover trial. </w:t>
      </w:r>
      <w:r w:rsidRPr="00F300F3">
        <w:rPr>
          <w:i/>
        </w:rPr>
        <w:t>Lancet Infect Dis</w:t>
      </w:r>
      <w:r w:rsidRPr="00F300F3">
        <w:t xml:space="preserve"> 2018; </w:t>
      </w:r>
      <w:r w:rsidRPr="00F300F3">
        <w:rPr>
          <w:b/>
        </w:rPr>
        <w:t>18</w:t>
      </w:r>
      <w:r w:rsidRPr="00F300F3">
        <w:t>(10): 1117-26</w:t>
      </w:r>
    </w:p>
  </w:footnote>
  <w:footnote w:id="4">
    <w:p w14:paraId="239132FC" w14:textId="3933B0D8" w:rsidR="000E5686" w:rsidRDefault="000E5686" w:rsidP="00EE1116">
      <w:pPr>
        <w:pStyle w:val="FootnoteText"/>
        <w:spacing w:before="0"/>
      </w:pPr>
      <w:r>
        <w:rPr>
          <w:rStyle w:val="FootnoteReference"/>
        </w:rPr>
        <w:footnoteRef/>
      </w:r>
      <w:r>
        <w:t xml:space="preserve"> </w:t>
      </w:r>
      <w:r w:rsidRPr="00B1413A">
        <w:t>Causer, L. M., Guy, R. J., Tabrizi, S. N., Whiley, D. M., Speers, D. J., Ward, J., &amp; Kaldor, J. M. (2018). Molecular test for chlamydia and gonorrhoea used at point of care in remote primary healthcare settings: a diagnostic test evaluation. Sexually transmitted infections, 94(5), 340-345.</w:t>
      </w:r>
    </w:p>
  </w:footnote>
  <w:footnote w:id="5">
    <w:p w14:paraId="01467FC8" w14:textId="54E21990" w:rsidR="000E5686" w:rsidRDefault="000E5686" w:rsidP="00EE1116">
      <w:pPr>
        <w:pStyle w:val="FootnoteText"/>
        <w:spacing w:before="0"/>
      </w:pPr>
      <w:r>
        <w:rPr>
          <w:rStyle w:val="FootnoteReference"/>
        </w:rPr>
        <w:footnoteRef/>
      </w:r>
      <w:r>
        <w:t xml:space="preserve"> </w:t>
      </w:r>
      <w:r w:rsidRPr="00EB0074">
        <w:t xml:space="preserve">Guy, R., Ward, J., Wand, H., Rumbold, A., Garton, L., </w:t>
      </w:r>
      <w:proofErr w:type="spellStart"/>
      <w:r w:rsidRPr="00EB0074">
        <w:t>Hengel</w:t>
      </w:r>
      <w:proofErr w:type="spellEnd"/>
      <w:r w:rsidRPr="00EB0074">
        <w:t>, B., &amp; Kaldor, J. (2015). Coinfection with Chlamydia trachomatis, Neisseria gonorrhoeae and Trichomonas vaginalis: a cross-sectional analysis of positivity and risk factors in remote Australian Aboriginal communities. Sexually transmitted infections, 91(3), 201-206.</w:t>
      </w:r>
    </w:p>
  </w:footnote>
  <w:footnote w:id="6">
    <w:p w14:paraId="04CBC5EF" w14:textId="2FF5ED93" w:rsidR="000E5686" w:rsidRDefault="000E5686" w:rsidP="00EE1116">
      <w:pPr>
        <w:pStyle w:val="FootnoteText"/>
        <w:spacing w:before="0"/>
      </w:pPr>
      <w:r>
        <w:rPr>
          <w:rStyle w:val="FootnoteReference"/>
        </w:rPr>
        <w:footnoteRef/>
      </w:r>
      <w:r>
        <w:t xml:space="preserve"> </w:t>
      </w:r>
      <w:proofErr w:type="spellStart"/>
      <w:r>
        <w:t>Lahra</w:t>
      </w:r>
      <w:proofErr w:type="spellEnd"/>
      <w:r>
        <w:t xml:space="preserve">, </w:t>
      </w:r>
      <w:proofErr w:type="gramStart"/>
      <w:r>
        <w:t>M.M.</w:t>
      </w:r>
      <w:r w:rsidRPr="00EB0074">
        <w:t>.</w:t>
      </w:r>
      <w:proofErr w:type="gramEnd"/>
      <w:r w:rsidRPr="00EB0074">
        <w:t xml:space="preserve"> Enriquez, R.P.</w:t>
      </w:r>
      <w:r>
        <w:t>,</w:t>
      </w:r>
      <w:r w:rsidRPr="00EB0074">
        <w:t xml:space="preserve"> </w:t>
      </w:r>
      <w:r>
        <w:t>&amp;</w:t>
      </w:r>
      <w:r w:rsidRPr="00EB0074">
        <w:t xml:space="preserve"> George, C.R. (2019) Australian Gonococcal Surveillance Programme Annual Report, 2017. </w:t>
      </w:r>
      <w:proofErr w:type="spellStart"/>
      <w:r w:rsidRPr="00EB0074">
        <w:t>Commun</w:t>
      </w:r>
      <w:proofErr w:type="spellEnd"/>
      <w:r w:rsidRPr="00EB0074">
        <w:t xml:space="preserve"> Dis </w:t>
      </w:r>
      <w:proofErr w:type="spellStart"/>
      <w:r w:rsidRPr="00EB0074">
        <w:t>Intell</w:t>
      </w:r>
      <w:proofErr w:type="spellEnd"/>
      <w:r w:rsidRPr="00EB0074">
        <w:t xml:space="preserve">. (2018) Apr 15;43. </w:t>
      </w:r>
      <w:proofErr w:type="spellStart"/>
      <w:r w:rsidRPr="00EB0074">
        <w:t>doi</w:t>
      </w:r>
      <w:proofErr w:type="spellEnd"/>
      <w:r w:rsidRPr="00EB0074">
        <w:t>: 10.33321/cdi.2019.43.13.</w:t>
      </w:r>
    </w:p>
  </w:footnote>
  <w:footnote w:id="7">
    <w:p w14:paraId="271A6DB1" w14:textId="4F230122" w:rsidR="000E5686" w:rsidRDefault="000E5686" w:rsidP="00EE1116">
      <w:pPr>
        <w:pStyle w:val="FootnoteText"/>
        <w:spacing w:before="0"/>
      </w:pPr>
      <w:r>
        <w:rPr>
          <w:rStyle w:val="FootnoteReference"/>
        </w:rPr>
        <w:footnoteRef/>
      </w:r>
      <w:r>
        <w:t xml:space="preserve"> </w:t>
      </w:r>
      <w:r w:rsidRPr="00744055">
        <w:t xml:space="preserve">Test Treat </w:t>
      </w:r>
      <w:proofErr w:type="spellStart"/>
      <w:proofErr w:type="gramStart"/>
      <w:r w:rsidRPr="00744055">
        <w:t>ANd</w:t>
      </w:r>
      <w:proofErr w:type="spellEnd"/>
      <w:proofErr w:type="gramEnd"/>
      <w:r w:rsidRPr="00744055">
        <w:t xml:space="preserve"> GO</w:t>
      </w:r>
      <w:r>
        <w:t xml:space="preserve"> (TTANGO)</w:t>
      </w:r>
    </w:p>
  </w:footnote>
  <w:footnote w:id="8">
    <w:p w14:paraId="3BCAC426" w14:textId="694579D2" w:rsidR="000E5686" w:rsidRPr="00BC0139" w:rsidRDefault="000E5686" w:rsidP="00EE1116">
      <w:pPr>
        <w:pStyle w:val="FootnoteText"/>
        <w:spacing w:before="0"/>
      </w:pPr>
      <w:r>
        <w:rPr>
          <w:rStyle w:val="FootnoteReference"/>
        </w:rPr>
        <w:footnoteRef/>
      </w:r>
      <w:r>
        <w:t xml:space="preserve"> </w:t>
      </w:r>
      <w:r w:rsidRPr="0099244B">
        <w:t xml:space="preserve">Guy, RJ, Ward, J, Causer, LM, </w:t>
      </w:r>
      <w:proofErr w:type="spellStart"/>
      <w:r w:rsidRPr="0099244B">
        <w:t>Natoli</w:t>
      </w:r>
      <w:proofErr w:type="spellEnd"/>
      <w:r w:rsidRPr="0099244B">
        <w:t xml:space="preserve">, L, Badman, SG, </w:t>
      </w:r>
      <w:proofErr w:type="spellStart"/>
      <w:r w:rsidRPr="0099244B">
        <w:t>Tangey</w:t>
      </w:r>
      <w:proofErr w:type="spellEnd"/>
      <w:r w:rsidRPr="0099244B">
        <w:t xml:space="preserve">, A, </w:t>
      </w:r>
      <w:proofErr w:type="spellStart"/>
      <w:r w:rsidRPr="0099244B">
        <w:t>Hengel</w:t>
      </w:r>
      <w:proofErr w:type="spellEnd"/>
      <w:r w:rsidRPr="0099244B">
        <w:t xml:space="preserve">, B, Wand, H, Whiley, D, Tabrizi, SN, Shephard, M, Fairley, CK, Donovan, B, Anderson, DA, Regan, DG, Maher, L &amp; Kaldor, JM 2018, 'Molecular point-of-care testing for chlamydia and gonorrhoea in Indigenous Australians attending remote primary health services (TTANGO): a cluster-randomised, controlled, crossover trial', </w:t>
      </w:r>
      <w:r w:rsidRPr="0099244B">
        <w:rPr>
          <w:i/>
          <w:iCs/>
        </w:rPr>
        <w:t>Lancet Infect Dis</w:t>
      </w:r>
      <w:r w:rsidRPr="0099244B">
        <w:t>, vol. 18, no. 10, Oct, pp. 1117-1126.</w:t>
      </w:r>
    </w:p>
  </w:footnote>
  <w:footnote w:id="9">
    <w:p w14:paraId="517D7972" w14:textId="433BE493" w:rsidR="00E739FF" w:rsidRPr="00E739FF" w:rsidRDefault="00E739FF" w:rsidP="00EE1116">
      <w:pPr>
        <w:pStyle w:val="FootnoteText"/>
        <w:spacing w:before="0"/>
        <w:rPr>
          <w:lang w:val="en-GB"/>
        </w:rPr>
      </w:pPr>
      <w:r>
        <w:rPr>
          <w:rStyle w:val="FootnoteReference"/>
        </w:rPr>
        <w:footnoteRef/>
      </w:r>
      <w:r>
        <w:t xml:space="preserve"> </w:t>
      </w:r>
      <w:r w:rsidRPr="00E739FF">
        <w:rPr>
          <w:lang w:val="en-GB"/>
        </w:rPr>
        <w:t xml:space="preserve">Cohen S, Kohn R, Bacon O, et al. Implementation of point of care </w:t>
      </w:r>
      <w:proofErr w:type="spellStart"/>
      <w:r w:rsidRPr="00E739FF">
        <w:rPr>
          <w:lang w:val="en-GB"/>
        </w:rPr>
        <w:t>gonorrhea</w:t>
      </w:r>
      <w:proofErr w:type="spellEnd"/>
      <w:r w:rsidRPr="00E739FF">
        <w:rPr>
          <w:lang w:val="en-GB"/>
        </w:rPr>
        <w:t xml:space="preserve"> and chlamydia testing in an STD clinic </w:t>
      </w:r>
      <w:proofErr w:type="spellStart"/>
      <w:r w:rsidRPr="00E739FF">
        <w:rPr>
          <w:lang w:val="en-GB"/>
        </w:rPr>
        <w:t>PrEP</w:t>
      </w:r>
      <w:proofErr w:type="spellEnd"/>
      <w:r w:rsidRPr="00E739FF">
        <w:rPr>
          <w:lang w:val="en-GB"/>
        </w:rPr>
        <w:t xml:space="preserve"> program, San Francisco, 2017–2018. Sexually Transmitted Infections 2019; 95(</w:t>
      </w:r>
      <w:proofErr w:type="spellStart"/>
      <w:r w:rsidRPr="00E739FF">
        <w:rPr>
          <w:lang w:val="en-GB"/>
        </w:rPr>
        <w:t>Suppl</w:t>
      </w:r>
      <w:proofErr w:type="spellEnd"/>
      <w:r w:rsidRPr="00E739FF">
        <w:rPr>
          <w:lang w:val="en-GB"/>
        </w:rPr>
        <w:t xml:space="preserve"> 1): A71-A2.</w:t>
      </w:r>
    </w:p>
  </w:footnote>
  <w:footnote w:id="10">
    <w:p w14:paraId="72E9807C" w14:textId="0F7E9E94" w:rsidR="00E739FF" w:rsidRDefault="00E739FF" w:rsidP="00EE1116">
      <w:pPr>
        <w:pStyle w:val="FootnoteText"/>
        <w:spacing w:before="0"/>
      </w:pPr>
      <w:r>
        <w:rPr>
          <w:rStyle w:val="FootnoteReference"/>
        </w:rPr>
        <w:footnoteRef/>
      </w:r>
      <w:r>
        <w:t xml:space="preserve"> </w:t>
      </w:r>
      <w:proofErr w:type="spellStart"/>
      <w:r w:rsidRPr="00E739FF">
        <w:t>Keizur</w:t>
      </w:r>
      <w:proofErr w:type="spellEnd"/>
      <w:r w:rsidRPr="00E739FF">
        <w:t xml:space="preserve">, EM, </w:t>
      </w:r>
      <w:proofErr w:type="spellStart"/>
      <w:r w:rsidRPr="00E739FF">
        <w:t>Goldbeck</w:t>
      </w:r>
      <w:proofErr w:type="spellEnd"/>
      <w:r w:rsidRPr="00E739FF">
        <w:t xml:space="preserve">, C, </w:t>
      </w:r>
      <w:proofErr w:type="spellStart"/>
      <w:r w:rsidRPr="00E739FF">
        <w:t>Vavala</w:t>
      </w:r>
      <w:proofErr w:type="spellEnd"/>
      <w:r w:rsidRPr="00E739FF">
        <w:t xml:space="preserve">, G, Romero-Espinoza, A, Ocasio, M, Fournier, J, Lee, SJ, </w:t>
      </w:r>
      <w:proofErr w:type="spellStart"/>
      <w:r w:rsidRPr="00E739FF">
        <w:t>Abdalian</w:t>
      </w:r>
      <w:proofErr w:type="spellEnd"/>
      <w:r w:rsidRPr="00E739FF">
        <w:t xml:space="preserve">, SE, </w:t>
      </w:r>
      <w:proofErr w:type="spellStart"/>
      <w:r w:rsidRPr="00E739FF">
        <w:t>Rotheram</w:t>
      </w:r>
      <w:proofErr w:type="spellEnd"/>
      <w:r w:rsidRPr="00E739FF">
        <w:t xml:space="preserve">, MJ &amp; Klausner, JD 2020, 'Safety and Effectiveness of Same-Day Chlamydia trachomatis and Neisseria gonorrhoeae Screening and Treatment Among Gay, Bisexual, Transgender, and Homeless Youth in Los Angeles, California, and New Orleans, Louisiana', </w:t>
      </w:r>
      <w:r w:rsidRPr="00E739FF">
        <w:rPr>
          <w:i/>
          <w:iCs/>
        </w:rPr>
        <w:t xml:space="preserve">Sex </w:t>
      </w:r>
      <w:proofErr w:type="spellStart"/>
      <w:r w:rsidRPr="00E739FF">
        <w:rPr>
          <w:i/>
          <w:iCs/>
        </w:rPr>
        <w:t>Transm</w:t>
      </w:r>
      <w:proofErr w:type="spellEnd"/>
      <w:r w:rsidRPr="00E739FF">
        <w:rPr>
          <w:i/>
          <w:iCs/>
        </w:rPr>
        <w:t xml:space="preserve"> Dis</w:t>
      </w:r>
      <w:r w:rsidRPr="00E739FF">
        <w:t>, vol. 47, no. 1, Jan, pp. 19-23.</w:t>
      </w:r>
    </w:p>
  </w:footnote>
  <w:footnote w:id="11">
    <w:p w14:paraId="0276979E" w14:textId="2CB6F088" w:rsidR="00E739FF" w:rsidRDefault="00E739FF" w:rsidP="00EE1116">
      <w:pPr>
        <w:pStyle w:val="FootnoteText"/>
        <w:spacing w:before="0"/>
      </w:pPr>
      <w:r>
        <w:rPr>
          <w:rStyle w:val="FootnoteReference"/>
        </w:rPr>
        <w:footnoteRef/>
      </w:r>
      <w:r>
        <w:t xml:space="preserve"> </w:t>
      </w:r>
      <w:proofErr w:type="spellStart"/>
      <w:r w:rsidRPr="00E739FF">
        <w:t>Rivard</w:t>
      </w:r>
      <w:proofErr w:type="spellEnd"/>
      <w:r w:rsidRPr="00E739FF">
        <w:t xml:space="preserve">, KR, </w:t>
      </w:r>
      <w:proofErr w:type="spellStart"/>
      <w:r w:rsidRPr="00E739FF">
        <w:t>Dumkow</w:t>
      </w:r>
      <w:proofErr w:type="spellEnd"/>
      <w:r w:rsidRPr="00E739FF">
        <w:t xml:space="preserve">, LE, Draper, HM, Brandt, KL, Whalen, DW &amp; </w:t>
      </w:r>
      <w:proofErr w:type="spellStart"/>
      <w:r w:rsidRPr="00E739FF">
        <w:t>Egwuatu</w:t>
      </w:r>
      <w:proofErr w:type="spellEnd"/>
      <w:r w:rsidRPr="00E739FF">
        <w:t xml:space="preserve">, NE 2017, 'Impact of rapid diagnostic testing for chlamydia and </w:t>
      </w:r>
      <w:proofErr w:type="spellStart"/>
      <w:r w:rsidRPr="00E739FF">
        <w:t>gonorrhea</w:t>
      </w:r>
      <w:proofErr w:type="spellEnd"/>
      <w:r w:rsidRPr="00E739FF">
        <w:t xml:space="preserve"> on appropriate antimicrobial utilization in the emergency department', </w:t>
      </w:r>
      <w:proofErr w:type="spellStart"/>
      <w:r w:rsidRPr="00E739FF">
        <w:rPr>
          <w:i/>
          <w:iCs/>
        </w:rPr>
        <w:t>Diagn</w:t>
      </w:r>
      <w:proofErr w:type="spellEnd"/>
      <w:r w:rsidRPr="00E739FF">
        <w:rPr>
          <w:i/>
          <w:iCs/>
        </w:rPr>
        <w:t xml:space="preserve"> </w:t>
      </w:r>
      <w:proofErr w:type="spellStart"/>
      <w:r w:rsidRPr="00E739FF">
        <w:rPr>
          <w:i/>
          <w:iCs/>
        </w:rPr>
        <w:t>Microbiol</w:t>
      </w:r>
      <w:proofErr w:type="spellEnd"/>
      <w:r w:rsidRPr="00E739FF">
        <w:rPr>
          <w:i/>
          <w:iCs/>
        </w:rPr>
        <w:t xml:space="preserve"> Infect Dis</w:t>
      </w:r>
      <w:r w:rsidRPr="00E739FF">
        <w:t>, vo</w:t>
      </w:r>
      <w:r>
        <w:t>l. 87, no. 2, Feb, pp. 175-179.</w:t>
      </w:r>
    </w:p>
  </w:footnote>
  <w:footnote w:id="12">
    <w:p w14:paraId="5172190F" w14:textId="04E709C7" w:rsidR="00E739FF" w:rsidRDefault="00E739FF" w:rsidP="00EE1116">
      <w:pPr>
        <w:pStyle w:val="FootnoteText"/>
        <w:spacing w:before="0"/>
      </w:pPr>
      <w:r>
        <w:rPr>
          <w:rStyle w:val="FootnoteReference"/>
        </w:rPr>
        <w:footnoteRef/>
      </w:r>
      <w:r>
        <w:t xml:space="preserve"> </w:t>
      </w:r>
      <w:proofErr w:type="spellStart"/>
      <w:r w:rsidRPr="00E739FF">
        <w:rPr>
          <w:lang w:val="en-GB"/>
        </w:rPr>
        <w:t>Wingrove</w:t>
      </w:r>
      <w:proofErr w:type="spellEnd"/>
      <w:r w:rsidRPr="00E739FF">
        <w:rPr>
          <w:lang w:val="en-GB"/>
        </w:rPr>
        <w:t xml:space="preserve"> I, </w:t>
      </w:r>
      <w:proofErr w:type="spellStart"/>
      <w:r w:rsidRPr="00E739FF">
        <w:rPr>
          <w:lang w:val="en-GB"/>
        </w:rPr>
        <w:t>McOwan</w:t>
      </w:r>
      <w:proofErr w:type="spellEnd"/>
      <w:r w:rsidRPr="00E739FF">
        <w:rPr>
          <w:lang w:val="en-GB"/>
        </w:rPr>
        <w:t xml:space="preserve"> A, </w:t>
      </w:r>
      <w:proofErr w:type="spellStart"/>
      <w:r w:rsidRPr="00E739FF">
        <w:rPr>
          <w:lang w:val="en-GB"/>
        </w:rPr>
        <w:t>Nwokolo</w:t>
      </w:r>
      <w:proofErr w:type="spellEnd"/>
      <w:r w:rsidRPr="00E739FF">
        <w:rPr>
          <w:lang w:val="en-GB"/>
        </w:rPr>
        <w:t xml:space="preserve"> N, Whitlock G. Diagnostics within the clinic to test for gonorrhoea and chlamydia reduces the time to treatment: a service evaluation. Sex </w:t>
      </w:r>
      <w:proofErr w:type="spellStart"/>
      <w:r w:rsidRPr="00E739FF">
        <w:rPr>
          <w:lang w:val="en-GB"/>
        </w:rPr>
        <w:t>Transm</w:t>
      </w:r>
      <w:proofErr w:type="spellEnd"/>
      <w:r w:rsidRPr="00E739FF">
        <w:rPr>
          <w:lang w:val="en-GB"/>
        </w:rPr>
        <w:t xml:space="preserve"> Infect 2014; 90(6): 474.</w:t>
      </w:r>
    </w:p>
  </w:footnote>
  <w:footnote w:id="13">
    <w:p w14:paraId="3D2C1728" w14:textId="073105B4" w:rsidR="003C5311" w:rsidRDefault="003C5311" w:rsidP="00EE1116">
      <w:pPr>
        <w:pStyle w:val="FootnoteText"/>
        <w:spacing w:before="0"/>
      </w:pPr>
      <w:r>
        <w:rPr>
          <w:rStyle w:val="FootnoteReference"/>
        </w:rPr>
        <w:footnoteRef/>
      </w:r>
      <w:r>
        <w:t xml:space="preserve"> </w:t>
      </w:r>
      <w:r w:rsidRPr="003C5311">
        <w:t xml:space="preserve">Martin, K, </w:t>
      </w:r>
      <w:proofErr w:type="spellStart"/>
      <w:r w:rsidRPr="003C5311">
        <w:t>Dziva</w:t>
      </w:r>
      <w:proofErr w:type="spellEnd"/>
      <w:r w:rsidRPr="003C5311">
        <w:t xml:space="preserve"> </w:t>
      </w:r>
      <w:proofErr w:type="spellStart"/>
      <w:r w:rsidRPr="003C5311">
        <w:t>Chikwari</w:t>
      </w:r>
      <w:proofErr w:type="spellEnd"/>
      <w:r w:rsidRPr="003C5311">
        <w:t xml:space="preserve">, C, Mackworth-Young, CRS, </w:t>
      </w:r>
      <w:proofErr w:type="spellStart"/>
      <w:r w:rsidRPr="003C5311">
        <w:t>Chisenga</w:t>
      </w:r>
      <w:proofErr w:type="spellEnd"/>
      <w:r w:rsidRPr="003C5311">
        <w:t xml:space="preserve">, M, </w:t>
      </w:r>
      <w:proofErr w:type="spellStart"/>
      <w:r w:rsidRPr="003C5311">
        <w:t>Bandason</w:t>
      </w:r>
      <w:proofErr w:type="spellEnd"/>
      <w:r w:rsidRPr="003C5311">
        <w:t xml:space="preserve">, T, </w:t>
      </w:r>
      <w:proofErr w:type="spellStart"/>
      <w:r w:rsidRPr="003C5311">
        <w:t>Dauya</w:t>
      </w:r>
      <w:proofErr w:type="spellEnd"/>
      <w:r w:rsidRPr="003C5311">
        <w:t xml:space="preserve">, E, Olaru, ID, Francis, SC, </w:t>
      </w:r>
      <w:proofErr w:type="spellStart"/>
      <w:r w:rsidRPr="003C5311">
        <w:t>Mavodza</w:t>
      </w:r>
      <w:proofErr w:type="spellEnd"/>
      <w:r w:rsidRPr="003C5311">
        <w:t xml:space="preserve">, C, </w:t>
      </w:r>
      <w:proofErr w:type="spellStart"/>
      <w:r w:rsidRPr="003C5311">
        <w:t>Nzombe</w:t>
      </w:r>
      <w:proofErr w:type="spellEnd"/>
      <w:r w:rsidRPr="003C5311">
        <w:t xml:space="preserve">, P, </w:t>
      </w:r>
      <w:proofErr w:type="spellStart"/>
      <w:r w:rsidRPr="003C5311">
        <w:t>Nyamwanza</w:t>
      </w:r>
      <w:proofErr w:type="spellEnd"/>
      <w:r w:rsidRPr="003C5311">
        <w:t xml:space="preserve">, R, Hove, F, Tshuma, M, </w:t>
      </w:r>
      <w:proofErr w:type="spellStart"/>
      <w:r w:rsidRPr="003C5311">
        <w:t>Machiha</w:t>
      </w:r>
      <w:proofErr w:type="spellEnd"/>
      <w:r w:rsidRPr="003C5311">
        <w:t xml:space="preserve">, A, </w:t>
      </w:r>
      <w:proofErr w:type="spellStart"/>
      <w:r w:rsidRPr="003C5311">
        <w:t>Kranzer</w:t>
      </w:r>
      <w:proofErr w:type="spellEnd"/>
      <w:r w:rsidRPr="003C5311">
        <w:t xml:space="preserve">, K &amp; Ferrand, RA 2022, '"It was difficult to offer same day results": evaluation of community-based point-of-care testing for sexually transmitted infections among youth using the GeneXpert platform in Zimbabwe', </w:t>
      </w:r>
      <w:r w:rsidRPr="003C5311">
        <w:rPr>
          <w:i/>
          <w:iCs/>
        </w:rPr>
        <w:t>BMC Health Serv Res</w:t>
      </w:r>
      <w:r w:rsidRPr="003C5311">
        <w:t>, vol. 22, no. 1, Feb 10, p. 171.</w:t>
      </w:r>
    </w:p>
  </w:footnote>
  <w:footnote w:id="14">
    <w:p w14:paraId="7861B09F" w14:textId="067FB48E" w:rsidR="00E739FF" w:rsidRDefault="00E739FF" w:rsidP="0066135E">
      <w:pPr>
        <w:pStyle w:val="FootnoteText"/>
        <w:spacing w:before="0"/>
      </w:pPr>
      <w:r>
        <w:rPr>
          <w:rStyle w:val="FootnoteReference"/>
        </w:rPr>
        <w:footnoteRef/>
      </w:r>
      <w:r>
        <w:t xml:space="preserve"> </w:t>
      </w:r>
      <w:r w:rsidRPr="00944DEE">
        <w:t xml:space="preserve">Gaydos CA, </w:t>
      </w:r>
      <w:proofErr w:type="spellStart"/>
      <w:r w:rsidRPr="00944DEE">
        <w:t>Ako</w:t>
      </w:r>
      <w:proofErr w:type="spellEnd"/>
      <w:r w:rsidRPr="00944DEE">
        <w:t xml:space="preserve"> MC, Lewis M, Hsieh YH, Rothman RE, Dugas AF. Use of a Rapid Diagnostic for Chlamydia trachomatis and Neisseria gonorrhoeae for Women in the Emergency Department Can Improve Clinical Management: Report of a Randomized Clinical Trial. </w:t>
      </w:r>
      <w:r w:rsidRPr="00944DEE">
        <w:rPr>
          <w:i/>
        </w:rPr>
        <w:t xml:space="preserve">Ann </w:t>
      </w:r>
      <w:proofErr w:type="spellStart"/>
      <w:r w:rsidRPr="00944DEE">
        <w:rPr>
          <w:i/>
        </w:rPr>
        <w:t>Emerg</w:t>
      </w:r>
      <w:proofErr w:type="spellEnd"/>
      <w:r w:rsidRPr="00944DEE">
        <w:rPr>
          <w:i/>
        </w:rPr>
        <w:t xml:space="preserve"> Med</w:t>
      </w:r>
      <w:r w:rsidRPr="00944DEE">
        <w:t xml:space="preserve"> 2019; </w:t>
      </w:r>
      <w:r w:rsidRPr="00944DEE">
        <w:rPr>
          <w:b/>
        </w:rPr>
        <w:t>74</w:t>
      </w:r>
      <w:r w:rsidRPr="00944DEE">
        <w:t>(1): 36-44.</w:t>
      </w:r>
    </w:p>
  </w:footnote>
  <w:footnote w:id="15">
    <w:p w14:paraId="753AF95D" w14:textId="4BA8CFE2" w:rsidR="003C5311" w:rsidRDefault="003C5311" w:rsidP="0066135E">
      <w:pPr>
        <w:pStyle w:val="FootnoteText"/>
        <w:spacing w:before="0"/>
      </w:pPr>
      <w:r>
        <w:rPr>
          <w:rStyle w:val="FootnoteReference"/>
        </w:rPr>
        <w:footnoteRef/>
      </w:r>
      <w:r>
        <w:t xml:space="preserve"> </w:t>
      </w:r>
      <w:r w:rsidRPr="003C5311">
        <w:rPr>
          <w:lang w:val="en-GB"/>
        </w:rPr>
        <w:t xml:space="preserve">May L, Ware CE, Jordan JA, et al. A Randomized Controlled Trial Comparing the Treatment of Patients Tested for Chlamydia and </w:t>
      </w:r>
      <w:proofErr w:type="spellStart"/>
      <w:r w:rsidRPr="003C5311">
        <w:rPr>
          <w:lang w:val="en-GB"/>
        </w:rPr>
        <w:t>Gonorrhea</w:t>
      </w:r>
      <w:proofErr w:type="spellEnd"/>
      <w:r w:rsidRPr="003C5311">
        <w:rPr>
          <w:lang w:val="en-GB"/>
        </w:rPr>
        <w:t xml:space="preserve"> After a Rapid Polymerase Chain Reaction Test Versus Standard of Care Testing. Sex </w:t>
      </w:r>
      <w:proofErr w:type="spellStart"/>
      <w:r w:rsidRPr="003C5311">
        <w:rPr>
          <w:lang w:val="en-GB"/>
        </w:rPr>
        <w:t>Transm</w:t>
      </w:r>
      <w:proofErr w:type="spellEnd"/>
      <w:r w:rsidRPr="003C5311">
        <w:rPr>
          <w:lang w:val="en-GB"/>
        </w:rPr>
        <w:t xml:space="preserve"> Dis 2016; 43(5): 290-5.</w:t>
      </w:r>
    </w:p>
  </w:footnote>
  <w:footnote w:id="16">
    <w:p w14:paraId="046E262E" w14:textId="686F0B52" w:rsidR="006D4F4F" w:rsidRPr="006D4F4F" w:rsidRDefault="006D4F4F" w:rsidP="0066135E">
      <w:pPr>
        <w:pStyle w:val="FootnoteText"/>
        <w:spacing w:before="0"/>
      </w:pPr>
      <w:r w:rsidRPr="006D4F4F">
        <w:rPr>
          <w:rStyle w:val="FootnoteReference"/>
        </w:rPr>
        <w:footnoteRef/>
      </w:r>
      <w:r w:rsidRPr="006D4F4F">
        <w:t xml:space="preserve"> </w:t>
      </w:r>
      <w:r w:rsidRPr="006D4F4F">
        <w:rPr>
          <w:bCs/>
        </w:rPr>
        <w:t xml:space="preserve">Smith KS, Causer LM, </w:t>
      </w:r>
      <w:proofErr w:type="spellStart"/>
      <w:r w:rsidRPr="006D4F4F">
        <w:rPr>
          <w:bCs/>
        </w:rPr>
        <w:t>Watchirs</w:t>
      </w:r>
      <w:proofErr w:type="spellEnd"/>
      <w:r w:rsidRPr="006D4F4F">
        <w:rPr>
          <w:bCs/>
        </w:rPr>
        <w:t xml:space="preserve"> Smith L, </w:t>
      </w:r>
      <w:proofErr w:type="spellStart"/>
      <w:r w:rsidRPr="006D4F4F">
        <w:rPr>
          <w:bCs/>
        </w:rPr>
        <w:t>Saha</w:t>
      </w:r>
      <w:proofErr w:type="spellEnd"/>
      <w:r w:rsidRPr="006D4F4F">
        <w:rPr>
          <w:bCs/>
        </w:rPr>
        <w:t xml:space="preserve"> A, Andrewartha K, Walley B, Shephard M, Wand H, Richards JN, Badman SG, </w:t>
      </w:r>
      <w:proofErr w:type="spellStart"/>
      <w:r w:rsidRPr="006D4F4F">
        <w:rPr>
          <w:bCs/>
        </w:rPr>
        <w:t>Tangey</w:t>
      </w:r>
      <w:proofErr w:type="spellEnd"/>
      <w:r w:rsidRPr="006D4F4F">
        <w:rPr>
          <w:bCs/>
        </w:rPr>
        <w:t xml:space="preserve"> A, Marshall-Lang R, and Guy R, on behalf of the TTANGO2 collaboration. Presumptive treatment for Chlamydia and Gonorrhoea in remote aboriginal health services. Presented at the Australasian Sexual Health Conference 16-18 September 2019.</w:t>
      </w:r>
    </w:p>
  </w:footnote>
  <w:footnote w:id="17">
    <w:p w14:paraId="291F6642" w14:textId="772E7A19" w:rsidR="000E5686" w:rsidRDefault="000E5686" w:rsidP="0066135E">
      <w:pPr>
        <w:pStyle w:val="FootnoteText"/>
      </w:pPr>
      <w:r>
        <w:rPr>
          <w:rStyle w:val="FootnoteReference"/>
        </w:rPr>
        <w:footnoteRef/>
      </w:r>
      <w:r>
        <w:t xml:space="preserve"> </w:t>
      </w:r>
      <w:proofErr w:type="spellStart"/>
      <w:r w:rsidR="00E739FF" w:rsidRPr="00E739FF">
        <w:t>Keizur</w:t>
      </w:r>
      <w:proofErr w:type="spellEnd"/>
      <w:r w:rsidR="00E739FF" w:rsidRPr="00E739FF">
        <w:t xml:space="preserve">, EM, </w:t>
      </w:r>
      <w:proofErr w:type="spellStart"/>
      <w:r w:rsidR="00E739FF" w:rsidRPr="00E739FF">
        <w:t>Goldbeck</w:t>
      </w:r>
      <w:proofErr w:type="spellEnd"/>
      <w:r w:rsidR="00E739FF" w:rsidRPr="00E739FF">
        <w:t xml:space="preserve">, C, </w:t>
      </w:r>
      <w:proofErr w:type="spellStart"/>
      <w:r w:rsidR="00E739FF" w:rsidRPr="00E739FF">
        <w:t>Vavala</w:t>
      </w:r>
      <w:proofErr w:type="spellEnd"/>
      <w:r w:rsidR="00E739FF" w:rsidRPr="00E739FF">
        <w:t xml:space="preserve">, G, Romero-Espinoza, A, Ocasio, M, Fournier, J, Lee, SJ, </w:t>
      </w:r>
      <w:proofErr w:type="spellStart"/>
      <w:r w:rsidR="00E739FF" w:rsidRPr="00E739FF">
        <w:t>Abdalian</w:t>
      </w:r>
      <w:proofErr w:type="spellEnd"/>
      <w:r w:rsidR="00E739FF" w:rsidRPr="00E739FF">
        <w:t xml:space="preserve">, SE, </w:t>
      </w:r>
      <w:proofErr w:type="spellStart"/>
      <w:r w:rsidR="00E739FF" w:rsidRPr="00E739FF">
        <w:t>Rotheram</w:t>
      </w:r>
      <w:proofErr w:type="spellEnd"/>
      <w:r w:rsidR="00E739FF" w:rsidRPr="00E739FF">
        <w:t xml:space="preserve">, MJ &amp; Klausner, JD 2020, 'Safety and Effectiveness of Same-Day Chlamydia trachomatis and Neisseria gonorrhoeae Screening and Treatment Among Gay, Bisexual, Transgender, and Homeless Youth in Los Angeles, California, and New Orleans, Louisiana', </w:t>
      </w:r>
      <w:r w:rsidR="00E739FF" w:rsidRPr="00E739FF">
        <w:rPr>
          <w:i/>
          <w:iCs/>
        </w:rPr>
        <w:t xml:space="preserve">Sex </w:t>
      </w:r>
      <w:proofErr w:type="spellStart"/>
      <w:r w:rsidR="00E739FF" w:rsidRPr="00E739FF">
        <w:rPr>
          <w:i/>
          <w:iCs/>
        </w:rPr>
        <w:t>Transm</w:t>
      </w:r>
      <w:proofErr w:type="spellEnd"/>
      <w:r w:rsidR="00E739FF" w:rsidRPr="00E739FF">
        <w:rPr>
          <w:i/>
          <w:iCs/>
        </w:rPr>
        <w:t xml:space="preserve"> Dis</w:t>
      </w:r>
      <w:r w:rsidR="00E739FF" w:rsidRPr="00E739FF">
        <w:t xml:space="preserve">, </w:t>
      </w:r>
      <w:r w:rsidR="0066135E">
        <w:t>vol. 47, no. 1, Jan, pp. 19-23.</w:t>
      </w:r>
    </w:p>
  </w:footnote>
  <w:footnote w:id="18">
    <w:p w14:paraId="01380ADC" w14:textId="2EA0385D" w:rsidR="000E5686" w:rsidRDefault="000E5686" w:rsidP="00FF1B3A">
      <w:pPr>
        <w:pStyle w:val="FootnoteText"/>
        <w:spacing w:before="0"/>
      </w:pPr>
      <w:r w:rsidRPr="006116B3">
        <w:rPr>
          <w:rStyle w:val="FootnoteReference"/>
        </w:rPr>
        <w:footnoteRef/>
      </w:r>
      <w:r w:rsidRPr="006116B3">
        <w:t xml:space="preserve"> </w:t>
      </w:r>
      <w:r w:rsidRPr="00FF1B3A">
        <w:t xml:space="preserve">Garrett, NJ, Osman, F, Maharaj, B, Naicker, N, Gibbs, A, Norman, E, </w:t>
      </w:r>
      <w:proofErr w:type="spellStart"/>
      <w:r w:rsidRPr="00FF1B3A">
        <w:t>Samsunder</w:t>
      </w:r>
      <w:proofErr w:type="spellEnd"/>
      <w:r w:rsidRPr="00FF1B3A">
        <w:t xml:space="preserve">, N, Ngobese, H, </w:t>
      </w:r>
      <w:proofErr w:type="spellStart"/>
      <w:r w:rsidRPr="00FF1B3A">
        <w:t>Mitchev</w:t>
      </w:r>
      <w:proofErr w:type="spellEnd"/>
      <w:r w:rsidRPr="00FF1B3A">
        <w:t xml:space="preserve">, N, Singh, R, </w:t>
      </w:r>
      <w:proofErr w:type="spellStart"/>
      <w:r w:rsidRPr="00FF1B3A">
        <w:t>Abdool</w:t>
      </w:r>
      <w:proofErr w:type="spellEnd"/>
      <w:r w:rsidRPr="00FF1B3A">
        <w:t xml:space="preserve"> Karim, SS, </w:t>
      </w:r>
      <w:proofErr w:type="spellStart"/>
      <w:r w:rsidRPr="00FF1B3A">
        <w:t>Kharsany</w:t>
      </w:r>
      <w:proofErr w:type="spellEnd"/>
      <w:r w:rsidRPr="00FF1B3A">
        <w:t xml:space="preserve">, ABM, </w:t>
      </w:r>
      <w:proofErr w:type="spellStart"/>
      <w:r w:rsidRPr="00FF1B3A">
        <w:t>Mlisana</w:t>
      </w:r>
      <w:proofErr w:type="spellEnd"/>
      <w:r w:rsidRPr="00FF1B3A">
        <w:t xml:space="preserve">, K, </w:t>
      </w:r>
      <w:proofErr w:type="spellStart"/>
      <w:r w:rsidRPr="00FF1B3A">
        <w:t>Rompalo</w:t>
      </w:r>
      <w:proofErr w:type="spellEnd"/>
      <w:r w:rsidRPr="00FF1B3A">
        <w:t xml:space="preserve">, A &amp; </w:t>
      </w:r>
      <w:proofErr w:type="spellStart"/>
      <w:r w:rsidRPr="00FF1B3A">
        <w:t>Mindel</w:t>
      </w:r>
      <w:proofErr w:type="spellEnd"/>
      <w:r w:rsidRPr="00FF1B3A">
        <w:t xml:space="preserve">, A 2018, 'Beyond syndromic management: Opportunities for diagnosis-based treatment of sexually transmitted infections in low- and middle-income countries', </w:t>
      </w:r>
      <w:proofErr w:type="spellStart"/>
      <w:r w:rsidRPr="00FF1B3A">
        <w:rPr>
          <w:iCs/>
        </w:rPr>
        <w:t>PLoS</w:t>
      </w:r>
      <w:proofErr w:type="spellEnd"/>
      <w:r w:rsidRPr="00FF1B3A">
        <w:rPr>
          <w:iCs/>
        </w:rPr>
        <w:t xml:space="preserve"> One</w:t>
      </w:r>
      <w:r w:rsidRPr="00FF1B3A">
        <w:t>, vol. 13, no. 4, p. e0196209.</w:t>
      </w:r>
    </w:p>
  </w:footnote>
  <w:footnote w:id="19">
    <w:p w14:paraId="5ECF0675" w14:textId="549E6F49" w:rsidR="000E5686" w:rsidRDefault="000E5686" w:rsidP="00800A84">
      <w:pPr>
        <w:pStyle w:val="FootnoteText"/>
        <w:spacing w:before="0"/>
      </w:pPr>
      <w:r w:rsidRPr="006116B3">
        <w:rPr>
          <w:rStyle w:val="FootnoteReference"/>
        </w:rPr>
        <w:footnoteRef/>
      </w:r>
      <w:r w:rsidRPr="006116B3">
        <w:t xml:space="preserve"> </w:t>
      </w:r>
      <w:r w:rsidRPr="00FF1B3A">
        <w:t xml:space="preserve">Wynn, A, </w:t>
      </w:r>
      <w:proofErr w:type="spellStart"/>
      <w:r w:rsidRPr="00FF1B3A">
        <w:t>Ramogola-Masire</w:t>
      </w:r>
      <w:proofErr w:type="spellEnd"/>
      <w:r w:rsidRPr="00FF1B3A">
        <w:t xml:space="preserve">, D, </w:t>
      </w:r>
      <w:proofErr w:type="spellStart"/>
      <w:r w:rsidRPr="00FF1B3A">
        <w:t>Gaolebale</w:t>
      </w:r>
      <w:proofErr w:type="spellEnd"/>
      <w:r w:rsidRPr="00FF1B3A">
        <w:t xml:space="preserve">, P, </w:t>
      </w:r>
      <w:proofErr w:type="spellStart"/>
      <w:r w:rsidRPr="00FF1B3A">
        <w:t>Moshashane</w:t>
      </w:r>
      <w:proofErr w:type="spellEnd"/>
      <w:r w:rsidRPr="00FF1B3A">
        <w:t xml:space="preserve">, N, </w:t>
      </w:r>
      <w:proofErr w:type="spellStart"/>
      <w:r w:rsidRPr="00FF1B3A">
        <w:t>Sickboy</w:t>
      </w:r>
      <w:proofErr w:type="spellEnd"/>
      <w:r w:rsidRPr="00FF1B3A">
        <w:t xml:space="preserve">, O, Duque, S, Williams, E, Doherty, K, Klausner, JD &amp; </w:t>
      </w:r>
      <w:proofErr w:type="spellStart"/>
      <w:r w:rsidRPr="00FF1B3A">
        <w:t>Morroni</w:t>
      </w:r>
      <w:proofErr w:type="spellEnd"/>
      <w:r w:rsidRPr="00FF1B3A">
        <w:t xml:space="preserve">, C 2018, 'Prevalence and treatment outcomes of routine Chlamydia trachomatis, Neisseria gonorrhoeae and Trichomonas vaginalis testing during antenatal care, Gaborone, Botswana', </w:t>
      </w:r>
      <w:r w:rsidRPr="00FF1B3A">
        <w:rPr>
          <w:iCs/>
        </w:rPr>
        <w:t xml:space="preserve">Sex </w:t>
      </w:r>
      <w:proofErr w:type="spellStart"/>
      <w:r w:rsidRPr="00FF1B3A">
        <w:rPr>
          <w:iCs/>
        </w:rPr>
        <w:t>Transm</w:t>
      </w:r>
      <w:proofErr w:type="spellEnd"/>
      <w:r w:rsidRPr="00FF1B3A">
        <w:rPr>
          <w:iCs/>
        </w:rPr>
        <w:t xml:space="preserve"> Infect</w:t>
      </w:r>
      <w:r w:rsidRPr="00FF1B3A">
        <w:t>, vol. 94, no. 3, May, pp. 230-235.</w:t>
      </w:r>
    </w:p>
  </w:footnote>
  <w:footnote w:id="20">
    <w:p w14:paraId="3D6B0A7E" w14:textId="1D02BEFC" w:rsidR="000E5686" w:rsidRDefault="000E5686">
      <w:pPr>
        <w:pStyle w:val="FootnoteText"/>
      </w:pPr>
      <w:r>
        <w:rPr>
          <w:rStyle w:val="FootnoteReference"/>
        </w:rPr>
        <w:footnoteRef/>
      </w:r>
      <w:r>
        <w:t xml:space="preserve"> 8,000 tests performed annually across 45 </w:t>
      </w:r>
      <w:r w:rsidRPr="0019035E">
        <w:t>decentralised health services</w:t>
      </w:r>
      <w:r>
        <w:t xml:space="preserve"> (Section 1.4 of the ADAR).</w:t>
      </w:r>
    </w:p>
  </w:footnote>
  <w:footnote w:id="21">
    <w:p w14:paraId="724D51A4" w14:textId="6D684C82" w:rsidR="000E5686" w:rsidRDefault="000E5686">
      <w:pPr>
        <w:pStyle w:val="FootnoteText"/>
      </w:pPr>
      <w:r>
        <w:rPr>
          <w:rStyle w:val="FootnoteReference"/>
        </w:rPr>
        <w:footnoteRef/>
      </w:r>
      <w:r>
        <w:t xml:space="preserve"> Section 3A.2.6 of the ADAR.</w:t>
      </w:r>
    </w:p>
  </w:footnote>
  <w:footnote w:id="22">
    <w:p w14:paraId="058BFF79" w14:textId="77777777" w:rsidR="00AF3A51" w:rsidRDefault="00AF3A51" w:rsidP="00AF3A51">
      <w:pPr>
        <w:pStyle w:val="FootnoteText"/>
      </w:pPr>
      <w:r>
        <w:rPr>
          <w:rStyle w:val="FootnoteReference"/>
        </w:rPr>
        <w:footnoteRef/>
      </w:r>
      <w:r>
        <w:t xml:space="preserve"> </w:t>
      </w:r>
      <w:hyperlink r:id="rId1" w:history="1">
        <w:r>
          <w:rPr>
            <w:rStyle w:val="Hyperlink"/>
          </w:rPr>
          <w:t>RACGP - National guide to a preventive health assessment for Aboriginal and Torres Strait Islander people</w:t>
        </w:r>
      </w:hyperlink>
    </w:p>
  </w:footnote>
  <w:footnote w:id="23">
    <w:p w14:paraId="66D480BF" w14:textId="77777777" w:rsidR="00AF3A51" w:rsidRDefault="00AF3A51" w:rsidP="00AF3A51">
      <w:pPr>
        <w:pStyle w:val="FootnoteText"/>
      </w:pPr>
      <w:r>
        <w:rPr>
          <w:rStyle w:val="FootnoteReference"/>
        </w:rPr>
        <w:footnoteRef/>
      </w:r>
      <w:r>
        <w:t xml:space="preserve"> </w:t>
      </w:r>
      <w:proofErr w:type="spellStart"/>
      <w:r w:rsidRPr="00BB7755">
        <w:t>Keizur</w:t>
      </w:r>
      <w:proofErr w:type="spellEnd"/>
      <w:r w:rsidRPr="00BB7755">
        <w:t xml:space="preserve"> EM, </w:t>
      </w:r>
      <w:proofErr w:type="spellStart"/>
      <w:r w:rsidRPr="00BB7755">
        <w:t>Goldbeck</w:t>
      </w:r>
      <w:proofErr w:type="spellEnd"/>
      <w:r w:rsidRPr="00BB7755">
        <w:t xml:space="preserve"> C, </w:t>
      </w:r>
      <w:proofErr w:type="spellStart"/>
      <w:r w:rsidRPr="00BB7755">
        <w:t>Vavala</w:t>
      </w:r>
      <w:proofErr w:type="spellEnd"/>
      <w:r w:rsidRPr="00BB7755">
        <w:t xml:space="preserve"> G, et al. Safety and Effectiveness of Same-Day Chlamydia trachomatis and Neisseria gonorrhoeae Screening and Treatment Among Gay, Bisexual, Transgender, and Homeless Youth in Los Angeles, California, and New Orleans, Louisiana. </w:t>
      </w:r>
      <w:r w:rsidRPr="00BB7755">
        <w:rPr>
          <w:i/>
        </w:rPr>
        <w:t xml:space="preserve">Sex </w:t>
      </w:r>
      <w:proofErr w:type="spellStart"/>
      <w:r w:rsidRPr="00BB7755">
        <w:rPr>
          <w:i/>
        </w:rPr>
        <w:t>Transm</w:t>
      </w:r>
      <w:proofErr w:type="spellEnd"/>
      <w:r w:rsidRPr="00BB7755">
        <w:rPr>
          <w:i/>
        </w:rPr>
        <w:t xml:space="preserve"> Dis</w:t>
      </w:r>
      <w:r w:rsidRPr="00BB7755">
        <w:t xml:space="preserve"> 2020; </w:t>
      </w:r>
      <w:r w:rsidRPr="00BB7755">
        <w:rPr>
          <w:b/>
        </w:rPr>
        <w:t>47</w:t>
      </w:r>
      <w:r w:rsidRPr="00BB7755">
        <w:t>(1): 19-23.</w:t>
      </w:r>
    </w:p>
  </w:footnote>
  <w:footnote w:id="24">
    <w:p w14:paraId="015C1DA5" w14:textId="77777777" w:rsidR="00AF3A51" w:rsidRDefault="00AF3A51" w:rsidP="00AF3A51">
      <w:pPr>
        <w:pStyle w:val="FootnoteText"/>
      </w:pPr>
      <w:r>
        <w:rPr>
          <w:rStyle w:val="FootnoteReference"/>
        </w:rPr>
        <w:footnoteRef/>
      </w:r>
      <w:r>
        <w:t xml:space="preserve"> </w:t>
      </w:r>
      <w:r w:rsidRPr="00BB7755">
        <w:t xml:space="preserve">Guy RJ, Ward J, Causer LM, et al. Molecular point-of-care testing for chlamydia and gonorrhoea in Indigenous Australians attending remote primary health services (TTANGO): a cluster-randomised, controlled, crossover trial. </w:t>
      </w:r>
      <w:r w:rsidRPr="00BB7755">
        <w:rPr>
          <w:i/>
        </w:rPr>
        <w:t>Lancet Infect Dis</w:t>
      </w:r>
      <w:r w:rsidRPr="00BB7755">
        <w:t xml:space="preserve"> 2018; </w:t>
      </w:r>
      <w:r w:rsidRPr="00BB7755">
        <w:rPr>
          <w:b/>
        </w:rPr>
        <w:t>18</w:t>
      </w:r>
      <w:r w:rsidRPr="00BB7755">
        <w:t>(10): 1117-26.</w:t>
      </w:r>
    </w:p>
  </w:footnote>
  <w:footnote w:id="25">
    <w:p w14:paraId="26A3D87C" w14:textId="2575D885" w:rsidR="00F467EE" w:rsidRDefault="00F467EE">
      <w:pPr>
        <w:pStyle w:val="FootnoteText"/>
      </w:pPr>
      <w:r>
        <w:rPr>
          <w:rStyle w:val="FootnoteReference"/>
        </w:rPr>
        <w:footnoteRef/>
      </w:r>
      <w:r>
        <w:t xml:space="preserve"> </w:t>
      </w:r>
      <w:r w:rsidR="004350B8">
        <w:t>Note:</w:t>
      </w:r>
      <w:r w:rsidRPr="00F467EE">
        <w:t xml:space="preserve"> sensitivity analys</w:t>
      </w:r>
      <w:r w:rsidR="004350B8">
        <w:t>e</w:t>
      </w:r>
      <w:r w:rsidRPr="00F467EE">
        <w:t>s w</w:t>
      </w:r>
      <w:r w:rsidR="004350B8">
        <w:t>ere subsequently</w:t>
      </w:r>
      <w:r w:rsidRPr="00F467EE">
        <w:t xml:space="preserve"> provided in the applicant’s pre-MSAC response. See page 6 for further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D57E56"/>
    <w:multiLevelType w:val="hybridMultilevel"/>
    <w:tmpl w:val="07F0F850"/>
    <w:lvl w:ilvl="0" w:tplc="7CA8D618">
      <w:numFmt w:val="bullet"/>
      <w:lvlText w:val="•"/>
      <w:lvlJc w:val="left"/>
      <w:pPr>
        <w:ind w:left="1080" w:hanging="72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11A82"/>
    <w:multiLevelType w:val="multilevel"/>
    <w:tmpl w:val="64D0F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AA252F"/>
    <w:multiLevelType w:val="hybridMultilevel"/>
    <w:tmpl w:val="66DEE83A"/>
    <w:lvl w:ilvl="0" w:tplc="8976E8B6">
      <w:start w:val="1"/>
      <w:numFmt w:val="bullet"/>
      <w:lvlText w:val=""/>
      <w:lvlJc w:val="left"/>
      <w:pPr>
        <w:tabs>
          <w:tab w:val="num" w:pos="720"/>
        </w:tabs>
        <w:ind w:left="720" w:hanging="360"/>
      </w:pPr>
      <w:rPr>
        <w:rFonts w:ascii="Wingdings" w:hAnsi="Wingdings" w:hint="default"/>
      </w:rPr>
    </w:lvl>
    <w:lvl w:ilvl="1" w:tplc="40CAE8E8">
      <w:numFmt w:val="bullet"/>
      <w:lvlText w:val=""/>
      <w:lvlJc w:val="left"/>
      <w:pPr>
        <w:tabs>
          <w:tab w:val="num" w:pos="1440"/>
        </w:tabs>
        <w:ind w:left="1440" w:hanging="360"/>
      </w:pPr>
      <w:rPr>
        <w:rFonts w:ascii="Wingdings" w:hAnsi="Wingdings" w:hint="default"/>
      </w:rPr>
    </w:lvl>
    <w:lvl w:ilvl="2" w:tplc="B3345F4C" w:tentative="1">
      <w:start w:val="1"/>
      <w:numFmt w:val="bullet"/>
      <w:lvlText w:val=""/>
      <w:lvlJc w:val="left"/>
      <w:pPr>
        <w:tabs>
          <w:tab w:val="num" w:pos="2160"/>
        </w:tabs>
        <w:ind w:left="2160" w:hanging="360"/>
      </w:pPr>
      <w:rPr>
        <w:rFonts w:ascii="Wingdings" w:hAnsi="Wingdings" w:hint="default"/>
      </w:rPr>
    </w:lvl>
    <w:lvl w:ilvl="3" w:tplc="76EE11DA" w:tentative="1">
      <w:start w:val="1"/>
      <w:numFmt w:val="bullet"/>
      <w:lvlText w:val=""/>
      <w:lvlJc w:val="left"/>
      <w:pPr>
        <w:tabs>
          <w:tab w:val="num" w:pos="2880"/>
        </w:tabs>
        <w:ind w:left="2880" w:hanging="360"/>
      </w:pPr>
      <w:rPr>
        <w:rFonts w:ascii="Wingdings" w:hAnsi="Wingdings" w:hint="default"/>
      </w:rPr>
    </w:lvl>
    <w:lvl w:ilvl="4" w:tplc="13B0C280" w:tentative="1">
      <w:start w:val="1"/>
      <w:numFmt w:val="bullet"/>
      <w:lvlText w:val=""/>
      <w:lvlJc w:val="left"/>
      <w:pPr>
        <w:tabs>
          <w:tab w:val="num" w:pos="3600"/>
        </w:tabs>
        <w:ind w:left="3600" w:hanging="360"/>
      </w:pPr>
      <w:rPr>
        <w:rFonts w:ascii="Wingdings" w:hAnsi="Wingdings" w:hint="default"/>
      </w:rPr>
    </w:lvl>
    <w:lvl w:ilvl="5" w:tplc="2A6E471E" w:tentative="1">
      <w:start w:val="1"/>
      <w:numFmt w:val="bullet"/>
      <w:lvlText w:val=""/>
      <w:lvlJc w:val="left"/>
      <w:pPr>
        <w:tabs>
          <w:tab w:val="num" w:pos="4320"/>
        </w:tabs>
        <w:ind w:left="4320" w:hanging="360"/>
      </w:pPr>
      <w:rPr>
        <w:rFonts w:ascii="Wingdings" w:hAnsi="Wingdings" w:hint="default"/>
      </w:rPr>
    </w:lvl>
    <w:lvl w:ilvl="6" w:tplc="C1E4BD2A" w:tentative="1">
      <w:start w:val="1"/>
      <w:numFmt w:val="bullet"/>
      <w:lvlText w:val=""/>
      <w:lvlJc w:val="left"/>
      <w:pPr>
        <w:tabs>
          <w:tab w:val="num" w:pos="5040"/>
        </w:tabs>
        <w:ind w:left="5040" w:hanging="360"/>
      </w:pPr>
      <w:rPr>
        <w:rFonts w:ascii="Wingdings" w:hAnsi="Wingdings" w:hint="default"/>
      </w:rPr>
    </w:lvl>
    <w:lvl w:ilvl="7" w:tplc="9F0641A6" w:tentative="1">
      <w:start w:val="1"/>
      <w:numFmt w:val="bullet"/>
      <w:lvlText w:val=""/>
      <w:lvlJc w:val="left"/>
      <w:pPr>
        <w:tabs>
          <w:tab w:val="num" w:pos="5760"/>
        </w:tabs>
        <w:ind w:left="5760" w:hanging="360"/>
      </w:pPr>
      <w:rPr>
        <w:rFonts w:ascii="Wingdings" w:hAnsi="Wingdings" w:hint="default"/>
      </w:rPr>
    </w:lvl>
    <w:lvl w:ilvl="8" w:tplc="124C5B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B325A"/>
    <w:multiLevelType w:val="hybridMultilevel"/>
    <w:tmpl w:val="E9700CD8"/>
    <w:lvl w:ilvl="0" w:tplc="1AB4BFB0">
      <w:start w:val="1"/>
      <w:numFmt w:val="bullet"/>
      <w:lvlText w:val="•"/>
      <w:lvlJc w:val="left"/>
      <w:pPr>
        <w:tabs>
          <w:tab w:val="num" w:pos="720"/>
        </w:tabs>
        <w:ind w:left="720" w:hanging="360"/>
      </w:pPr>
      <w:rPr>
        <w:rFonts w:ascii="Arial" w:hAnsi="Arial" w:hint="default"/>
      </w:rPr>
    </w:lvl>
    <w:lvl w:ilvl="1" w:tplc="508ECAD8">
      <w:start w:val="1"/>
      <w:numFmt w:val="bullet"/>
      <w:lvlText w:val="•"/>
      <w:lvlJc w:val="left"/>
      <w:pPr>
        <w:tabs>
          <w:tab w:val="num" w:pos="1440"/>
        </w:tabs>
        <w:ind w:left="1440" w:hanging="360"/>
      </w:pPr>
      <w:rPr>
        <w:rFonts w:ascii="Arial" w:hAnsi="Arial" w:hint="default"/>
      </w:rPr>
    </w:lvl>
    <w:lvl w:ilvl="2" w:tplc="3AA8B77A" w:tentative="1">
      <w:start w:val="1"/>
      <w:numFmt w:val="bullet"/>
      <w:lvlText w:val="•"/>
      <w:lvlJc w:val="left"/>
      <w:pPr>
        <w:tabs>
          <w:tab w:val="num" w:pos="2160"/>
        </w:tabs>
        <w:ind w:left="2160" w:hanging="360"/>
      </w:pPr>
      <w:rPr>
        <w:rFonts w:ascii="Arial" w:hAnsi="Arial" w:hint="default"/>
      </w:rPr>
    </w:lvl>
    <w:lvl w:ilvl="3" w:tplc="4B989B38" w:tentative="1">
      <w:start w:val="1"/>
      <w:numFmt w:val="bullet"/>
      <w:lvlText w:val="•"/>
      <w:lvlJc w:val="left"/>
      <w:pPr>
        <w:tabs>
          <w:tab w:val="num" w:pos="2880"/>
        </w:tabs>
        <w:ind w:left="2880" w:hanging="360"/>
      </w:pPr>
      <w:rPr>
        <w:rFonts w:ascii="Arial" w:hAnsi="Arial" w:hint="default"/>
      </w:rPr>
    </w:lvl>
    <w:lvl w:ilvl="4" w:tplc="46361A88" w:tentative="1">
      <w:start w:val="1"/>
      <w:numFmt w:val="bullet"/>
      <w:lvlText w:val="•"/>
      <w:lvlJc w:val="left"/>
      <w:pPr>
        <w:tabs>
          <w:tab w:val="num" w:pos="3600"/>
        </w:tabs>
        <w:ind w:left="3600" w:hanging="360"/>
      </w:pPr>
      <w:rPr>
        <w:rFonts w:ascii="Arial" w:hAnsi="Arial" w:hint="default"/>
      </w:rPr>
    </w:lvl>
    <w:lvl w:ilvl="5" w:tplc="30C0C60E" w:tentative="1">
      <w:start w:val="1"/>
      <w:numFmt w:val="bullet"/>
      <w:lvlText w:val="•"/>
      <w:lvlJc w:val="left"/>
      <w:pPr>
        <w:tabs>
          <w:tab w:val="num" w:pos="4320"/>
        </w:tabs>
        <w:ind w:left="4320" w:hanging="360"/>
      </w:pPr>
      <w:rPr>
        <w:rFonts w:ascii="Arial" w:hAnsi="Arial" w:hint="default"/>
      </w:rPr>
    </w:lvl>
    <w:lvl w:ilvl="6" w:tplc="961C3E28" w:tentative="1">
      <w:start w:val="1"/>
      <w:numFmt w:val="bullet"/>
      <w:lvlText w:val="•"/>
      <w:lvlJc w:val="left"/>
      <w:pPr>
        <w:tabs>
          <w:tab w:val="num" w:pos="5040"/>
        </w:tabs>
        <w:ind w:left="5040" w:hanging="360"/>
      </w:pPr>
      <w:rPr>
        <w:rFonts w:ascii="Arial" w:hAnsi="Arial" w:hint="default"/>
      </w:rPr>
    </w:lvl>
    <w:lvl w:ilvl="7" w:tplc="D6086C10" w:tentative="1">
      <w:start w:val="1"/>
      <w:numFmt w:val="bullet"/>
      <w:lvlText w:val="•"/>
      <w:lvlJc w:val="left"/>
      <w:pPr>
        <w:tabs>
          <w:tab w:val="num" w:pos="5760"/>
        </w:tabs>
        <w:ind w:left="5760" w:hanging="360"/>
      </w:pPr>
      <w:rPr>
        <w:rFonts w:ascii="Arial" w:hAnsi="Arial" w:hint="default"/>
      </w:rPr>
    </w:lvl>
    <w:lvl w:ilvl="8" w:tplc="10FAAD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A5392B"/>
    <w:multiLevelType w:val="hybridMultilevel"/>
    <w:tmpl w:val="E3D8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843F92"/>
    <w:multiLevelType w:val="hybridMultilevel"/>
    <w:tmpl w:val="C8444CA6"/>
    <w:lvl w:ilvl="0" w:tplc="24820D9E">
      <w:start w:val="3"/>
      <w:numFmt w:val="bullet"/>
      <w:lvlText w:val="-"/>
      <w:lvlJc w:val="left"/>
      <w:pPr>
        <w:ind w:left="720" w:hanging="360"/>
      </w:pPr>
      <w:rPr>
        <w:rFonts w:ascii="Franklin Gothic Book" w:eastAsia="Calibri"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376200"/>
    <w:multiLevelType w:val="hybridMultilevel"/>
    <w:tmpl w:val="AB321B94"/>
    <w:lvl w:ilvl="0" w:tplc="3FE46872">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2802FD"/>
    <w:multiLevelType w:val="multilevel"/>
    <w:tmpl w:val="A04E3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A5F4208"/>
    <w:multiLevelType w:val="hybridMultilevel"/>
    <w:tmpl w:val="E5E40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514189"/>
    <w:multiLevelType w:val="hybridMultilevel"/>
    <w:tmpl w:val="D2687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3F2815"/>
    <w:multiLevelType w:val="hybridMultilevel"/>
    <w:tmpl w:val="C20A930E"/>
    <w:lvl w:ilvl="0" w:tplc="E26E1BC8">
      <w:start w:val="1"/>
      <w:numFmt w:val="bullet"/>
      <w:lvlText w:val="•"/>
      <w:lvlJc w:val="left"/>
      <w:pPr>
        <w:tabs>
          <w:tab w:val="num" w:pos="720"/>
        </w:tabs>
        <w:ind w:left="720" w:hanging="360"/>
      </w:pPr>
      <w:rPr>
        <w:rFonts w:ascii="Arial" w:hAnsi="Arial" w:hint="default"/>
      </w:rPr>
    </w:lvl>
    <w:lvl w:ilvl="1" w:tplc="07F8F11C">
      <w:start w:val="1"/>
      <w:numFmt w:val="bullet"/>
      <w:lvlText w:val="•"/>
      <w:lvlJc w:val="left"/>
      <w:pPr>
        <w:tabs>
          <w:tab w:val="num" w:pos="1440"/>
        </w:tabs>
        <w:ind w:left="1440" w:hanging="360"/>
      </w:pPr>
      <w:rPr>
        <w:rFonts w:ascii="Arial" w:hAnsi="Arial" w:hint="default"/>
      </w:rPr>
    </w:lvl>
    <w:lvl w:ilvl="2" w:tplc="837EE558" w:tentative="1">
      <w:start w:val="1"/>
      <w:numFmt w:val="bullet"/>
      <w:lvlText w:val="•"/>
      <w:lvlJc w:val="left"/>
      <w:pPr>
        <w:tabs>
          <w:tab w:val="num" w:pos="2160"/>
        </w:tabs>
        <w:ind w:left="2160" w:hanging="360"/>
      </w:pPr>
      <w:rPr>
        <w:rFonts w:ascii="Arial" w:hAnsi="Arial" w:hint="default"/>
      </w:rPr>
    </w:lvl>
    <w:lvl w:ilvl="3" w:tplc="001A240C" w:tentative="1">
      <w:start w:val="1"/>
      <w:numFmt w:val="bullet"/>
      <w:lvlText w:val="•"/>
      <w:lvlJc w:val="left"/>
      <w:pPr>
        <w:tabs>
          <w:tab w:val="num" w:pos="2880"/>
        </w:tabs>
        <w:ind w:left="2880" w:hanging="360"/>
      </w:pPr>
      <w:rPr>
        <w:rFonts w:ascii="Arial" w:hAnsi="Arial" w:hint="default"/>
      </w:rPr>
    </w:lvl>
    <w:lvl w:ilvl="4" w:tplc="2AE26AF4" w:tentative="1">
      <w:start w:val="1"/>
      <w:numFmt w:val="bullet"/>
      <w:lvlText w:val="•"/>
      <w:lvlJc w:val="left"/>
      <w:pPr>
        <w:tabs>
          <w:tab w:val="num" w:pos="3600"/>
        </w:tabs>
        <w:ind w:left="3600" w:hanging="360"/>
      </w:pPr>
      <w:rPr>
        <w:rFonts w:ascii="Arial" w:hAnsi="Arial" w:hint="default"/>
      </w:rPr>
    </w:lvl>
    <w:lvl w:ilvl="5" w:tplc="9B06CA2C" w:tentative="1">
      <w:start w:val="1"/>
      <w:numFmt w:val="bullet"/>
      <w:lvlText w:val="•"/>
      <w:lvlJc w:val="left"/>
      <w:pPr>
        <w:tabs>
          <w:tab w:val="num" w:pos="4320"/>
        </w:tabs>
        <w:ind w:left="4320" w:hanging="360"/>
      </w:pPr>
      <w:rPr>
        <w:rFonts w:ascii="Arial" w:hAnsi="Arial" w:hint="default"/>
      </w:rPr>
    </w:lvl>
    <w:lvl w:ilvl="6" w:tplc="B76C36F8" w:tentative="1">
      <w:start w:val="1"/>
      <w:numFmt w:val="bullet"/>
      <w:lvlText w:val="•"/>
      <w:lvlJc w:val="left"/>
      <w:pPr>
        <w:tabs>
          <w:tab w:val="num" w:pos="5040"/>
        </w:tabs>
        <w:ind w:left="5040" w:hanging="360"/>
      </w:pPr>
      <w:rPr>
        <w:rFonts w:ascii="Arial" w:hAnsi="Arial" w:hint="default"/>
      </w:rPr>
    </w:lvl>
    <w:lvl w:ilvl="7" w:tplc="1ABE53A6" w:tentative="1">
      <w:start w:val="1"/>
      <w:numFmt w:val="bullet"/>
      <w:lvlText w:val="•"/>
      <w:lvlJc w:val="left"/>
      <w:pPr>
        <w:tabs>
          <w:tab w:val="num" w:pos="5760"/>
        </w:tabs>
        <w:ind w:left="5760" w:hanging="360"/>
      </w:pPr>
      <w:rPr>
        <w:rFonts w:ascii="Arial" w:hAnsi="Arial" w:hint="default"/>
      </w:rPr>
    </w:lvl>
    <w:lvl w:ilvl="8" w:tplc="68B427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B90D8F"/>
    <w:multiLevelType w:val="hybridMultilevel"/>
    <w:tmpl w:val="C5B09BBC"/>
    <w:lvl w:ilvl="0" w:tplc="7CA8D618">
      <w:numFmt w:val="bullet"/>
      <w:lvlText w:val="•"/>
      <w:lvlJc w:val="left"/>
      <w:pPr>
        <w:ind w:left="1440" w:hanging="720"/>
      </w:pPr>
      <w:rPr>
        <w:rFonts w:ascii="Franklin Gothic Book" w:eastAsiaTheme="minorHAnsi" w:hAnsi="Franklin Gothic Book"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BEC0874"/>
    <w:multiLevelType w:val="hybridMultilevel"/>
    <w:tmpl w:val="E2382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36270A"/>
    <w:multiLevelType w:val="hybridMultilevel"/>
    <w:tmpl w:val="EC7AB7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7C92149"/>
    <w:multiLevelType w:val="hybridMultilevel"/>
    <w:tmpl w:val="28A23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B25257"/>
    <w:multiLevelType w:val="hybridMultilevel"/>
    <w:tmpl w:val="4992E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12ADD"/>
    <w:multiLevelType w:val="hybridMultilevel"/>
    <w:tmpl w:val="5596B5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554663"/>
    <w:multiLevelType w:val="hybridMultilevel"/>
    <w:tmpl w:val="DD86D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F3752D"/>
    <w:multiLevelType w:val="hybridMultilevel"/>
    <w:tmpl w:val="E14A5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492CCD"/>
    <w:multiLevelType w:val="hybridMultilevel"/>
    <w:tmpl w:val="3F0E45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C1B4842"/>
    <w:multiLevelType w:val="hybridMultilevel"/>
    <w:tmpl w:val="A378CF22"/>
    <w:lvl w:ilvl="0" w:tplc="FE3CDE06">
      <w:start w:val="1"/>
      <w:numFmt w:val="decimal"/>
      <w:lvlText w:val="%1."/>
      <w:lvlJc w:val="left"/>
      <w:pPr>
        <w:tabs>
          <w:tab w:val="num" w:pos="720"/>
        </w:tabs>
        <w:ind w:left="720" w:hanging="360"/>
      </w:pPr>
    </w:lvl>
    <w:lvl w:ilvl="1" w:tplc="199A9BDE" w:tentative="1">
      <w:start w:val="1"/>
      <w:numFmt w:val="decimal"/>
      <w:lvlText w:val="%2."/>
      <w:lvlJc w:val="left"/>
      <w:pPr>
        <w:tabs>
          <w:tab w:val="num" w:pos="1440"/>
        </w:tabs>
        <w:ind w:left="1440" w:hanging="360"/>
      </w:pPr>
    </w:lvl>
    <w:lvl w:ilvl="2" w:tplc="06C2B914" w:tentative="1">
      <w:start w:val="1"/>
      <w:numFmt w:val="decimal"/>
      <w:lvlText w:val="%3."/>
      <w:lvlJc w:val="left"/>
      <w:pPr>
        <w:tabs>
          <w:tab w:val="num" w:pos="2160"/>
        </w:tabs>
        <w:ind w:left="2160" w:hanging="360"/>
      </w:pPr>
    </w:lvl>
    <w:lvl w:ilvl="3" w:tplc="B2D0836A" w:tentative="1">
      <w:start w:val="1"/>
      <w:numFmt w:val="decimal"/>
      <w:lvlText w:val="%4."/>
      <w:lvlJc w:val="left"/>
      <w:pPr>
        <w:tabs>
          <w:tab w:val="num" w:pos="2880"/>
        </w:tabs>
        <w:ind w:left="2880" w:hanging="360"/>
      </w:pPr>
    </w:lvl>
    <w:lvl w:ilvl="4" w:tplc="E0A8329E" w:tentative="1">
      <w:start w:val="1"/>
      <w:numFmt w:val="decimal"/>
      <w:lvlText w:val="%5."/>
      <w:lvlJc w:val="left"/>
      <w:pPr>
        <w:tabs>
          <w:tab w:val="num" w:pos="3600"/>
        </w:tabs>
        <w:ind w:left="3600" w:hanging="360"/>
      </w:pPr>
    </w:lvl>
    <w:lvl w:ilvl="5" w:tplc="54F23B9A" w:tentative="1">
      <w:start w:val="1"/>
      <w:numFmt w:val="decimal"/>
      <w:lvlText w:val="%6."/>
      <w:lvlJc w:val="left"/>
      <w:pPr>
        <w:tabs>
          <w:tab w:val="num" w:pos="4320"/>
        </w:tabs>
        <w:ind w:left="4320" w:hanging="360"/>
      </w:pPr>
    </w:lvl>
    <w:lvl w:ilvl="6" w:tplc="CC3EEC04" w:tentative="1">
      <w:start w:val="1"/>
      <w:numFmt w:val="decimal"/>
      <w:lvlText w:val="%7."/>
      <w:lvlJc w:val="left"/>
      <w:pPr>
        <w:tabs>
          <w:tab w:val="num" w:pos="5040"/>
        </w:tabs>
        <w:ind w:left="5040" w:hanging="360"/>
      </w:pPr>
    </w:lvl>
    <w:lvl w:ilvl="7" w:tplc="DC962A8E" w:tentative="1">
      <w:start w:val="1"/>
      <w:numFmt w:val="decimal"/>
      <w:lvlText w:val="%8."/>
      <w:lvlJc w:val="left"/>
      <w:pPr>
        <w:tabs>
          <w:tab w:val="num" w:pos="5760"/>
        </w:tabs>
        <w:ind w:left="5760" w:hanging="360"/>
      </w:pPr>
    </w:lvl>
    <w:lvl w:ilvl="8" w:tplc="179E7DBA" w:tentative="1">
      <w:start w:val="1"/>
      <w:numFmt w:val="decimal"/>
      <w:lvlText w:val="%9."/>
      <w:lvlJc w:val="left"/>
      <w:pPr>
        <w:tabs>
          <w:tab w:val="num" w:pos="6480"/>
        </w:tabs>
        <w:ind w:left="6480" w:hanging="360"/>
      </w:pPr>
    </w:lvl>
  </w:abstractNum>
  <w:abstractNum w:abstractNumId="30" w15:restartNumberingAfterBreak="0">
    <w:nsid w:val="5C5A2F97"/>
    <w:multiLevelType w:val="hybridMultilevel"/>
    <w:tmpl w:val="DCD42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337B39"/>
    <w:multiLevelType w:val="hybridMultilevel"/>
    <w:tmpl w:val="0D96A1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1465DF0"/>
    <w:multiLevelType w:val="hybridMultilevel"/>
    <w:tmpl w:val="7794DD12"/>
    <w:lvl w:ilvl="0" w:tplc="708419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FF29D5"/>
    <w:multiLevelType w:val="hybridMultilevel"/>
    <w:tmpl w:val="7BC82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7E7F41"/>
    <w:multiLevelType w:val="hybridMultilevel"/>
    <w:tmpl w:val="8356F9B8"/>
    <w:lvl w:ilvl="0" w:tplc="0C090001">
      <w:start w:val="1"/>
      <w:numFmt w:val="bullet"/>
      <w:lvlText w:val=""/>
      <w:lvlJc w:val="left"/>
      <w:pPr>
        <w:ind w:left="1440" w:hanging="72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6C53B94"/>
    <w:multiLevelType w:val="hybridMultilevel"/>
    <w:tmpl w:val="9C0A9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abstractNum w:abstractNumId="38" w15:restartNumberingAfterBreak="0">
    <w:nsid w:val="7FF4120C"/>
    <w:multiLevelType w:val="hybridMultilevel"/>
    <w:tmpl w:val="164A9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7"/>
  </w:num>
  <w:num w:numId="3">
    <w:abstractNumId w:val="5"/>
  </w:num>
  <w:num w:numId="4">
    <w:abstractNumId w:val="10"/>
  </w:num>
  <w:num w:numId="5">
    <w:abstractNumId w:val="36"/>
  </w:num>
  <w:num w:numId="6">
    <w:abstractNumId w:val="11"/>
  </w:num>
  <w:num w:numId="7">
    <w:abstractNumId w:val="12"/>
  </w:num>
  <w:num w:numId="8">
    <w:abstractNumId w:val="16"/>
  </w:num>
  <w:num w:numId="9">
    <w:abstractNumId w:val="0"/>
  </w:num>
  <w:num w:numId="10">
    <w:abstractNumId w:val="17"/>
  </w:num>
  <w:num w:numId="11">
    <w:abstractNumId w:val="22"/>
  </w:num>
  <w:num w:numId="12">
    <w:abstractNumId w:val="19"/>
  </w:num>
  <w:num w:numId="13">
    <w:abstractNumId w:val="1"/>
  </w:num>
  <w:num w:numId="14">
    <w:abstractNumId w:val="24"/>
  </w:num>
  <w:num w:numId="15">
    <w:abstractNumId w:val="34"/>
  </w:num>
  <w:num w:numId="16">
    <w:abstractNumId w:val="30"/>
  </w:num>
  <w:num w:numId="17">
    <w:abstractNumId w:val="35"/>
  </w:num>
  <w:num w:numId="18">
    <w:abstractNumId w:val="21"/>
  </w:num>
  <w:num w:numId="19">
    <w:abstractNumId w:val="23"/>
  </w:num>
  <w:num w:numId="20">
    <w:abstractNumId w:val="27"/>
  </w:num>
  <w:num w:numId="21">
    <w:abstractNumId w:val="38"/>
  </w:num>
  <w:num w:numId="22">
    <w:abstractNumId w:val="14"/>
  </w:num>
  <w:num w:numId="23">
    <w:abstractNumId w:val="6"/>
  </w:num>
  <w:num w:numId="24">
    <w:abstractNumId w:val="7"/>
  </w:num>
  <w:num w:numId="25">
    <w:abstractNumId w:val="20"/>
  </w:num>
  <w:num w:numId="26">
    <w:abstractNumId w:val="13"/>
  </w:num>
  <w:num w:numId="27">
    <w:abstractNumId w:val="33"/>
  </w:num>
  <w:num w:numId="28">
    <w:abstractNumId w:val="31"/>
  </w:num>
  <w:num w:numId="29">
    <w:abstractNumId w:val="26"/>
  </w:num>
  <w:num w:numId="30">
    <w:abstractNumId w:val="9"/>
  </w:num>
  <w:num w:numId="31">
    <w:abstractNumId w:val="29"/>
  </w:num>
  <w:num w:numId="32">
    <w:abstractNumId w:val="4"/>
  </w:num>
  <w:num w:numId="33">
    <w:abstractNumId w:val="15"/>
  </w:num>
  <w:num w:numId="34">
    <w:abstractNumId w:val="18"/>
  </w:num>
  <w:num w:numId="35">
    <w:abstractNumId w:val="3"/>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5"/>
  </w:num>
  <w:num w:numId="39">
    <w:abstractNumId w:val="8"/>
  </w:num>
  <w:num w:numId="40">
    <w:abstractNumId w:val="28"/>
  </w:num>
  <w:num w:numId="4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C88"/>
    <w:rsid w:val="0000109A"/>
    <w:rsid w:val="00001AE6"/>
    <w:rsid w:val="00001D55"/>
    <w:rsid w:val="0000260D"/>
    <w:rsid w:val="000029B4"/>
    <w:rsid w:val="00004D69"/>
    <w:rsid w:val="00004F7F"/>
    <w:rsid w:val="000051C5"/>
    <w:rsid w:val="000054C9"/>
    <w:rsid w:val="00006248"/>
    <w:rsid w:val="00006357"/>
    <w:rsid w:val="00011568"/>
    <w:rsid w:val="00011BE2"/>
    <w:rsid w:val="00012860"/>
    <w:rsid w:val="00012C1E"/>
    <w:rsid w:val="000137A0"/>
    <w:rsid w:val="00014969"/>
    <w:rsid w:val="00014974"/>
    <w:rsid w:val="00015E0E"/>
    <w:rsid w:val="0001727E"/>
    <w:rsid w:val="000228B8"/>
    <w:rsid w:val="0002381B"/>
    <w:rsid w:val="00024EA5"/>
    <w:rsid w:val="00024FFB"/>
    <w:rsid w:val="0002755F"/>
    <w:rsid w:val="000302DC"/>
    <w:rsid w:val="000322AD"/>
    <w:rsid w:val="0003423A"/>
    <w:rsid w:val="0003477F"/>
    <w:rsid w:val="00036AD8"/>
    <w:rsid w:val="00036E3B"/>
    <w:rsid w:val="00037037"/>
    <w:rsid w:val="00037302"/>
    <w:rsid w:val="0004005D"/>
    <w:rsid w:val="00040ADF"/>
    <w:rsid w:val="00040FB4"/>
    <w:rsid w:val="0004178C"/>
    <w:rsid w:val="000418DE"/>
    <w:rsid w:val="00041F5D"/>
    <w:rsid w:val="000443A6"/>
    <w:rsid w:val="000449D1"/>
    <w:rsid w:val="00045B8D"/>
    <w:rsid w:val="00045CC5"/>
    <w:rsid w:val="0004694B"/>
    <w:rsid w:val="00046B6A"/>
    <w:rsid w:val="000472D4"/>
    <w:rsid w:val="00052DD3"/>
    <w:rsid w:val="0005326D"/>
    <w:rsid w:val="00053F6C"/>
    <w:rsid w:val="00061D0E"/>
    <w:rsid w:val="0006339C"/>
    <w:rsid w:val="000645C7"/>
    <w:rsid w:val="00064783"/>
    <w:rsid w:val="000647C2"/>
    <w:rsid w:val="00064C59"/>
    <w:rsid w:val="00067311"/>
    <w:rsid w:val="00067D20"/>
    <w:rsid w:val="0007021F"/>
    <w:rsid w:val="0007068A"/>
    <w:rsid w:val="000709A0"/>
    <w:rsid w:val="000723F4"/>
    <w:rsid w:val="00074199"/>
    <w:rsid w:val="00080241"/>
    <w:rsid w:val="00080465"/>
    <w:rsid w:val="0008062A"/>
    <w:rsid w:val="0008063C"/>
    <w:rsid w:val="00080E07"/>
    <w:rsid w:val="0008166D"/>
    <w:rsid w:val="00081778"/>
    <w:rsid w:val="000827F8"/>
    <w:rsid w:val="00084E13"/>
    <w:rsid w:val="00084E40"/>
    <w:rsid w:val="0008606C"/>
    <w:rsid w:val="000869FC"/>
    <w:rsid w:val="000870B6"/>
    <w:rsid w:val="00090613"/>
    <w:rsid w:val="00090BD1"/>
    <w:rsid w:val="00091857"/>
    <w:rsid w:val="00091C59"/>
    <w:rsid w:val="00092A21"/>
    <w:rsid w:val="00093B76"/>
    <w:rsid w:val="00093D9A"/>
    <w:rsid w:val="0009450E"/>
    <w:rsid w:val="00094656"/>
    <w:rsid w:val="00096B52"/>
    <w:rsid w:val="00097DC1"/>
    <w:rsid w:val="000A10BF"/>
    <w:rsid w:val="000A2ACD"/>
    <w:rsid w:val="000A2B65"/>
    <w:rsid w:val="000A2DA8"/>
    <w:rsid w:val="000A5C47"/>
    <w:rsid w:val="000A629E"/>
    <w:rsid w:val="000A6B30"/>
    <w:rsid w:val="000A70EF"/>
    <w:rsid w:val="000A74BC"/>
    <w:rsid w:val="000B1399"/>
    <w:rsid w:val="000B3330"/>
    <w:rsid w:val="000B4601"/>
    <w:rsid w:val="000B6CF0"/>
    <w:rsid w:val="000B720C"/>
    <w:rsid w:val="000B7665"/>
    <w:rsid w:val="000B7777"/>
    <w:rsid w:val="000C11A4"/>
    <w:rsid w:val="000C24DC"/>
    <w:rsid w:val="000C2A87"/>
    <w:rsid w:val="000C3D25"/>
    <w:rsid w:val="000C620A"/>
    <w:rsid w:val="000C72E6"/>
    <w:rsid w:val="000C7C46"/>
    <w:rsid w:val="000D01CA"/>
    <w:rsid w:val="000D1B52"/>
    <w:rsid w:val="000D323C"/>
    <w:rsid w:val="000D4C1B"/>
    <w:rsid w:val="000D5523"/>
    <w:rsid w:val="000D6EAF"/>
    <w:rsid w:val="000E03DC"/>
    <w:rsid w:val="000E1124"/>
    <w:rsid w:val="000E2504"/>
    <w:rsid w:val="000E4075"/>
    <w:rsid w:val="000E455F"/>
    <w:rsid w:val="000E5531"/>
    <w:rsid w:val="000E5686"/>
    <w:rsid w:val="000E6410"/>
    <w:rsid w:val="000E678B"/>
    <w:rsid w:val="000E73BB"/>
    <w:rsid w:val="000E7FB6"/>
    <w:rsid w:val="000F09FE"/>
    <w:rsid w:val="000F18E5"/>
    <w:rsid w:val="000F2E01"/>
    <w:rsid w:val="000F367A"/>
    <w:rsid w:val="000F54DC"/>
    <w:rsid w:val="000F5A54"/>
    <w:rsid w:val="000F6395"/>
    <w:rsid w:val="000F7987"/>
    <w:rsid w:val="0010051C"/>
    <w:rsid w:val="00101475"/>
    <w:rsid w:val="00101C4E"/>
    <w:rsid w:val="0010448B"/>
    <w:rsid w:val="00104751"/>
    <w:rsid w:val="0010521F"/>
    <w:rsid w:val="00105584"/>
    <w:rsid w:val="0010625A"/>
    <w:rsid w:val="00107524"/>
    <w:rsid w:val="00107DCD"/>
    <w:rsid w:val="00107EF0"/>
    <w:rsid w:val="00111417"/>
    <w:rsid w:val="00113C60"/>
    <w:rsid w:val="00114C3B"/>
    <w:rsid w:val="00115691"/>
    <w:rsid w:val="00116944"/>
    <w:rsid w:val="00117039"/>
    <w:rsid w:val="0011732B"/>
    <w:rsid w:val="00117F04"/>
    <w:rsid w:val="00120BD3"/>
    <w:rsid w:val="00122AE3"/>
    <w:rsid w:val="00122EE1"/>
    <w:rsid w:val="00123658"/>
    <w:rsid w:val="001237AF"/>
    <w:rsid w:val="001247EB"/>
    <w:rsid w:val="00124F3C"/>
    <w:rsid w:val="00125B61"/>
    <w:rsid w:val="00126122"/>
    <w:rsid w:val="00131CA7"/>
    <w:rsid w:val="00131D45"/>
    <w:rsid w:val="001320F0"/>
    <w:rsid w:val="001329DF"/>
    <w:rsid w:val="001336E0"/>
    <w:rsid w:val="00133AD3"/>
    <w:rsid w:val="00133F34"/>
    <w:rsid w:val="0013405E"/>
    <w:rsid w:val="00135273"/>
    <w:rsid w:val="00135FC9"/>
    <w:rsid w:val="00137A48"/>
    <w:rsid w:val="00142156"/>
    <w:rsid w:val="00143478"/>
    <w:rsid w:val="001434D7"/>
    <w:rsid w:val="00143564"/>
    <w:rsid w:val="00143F2F"/>
    <w:rsid w:val="00146624"/>
    <w:rsid w:val="00150376"/>
    <w:rsid w:val="00151DBD"/>
    <w:rsid w:val="00152964"/>
    <w:rsid w:val="001531D6"/>
    <w:rsid w:val="00155434"/>
    <w:rsid w:val="00155BDA"/>
    <w:rsid w:val="00156FA7"/>
    <w:rsid w:val="0016023A"/>
    <w:rsid w:val="00161687"/>
    <w:rsid w:val="00162351"/>
    <w:rsid w:val="00162DBF"/>
    <w:rsid w:val="00163717"/>
    <w:rsid w:val="00164CF8"/>
    <w:rsid w:val="001653AE"/>
    <w:rsid w:val="001670F2"/>
    <w:rsid w:val="001674BF"/>
    <w:rsid w:val="00170D5B"/>
    <w:rsid w:val="00172B8F"/>
    <w:rsid w:val="001736F8"/>
    <w:rsid w:val="00173D62"/>
    <w:rsid w:val="00173D85"/>
    <w:rsid w:val="0017437B"/>
    <w:rsid w:val="00174CB0"/>
    <w:rsid w:val="00174FD4"/>
    <w:rsid w:val="001770DC"/>
    <w:rsid w:val="0018106C"/>
    <w:rsid w:val="00184BAE"/>
    <w:rsid w:val="00186777"/>
    <w:rsid w:val="00187542"/>
    <w:rsid w:val="0019035E"/>
    <w:rsid w:val="00191EBD"/>
    <w:rsid w:val="0019362A"/>
    <w:rsid w:val="00194018"/>
    <w:rsid w:val="0019474E"/>
    <w:rsid w:val="00195728"/>
    <w:rsid w:val="001970C0"/>
    <w:rsid w:val="001A1CB7"/>
    <w:rsid w:val="001A3399"/>
    <w:rsid w:val="001A420B"/>
    <w:rsid w:val="001A4B97"/>
    <w:rsid w:val="001A4F7D"/>
    <w:rsid w:val="001A7B42"/>
    <w:rsid w:val="001A7D8F"/>
    <w:rsid w:val="001B0FD1"/>
    <w:rsid w:val="001B22D0"/>
    <w:rsid w:val="001B2A97"/>
    <w:rsid w:val="001B2CD4"/>
    <w:rsid w:val="001B3735"/>
    <w:rsid w:val="001B4687"/>
    <w:rsid w:val="001B7329"/>
    <w:rsid w:val="001C0804"/>
    <w:rsid w:val="001C174A"/>
    <w:rsid w:val="001C1D05"/>
    <w:rsid w:val="001C2A48"/>
    <w:rsid w:val="001C6154"/>
    <w:rsid w:val="001C69E3"/>
    <w:rsid w:val="001C6AC7"/>
    <w:rsid w:val="001C6DFD"/>
    <w:rsid w:val="001D24B1"/>
    <w:rsid w:val="001D32C0"/>
    <w:rsid w:val="001D3A64"/>
    <w:rsid w:val="001D5793"/>
    <w:rsid w:val="001D73AE"/>
    <w:rsid w:val="001D74A7"/>
    <w:rsid w:val="001E02B3"/>
    <w:rsid w:val="001E15F2"/>
    <w:rsid w:val="001E1D49"/>
    <w:rsid w:val="001E22F7"/>
    <w:rsid w:val="001E2B80"/>
    <w:rsid w:val="001E3932"/>
    <w:rsid w:val="001E465F"/>
    <w:rsid w:val="001F1B23"/>
    <w:rsid w:val="001F2902"/>
    <w:rsid w:val="001F3F36"/>
    <w:rsid w:val="001F658C"/>
    <w:rsid w:val="001F675C"/>
    <w:rsid w:val="001F6B77"/>
    <w:rsid w:val="001F6E9E"/>
    <w:rsid w:val="001F6F44"/>
    <w:rsid w:val="001F7563"/>
    <w:rsid w:val="002005C6"/>
    <w:rsid w:val="00202578"/>
    <w:rsid w:val="00203132"/>
    <w:rsid w:val="00207F59"/>
    <w:rsid w:val="00211DC3"/>
    <w:rsid w:val="002142E3"/>
    <w:rsid w:val="002155B6"/>
    <w:rsid w:val="002157E4"/>
    <w:rsid w:val="00215AFB"/>
    <w:rsid w:val="00215DEA"/>
    <w:rsid w:val="002200D8"/>
    <w:rsid w:val="002224C8"/>
    <w:rsid w:val="00223664"/>
    <w:rsid w:val="00223A1D"/>
    <w:rsid w:val="00223A56"/>
    <w:rsid w:val="00225742"/>
    <w:rsid w:val="002257F1"/>
    <w:rsid w:val="00225833"/>
    <w:rsid w:val="00226095"/>
    <w:rsid w:val="00227B89"/>
    <w:rsid w:val="00227F43"/>
    <w:rsid w:val="002321EF"/>
    <w:rsid w:val="0023388E"/>
    <w:rsid w:val="00233C71"/>
    <w:rsid w:val="00234640"/>
    <w:rsid w:val="00237881"/>
    <w:rsid w:val="00237B9E"/>
    <w:rsid w:val="00237C2A"/>
    <w:rsid w:val="00240106"/>
    <w:rsid w:val="002411C7"/>
    <w:rsid w:val="00242B2E"/>
    <w:rsid w:val="00242F4E"/>
    <w:rsid w:val="002452A0"/>
    <w:rsid w:val="002463A6"/>
    <w:rsid w:val="00246ADB"/>
    <w:rsid w:val="002517A5"/>
    <w:rsid w:val="00251F6C"/>
    <w:rsid w:val="0025249C"/>
    <w:rsid w:val="002539ED"/>
    <w:rsid w:val="00253FE8"/>
    <w:rsid w:val="0025440D"/>
    <w:rsid w:val="0025450E"/>
    <w:rsid w:val="00255152"/>
    <w:rsid w:val="0025554E"/>
    <w:rsid w:val="002614D5"/>
    <w:rsid w:val="0026373A"/>
    <w:rsid w:val="002638F4"/>
    <w:rsid w:val="00264EA5"/>
    <w:rsid w:val="00266C71"/>
    <w:rsid w:val="0027160C"/>
    <w:rsid w:val="00272E65"/>
    <w:rsid w:val="002751D1"/>
    <w:rsid w:val="00275209"/>
    <w:rsid w:val="002829EC"/>
    <w:rsid w:val="00284340"/>
    <w:rsid w:val="00287E78"/>
    <w:rsid w:val="00290676"/>
    <w:rsid w:val="00291462"/>
    <w:rsid w:val="00291572"/>
    <w:rsid w:val="0029231D"/>
    <w:rsid w:val="00292822"/>
    <w:rsid w:val="00296C5F"/>
    <w:rsid w:val="00297133"/>
    <w:rsid w:val="00297DE6"/>
    <w:rsid w:val="002A04B4"/>
    <w:rsid w:val="002A04CF"/>
    <w:rsid w:val="002A0A22"/>
    <w:rsid w:val="002A145B"/>
    <w:rsid w:val="002A18BE"/>
    <w:rsid w:val="002A36F6"/>
    <w:rsid w:val="002A4084"/>
    <w:rsid w:val="002A4AD6"/>
    <w:rsid w:val="002A7196"/>
    <w:rsid w:val="002A76AE"/>
    <w:rsid w:val="002A7B3B"/>
    <w:rsid w:val="002A7D1B"/>
    <w:rsid w:val="002B1384"/>
    <w:rsid w:val="002B2348"/>
    <w:rsid w:val="002B3681"/>
    <w:rsid w:val="002B4A21"/>
    <w:rsid w:val="002B5DC3"/>
    <w:rsid w:val="002B667C"/>
    <w:rsid w:val="002B739E"/>
    <w:rsid w:val="002C11CA"/>
    <w:rsid w:val="002C2F3D"/>
    <w:rsid w:val="002C45E8"/>
    <w:rsid w:val="002C49A3"/>
    <w:rsid w:val="002C70CE"/>
    <w:rsid w:val="002C7116"/>
    <w:rsid w:val="002D4D30"/>
    <w:rsid w:val="002D5097"/>
    <w:rsid w:val="002D5300"/>
    <w:rsid w:val="002D55E4"/>
    <w:rsid w:val="002D690D"/>
    <w:rsid w:val="002D7D98"/>
    <w:rsid w:val="002E4E7F"/>
    <w:rsid w:val="002E5096"/>
    <w:rsid w:val="002E6137"/>
    <w:rsid w:val="002E63BE"/>
    <w:rsid w:val="002E6F6D"/>
    <w:rsid w:val="002E7775"/>
    <w:rsid w:val="002E7AD2"/>
    <w:rsid w:val="002E7C3D"/>
    <w:rsid w:val="002F05A0"/>
    <w:rsid w:val="002F1399"/>
    <w:rsid w:val="002F1C9D"/>
    <w:rsid w:val="002F1D85"/>
    <w:rsid w:val="002F32FB"/>
    <w:rsid w:val="002F3385"/>
    <w:rsid w:val="002F39DC"/>
    <w:rsid w:val="002F3DF9"/>
    <w:rsid w:val="002F3EC4"/>
    <w:rsid w:val="002F5611"/>
    <w:rsid w:val="002F5AC2"/>
    <w:rsid w:val="002F5F5E"/>
    <w:rsid w:val="002F5F85"/>
    <w:rsid w:val="002F693F"/>
    <w:rsid w:val="002F76A9"/>
    <w:rsid w:val="003008CC"/>
    <w:rsid w:val="00301763"/>
    <w:rsid w:val="00301E00"/>
    <w:rsid w:val="00302252"/>
    <w:rsid w:val="0030274C"/>
    <w:rsid w:val="00303C60"/>
    <w:rsid w:val="00304FB8"/>
    <w:rsid w:val="00307299"/>
    <w:rsid w:val="003079A5"/>
    <w:rsid w:val="00310125"/>
    <w:rsid w:val="00310B9B"/>
    <w:rsid w:val="00310C3F"/>
    <w:rsid w:val="003126FB"/>
    <w:rsid w:val="003138DE"/>
    <w:rsid w:val="00313D4F"/>
    <w:rsid w:val="003140D2"/>
    <w:rsid w:val="00317714"/>
    <w:rsid w:val="00320A17"/>
    <w:rsid w:val="00322DA9"/>
    <w:rsid w:val="00323AF6"/>
    <w:rsid w:val="00325094"/>
    <w:rsid w:val="003251C2"/>
    <w:rsid w:val="00325F1D"/>
    <w:rsid w:val="00325FA0"/>
    <w:rsid w:val="00326C36"/>
    <w:rsid w:val="00326F1C"/>
    <w:rsid w:val="00327162"/>
    <w:rsid w:val="00330A0A"/>
    <w:rsid w:val="00331310"/>
    <w:rsid w:val="0033280F"/>
    <w:rsid w:val="003328A9"/>
    <w:rsid w:val="00333262"/>
    <w:rsid w:val="0033369F"/>
    <w:rsid w:val="003338D7"/>
    <w:rsid w:val="00333B68"/>
    <w:rsid w:val="00335214"/>
    <w:rsid w:val="003371B5"/>
    <w:rsid w:val="00337BAF"/>
    <w:rsid w:val="00340341"/>
    <w:rsid w:val="003406C5"/>
    <w:rsid w:val="003417CB"/>
    <w:rsid w:val="00342F73"/>
    <w:rsid w:val="003435A9"/>
    <w:rsid w:val="00344649"/>
    <w:rsid w:val="00345496"/>
    <w:rsid w:val="003455CF"/>
    <w:rsid w:val="00345BCF"/>
    <w:rsid w:val="00346372"/>
    <w:rsid w:val="003466F9"/>
    <w:rsid w:val="00347E47"/>
    <w:rsid w:val="00350092"/>
    <w:rsid w:val="003519AD"/>
    <w:rsid w:val="00351B97"/>
    <w:rsid w:val="00351E0E"/>
    <w:rsid w:val="003532EC"/>
    <w:rsid w:val="00354EB4"/>
    <w:rsid w:val="00356D29"/>
    <w:rsid w:val="003571C2"/>
    <w:rsid w:val="0036085E"/>
    <w:rsid w:val="003640A7"/>
    <w:rsid w:val="00365447"/>
    <w:rsid w:val="003660E4"/>
    <w:rsid w:val="003678E4"/>
    <w:rsid w:val="0036794E"/>
    <w:rsid w:val="00373269"/>
    <w:rsid w:val="00374E95"/>
    <w:rsid w:val="00375975"/>
    <w:rsid w:val="0038146C"/>
    <w:rsid w:val="00382609"/>
    <w:rsid w:val="00383269"/>
    <w:rsid w:val="00383766"/>
    <w:rsid w:val="00385C82"/>
    <w:rsid w:val="00386124"/>
    <w:rsid w:val="003864D5"/>
    <w:rsid w:val="00387A80"/>
    <w:rsid w:val="00390567"/>
    <w:rsid w:val="00391371"/>
    <w:rsid w:val="003918DB"/>
    <w:rsid w:val="0039275A"/>
    <w:rsid w:val="00394971"/>
    <w:rsid w:val="003966F6"/>
    <w:rsid w:val="0039677D"/>
    <w:rsid w:val="00397014"/>
    <w:rsid w:val="003A0660"/>
    <w:rsid w:val="003A0D52"/>
    <w:rsid w:val="003A2ED1"/>
    <w:rsid w:val="003A3B42"/>
    <w:rsid w:val="003A4C47"/>
    <w:rsid w:val="003A6724"/>
    <w:rsid w:val="003A6E1A"/>
    <w:rsid w:val="003B0BA1"/>
    <w:rsid w:val="003B2964"/>
    <w:rsid w:val="003B4599"/>
    <w:rsid w:val="003B578D"/>
    <w:rsid w:val="003B61B7"/>
    <w:rsid w:val="003C1AE2"/>
    <w:rsid w:val="003C4F8F"/>
    <w:rsid w:val="003C5311"/>
    <w:rsid w:val="003C6B59"/>
    <w:rsid w:val="003D129C"/>
    <w:rsid w:val="003D12FC"/>
    <w:rsid w:val="003D299E"/>
    <w:rsid w:val="003D3636"/>
    <w:rsid w:val="003D55E1"/>
    <w:rsid w:val="003D641A"/>
    <w:rsid w:val="003D71A9"/>
    <w:rsid w:val="003D71EB"/>
    <w:rsid w:val="003E035C"/>
    <w:rsid w:val="003E07F4"/>
    <w:rsid w:val="003E22CB"/>
    <w:rsid w:val="003E2343"/>
    <w:rsid w:val="003E2C82"/>
    <w:rsid w:val="003E406B"/>
    <w:rsid w:val="003E4F96"/>
    <w:rsid w:val="003E5CCA"/>
    <w:rsid w:val="003E7773"/>
    <w:rsid w:val="003F0C57"/>
    <w:rsid w:val="003F115E"/>
    <w:rsid w:val="003F14C2"/>
    <w:rsid w:val="003F2210"/>
    <w:rsid w:val="003F535C"/>
    <w:rsid w:val="003F7196"/>
    <w:rsid w:val="004008AF"/>
    <w:rsid w:val="00400B5F"/>
    <w:rsid w:val="00401DBF"/>
    <w:rsid w:val="004033D9"/>
    <w:rsid w:val="00404A94"/>
    <w:rsid w:val="0040551F"/>
    <w:rsid w:val="004066F9"/>
    <w:rsid w:val="0040771F"/>
    <w:rsid w:val="004111F7"/>
    <w:rsid w:val="0041217D"/>
    <w:rsid w:val="004125C6"/>
    <w:rsid w:val="0041275F"/>
    <w:rsid w:val="00421A89"/>
    <w:rsid w:val="00421EBC"/>
    <w:rsid w:val="00422C7F"/>
    <w:rsid w:val="0042304B"/>
    <w:rsid w:val="00424084"/>
    <w:rsid w:val="004273AD"/>
    <w:rsid w:val="004305AE"/>
    <w:rsid w:val="00431800"/>
    <w:rsid w:val="004323CC"/>
    <w:rsid w:val="00433541"/>
    <w:rsid w:val="00433FB4"/>
    <w:rsid w:val="00434C3A"/>
    <w:rsid w:val="004350B8"/>
    <w:rsid w:val="00436514"/>
    <w:rsid w:val="00437997"/>
    <w:rsid w:val="004408AF"/>
    <w:rsid w:val="004423F7"/>
    <w:rsid w:val="00442A49"/>
    <w:rsid w:val="00444F3F"/>
    <w:rsid w:val="0044690B"/>
    <w:rsid w:val="00446BBE"/>
    <w:rsid w:val="0044782C"/>
    <w:rsid w:val="004508DF"/>
    <w:rsid w:val="0045093D"/>
    <w:rsid w:val="00451645"/>
    <w:rsid w:val="0045323C"/>
    <w:rsid w:val="004532A6"/>
    <w:rsid w:val="00454F8E"/>
    <w:rsid w:val="00462778"/>
    <w:rsid w:val="00464F6C"/>
    <w:rsid w:val="004667EF"/>
    <w:rsid w:val="00466E7C"/>
    <w:rsid w:val="0046773A"/>
    <w:rsid w:val="004710AA"/>
    <w:rsid w:val="00471D0D"/>
    <w:rsid w:val="00474D0F"/>
    <w:rsid w:val="00474E01"/>
    <w:rsid w:val="00481B79"/>
    <w:rsid w:val="00482804"/>
    <w:rsid w:val="00482B47"/>
    <w:rsid w:val="0048323E"/>
    <w:rsid w:val="00483472"/>
    <w:rsid w:val="00484DC5"/>
    <w:rsid w:val="00485651"/>
    <w:rsid w:val="00485675"/>
    <w:rsid w:val="00486AAA"/>
    <w:rsid w:val="00487C85"/>
    <w:rsid w:val="00490DC4"/>
    <w:rsid w:val="00492137"/>
    <w:rsid w:val="00494F64"/>
    <w:rsid w:val="00497B9F"/>
    <w:rsid w:val="004A2084"/>
    <w:rsid w:val="004A4430"/>
    <w:rsid w:val="004A4EE1"/>
    <w:rsid w:val="004A4FDF"/>
    <w:rsid w:val="004A5489"/>
    <w:rsid w:val="004A582F"/>
    <w:rsid w:val="004A5E73"/>
    <w:rsid w:val="004A79A1"/>
    <w:rsid w:val="004A7A52"/>
    <w:rsid w:val="004B01BC"/>
    <w:rsid w:val="004B0270"/>
    <w:rsid w:val="004B19FE"/>
    <w:rsid w:val="004B23B8"/>
    <w:rsid w:val="004B2734"/>
    <w:rsid w:val="004B2A4D"/>
    <w:rsid w:val="004B2F45"/>
    <w:rsid w:val="004B321C"/>
    <w:rsid w:val="004B33C2"/>
    <w:rsid w:val="004B4214"/>
    <w:rsid w:val="004B440F"/>
    <w:rsid w:val="004B4F15"/>
    <w:rsid w:val="004B59C2"/>
    <w:rsid w:val="004B689D"/>
    <w:rsid w:val="004B6C18"/>
    <w:rsid w:val="004C0E97"/>
    <w:rsid w:val="004C1D08"/>
    <w:rsid w:val="004C2E3F"/>
    <w:rsid w:val="004C2F2E"/>
    <w:rsid w:val="004C3339"/>
    <w:rsid w:val="004C41A9"/>
    <w:rsid w:val="004C48C8"/>
    <w:rsid w:val="004C598D"/>
    <w:rsid w:val="004C7CA0"/>
    <w:rsid w:val="004D0D9B"/>
    <w:rsid w:val="004D3897"/>
    <w:rsid w:val="004D3DFD"/>
    <w:rsid w:val="004D4425"/>
    <w:rsid w:val="004D61FC"/>
    <w:rsid w:val="004E00F8"/>
    <w:rsid w:val="004E146F"/>
    <w:rsid w:val="004E2BD6"/>
    <w:rsid w:val="004E6B2F"/>
    <w:rsid w:val="004F2CA9"/>
    <w:rsid w:val="004F2E1D"/>
    <w:rsid w:val="004F3345"/>
    <w:rsid w:val="004F346E"/>
    <w:rsid w:val="004F5B32"/>
    <w:rsid w:val="004F6AD3"/>
    <w:rsid w:val="004F6B25"/>
    <w:rsid w:val="005002B2"/>
    <w:rsid w:val="00501063"/>
    <w:rsid w:val="00501386"/>
    <w:rsid w:val="00501936"/>
    <w:rsid w:val="00501BD9"/>
    <w:rsid w:val="00501C25"/>
    <w:rsid w:val="005027A6"/>
    <w:rsid w:val="00502DAE"/>
    <w:rsid w:val="00502FFB"/>
    <w:rsid w:val="005038A0"/>
    <w:rsid w:val="005042D4"/>
    <w:rsid w:val="00504A82"/>
    <w:rsid w:val="00505E19"/>
    <w:rsid w:val="00506DE4"/>
    <w:rsid w:val="00507F6D"/>
    <w:rsid w:val="005103C5"/>
    <w:rsid w:val="005114B7"/>
    <w:rsid w:val="005131D3"/>
    <w:rsid w:val="005134DE"/>
    <w:rsid w:val="0051352C"/>
    <w:rsid w:val="00514A51"/>
    <w:rsid w:val="00514FC2"/>
    <w:rsid w:val="00515BFA"/>
    <w:rsid w:val="00517A86"/>
    <w:rsid w:val="0052349D"/>
    <w:rsid w:val="00524BE8"/>
    <w:rsid w:val="0052575D"/>
    <w:rsid w:val="00526AAE"/>
    <w:rsid w:val="00526C92"/>
    <w:rsid w:val="00527072"/>
    <w:rsid w:val="005275FC"/>
    <w:rsid w:val="0052768C"/>
    <w:rsid w:val="00530896"/>
    <w:rsid w:val="005310AF"/>
    <w:rsid w:val="005335F4"/>
    <w:rsid w:val="00533D82"/>
    <w:rsid w:val="005342C3"/>
    <w:rsid w:val="005342F2"/>
    <w:rsid w:val="0053479A"/>
    <w:rsid w:val="00534D33"/>
    <w:rsid w:val="00534E46"/>
    <w:rsid w:val="005362F5"/>
    <w:rsid w:val="0053725B"/>
    <w:rsid w:val="00540C57"/>
    <w:rsid w:val="00541C17"/>
    <w:rsid w:val="005531BD"/>
    <w:rsid w:val="005539B5"/>
    <w:rsid w:val="00555AEC"/>
    <w:rsid w:val="005567B2"/>
    <w:rsid w:val="00557870"/>
    <w:rsid w:val="00560277"/>
    <w:rsid w:val="00560938"/>
    <w:rsid w:val="00560AF1"/>
    <w:rsid w:val="00561068"/>
    <w:rsid w:val="00561562"/>
    <w:rsid w:val="0056186C"/>
    <w:rsid w:val="00563DE6"/>
    <w:rsid w:val="00563F35"/>
    <w:rsid w:val="0056528D"/>
    <w:rsid w:val="0056628B"/>
    <w:rsid w:val="00566298"/>
    <w:rsid w:val="00570454"/>
    <w:rsid w:val="0057091E"/>
    <w:rsid w:val="00571D9A"/>
    <w:rsid w:val="00571E7A"/>
    <w:rsid w:val="005723D6"/>
    <w:rsid w:val="00574A6E"/>
    <w:rsid w:val="00574AC7"/>
    <w:rsid w:val="00577145"/>
    <w:rsid w:val="005773BE"/>
    <w:rsid w:val="00582365"/>
    <w:rsid w:val="0058322C"/>
    <w:rsid w:val="00584C38"/>
    <w:rsid w:val="00585030"/>
    <w:rsid w:val="005852A3"/>
    <w:rsid w:val="00585C1B"/>
    <w:rsid w:val="00587639"/>
    <w:rsid w:val="00590AD9"/>
    <w:rsid w:val="00591CC8"/>
    <w:rsid w:val="00592638"/>
    <w:rsid w:val="00593138"/>
    <w:rsid w:val="00593A33"/>
    <w:rsid w:val="00593D2B"/>
    <w:rsid w:val="005947B5"/>
    <w:rsid w:val="005960BB"/>
    <w:rsid w:val="00597407"/>
    <w:rsid w:val="005A0496"/>
    <w:rsid w:val="005A17AC"/>
    <w:rsid w:val="005A32B6"/>
    <w:rsid w:val="005A4047"/>
    <w:rsid w:val="005A4384"/>
    <w:rsid w:val="005A48EB"/>
    <w:rsid w:val="005A4F5C"/>
    <w:rsid w:val="005A7012"/>
    <w:rsid w:val="005A75A6"/>
    <w:rsid w:val="005A7A5E"/>
    <w:rsid w:val="005B18FF"/>
    <w:rsid w:val="005B1C07"/>
    <w:rsid w:val="005B2378"/>
    <w:rsid w:val="005B3432"/>
    <w:rsid w:val="005B37CB"/>
    <w:rsid w:val="005B3BD6"/>
    <w:rsid w:val="005B795B"/>
    <w:rsid w:val="005B7C05"/>
    <w:rsid w:val="005B7D6C"/>
    <w:rsid w:val="005C2CE6"/>
    <w:rsid w:val="005C576D"/>
    <w:rsid w:val="005C655E"/>
    <w:rsid w:val="005C6598"/>
    <w:rsid w:val="005C7215"/>
    <w:rsid w:val="005C73C4"/>
    <w:rsid w:val="005C78D2"/>
    <w:rsid w:val="005D00EA"/>
    <w:rsid w:val="005D023B"/>
    <w:rsid w:val="005D02C4"/>
    <w:rsid w:val="005D2304"/>
    <w:rsid w:val="005D3A04"/>
    <w:rsid w:val="005D48FE"/>
    <w:rsid w:val="005D7471"/>
    <w:rsid w:val="005D749D"/>
    <w:rsid w:val="005D7A8C"/>
    <w:rsid w:val="005E12F8"/>
    <w:rsid w:val="005E23B4"/>
    <w:rsid w:val="005E2702"/>
    <w:rsid w:val="005E29CC"/>
    <w:rsid w:val="005E3932"/>
    <w:rsid w:val="005E483F"/>
    <w:rsid w:val="005E5874"/>
    <w:rsid w:val="005E75D5"/>
    <w:rsid w:val="005F091C"/>
    <w:rsid w:val="005F1555"/>
    <w:rsid w:val="005F1B71"/>
    <w:rsid w:val="005F2978"/>
    <w:rsid w:val="005F4721"/>
    <w:rsid w:val="005F6183"/>
    <w:rsid w:val="005F6A90"/>
    <w:rsid w:val="005F703D"/>
    <w:rsid w:val="005F720A"/>
    <w:rsid w:val="0060017B"/>
    <w:rsid w:val="00602A0D"/>
    <w:rsid w:val="00602F43"/>
    <w:rsid w:val="00603723"/>
    <w:rsid w:val="006039C6"/>
    <w:rsid w:val="00603B08"/>
    <w:rsid w:val="00605776"/>
    <w:rsid w:val="00606C03"/>
    <w:rsid w:val="006078D0"/>
    <w:rsid w:val="00610162"/>
    <w:rsid w:val="00610ABA"/>
    <w:rsid w:val="006116B3"/>
    <w:rsid w:val="00613037"/>
    <w:rsid w:val="006135AB"/>
    <w:rsid w:val="006135CF"/>
    <w:rsid w:val="006138E4"/>
    <w:rsid w:val="006142CA"/>
    <w:rsid w:val="006144F6"/>
    <w:rsid w:val="0061605D"/>
    <w:rsid w:val="00616407"/>
    <w:rsid w:val="00617842"/>
    <w:rsid w:val="00617C39"/>
    <w:rsid w:val="00620E5A"/>
    <w:rsid w:val="006219AD"/>
    <w:rsid w:val="006223E2"/>
    <w:rsid w:val="006250E9"/>
    <w:rsid w:val="006251A6"/>
    <w:rsid w:val="00626CB0"/>
    <w:rsid w:val="006321FC"/>
    <w:rsid w:val="00632F87"/>
    <w:rsid w:val="00633B2F"/>
    <w:rsid w:val="00633FDC"/>
    <w:rsid w:val="00635541"/>
    <w:rsid w:val="006356D8"/>
    <w:rsid w:val="00637A70"/>
    <w:rsid w:val="00640628"/>
    <w:rsid w:val="0064069D"/>
    <w:rsid w:val="00640C31"/>
    <w:rsid w:val="0064243E"/>
    <w:rsid w:val="00643226"/>
    <w:rsid w:val="00645113"/>
    <w:rsid w:val="006459EF"/>
    <w:rsid w:val="006465F3"/>
    <w:rsid w:val="00651B3F"/>
    <w:rsid w:val="00652135"/>
    <w:rsid w:val="006534BF"/>
    <w:rsid w:val="00653727"/>
    <w:rsid w:val="006537D7"/>
    <w:rsid w:val="0065444A"/>
    <w:rsid w:val="00654F68"/>
    <w:rsid w:val="006559D5"/>
    <w:rsid w:val="00655CF9"/>
    <w:rsid w:val="00655D45"/>
    <w:rsid w:val="00656BA2"/>
    <w:rsid w:val="0065714C"/>
    <w:rsid w:val="006575BE"/>
    <w:rsid w:val="00660A74"/>
    <w:rsid w:val="00660B66"/>
    <w:rsid w:val="0066135E"/>
    <w:rsid w:val="00661617"/>
    <w:rsid w:val="00662E5F"/>
    <w:rsid w:val="00663AA8"/>
    <w:rsid w:val="00664434"/>
    <w:rsid w:val="00664C72"/>
    <w:rsid w:val="0066561F"/>
    <w:rsid w:val="00665658"/>
    <w:rsid w:val="00666A58"/>
    <w:rsid w:val="00670650"/>
    <w:rsid w:val="006712C0"/>
    <w:rsid w:val="0067200A"/>
    <w:rsid w:val="006722EA"/>
    <w:rsid w:val="00672CA6"/>
    <w:rsid w:val="006737C5"/>
    <w:rsid w:val="006744AC"/>
    <w:rsid w:val="00674C7D"/>
    <w:rsid w:val="00676013"/>
    <w:rsid w:val="00680605"/>
    <w:rsid w:val="00680B40"/>
    <w:rsid w:val="00681EC9"/>
    <w:rsid w:val="006822FA"/>
    <w:rsid w:val="0068288C"/>
    <w:rsid w:val="00683F36"/>
    <w:rsid w:val="00684287"/>
    <w:rsid w:val="00685589"/>
    <w:rsid w:val="0068682C"/>
    <w:rsid w:val="006920C9"/>
    <w:rsid w:val="00692CD4"/>
    <w:rsid w:val="006938AA"/>
    <w:rsid w:val="006938EE"/>
    <w:rsid w:val="0069474B"/>
    <w:rsid w:val="0069475D"/>
    <w:rsid w:val="00697966"/>
    <w:rsid w:val="00697C53"/>
    <w:rsid w:val="006A3A2B"/>
    <w:rsid w:val="006A65CD"/>
    <w:rsid w:val="006A6BF1"/>
    <w:rsid w:val="006B3032"/>
    <w:rsid w:val="006B39ED"/>
    <w:rsid w:val="006B4B4A"/>
    <w:rsid w:val="006B75C6"/>
    <w:rsid w:val="006C0FE0"/>
    <w:rsid w:val="006C354C"/>
    <w:rsid w:val="006C3B76"/>
    <w:rsid w:val="006C4572"/>
    <w:rsid w:val="006C72B3"/>
    <w:rsid w:val="006C7B03"/>
    <w:rsid w:val="006D0EC2"/>
    <w:rsid w:val="006D1E1B"/>
    <w:rsid w:val="006D236B"/>
    <w:rsid w:val="006D404F"/>
    <w:rsid w:val="006D482D"/>
    <w:rsid w:val="006D4C72"/>
    <w:rsid w:val="006D4D14"/>
    <w:rsid w:val="006D4E4C"/>
    <w:rsid w:val="006D4F4F"/>
    <w:rsid w:val="006D5585"/>
    <w:rsid w:val="006D5F76"/>
    <w:rsid w:val="006D6D96"/>
    <w:rsid w:val="006D7211"/>
    <w:rsid w:val="006D75C8"/>
    <w:rsid w:val="006D7E2B"/>
    <w:rsid w:val="006E0190"/>
    <w:rsid w:val="006E1C43"/>
    <w:rsid w:val="006E77C3"/>
    <w:rsid w:val="006F0D46"/>
    <w:rsid w:val="006F23DD"/>
    <w:rsid w:val="006F4ECD"/>
    <w:rsid w:val="006F5158"/>
    <w:rsid w:val="006F75DF"/>
    <w:rsid w:val="00700625"/>
    <w:rsid w:val="00700950"/>
    <w:rsid w:val="00701136"/>
    <w:rsid w:val="0070319A"/>
    <w:rsid w:val="00703254"/>
    <w:rsid w:val="007032D9"/>
    <w:rsid w:val="00703CB4"/>
    <w:rsid w:val="0070410F"/>
    <w:rsid w:val="007047D6"/>
    <w:rsid w:val="007051CC"/>
    <w:rsid w:val="00705CEE"/>
    <w:rsid w:val="00707C18"/>
    <w:rsid w:val="007103A9"/>
    <w:rsid w:val="00713458"/>
    <w:rsid w:val="00713F33"/>
    <w:rsid w:val="007151FB"/>
    <w:rsid w:val="00716AD2"/>
    <w:rsid w:val="007203CA"/>
    <w:rsid w:val="007217B0"/>
    <w:rsid w:val="00721988"/>
    <w:rsid w:val="007226F5"/>
    <w:rsid w:val="00723B2C"/>
    <w:rsid w:val="00724ED0"/>
    <w:rsid w:val="00724F92"/>
    <w:rsid w:val="007253D6"/>
    <w:rsid w:val="0072578A"/>
    <w:rsid w:val="0072597A"/>
    <w:rsid w:val="00731485"/>
    <w:rsid w:val="007332FA"/>
    <w:rsid w:val="0073792C"/>
    <w:rsid w:val="00737991"/>
    <w:rsid w:val="00741AA1"/>
    <w:rsid w:val="0074257A"/>
    <w:rsid w:val="00742EF6"/>
    <w:rsid w:val="00744055"/>
    <w:rsid w:val="0074420F"/>
    <w:rsid w:val="00746DC4"/>
    <w:rsid w:val="00747434"/>
    <w:rsid w:val="0074788B"/>
    <w:rsid w:val="0075137C"/>
    <w:rsid w:val="00752245"/>
    <w:rsid w:val="007536D1"/>
    <w:rsid w:val="0075418A"/>
    <w:rsid w:val="0075581A"/>
    <w:rsid w:val="00755A6C"/>
    <w:rsid w:val="00755ED9"/>
    <w:rsid w:val="00760A37"/>
    <w:rsid w:val="0076260D"/>
    <w:rsid w:val="00763B77"/>
    <w:rsid w:val="0076702C"/>
    <w:rsid w:val="00767F6C"/>
    <w:rsid w:val="00772829"/>
    <w:rsid w:val="007730B9"/>
    <w:rsid w:val="00774917"/>
    <w:rsid w:val="00777848"/>
    <w:rsid w:val="00777893"/>
    <w:rsid w:val="00781D35"/>
    <w:rsid w:val="00783C4F"/>
    <w:rsid w:val="00784341"/>
    <w:rsid w:val="007852E9"/>
    <w:rsid w:val="007868EB"/>
    <w:rsid w:val="00786F01"/>
    <w:rsid w:val="007909E0"/>
    <w:rsid w:val="00790B15"/>
    <w:rsid w:val="00790F49"/>
    <w:rsid w:val="00790F8D"/>
    <w:rsid w:val="0079266B"/>
    <w:rsid w:val="007931CB"/>
    <w:rsid w:val="007931DA"/>
    <w:rsid w:val="007951D4"/>
    <w:rsid w:val="00797C46"/>
    <w:rsid w:val="007A19F6"/>
    <w:rsid w:val="007A2B65"/>
    <w:rsid w:val="007A5617"/>
    <w:rsid w:val="007B0245"/>
    <w:rsid w:val="007B083F"/>
    <w:rsid w:val="007B0880"/>
    <w:rsid w:val="007B0D01"/>
    <w:rsid w:val="007B13CD"/>
    <w:rsid w:val="007B2085"/>
    <w:rsid w:val="007B2FDC"/>
    <w:rsid w:val="007B38A0"/>
    <w:rsid w:val="007B38B7"/>
    <w:rsid w:val="007B4C77"/>
    <w:rsid w:val="007B4F7B"/>
    <w:rsid w:val="007B51B3"/>
    <w:rsid w:val="007B5353"/>
    <w:rsid w:val="007B558E"/>
    <w:rsid w:val="007B583D"/>
    <w:rsid w:val="007B5E72"/>
    <w:rsid w:val="007B6684"/>
    <w:rsid w:val="007B6B21"/>
    <w:rsid w:val="007B7024"/>
    <w:rsid w:val="007C0254"/>
    <w:rsid w:val="007C0390"/>
    <w:rsid w:val="007C14A2"/>
    <w:rsid w:val="007C300E"/>
    <w:rsid w:val="007C328D"/>
    <w:rsid w:val="007C336F"/>
    <w:rsid w:val="007C3AAA"/>
    <w:rsid w:val="007C41B1"/>
    <w:rsid w:val="007D19FE"/>
    <w:rsid w:val="007D1F95"/>
    <w:rsid w:val="007D26A5"/>
    <w:rsid w:val="007D2CCF"/>
    <w:rsid w:val="007D30B7"/>
    <w:rsid w:val="007D3B5B"/>
    <w:rsid w:val="007D4A68"/>
    <w:rsid w:val="007E0693"/>
    <w:rsid w:val="007E15AD"/>
    <w:rsid w:val="007E25ED"/>
    <w:rsid w:val="007E2BC0"/>
    <w:rsid w:val="007E66E9"/>
    <w:rsid w:val="007F04F9"/>
    <w:rsid w:val="007F1AE7"/>
    <w:rsid w:val="007F2F2F"/>
    <w:rsid w:val="007F67E9"/>
    <w:rsid w:val="007F6F55"/>
    <w:rsid w:val="007F7C7B"/>
    <w:rsid w:val="00800A84"/>
    <w:rsid w:val="0080264B"/>
    <w:rsid w:val="008040A2"/>
    <w:rsid w:val="00804632"/>
    <w:rsid w:val="008054D9"/>
    <w:rsid w:val="00805FAF"/>
    <w:rsid w:val="00806688"/>
    <w:rsid w:val="00806E74"/>
    <w:rsid w:val="00807A3E"/>
    <w:rsid w:val="00810338"/>
    <w:rsid w:val="00812282"/>
    <w:rsid w:val="0081347C"/>
    <w:rsid w:val="008148E4"/>
    <w:rsid w:val="008157F1"/>
    <w:rsid w:val="00816EC2"/>
    <w:rsid w:val="00817781"/>
    <w:rsid w:val="008236E1"/>
    <w:rsid w:val="00824458"/>
    <w:rsid w:val="008249F7"/>
    <w:rsid w:val="00824B74"/>
    <w:rsid w:val="0082528F"/>
    <w:rsid w:val="00827027"/>
    <w:rsid w:val="008352FF"/>
    <w:rsid w:val="00835EA8"/>
    <w:rsid w:val="00835EC9"/>
    <w:rsid w:val="00836468"/>
    <w:rsid w:val="00841388"/>
    <w:rsid w:val="00841EFB"/>
    <w:rsid w:val="00841F44"/>
    <w:rsid w:val="008422B9"/>
    <w:rsid w:val="00842C82"/>
    <w:rsid w:val="008436D7"/>
    <w:rsid w:val="00843B12"/>
    <w:rsid w:val="008440D5"/>
    <w:rsid w:val="008440FE"/>
    <w:rsid w:val="008448B2"/>
    <w:rsid w:val="00846119"/>
    <w:rsid w:val="008474E3"/>
    <w:rsid w:val="008527ED"/>
    <w:rsid w:val="008537F7"/>
    <w:rsid w:val="008544CD"/>
    <w:rsid w:val="008546BE"/>
    <w:rsid w:val="00855A8D"/>
    <w:rsid w:val="00856074"/>
    <w:rsid w:val="00857949"/>
    <w:rsid w:val="00857B97"/>
    <w:rsid w:val="00863F3A"/>
    <w:rsid w:val="00864694"/>
    <w:rsid w:val="00864B0D"/>
    <w:rsid w:val="00866AF7"/>
    <w:rsid w:val="00870768"/>
    <w:rsid w:val="00870BA3"/>
    <w:rsid w:val="008719C2"/>
    <w:rsid w:val="00872001"/>
    <w:rsid w:val="0087277A"/>
    <w:rsid w:val="00872A47"/>
    <w:rsid w:val="008736E2"/>
    <w:rsid w:val="00874565"/>
    <w:rsid w:val="00874F14"/>
    <w:rsid w:val="00877247"/>
    <w:rsid w:val="008801AE"/>
    <w:rsid w:val="00880779"/>
    <w:rsid w:val="00880AA3"/>
    <w:rsid w:val="008841AA"/>
    <w:rsid w:val="0088421C"/>
    <w:rsid w:val="0088445B"/>
    <w:rsid w:val="0088451A"/>
    <w:rsid w:val="0088715D"/>
    <w:rsid w:val="00887D89"/>
    <w:rsid w:val="008910DE"/>
    <w:rsid w:val="00891AF6"/>
    <w:rsid w:val="00891BC3"/>
    <w:rsid w:val="008937C8"/>
    <w:rsid w:val="008946B8"/>
    <w:rsid w:val="008967C4"/>
    <w:rsid w:val="008A0A93"/>
    <w:rsid w:val="008A0D2A"/>
    <w:rsid w:val="008A1078"/>
    <w:rsid w:val="008A1693"/>
    <w:rsid w:val="008A254F"/>
    <w:rsid w:val="008A2630"/>
    <w:rsid w:val="008A2C9F"/>
    <w:rsid w:val="008A5833"/>
    <w:rsid w:val="008B0ED4"/>
    <w:rsid w:val="008B1456"/>
    <w:rsid w:val="008B2549"/>
    <w:rsid w:val="008B3A88"/>
    <w:rsid w:val="008B4BFC"/>
    <w:rsid w:val="008B513A"/>
    <w:rsid w:val="008B51B4"/>
    <w:rsid w:val="008B5B67"/>
    <w:rsid w:val="008B5D7A"/>
    <w:rsid w:val="008B66E3"/>
    <w:rsid w:val="008B7848"/>
    <w:rsid w:val="008C1E05"/>
    <w:rsid w:val="008C2AD6"/>
    <w:rsid w:val="008C2BA8"/>
    <w:rsid w:val="008C34BB"/>
    <w:rsid w:val="008C45E2"/>
    <w:rsid w:val="008D2D12"/>
    <w:rsid w:val="008D3651"/>
    <w:rsid w:val="008D3726"/>
    <w:rsid w:val="008D4CB0"/>
    <w:rsid w:val="008D6397"/>
    <w:rsid w:val="008D66F5"/>
    <w:rsid w:val="008D73C9"/>
    <w:rsid w:val="008E025A"/>
    <w:rsid w:val="008E16BF"/>
    <w:rsid w:val="008E3049"/>
    <w:rsid w:val="008E35A3"/>
    <w:rsid w:val="008E420D"/>
    <w:rsid w:val="008E5323"/>
    <w:rsid w:val="008E7274"/>
    <w:rsid w:val="008E72D6"/>
    <w:rsid w:val="008F0562"/>
    <w:rsid w:val="008F260B"/>
    <w:rsid w:val="008F6CF0"/>
    <w:rsid w:val="00900A6B"/>
    <w:rsid w:val="009026E0"/>
    <w:rsid w:val="00902755"/>
    <w:rsid w:val="00902B53"/>
    <w:rsid w:val="009052A3"/>
    <w:rsid w:val="00906821"/>
    <w:rsid w:val="00906E65"/>
    <w:rsid w:val="009139E9"/>
    <w:rsid w:val="00913BA1"/>
    <w:rsid w:val="009144D5"/>
    <w:rsid w:val="00914B6D"/>
    <w:rsid w:val="00915538"/>
    <w:rsid w:val="00915BEB"/>
    <w:rsid w:val="00915F98"/>
    <w:rsid w:val="00915FA3"/>
    <w:rsid w:val="00916F2B"/>
    <w:rsid w:val="009217F8"/>
    <w:rsid w:val="0092215C"/>
    <w:rsid w:val="0092470E"/>
    <w:rsid w:val="00925159"/>
    <w:rsid w:val="00925187"/>
    <w:rsid w:val="0092709C"/>
    <w:rsid w:val="0092717F"/>
    <w:rsid w:val="00927744"/>
    <w:rsid w:val="00927B05"/>
    <w:rsid w:val="00930CAD"/>
    <w:rsid w:val="00930F4E"/>
    <w:rsid w:val="00931395"/>
    <w:rsid w:val="009336F1"/>
    <w:rsid w:val="0093391D"/>
    <w:rsid w:val="009341C9"/>
    <w:rsid w:val="00936062"/>
    <w:rsid w:val="00936B72"/>
    <w:rsid w:val="00937337"/>
    <w:rsid w:val="00937CBE"/>
    <w:rsid w:val="00937F44"/>
    <w:rsid w:val="00940AEF"/>
    <w:rsid w:val="0094106E"/>
    <w:rsid w:val="009412C8"/>
    <w:rsid w:val="00943EAE"/>
    <w:rsid w:val="00943F31"/>
    <w:rsid w:val="00944087"/>
    <w:rsid w:val="00944A28"/>
    <w:rsid w:val="00944DEE"/>
    <w:rsid w:val="00944E74"/>
    <w:rsid w:val="00945F4F"/>
    <w:rsid w:val="0094690F"/>
    <w:rsid w:val="0095012E"/>
    <w:rsid w:val="00951934"/>
    <w:rsid w:val="0095207B"/>
    <w:rsid w:val="00953897"/>
    <w:rsid w:val="00954C01"/>
    <w:rsid w:val="00954C8C"/>
    <w:rsid w:val="00956ACE"/>
    <w:rsid w:val="009572A0"/>
    <w:rsid w:val="00957D24"/>
    <w:rsid w:val="009601C6"/>
    <w:rsid w:val="00960DCF"/>
    <w:rsid w:val="00961B53"/>
    <w:rsid w:val="00962BE0"/>
    <w:rsid w:val="00963264"/>
    <w:rsid w:val="0096389D"/>
    <w:rsid w:val="009676C0"/>
    <w:rsid w:val="009705B5"/>
    <w:rsid w:val="009707C0"/>
    <w:rsid w:val="00972237"/>
    <w:rsid w:val="009735C7"/>
    <w:rsid w:val="0097596A"/>
    <w:rsid w:val="009803A9"/>
    <w:rsid w:val="009803CB"/>
    <w:rsid w:val="009803D4"/>
    <w:rsid w:val="009807A2"/>
    <w:rsid w:val="0098199C"/>
    <w:rsid w:val="009873F3"/>
    <w:rsid w:val="0099244B"/>
    <w:rsid w:val="00992FC1"/>
    <w:rsid w:val="00995E98"/>
    <w:rsid w:val="00996296"/>
    <w:rsid w:val="00996F15"/>
    <w:rsid w:val="00997BA8"/>
    <w:rsid w:val="009A0349"/>
    <w:rsid w:val="009A06F4"/>
    <w:rsid w:val="009A1C70"/>
    <w:rsid w:val="009A3778"/>
    <w:rsid w:val="009A3E2E"/>
    <w:rsid w:val="009A55EC"/>
    <w:rsid w:val="009A7F34"/>
    <w:rsid w:val="009B1342"/>
    <w:rsid w:val="009B2245"/>
    <w:rsid w:val="009B258E"/>
    <w:rsid w:val="009B3E77"/>
    <w:rsid w:val="009B5997"/>
    <w:rsid w:val="009B5EB4"/>
    <w:rsid w:val="009B6B23"/>
    <w:rsid w:val="009B7A5E"/>
    <w:rsid w:val="009B7ABD"/>
    <w:rsid w:val="009C1D27"/>
    <w:rsid w:val="009C3BD9"/>
    <w:rsid w:val="009C5754"/>
    <w:rsid w:val="009C5B82"/>
    <w:rsid w:val="009C756E"/>
    <w:rsid w:val="009D06DF"/>
    <w:rsid w:val="009D21BE"/>
    <w:rsid w:val="009D3C3D"/>
    <w:rsid w:val="009D5288"/>
    <w:rsid w:val="009E132F"/>
    <w:rsid w:val="009E1715"/>
    <w:rsid w:val="009E2AD3"/>
    <w:rsid w:val="009E2EE5"/>
    <w:rsid w:val="009E404C"/>
    <w:rsid w:val="009E47E5"/>
    <w:rsid w:val="009F146F"/>
    <w:rsid w:val="009F3C75"/>
    <w:rsid w:val="009F3F55"/>
    <w:rsid w:val="009F5725"/>
    <w:rsid w:val="00A0037E"/>
    <w:rsid w:val="00A01303"/>
    <w:rsid w:val="00A02C4F"/>
    <w:rsid w:val="00A03021"/>
    <w:rsid w:val="00A04A09"/>
    <w:rsid w:val="00A05821"/>
    <w:rsid w:val="00A05843"/>
    <w:rsid w:val="00A05D1D"/>
    <w:rsid w:val="00A05EA2"/>
    <w:rsid w:val="00A076CC"/>
    <w:rsid w:val="00A10C75"/>
    <w:rsid w:val="00A112FC"/>
    <w:rsid w:val="00A1165C"/>
    <w:rsid w:val="00A125D6"/>
    <w:rsid w:val="00A14E53"/>
    <w:rsid w:val="00A15580"/>
    <w:rsid w:val="00A15733"/>
    <w:rsid w:val="00A16449"/>
    <w:rsid w:val="00A2055A"/>
    <w:rsid w:val="00A21AFA"/>
    <w:rsid w:val="00A22EFC"/>
    <w:rsid w:val="00A24CD5"/>
    <w:rsid w:val="00A25093"/>
    <w:rsid w:val="00A26389"/>
    <w:rsid w:val="00A27244"/>
    <w:rsid w:val="00A303B8"/>
    <w:rsid w:val="00A30BD3"/>
    <w:rsid w:val="00A34735"/>
    <w:rsid w:val="00A361C3"/>
    <w:rsid w:val="00A4008D"/>
    <w:rsid w:val="00A40595"/>
    <w:rsid w:val="00A411B3"/>
    <w:rsid w:val="00A411FA"/>
    <w:rsid w:val="00A41B44"/>
    <w:rsid w:val="00A41FA0"/>
    <w:rsid w:val="00A43C99"/>
    <w:rsid w:val="00A44EC1"/>
    <w:rsid w:val="00A454B3"/>
    <w:rsid w:val="00A45E52"/>
    <w:rsid w:val="00A46652"/>
    <w:rsid w:val="00A46D15"/>
    <w:rsid w:val="00A4713D"/>
    <w:rsid w:val="00A5323B"/>
    <w:rsid w:val="00A533B5"/>
    <w:rsid w:val="00A54E43"/>
    <w:rsid w:val="00A54FB4"/>
    <w:rsid w:val="00A56BAC"/>
    <w:rsid w:val="00A56DE0"/>
    <w:rsid w:val="00A577E5"/>
    <w:rsid w:val="00A63C18"/>
    <w:rsid w:val="00A63FF7"/>
    <w:rsid w:val="00A64D70"/>
    <w:rsid w:val="00A662DC"/>
    <w:rsid w:val="00A6741B"/>
    <w:rsid w:val="00A67F69"/>
    <w:rsid w:val="00A73004"/>
    <w:rsid w:val="00A74226"/>
    <w:rsid w:val="00A757B0"/>
    <w:rsid w:val="00A776A4"/>
    <w:rsid w:val="00A8049D"/>
    <w:rsid w:val="00A822C2"/>
    <w:rsid w:val="00A82990"/>
    <w:rsid w:val="00A82F00"/>
    <w:rsid w:val="00A830E0"/>
    <w:rsid w:val="00A8372F"/>
    <w:rsid w:val="00A846C1"/>
    <w:rsid w:val="00A85965"/>
    <w:rsid w:val="00A90401"/>
    <w:rsid w:val="00A921E3"/>
    <w:rsid w:val="00A94D20"/>
    <w:rsid w:val="00A95BBD"/>
    <w:rsid w:val="00A96911"/>
    <w:rsid w:val="00A9752B"/>
    <w:rsid w:val="00A97C6A"/>
    <w:rsid w:val="00AA2461"/>
    <w:rsid w:val="00AA2865"/>
    <w:rsid w:val="00AA2D49"/>
    <w:rsid w:val="00AA3A9B"/>
    <w:rsid w:val="00AA3BF1"/>
    <w:rsid w:val="00AA4055"/>
    <w:rsid w:val="00AA52CB"/>
    <w:rsid w:val="00AA5410"/>
    <w:rsid w:val="00AA5D10"/>
    <w:rsid w:val="00AA71B9"/>
    <w:rsid w:val="00AA774F"/>
    <w:rsid w:val="00AA7C90"/>
    <w:rsid w:val="00AB00C2"/>
    <w:rsid w:val="00AB0479"/>
    <w:rsid w:val="00AB094E"/>
    <w:rsid w:val="00AB21C6"/>
    <w:rsid w:val="00AB2767"/>
    <w:rsid w:val="00AB2841"/>
    <w:rsid w:val="00AB3090"/>
    <w:rsid w:val="00AB5006"/>
    <w:rsid w:val="00AC1461"/>
    <w:rsid w:val="00AC2F45"/>
    <w:rsid w:val="00AC3BCD"/>
    <w:rsid w:val="00AC6F7D"/>
    <w:rsid w:val="00AC720A"/>
    <w:rsid w:val="00AD222D"/>
    <w:rsid w:val="00AD3A76"/>
    <w:rsid w:val="00AD4812"/>
    <w:rsid w:val="00AD60EA"/>
    <w:rsid w:val="00AD67D4"/>
    <w:rsid w:val="00AD730C"/>
    <w:rsid w:val="00AD7BA5"/>
    <w:rsid w:val="00AE10C5"/>
    <w:rsid w:val="00AE2AE3"/>
    <w:rsid w:val="00AE4331"/>
    <w:rsid w:val="00AE54E8"/>
    <w:rsid w:val="00AE614D"/>
    <w:rsid w:val="00AE7849"/>
    <w:rsid w:val="00AE7977"/>
    <w:rsid w:val="00AF055E"/>
    <w:rsid w:val="00AF0BC7"/>
    <w:rsid w:val="00AF1F10"/>
    <w:rsid w:val="00AF24FD"/>
    <w:rsid w:val="00AF3A51"/>
    <w:rsid w:val="00AF3D39"/>
    <w:rsid w:val="00AF497B"/>
    <w:rsid w:val="00AF6A4C"/>
    <w:rsid w:val="00AF6BE2"/>
    <w:rsid w:val="00B02183"/>
    <w:rsid w:val="00B02A22"/>
    <w:rsid w:val="00B047C2"/>
    <w:rsid w:val="00B04CB1"/>
    <w:rsid w:val="00B050ED"/>
    <w:rsid w:val="00B05635"/>
    <w:rsid w:val="00B073D9"/>
    <w:rsid w:val="00B07620"/>
    <w:rsid w:val="00B10FA0"/>
    <w:rsid w:val="00B1238E"/>
    <w:rsid w:val="00B1314F"/>
    <w:rsid w:val="00B1413A"/>
    <w:rsid w:val="00B151CF"/>
    <w:rsid w:val="00B172FD"/>
    <w:rsid w:val="00B20445"/>
    <w:rsid w:val="00B2351F"/>
    <w:rsid w:val="00B23CBE"/>
    <w:rsid w:val="00B247AD"/>
    <w:rsid w:val="00B25D05"/>
    <w:rsid w:val="00B26622"/>
    <w:rsid w:val="00B26669"/>
    <w:rsid w:val="00B276B4"/>
    <w:rsid w:val="00B303F6"/>
    <w:rsid w:val="00B307B7"/>
    <w:rsid w:val="00B36028"/>
    <w:rsid w:val="00B360B1"/>
    <w:rsid w:val="00B40064"/>
    <w:rsid w:val="00B41553"/>
    <w:rsid w:val="00B4162C"/>
    <w:rsid w:val="00B4296E"/>
    <w:rsid w:val="00B44CB7"/>
    <w:rsid w:val="00B47856"/>
    <w:rsid w:val="00B50A44"/>
    <w:rsid w:val="00B52E86"/>
    <w:rsid w:val="00B53AA0"/>
    <w:rsid w:val="00B541FD"/>
    <w:rsid w:val="00B550BF"/>
    <w:rsid w:val="00B552FC"/>
    <w:rsid w:val="00B55524"/>
    <w:rsid w:val="00B575BF"/>
    <w:rsid w:val="00B61013"/>
    <w:rsid w:val="00B612EA"/>
    <w:rsid w:val="00B61C66"/>
    <w:rsid w:val="00B61D76"/>
    <w:rsid w:val="00B62604"/>
    <w:rsid w:val="00B62DF2"/>
    <w:rsid w:val="00B638BE"/>
    <w:rsid w:val="00B64C72"/>
    <w:rsid w:val="00B66A87"/>
    <w:rsid w:val="00B712D0"/>
    <w:rsid w:val="00B74A19"/>
    <w:rsid w:val="00B757E5"/>
    <w:rsid w:val="00B75BFF"/>
    <w:rsid w:val="00B80D51"/>
    <w:rsid w:val="00B80FC0"/>
    <w:rsid w:val="00B81F38"/>
    <w:rsid w:val="00B82082"/>
    <w:rsid w:val="00B83B62"/>
    <w:rsid w:val="00B8535F"/>
    <w:rsid w:val="00B85592"/>
    <w:rsid w:val="00B860A6"/>
    <w:rsid w:val="00B878CD"/>
    <w:rsid w:val="00B9178E"/>
    <w:rsid w:val="00B91CB1"/>
    <w:rsid w:val="00B9249B"/>
    <w:rsid w:val="00B9536C"/>
    <w:rsid w:val="00B969FA"/>
    <w:rsid w:val="00BA1FFB"/>
    <w:rsid w:val="00BA2B3F"/>
    <w:rsid w:val="00BA4E45"/>
    <w:rsid w:val="00BA5760"/>
    <w:rsid w:val="00BA59FB"/>
    <w:rsid w:val="00BB053B"/>
    <w:rsid w:val="00BB14A3"/>
    <w:rsid w:val="00BB558A"/>
    <w:rsid w:val="00BB58F9"/>
    <w:rsid w:val="00BB6067"/>
    <w:rsid w:val="00BB6285"/>
    <w:rsid w:val="00BC0139"/>
    <w:rsid w:val="00BC0DE3"/>
    <w:rsid w:val="00BC15DE"/>
    <w:rsid w:val="00BC17C8"/>
    <w:rsid w:val="00BC20AB"/>
    <w:rsid w:val="00BC369C"/>
    <w:rsid w:val="00BC4972"/>
    <w:rsid w:val="00BC6897"/>
    <w:rsid w:val="00BD1221"/>
    <w:rsid w:val="00BD1B8D"/>
    <w:rsid w:val="00BD33D4"/>
    <w:rsid w:val="00BD40B1"/>
    <w:rsid w:val="00BD49CE"/>
    <w:rsid w:val="00BD5EFF"/>
    <w:rsid w:val="00BE47BF"/>
    <w:rsid w:val="00BE5374"/>
    <w:rsid w:val="00BE627A"/>
    <w:rsid w:val="00BE6CE8"/>
    <w:rsid w:val="00BE7B20"/>
    <w:rsid w:val="00BF1DB7"/>
    <w:rsid w:val="00BF254E"/>
    <w:rsid w:val="00BF635C"/>
    <w:rsid w:val="00BF7C54"/>
    <w:rsid w:val="00C01204"/>
    <w:rsid w:val="00C01D5F"/>
    <w:rsid w:val="00C0345A"/>
    <w:rsid w:val="00C03511"/>
    <w:rsid w:val="00C04C3A"/>
    <w:rsid w:val="00C05700"/>
    <w:rsid w:val="00C068A5"/>
    <w:rsid w:val="00C074CD"/>
    <w:rsid w:val="00C107C3"/>
    <w:rsid w:val="00C13520"/>
    <w:rsid w:val="00C14F9B"/>
    <w:rsid w:val="00C14FAB"/>
    <w:rsid w:val="00C15F42"/>
    <w:rsid w:val="00C1610B"/>
    <w:rsid w:val="00C1611D"/>
    <w:rsid w:val="00C16810"/>
    <w:rsid w:val="00C16C9A"/>
    <w:rsid w:val="00C175E4"/>
    <w:rsid w:val="00C20AF8"/>
    <w:rsid w:val="00C232E0"/>
    <w:rsid w:val="00C24B5E"/>
    <w:rsid w:val="00C24F5A"/>
    <w:rsid w:val="00C2534F"/>
    <w:rsid w:val="00C30058"/>
    <w:rsid w:val="00C317A2"/>
    <w:rsid w:val="00C33145"/>
    <w:rsid w:val="00C343FC"/>
    <w:rsid w:val="00C355CA"/>
    <w:rsid w:val="00C3651F"/>
    <w:rsid w:val="00C36633"/>
    <w:rsid w:val="00C36E9D"/>
    <w:rsid w:val="00C37C86"/>
    <w:rsid w:val="00C40CD4"/>
    <w:rsid w:val="00C412B1"/>
    <w:rsid w:val="00C41C9F"/>
    <w:rsid w:val="00C43D67"/>
    <w:rsid w:val="00C4436C"/>
    <w:rsid w:val="00C461B2"/>
    <w:rsid w:val="00C47C8E"/>
    <w:rsid w:val="00C52FD1"/>
    <w:rsid w:val="00C5359B"/>
    <w:rsid w:val="00C535D6"/>
    <w:rsid w:val="00C53AF7"/>
    <w:rsid w:val="00C554B5"/>
    <w:rsid w:val="00C56EF2"/>
    <w:rsid w:val="00C570A6"/>
    <w:rsid w:val="00C5719D"/>
    <w:rsid w:val="00C579F3"/>
    <w:rsid w:val="00C600B3"/>
    <w:rsid w:val="00C6057E"/>
    <w:rsid w:val="00C60DE1"/>
    <w:rsid w:val="00C61464"/>
    <w:rsid w:val="00C649F2"/>
    <w:rsid w:val="00C65524"/>
    <w:rsid w:val="00C6578F"/>
    <w:rsid w:val="00C66CEE"/>
    <w:rsid w:val="00C67DFA"/>
    <w:rsid w:val="00C67E8E"/>
    <w:rsid w:val="00C72177"/>
    <w:rsid w:val="00C7228F"/>
    <w:rsid w:val="00C740D4"/>
    <w:rsid w:val="00C741EB"/>
    <w:rsid w:val="00C74B8C"/>
    <w:rsid w:val="00C76F0D"/>
    <w:rsid w:val="00C8268F"/>
    <w:rsid w:val="00C83535"/>
    <w:rsid w:val="00C83D84"/>
    <w:rsid w:val="00C85836"/>
    <w:rsid w:val="00C86274"/>
    <w:rsid w:val="00C87436"/>
    <w:rsid w:val="00C91651"/>
    <w:rsid w:val="00C917A4"/>
    <w:rsid w:val="00C922A2"/>
    <w:rsid w:val="00C9257E"/>
    <w:rsid w:val="00C958E7"/>
    <w:rsid w:val="00C958F2"/>
    <w:rsid w:val="00C97CEE"/>
    <w:rsid w:val="00CA26EA"/>
    <w:rsid w:val="00CA2FB2"/>
    <w:rsid w:val="00CA324C"/>
    <w:rsid w:val="00CA38D5"/>
    <w:rsid w:val="00CA3D3A"/>
    <w:rsid w:val="00CA42D6"/>
    <w:rsid w:val="00CA478F"/>
    <w:rsid w:val="00CA528A"/>
    <w:rsid w:val="00CA6F10"/>
    <w:rsid w:val="00CB15E9"/>
    <w:rsid w:val="00CB2BD5"/>
    <w:rsid w:val="00CB5C55"/>
    <w:rsid w:val="00CC1D1A"/>
    <w:rsid w:val="00CC5956"/>
    <w:rsid w:val="00CC6260"/>
    <w:rsid w:val="00CD06DD"/>
    <w:rsid w:val="00CD1404"/>
    <w:rsid w:val="00CD2012"/>
    <w:rsid w:val="00CD3112"/>
    <w:rsid w:val="00CD7885"/>
    <w:rsid w:val="00CE28E3"/>
    <w:rsid w:val="00CE44AB"/>
    <w:rsid w:val="00CF1850"/>
    <w:rsid w:val="00CF1A2D"/>
    <w:rsid w:val="00CF2019"/>
    <w:rsid w:val="00CF2913"/>
    <w:rsid w:val="00CF3E5A"/>
    <w:rsid w:val="00CF439F"/>
    <w:rsid w:val="00CF6563"/>
    <w:rsid w:val="00CF7120"/>
    <w:rsid w:val="00CF724C"/>
    <w:rsid w:val="00CF7271"/>
    <w:rsid w:val="00CF7BDA"/>
    <w:rsid w:val="00D001B4"/>
    <w:rsid w:val="00D003B7"/>
    <w:rsid w:val="00D006FD"/>
    <w:rsid w:val="00D00E36"/>
    <w:rsid w:val="00D0118B"/>
    <w:rsid w:val="00D02F4F"/>
    <w:rsid w:val="00D04CB3"/>
    <w:rsid w:val="00D104DE"/>
    <w:rsid w:val="00D1079C"/>
    <w:rsid w:val="00D10ED1"/>
    <w:rsid w:val="00D14E59"/>
    <w:rsid w:val="00D17C6E"/>
    <w:rsid w:val="00D20031"/>
    <w:rsid w:val="00D20D07"/>
    <w:rsid w:val="00D235E7"/>
    <w:rsid w:val="00D313B3"/>
    <w:rsid w:val="00D31A3C"/>
    <w:rsid w:val="00D3292B"/>
    <w:rsid w:val="00D33F02"/>
    <w:rsid w:val="00D340A7"/>
    <w:rsid w:val="00D358F7"/>
    <w:rsid w:val="00D35EF7"/>
    <w:rsid w:val="00D362AD"/>
    <w:rsid w:val="00D36376"/>
    <w:rsid w:val="00D36E67"/>
    <w:rsid w:val="00D37EF5"/>
    <w:rsid w:val="00D41821"/>
    <w:rsid w:val="00D419C9"/>
    <w:rsid w:val="00D41FA2"/>
    <w:rsid w:val="00D428B9"/>
    <w:rsid w:val="00D43246"/>
    <w:rsid w:val="00D445BF"/>
    <w:rsid w:val="00D45750"/>
    <w:rsid w:val="00D457EA"/>
    <w:rsid w:val="00D45C42"/>
    <w:rsid w:val="00D461D3"/>
    <w:rsid w:val="00D50D6D"/>
    <w:rsid w:val="00D52318"/>
    <w:rsid w:val="00D52E54"/>
    <w:rsid w:val="00D52FF5"/>
    <w:rsid w:val="00D537E6"/>
    <w:rsid w:val="00D558CC"/>
    <w:rsid w:val="00D55FB2"/>
    <w:rsid w:val="00D56DFA"/>
    <w:rsid w:val="00D60E22"/>
    <w:rsid w:val="00D61302"/>
    <w:rsid w:val="00D623BF"/>
    <w:rsid w:val="00D62F4D"/>
    <w:rsid w:val="00D64906"/>
    <w:rsid w:val="00D64F1E"/>
    <w:rsid w:val="00D652D9"/>
    <w:rsid w:val="00D67D0C"/>
    <w:rsid w:val="00D70DDA"/>
    <w:rsid w:val="00D72875"/>
    <w:rsid w:val="00D73AD9"/>
    <w:rsid w:val="00D748F9"/>
    <w:rsid w:val="00D75184"/>
    <w:rsid w:val="00D766C7"/>
    <w:rsid w:val="00D7675C"/>
    <w:rsid w:val="00D80C29"/>
    <w:rsid w:val="00D8316D"/>
    <w:rsid w:val="00D83B51"/>
    <w:rsid w:val="00D83B5C"/>
    <w:rsid w:val="00D84ECA"/>
    <w:rsid w:val="00D8525E"/>
    <w:rsid w:val="00D86400"/>
    <w:rsid w:val="00D86EC0"/>
    <w:rsid w:val="00D9041B"/>
    <w:rsid w:val="00D90DBB"/>
    <w:rsid w:val="00D9141D"/>
    <w:rsid w:val="00D91F3A"/>
    <w:rsid w:val="00D942A8"/>
    <w:rsid w:val="00D946C9"/>
    <w:rsid w:val="00D94CF3"/>
    <w:rsid w:val="00D9624C"/>
    <w:rsid w:val="00D967A8"/>
    <w:rsid w:val="00D96B54"/>
    <w:rsid w:val="00DA01F8"/>
    <w:rsid w:val="00DA058E"/>
    <w:rsid w:val="00DA46B9"/>
    <w:rsid w:val="00DA512C"/>
    <w:rsid w:val="00DA6765"/>
    <w:rsid w:val="00DA741A"/>
    <w:rsid w:val="00DB003C"/>
    <w:rsid w:val="00DB1E91"/>
    <w:rsid w:val="00DB3C08"/>
    <w:rsid w:val="00DB4410"/>
    <w:rsid w:val="00DB5117"/>
    <w:rsid w:val="00DB6031"/>
    <w:rsid w:val="00DB664A"/>
    <w:rsid w:val="00DB7463"/>
    <w:rsid w:val="00DB7864"/>
    <w:rsid w:val="00DB7EC9"/>
    <w:rsid w:val="00DC14AF"/>
    <w:rsid w:val="00DC1720"/>
    <w:rsid w:val="00DC2112"/>
    <w:rsid w:val="00DC3633"/>
    <w:rsid w:val="00DC4108"/>
    <w:rsid w:val="00DC4EC7"/>
    <w:rsid w:val="00DC4F64"/>
    <w:rsid w:val="00DC50C5"/>
    <w:rsid w:val="00DC64A7"/>
    <w:rsid w:val="00DD0953"/>
    <w:rsid w:val="00DD1A95"/>
    <w:rsid w:val="00DD2C81"/>
    <w:rsid w:val="00DE2496"/>
    <w:rsid w:val="00DE5718"/>
    <w:rsid w:val="00DE581E"/>
    <w:rsid w:val="00DE7099"/>
    <w:rsid w:val="00DF05A8"/>
    <w:rsid w:val="00DF0FAA"/>
    <w:rsid w:val="00DF1A83"/>
    <w:rsid w:val="00DF2241"/>
    <w:rsid w:val="00DF2FB7"/>
    <w:rsid w:val="00DF341B"/>
    <w:rsid w:val="00DF39E9"/>
    <w:rsid w:val="00DF431B"/>
    <w:rsid w:val="00DF74D9"/>
    <w:rsid w:val="00E005E9"/>
    <w:rsid w:val="00E007A5"/>
    <w:rsid w:val="00E010C1"/>
    <w:rsid w:val="00E0360B"/>
    <w:rsid w:val="00E03951"/>
    <w:rsid w:val="00E03A96"/>
    <w:rsid w:val="00E04790"/>
    <w:rsid w:val="00E05D56"/>
    <w:rsid w:val="00E079B8"/>
    <w:rsid w:val="00E105A9"/>
    <w:rsid w:val="00E1360E"/>
    <w:rsid w:val="00E13834"/>
    <w:rsid w:val="00E13EA3"/>
    <w:rsid w:val="00E14CA6"/>
    <w:rsid w:val="00E15056"/>
    <w:rsid w:val="00E15DB1"/>
    <w:rsid w:val="00E17552"/>
    <w:rsid w:val="00E20F23"/>
    <w:rsid w:val="00E21B03"/>
    <w:rsid w:val="00E22445"/>
    <w:rsid w:val="00E22C07"/>
    <w:rsid w:val="00E2443B"/>
    <w:rsid w:val="00E24972"/>
    <w:rsid w:val="00E260A3"/>
    <w:rsid w:val="00E26A7A"/>
    <w:rsid w:val="00E26D15"/>
    <w:rsid w:val="00E27DDB"/>
    <w:rsid w:val="00E30BDE"/>
    <w:rsid w:val="00E30C57"/>
    <w:rsid w:val="00E31702"/>
    <w:rsid w:val="00E31B75"/>
    <w:rsid w:val="00E322C9"/>
    <w:rsid w:val="00E3242E"/>
    <w:rsid w:val="00E330C9"/>
    <w:rsid w:val="00E3330E"/>
    <w:rsid w:val="00E3351F"/>
    <w:rsid w:val="00E33992"/>
    <w:rsid w:val="00E401DA"/>
    <w:rsid w:val="00E40DAE"/>
    <w:rsid w:val="00E40F62"/>
    <w:rsid w:val="00E43249"/>
    <w:rsid w:val="00E436A2"/>
    <w:rsid w:val="00E44B80"/>
    <w:rsid w:val="00E44BC9"/>
    <w:rsid w:val="00E458D8"/>
    <w:rsid w:val="00E518A7"/>
    <w:rsid w:val="00E529F5"/>
    <w:rsid w:val="00E5356B"/>
    <w:rsid w:val="00E53E00"/>
    <w:rsid w:val="00E54221"/>
    <w:rsid w:val="00E54D61"/>
    <w:rsid w:val="00E5583A"/>
    <w:rsid w:val="00E5650A"/>
    <w:rsid w:val="00E574EC"/>
    <w:rsid w:val="00E57F9C"/>
    <w:rsid w:val="00E6122C"/>
    <w:rsid w:val="00E615F9"/>
    <w:rsid w:val="00E6193C"/>
    <w:rsid w:val="00E62BC2"/>
    <w:rsid w:val="00E63DAA"/>
    <w:rsid w:val="00E63EB6"/>
    <w:rsid w:val="00E655B7"/>
    <w:rsid w:val="00E65B85"/>
    <w:rsid w:val="00E66C10"/>
    <w:rsid w:val="00E70183"/>
    <w:rsid w:val="00E70585"/>
    <w:rsid w:val="00E7221D"/>
    <w:rsid w:val="00E72C6E"/>
    <w:rsid w:val="00E739FF"/>
    <w:rsid w:val="00E7615F"/>
    <w:rsid w:val="00E7627B"/>
    <w:rsid w:val="00E76AE0"/>
    <w:rsid w:val="00E77E8C"/>
    <w:rsid w:val="00E81A87"/>
    <w:rsid w:val="00E83948"/>
    <w:rsid w:val="00E83CF9"/>
    <w:rsid w:val="00E8633B"/>
    <w:rsid w:val="00E9017F"/>
    <w:rsid w:val="00E9259F"/>
    <w:rsid w:val="00E92974"/>
    <w:rsid w:val="00E92F98"/>
    <w:rsid w:val="00E9331D"/>
    <w:rsid w:val="00E93D84"/>
    <w:rsid w:val="00E95322"/>
    <w:rsid w:val="00E95490"/>
    <w:rsid w:val="00E968C1"/>
    <w:rsid w:val="00E971F6"/>
    <w:rsid w:val="00EA0E54"/>
    <w:rsid w:val="00EA1769"/>
    <w:rsid w:val="00EA3671"/>
    <w:rsid w:val="00EA6171"/>
    <w:rsid w:val="00EA7523"/>
    <w:rsid w:val="00EA79F6"/>
    <w:rsid w:val="00EB0074"/>
    <w:rsid w:val="00EB0DEA"/>
    <w:rsid w:val="00EB1F63"/>
    <w:rsid w:val="00EB27BC"/>
    <w:rsid w:val="00EB28F3"/>
    <w:rsid w:val="00EB2D49"/>
    <w:rsid w:val="00EB32E6"/>
    <w:rsid w:val="00EB3D9A"/>
    <w:rsid w:val="00EB6A32"/>
    <w:rsid w:val="00EC17AE"/>
    <w:rsid w:val="00EC33A0"/>
    <w:rsid w:val="00EC4836"/>
    <w:rsid w:val="00EC4D9B"/>
    <w:rsid w:val="00EC5088"/>
    <w:rsid w:val="00ED2EED"/>
    <w:rsid w:val="00ED36FA"/>
    <w:rsid w:val="00ED5E38"/>
    <w:rsid w:val="00EE1116"/>
    <w:rsid w:val="00EE25CB"/>
    <w:rsid w:val="00EE4490"/>
    <w:rsid w:val="00EE4EEF"/>
    <w:rsid w:val="00EE6832"/>
    <w:rsid w:val="00EF1755"/>
    <w:rsid w:val="00EF3D58"/>
    <w:rsid w:val="00EF6BA8"/>
    <w:rsid w:val="00EF7063"/>
    <w:rsid w:val="00EF7084"/>
    <w:rsid w:val="00F0158A"/>
    <w:rsid w:val="00F027DC"/>
    <w:rsid w:val="00F03B39"/>
    <w:rsid w:val="00F04052"/>
    <w:rsid w:val="00F04FED"/>
    <w:rsid w:val="00F06673"/>
    <w:rsid w:val="00F06961"/>
    <w:rsid w:val="00F1066F"/>
    <w:rsid w:val="00F11163"/>
    <w:rsid w:val="00F11826"/>
    <w:rsid w:val="00F11C60"/>
    <w:rsid w:val="00F12033"/>
    <w:rsid w:val="00F1415F"/>
    <w:rsid w:val="00F14201"/>
    <w:rsid w:val="00F1508C"/>
    <w:rsid w:val="00F1578E"/>
    <w:rsid w:val="00F20763"/>
    <w:rsid w:val="00F2122C"/>
    <w:rsid w:val="00F21AF5"/>
    <w:rsid w:val="00F227C8"/>
    <w:rsid w:val="00F23CB7"/>
    <w:rsid w:val="00F257B5"/>
    <w:rsid w:val="00F26A3A"/>
    <w:rsid w:val="00F2720E"/>
    <w:rsid w:val="00F27248"/>
    <w:rsid w:val="00F2776D"/>
    <w:rsid w:val="00F300F3"/>
    <w:rsid w:val="00F30986"/>
    <w:rsid w:val="00F31589"/>
    <w:rsid w:val="00F346E6"/>
    <w:rsid w:val="00F3573F"/>
    <w:rsid w:val="00F40864"/>
    <w:rsid w:val="00F43D85"/>
    <w:rsid w:val="00F44511"/>
    <w:rsid w:val="00F44895"/>
    <w:rsid w:val="00F467EE"/>
    <w:rsid w:val="00F50585"/>
    <w:rsid w:val="00F51011"/>
    <w:rsid w:val="00F516E3"/>
    <w:rsid w:val="00F51A33"/>
    <w:rsid w:val="00F54832"/>
    <w:rsid w:val="00F54D72"/>
    <w:rsid w:val="00F574F5"/>
    <w:rsid w:val="00F57885"/>
    <w:rsid w:val="00F57CC5"/>
    <w:rsid w:val="00F57F3D"/>
    <w:rsid w:val="00F61447"/>
    <w:rsid w:val="00F63EA8"/>
    <w:rsid w:val="00F6470C"/>
    <w:rsid w:val="00F65542"/>
    <w:rsid w:val="00F66144"/>
    <w:rsid w:val="00F66609"/>
    <w:rsid w:val="00F6713F"/>
    <w:rsid w:val="00F711E9"/>
    <w:rsid w:val="00F712BB"/>
    <w:rsid w:val="00F725FF"/>
    <w:rsid w:val="00F74B51"/>
    <w:rsid w:val="00F7511D"/>
    <w:rsid w:val="00F77346"/>
    <w:rsid w:val="00F808DC"/>
    <w:rsid w:val="00F81362"/>
    <w:rsid w:val="00F830D9"/>
    <w:rsid w:val="00F83C5E"/>
    <w:rsid w:val="00F854EE"/>
    <w:rsid w:val="00F87F6A"/>
    <w:rsid w:val="00F9048C"/>
    <w:rsid w:val="00F91353"/>
    <w:rsid w:val="00F91A86"/>
    <w:rsid w:val="00F9684A"/>
    <w:rsid w:val="00FA034C"/>
    <w:rsid w:val="00FA0825"/>
    <w:rsid w:val="00FA08AD"/>
    <w:rsid w:val="00FA2F27"/>
    <w:rsid w:val="00FA2F67"/>
    <w:rsid w:val="00FA4150"/>
    <w:rsid w:val="00FA5766"/>
    <w:rsid w:val="00FA6ACF"/>
    <w:rsid w:val="00FA7D7D"/>
    <w:rsid w:val="00FB0A98"/>
    <w:rsid w:val="00FB620D"/>
    <w:rsid w:val="00FB6F67"/>
    <w:rsid w:val="00FB771F"/>
    <w:rsid w:val="00FC0AD7"/>
    <w:rsid w:val="00FC0B93"/>
    <w:rsid w:val="00FC10DE"/>
    <w:rsid w:val="00FC2D5F"/>
    <w:rsid w:val="00FC4EBE"/>
    <w:rsid w:val="00FC5603"/>
    <w:rsid w:val="00FD0B28"/>
    <w:rsid w:val="00FD17BA"/>
    <w:rsid w:val="00FD2C9D"/>
    <w:rsid w:val="00FD2F74"/>
    <w:rsid w:val="00FD3B94"/>
    <w:rsid w:val="00FD40DD"/>
    <w:rsid w:val="00FD43B3"/>
    <w:rsid w:val="00FD476E"/>
    <w:rsid w:val="00FD6295"/>
    <w:rsid w:val="00FE1118"/>
    <w:rsid w:val="00FE2DCA"/>
    <w:rsid w:val="00FE40E5"/>
    <w:rsid w:val="00FE4739"/>
    <w:rsid w:val="00FE4DB2"/>
    <w:rsid w:val="00FE681D"/>
    <w:rsid w:val="00FE74DF"/>
    <w:rsid w:val="00FF07A5"/>
    <w:rsid w:val="00FF0DBD"/>
    <w:rsid w:val="00FF1B3A"/>
    <w:rsid w:val="00FF2100"/>
    <w:rsid w:val="00FF2D1B"/>
    <w:rsid w:val="00FF3A07"/>
    <w:rsid w:val="00FF3FEA"/>
    <w:rsid w:val="00FF4C68"/>
    <w:rsid w:val="00FF643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760A37"/>
    <w:pPr>
      <w:keepNext/>
      <w:spacing w:before="360" w:after="120" w:line="240" w:lineRule="auto"/>
      <w:outlineLvl w:val="3"/>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NeueLTStd-CnO" w:hAnsi="HelveticaNeueLTStd-CnO"/>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760A37"/>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HTAtableplain"/>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Styl moj,Akapit z listą1,Akapit z listą"/>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CD2012"/>
    <w:pPr>
      <w:spacing w:after="60" w:line="240" w:lineRule="auto"/>
      <w:ind w:left="851" w:hanging="851"/>
      <w:outlineLvl w:val="3"/>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0D6EAF"/>
    <w:rPr>
      <w:rFonts w:ascii="Arial Narrow" w:eastAsia="Times New Roman" w:hAnsi="Arial Narrow" w:cs="Arial"/>
      <w:sz w:val="18"/>
      <w:szCs w:val="20"/>
    </w:rPr>
  </w:style>
  <w:style w:type="paragraph" w:customStyle="1" w:styleId="TableFooter">
    <w:name w:val="Table Footer"/>
    <w:basedOn w:val="Normal"/>
    <w:link w:val="TableFooterChar"/>
    <w:qFormat/>
    <w:rsid w:val="000D6EAF"/>
    <w:pPr>
      <w:widowControl w:val="0"/>
      <w:snapToGrid w:val="0"/>
      <w:spacing w:before="40"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GB"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auhaus 93" w:hAnsi="Bauhaus 93"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auhaus 93" w:hAnsi="Bauhaus 93"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auhaus 93" w:hAnsi="Bauhaus 93"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1"/>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table" w:customStyle="1" w:styleId="HealthConsult1">
    <w:name w:val="HealthConsult1"/>
    <w:basedOn w:val="TableNormal"/>
    <w:next w:val="TableGrid"/>
    <w:uiPriority w:val="59"/>
    <w:rsid w:val="000D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3">
    <w:name w:val="HealthConsult3"/>
    <w:basedOn w:val="TableNormal"/>
    <w:next w:val="TableGrid"/>
    <w:uiPriority w:val="59"/>
    <w:rsid w:val="004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uiPriority w:val="59"/>
    <w:rsid w:val="00D4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96911"/>
    <w:pPr>
      <w:spacing w:after="0" w:line="240" w:lineRule="auto"/>
    </w:pPr>
    <w:rPr>
      <w:rFonts w:eastAsia="Times New Roman"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49A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semiHidden/>
    <w:unhideWhenUsed/>
    <w:rsid w:val="00570454"/>
    <w:pPr>
      <w:spacing w:before="0"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70454"/>
    <w:rPr>
      <w:rFonts w:ascii="Calibri" w:hAnsi="Calibri"/>
      <w:szCs w:val="21"/>
    </w:rPr>
  </w:style>
  <w:style w:type="paragraph" w:customStyle="1" w:styleId="Default">
    <w:name w:val="Default"/>
    <w:rsid w:val="008A2C9F"/>
    <w:pPr>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paragraph" w:styleId="BodyText">
    <w:name w:val="Body Text"/>
    <w:basedOn w:val="Normal"/>
    <w:link w:val="BodyTextChar"/>
    <w:rsid w:val="008A2C9F"/>
    <w:pPr>
      <w:spacing w:before="0" w:after="0" w:line="312" w:lineRule="auto"/>
    </w:pPr>
    <w:rPr>
      <w:rFonts w:ascii="Helv" w:eastAsia="Times New Roman" w:hAnsi="Helv" w:cs="Tahoma"/>
      <w:b/>
      <w:i/>
      <w:snapToGrid w:val="0"/>
      <w:color w:val="000000"/>
      <w:sz w:val="28"/>
    </w:rPr>
  </w:style>
  <w:style w:type="character" w:customStyle="1" w:styleId="BodyTextChar">
    <w:name w:val="Body Text Char"/>
    <w:basedOn w:val="DefaultParagraphFont"/>
    <w:link w:val="BodyText"/>
    <w:rsid w:val="008A2C9F"/>
    <w:rPr>
      <w:rFonts w:ascii="Helv" w:eastAsia="Times New Roman" w:hAnsi="Helv" w:cs="Tahoma"/>
      <w:b/>
      <w:i/>
      <w:snapToGrid w:val="0"/>
      <w:color w:val="000000"/>
      <w:sz w:val="28"/>
    </w:rPr>
  </w:style>
  <w:style w:type="paragraph" w:customStyle="1" w:styleId="5Bodytext">
    <w:name w:val="5. Body text"/>
    <w:basedOn w:val="ListParagraph"/>
    <w:link w:val="5BodytextChar"/>
    <w:qFormat/>
    <w:rsid w:val="00F300F3"/>
    <w:pPr>
      <w:autoSpaceDE w:val="0"/>
      <w:autoSpaceDN w:val="0"/>
      <w:adjustRightInd w:val="0"/>
      <w:spacing w:before="0" w:after="240" w:line="240" w:lineRule="auto"/>
      <w:ind w:left="0"/>
      <w:contextualSpacing w:val="0"/>
    </w:pPr>
    <w:rPr>
      <w:rFonts w:ascii="Tms Rmn" w:eastAsia="Times New Roman" w:hAnsi="Tms Rmn" w:cs="Times New Roman"/>
      <w:sz w:val="24"/>
      <w:szCs w:val="24"/>
      <w:lang w:eastAsia="en-AU"/>
    </w:rPr>
  </w:style>
  <w:style w:type="character" w:customStyle="1" w:styleId="5BodytextChar">
    <w:name w:val="5. Body text Char"/>
    <w:basedOn w:val="DefaultParagraphFont"/>
    <w:link w:val="5Bodytext"/>
    <w:rsid w:val="00F300F3"/>
    <w:rPr>
      <w:rFonts w:ascii="Tms Rmn" w:eastAsia="Times New Roman" w:hAnsi="Tms Rmn" w:cs="Times New Roman"/>
      <w:sz w:val="24"/>
      <w:szCs w:val="24"/>
      <w:lang w:eastAsia="en-AU"/>
    </w:rPr>
  </w:style>
  <w:style w:type="paragraph" w:customStyle="1" w:styleId="xmsolistparagraph">
    <w:name w:val="x_msolistparagraph"/>
    <w:basedOn w:val="Normal"/>
    <w:uiPriority w:val="99"/>
    <w:rsid w:val="00BC20AB"/>
    <w:pPr>
      <w:spacing w:before="0" w:after="0" w:line="240" w:lineRule="auto"/>
      <w:ind w:left="720"/>
    </w:pPr>
    <w:rPr>
      <w:rFonts w:ascii="Calibri" w:hAnsi="Calibri" w:cs="Calibri"/>
      <w:lang w:eastAsia="en-AU"/>
    </w:rPr>
  </w:style>
  <w:style w:type="character" w:customStyle="1" w:styleId="cf01">
    <w:name w:val="cf01"/>
    <w:basedOn w:val="DefaultParagraphFont"/>
    <w:rsid w:val="00BC20AB"/>
    <w:rPr>
      <w:rFonts w:ascii="Segoe UI" w:hAnsi="Segoe UI" w:cs="Segoe UI" w:hint="default"/>
      <w:sz w:val="18"/>
      <w:szCs w:val="18"/>
    </w:rPr>
  </w:style>
  <w:style w:type="paragraph" w:customStyle="1" w:styleId="xxmsolistparagraph">
    <w:name w:val="x_xmsolistparagraph"/>
    <w:basedOn w:val="Normal"/>
    <w:rsid w:val="00672CA6"/>
    <w:pPr>
      <w:spacing w:before="0" w:after="0" w:line="240" w:lineRule="auto"/>
      <w:ind w:left="720"/>
    </w:pPr>
    <w:rPr>
      <w:rFonts w:ascii="Calibri" w:hAnsi="Calibri" w:cs="Calibri"/>
      <w:lang w:eastAsia="en-AU"/>
    </w:rPr>
  </w:style>
  <w:style w:type="paragraph" w:customStyle="1" w:styleId="xxmsonormal">
    <w:name w:val="x_xmsonormal"/>
    <w:basedOn w:val="Normal"/>
    <w:rsid w:val="00163717"/>
    <w:pPr>
      <w:spacing w:before="0"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86988485">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01411575">
      <w:bodyDiv w:val="1"/>
      <w:marLeft w:val="0"/>
      <w:marRight w:val="0"/>
      <w:marTop w:val="0"/>
      <w:marBottom w:val="0"/>
      <w:divBdr>
        <w:top w:val="none" w:sz="0" w:space="0" w:color="auto"/>
        <w:left w:val="none" w:sz="0" w:space="0" w:color="auto"/>
        <w:bottom w:val="none" w:sz="0" w:space="0" w:color="auto"/>
        <w:right w:val="none" w:sz="0" w:space="0" w:color="auto"/>
      </w:divBdr>
    </w:div>
    <w:div w:id="413743324">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15323156">
      <w:bodyDiv w:val="1"/>
      <w:marLeft w:val="0"/>
      <w:marRight w:val="0"/>
      <w:marTop w:val="0"/>
      <w:marBottom w:val="0"/>
      <w:divBdr>
        <w:top w:val="none" w:sz="0" w:space="0" w:color="auto"/>
        <w:left w:val="none" w:sz="0" w:space="0" w:color="auto"/>
        <w:bottom w:val="none" w:sz="0" w:space="0" w:color="auto"/>
        <w:right w:val="none" w:sz="0" w:space="0" w:color="auto"/>
      </w:divBdr>
    </w:div>
    <w:div w:id="418216508">
      <w:bodyDiv w:val="1"/>
      <w:marLeft w:val="0"/>
      <w:marRight w:val="0"/>
      <w:marTop w:val="0"/>
      <w:marBottom w:val="0"/>
      <w:divBdr>
        <w:top w:val="none" w:sz="0" w:space="0" w:color="auto"/>
        <w:left w:val="none" w:sz="0" w:space="0" w:color="auto"/>
        <w:bottom w:val="none" w:sz="0" w:space="0" w:color="auto"/>
        <w:right w:val="none" w:sz="0" w:space="0" w:color="auto"/>
      </w:divBdr>
      <w:divsChild>
        <w:div w:id="1359895523">
          <w:marLeft w:val="720"/>
          <w:marRight w:val="0"/>
          <w:marTop w:val="67"/>
          <w:marBottom w:val="0"/>
          <w:divBdr>
            <w:top w:val="none" w:sz="0" w:space="0" w:color="auto"/>
            <w:left w:val="none" w:sz="0" w:space="0" w:color="auto"/>
            <w:bottom w:val="none" w:sz="0" w:space="0" w:color="auto"/>
            <w:right w:val="none" w:sz="0" w:space="0" w:color="auto"/>
          </w:divBdr>
        </w:div>
        <w:div w:id="58406087">
          <w:marLeft w:val="720"/>
          <w:marRight w:val="0"/>
          <w:marTop w:val="67"/>
          <w:marBottom w:val="0"/>
          <w:divBdr>
            <w:top w:val="none" w:sz="0" w:space="0" w:color="auto"/>
            <w:left w:val="none" w:sz="0" w:space="0" w:color="auto"/>
            <w:bottom w:val="none" w:sz="0" w:space="0" w:color="auto"/>
            <w:right w:val="none" w:sz="0" w:space="0" w:color="auto"/>
          </w:divBdr>
        </w:div>
        <w:div w:id="1088649733">
          <w:marLeft w:val="720"/>
          <w:marRight w:val="0"/>
          <w:marTop w:val="67"/>
          <w:marBottom w:val="0"/>
          <w:divBdr>
            <w:top w:val="none" w:sz="0" w:space="0" w:color="auto"/>
            <w:left w:val="none" w:sz="0" w:space="0" w:color="auto"/>
            <w:bottom w:val="none" w:sz="0" w:space="0" w:color="auto"/>
            <w:right w:val="none" w:sz="0" w:space="0" w:color="auto"/>
          </w:divBdr>
        </w:div>
        <w:div w:id="1123383251">
          <w:marLeft w:val="720"/>
          <w:marRight w:val="0"/>
          <w:marTop w:val="67"/>
          <w:marBottom w:val="0"/>
          <w:divBdr>
            <w:top w:val="none" w:sz="0" w:space="0" w:color="auto"/>
            <w:left w:val="none" w:sz="0" w:space="0" w:color="auto"/>
            <w:bottom w:val="none" w:sz="0" w:space="0" w:color="auto"/>
            <w:right w:val="none" w:sz="0" w:space="0" w:color="auto"/>
          </w:divBdr>
        </w:div>
        <w:div w:id="904220186">
          <w:marLeft w:val="720"/>
          <w:marRight w:val="0"/>
          <w:marTop w:val="67"/>
          <w:marBottom w:val="0"/>
          <w:divBdr>
            <w:top w:val="none" w:sz="0" w:space="0" w:color="auto"/>
            <w:left w:val="none" w:sz="0" w:space="0" w:color="auto"/>
            <w:bottom w:val="none" w:sz="0" w:space="0" w:color="auto"/>
            <w:right w:val="none" w:sz="0" w:space="0" w:color="auto"/>
          </w:divBdr>
        </w:div>
        <w:div w:id="323899951">
          <w:marLeft w:val="720"/>
          <w:marRight w:val="0"/>
          <w:marTop w:val="67"/>
          <w:marBottom w:val="0"/>
          <w:divBdr>
            <w:top w:val="none" w:sz="0" w:space="0" w:color="auto"/>
            <w:left w:val="none" w:sz="0" w:space="0" w:color="auto"/>
            <w:bottom w:val="none" w:sz="0" w:space="0" w:color="auto"/>
            <w:right w:val="none" w:sz="0" w:space="0" w:color="auto"/>
          </w:divBdr>
        </w:div>
        <w:div w:id="317266239">
          <w:marLeft w:val="720"/>
          <w:marRight w:val="0"/>
          <w:marTop w:val="67"/>
          <w:marBottom w:val="0"/>
          <w:divBdr>
            <w:top w:val="none" w:sz="0" w:space="0" w:color="auto"/>
            <w:left w:val="none" w:sz="0" w:space="0" w:color="auto"/>
            <w:bottom w:val="none" w:sz="0" w:space="0" w:color="auto"/>
            <w:right w:val="none" w:sz="0" w:space="0" w:color="auto"/>
          </w:divBdr>
        </w:div>
      </w:divsChild>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575296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292">
          <w:marLeft w:val="720"/>
          <w:marRight w:val="0"/>
          <w:marTop w:val="67"/>
          <w:marBottom w:val="0"/>
          <w:divBdr>
            <w:top w:val="none" w:sz="0" w:space="0" w:color="auto"/>
            <w:left w:val="none" w:sz="0" w:space="0" w:color="auto"/>
            <w:bottom w:val="none" w:sz="0" w:space="0" w:color="auto"/>
            <w:right w:val="none" w:sz="0" w:space="0" w:color="auto"/>
          </w:divBdr>
        </w:div>
        <w:div w:id="895167768">
          <w:marLeft w:val="720"/>
          <w:marRight w:val="0"/>
          <w:marTop w:val="67"/>
          <w:marBottom w:val="0"/>
          <w:divBdr>
            <w:top w:val="none" w:sz="0" w:space="0" w:color="auto"/>
            <w:left w:val="none" w:sz="0" w:space="0" w:color="auto"/>
            <w:bottom w:val="none" w:sz="0" w:space="0" w:color="auto"/>
            <w:right w:val="none" w:sz="0" w:space="0" w:color="auto"/>
          </w:divBdr>
        </w:div>
        <w:div w:id="1463884127">
          <w:marLeft w:val="720"/>
          <w:marRight w:val="0"/>
          <w:marTop w:val="67"/>
          <w:marBottom w:val="0"/>
          <w:divBdr>
            <w:top w:val="none" w:sz="0" w:space="0" w:color="auto"/>
            <w:left w:val="none" w:sz="0" w:space="0" w:color="auto"/>
            <w:bottom w:val="none" w:sz="0" w:space="0" w:color="auto"/>
            <w:right w:val="none" w:sz="0" w:space="0" w:color="auto"/>
          </w:divBdr>
        </w:div>
        <w:div w:id="1427077908">
          <w:marLeft w:val="720"/>
          <w:marRight w:val="0"/>
          <w:marTop w:val="67"/>
          <w:marBottom w:val="0"/>
          <w:divBdr>
            <w:top w:val="none" w:sz="0" w:space="0" w:color="auto"/>
            <w:left w:val="none" w:sz="0" w:space="0" w:color="auto"/>
            <w:bottom w:val="none" w:sz="0" w:space="0" w:color="auto"/>
            <w:right w:val="none" w:sz="0" w:space="0" w:color="auto"/>
          </w:divBdr>
        </w:div>
        <w:div w:id="106704177">
          <w:marLeft w:val="720"/>
          <w:marRight w:val="0"/>
          <w:marTop w:val="67"/>
          <w:marBottom w:val="0"/>
          <w:divBdr>
            <w:top w:val="none" w:sz="0" w:space="0" w:color="auto"/>
            <w:left w:val="none" w:sz="0" w:space="0" w:color="auto"/>
            <w:bottom w:val="none" w:sz="0" w:space="0" w:color="auto"/>
            <w:right w:val="none" w:sz="0" w:space="0" w:color="auto"/>
          </w:divBdr>
        </w:div>
        <w:div w:id="1897206889">
          <w:marLeft w:val="720"/>
          <w:marRight w:val="0"/>
          <w:marTop w:val="67"/>
          <w:marBottom w:val="0"/>
          <w:divBdr>
            <w:top w:val="none" w:sz="0" w:space="0" w:color="auto"/>
            <w:left w:val="none" w:sz="0" w:space="0" w:color="auto"/>
            <w:bottom w:val="none" w:sz="0" w:space="0" w:color="auto"/>
            <w:right w:val="none" w:sz="0" w:space="0" w:color="auto"/>
          </w:divBdr>
        </w:div>
        <w:div w:id="2137209991">
          <w:marLeft w:val="720"/>
          <w:marRight w:val="0"/>
          <w:marTop w:val="67"/>
          <w:marBottom w:val="0"/>
          <w:divBdr>
            <w:top w:val="none" w:sz="0" w:space="0" w:color="auto"/>
            <w:left w:val="none" w:sz="0" w:space="0" w:color="auto"/>
            <w:bottom w:val="none" w:sz="0" w:space="0" w:color="auto"/>
            <w:right w:val="none" w:sz="0" w:space="0" w:color="auto"/>
          </w:divBdr>
        </w:div>
      </w:divsChild>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26546949">
      <w:bodyDiv w:val="1"/>
      <w:marLeft w:val="0"/>
      <w:marRight w:val="0"/>
      <w:marTop w:val="0"/>
      <w:marBottom w:val="0"/>
      <w:divBdr>
        <w:top w:val="none" w:sz="0" w:space="0" w:color="auto"/>
        <w:left w:val="none" w:sz="0" w:space="0" w:color="auto"/>
        <w:bottom w:val="none" w:sz="0" w:space="0" w:color="auto"/>
        <w:right w:val="none" w:sz="0" w:space="0" w:color="auto"/>
      </w:divBdr>
      <w:divsChild>
        <w:div w:id="136454012">
          <w:marLeft w:val="360"/>
          <w:marRight w:val="0"/>
          <w:marTop w:val="86"/>
          <w:marBottom w:val="0"/>
          <w:divBdr>
            <w:top w:val="none" w:sz="0" w:space="0" w:color="auto"/>
            <w:left w:val="none" w:sz="0" w:space="0" w:color="auto"/>
            <w:bottom w:val="none" w:sz="0" w:space="0" w:color="auto"/>
            <w:right w:val="none" w:sz="0" w:space="0" w:color="auto"/>
          </w:divBdr>
        </w:div>
        <w:div w:id="805513009">
          <w:marLeft w:val="360"/>
          <w:marRight w:val="0"/>
          <w:marTop w:val="86"/>
          <w:marBottom w:val="0"/>
          <w:divBdr>
            <w:top w:val="none" w:sz="0" w:space="0" w:color="auto"/>
            <w:left w:val="none" w:sz="0" w:space="0" w:color="auto"/>
            <w:bottom w:val="none" w:sz="0" w:space="0" w:color="auto"/>
            <w:right w:val="none" w:sz="0" w:space="0" w:color="auto"/>
          </w:divBdr>
        </w:div>
        <w:div w:id="2039970589">
          <w:marLeft w:val="360"/>
          <w:marRight w:val="0"/>
          <w:marTop w:val="86"/>
          <w:marBottom w:val="0"/>
          <w:divBdr>
            <w:top w:val="none" w:sz="0" w:space="0" w:color="auto"/>
            <w:left w:val="none" w:sz="0" w:space="0" w:color="auto"/>
            <w:bottom w:val="none" w:sz="0" w:space="0" w:color="auto"/>
            <w:right w:val="none" w:sz="0" w:space="0" w:color="auto"/>
          </w:divBdr>
        </w:div>
      </w:divsChild>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6113556">
      <w:bodyDiv w:val="1"/>
      <w:marLeft w:val="0"/>
      <w:marRight w:val="0"/>
      <w:marTop w:val="0"/>
      <w:marBottom w:val="0"/>
      <w:divBdr>
        <w:top w:val="none" w:sz="0" w:space="0" w:color="auto"/>
        <w:left w:val="none" w:sz="0" w:space="0" w:color="auto"/>
        <w:bottom w:val="none" w:sz="0" w:space="0" w:color="auto"/>
        <w:right w:val="none" w:sz="0" w:space="0" w:color="auto"/>
      </w:divBdr>
      <w:divsChild>
        <w:div w:id="803700181">
          <w:marLeft w:val="547"/>
          <w:marRight w:val="0"/>
          <w:marTop w:val="96"/>
          <w:marBottom w:val="0"/>
          <w:divBdr>
            <w:top w:val="none" w:sz="0" w:space="0" w:color="auto"/>
            <w:left w:val="none" w:sz="0" w:space="0" w:color="auto"/>
            <w:bottom w:val="none" w:sz="0" w:space="0" w:color="auto"/>
            <w:right w:val="none" w:sz="0" w:space="0" w:color="auto"/>
          </w:divBdr>
        </w:div>
        <w:div w:id="194581526">
          <w:marLeft w:val="1051"/>
          <w:marRight w:val="0"/>
          <w:marTop w:val="77"/>
          <w:marBottom w:val="0"/>
          <w:divBdr>
            <w:top w:val="none" w:sz="0" w:space="0" w:color="auto"/>
            <w:left w:val="none" w:sz="0" w:space="0" w:color="auto"/>
            <w:bottom w:val="none" w:sz="0" w:space="0" w:color="auto"/>
            <w:right w:val="none" w:sz="0" w:space="0" w:color="auto"/>
          </w:divBdr>
        </w:div>
      </w:divsChild>
    </w:div>
    <w:div w:id="670454633">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68722256">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73839377">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41173851">
      <w:bodyDiv w:val="1"/>
      <w:marLeft w:val="0"/>
      <w:marRight w:val="0"/>
      <w:marTop w:val="0"/>
      <w:marBottom w:val="0"/>
      <w:divBdr>
        <w:top w:val="none" w:sz="0" w:space="0" w:color="auto"/>
        <w:left w:val="none" w:sz="0" w:space="0" w:color="auto"/>
        <w:bottom w:val="none" w:sz="0" w:space="0" w:color="auto"/>
        <w:right w:val="none" w:sz="0" w:space="0" w:color="auto"/>
      </w:divBdr>
    </w:div>
    <w:div w:id="177131516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57173525">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sac.gov.au/internet/msac/publishing.nsf/Content/Home-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acgp.org.au/clinical-resources/clinical-guidelines/key-racgp-guidelines/view-all-racgp-guidelines/national-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73160-4721-4510-AF4D-2E6B01D10E12}">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37</Pages>
  <Words>16955</Words>
  <Characters>96645</Characters>
  <Application>Microsoft Office Word</Application>
  <DocSecurity>0</DocSecurity>
  <Lines>805</Lines>
  <Paragraphs>226</Paragraphs>
  <ScaleCrop>false</ScaleCrop>
  <Manager/>
  <Company/>
  <LinksUpToDate>false</LinksUpToDate>
  <CharactersWithSpaces>113374</CharactersWithSpaces>
  <SharedDoc>false</SharedDoc>
  <HyperlinkBase/>
  <HLinks>
    <vt:vector size="18" baseType="variant">
      <vt:variant>
        <vt:i4>6684716</vt:i4>
      </vt:variant>
      <vt:variant>
        <vt:i4>129</vt:i4>
      </vt:variant>
      <vt:variant>
        <vt:i4>0</vt:i4>
      </vt:variant>
      <vt:variant>
        <vt:i4>5</vt:i4>
      </vt:variant>
      <vt:variant>
        <vt:lpwstr>http://msac.gov.au/internet/msac/publishing.nsf/Content/Home-1</vt:lpwstr>
      </vt:variant>
      <vt:variant>
        <vt:lpwstr/>
      </vt:variant>
      <vt:variant>
        <vt:i4>3997744</vt:i4>
      </vt:variant>
      <vt:variant>
        <vt:i4>0</vt:i4>
      </vt:variant>
      <vt:variant>
        <vt:i4>0</vt:i4>
      </vt:variant>
      <vt:variant>
        <vt:i4>5</vt:i4>
      </vt:variant>
      <vt:variant>
        <vt:lpwstr>http://www.msac.gov.au/</vt:lpwstr>
      </vt:variant>
      <vt:variant>
        <vt:lpwstr/>
      </vt:variant>
      <vt:variant>
        <vt:i4>917572</vt:i4>
      </vt:variant>
      <vt:variant>
        <vt:i4>0</vt:i4>
      </vt:variant>
      <vt:variant>
        <vt:i4>0</vt:i4>
      </vt:variant>
      <vt:variant>
        <vt:i4>5</vt:i4>
      </vt:variant>
      <vt:variant>
        <vt:lpwstr>https://www.racgp.org.au/clinical-resources/clinical-guidelines/key-racgp-guidelines/view-all-racgp-guidelines/national-guide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2023-06-07T04:30:00Z</dcterms:created>
  <dcterms:modified xsi:type="dcterms:W3CDTF">2023-06-07T04:30:00Z</dcterms:modified>
  <cp:category/>
</cp:coreProperties>
</file>