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A35CF" w14:textId="5D3717C0" w:rsidR="006319B6" w:rsidRPr="00E937EE" w:rsidRDefault="00E937EE" w:rsidP="00E937EE">
      <w:pPr>
        <w:pStyle w:val="Subtitle"/>
        <w:spacing w:before="240" w:after="0"/>
        <w:rPr>
          <w:i w:val="0"/>
          <w:sz w:val="36"/>
          <w:szCs w:val="36"/>
        </w:rPr>
      </w:pPr>
      <w:bookmarkStart w:id="0" w:name="_Hlk68005436"/>
      <w:bookmarkStart w:id="1" w:name="_Toc72335271"/>
      <w:bookmarkStart w:id="2" w:name="_Toc112076472"/>
      <w:bookmarkStart w:id="3" w:name="_Toc379118060"/>
      <w:bookmarkStart w:id="4" w:name="_Toc379118252"/>
      <w:r>
        <w:rPr>
          <w:i w:val="0"/>
          <w:sz w:val="36"/>
          <w:szCs w:val="36"/>
        </w:rPr>
        <w:t>Medical Services Advisory Committee (MSAC)</w:t>
      </w:r>
    </w:p>
    <w:bookmarkEnd w:id="0"/>
    <w:bookmarkEnd w:id="1"/>
    <w:bookmarkEnd w:id="2"/>
    <w:p w14:paraId="2387BB75" w14:textId="77777777" w:rsidR="00437C9C" w:rsidRDefault="00437C9C" w:rsidP="00E937EE">
      <w:pPr>
        <w:pStyle w:val="Subtitle"/>
        <w:spacing w:before="0"/>
        <w:rPr>
          <w:i w:val="0"/>
          <w:sz w:val="36"/>
          <w:szCs w:val="36"/>
        </w:rPr>
      </w:pPr>
      <w:r w:rsidRPr="00AF3A51">
        <w:rPr>
          <w:i w:val="0"/>
          <w:sz w:val="36"/>
          <w:szCs w:val="36"/>
        </w:rPr>
        <w:t xml:space="preserve">Public Summary Document </w:t>
      </w:r>
    </w:p>
    <w:p w14:paraId="1AF3B32A" w14:textId="77777777" w:rsidR="000A4AD3" w:rsidRPr="00FB679E" w:rsidRDefault="000A4AD3" w:rsidP="00D22060">
      <w:pPr>
        <w:spacing w:line="240" w:lineRule="auto"/>
        <w:jc w:val="center"/>
        <w:rPr>
          <w:rFonts w:ascii="Arial" w:hAnsi="Arial" w:cs="Arial"/>
          <w:b/>
          <w:bCs/>
          <w:i/>
          <w:color w:val="000080"/>
          <w:sz w:val="28"/>
          <w:szCs w:val="28"/>
        </w:rPr>
      </w:pPr>
      <w:r w:rsidRPr="00FB679E">
        <w:rPr>
          <w:rFonts w:ascii="Arial" w:hAnsi="Arial" w:cs="Arial"/>
          <w:b/>
          <w:bCs/>
          <w:i/>
          <w:color w:val="000080"/>
          <w:sz w:val="28"/>
          <w:szCs w:val="28"/>
        </w:rPr>
        <w:t xml:space="preserve">Application No. </w:t>
      </w:r>
      <w:r w:rsidRPr="001E7831">
        <w:rPr>
          <w:rFonts w:ascii="Arial" w:hAnsi="Arial" w:cs="Arial"/>
          <w:b/>
          <w:bCs/>
          <w:i/>
          <w:color w:val="000080"/>
          <w:sz w:val="28"/>
          <w:szCs w:val="28"/>
        </w:rPr>
        <w:t xml:space="preserve">1629 – </w:t>
      </w:r>
      <w:r w:rsidRPr="00FB679E">
        <w:rPr>
          <w:rFonts w:ascii="Arial" w:hAnsi="Arial" w:cs="Arial"/>
          <w:b/>
          <w:bCs/>
          <w:i/>
          <w:color w:val="000080"/>
          <w:sz w:val="28"/>
          <w:szCs w:val="28"/>
        </w:rPr>
        <w:t xml:space="preserve">Defensive Antibacterial Coating (DAC) </w:t>
      </w:r>
      <w:r>
        <w:rPr>
          <w:rFonts w:ascii="Arial" w:hAnsi="Arial" w:cs="Arial"/>
          <w:b/>
          <w:bCs/>
          <w:i/>
          <w:color w:val="000080"/>
          <w:sz w:val="28"/>
          <w:szCs w:val="28"/>
        </w:rPr>
        <w:br/>
      </w:r>
      <w:r w:rsidRPr="00FB679E">
        <w:rPr>
          <w:rFonts w:ascii="Arial" w:hAnsi="Arial" w:cs="Arial"/>
          <w:b/>
          <w:bCs/>
          <w:i/>
          <w:color w:val="000080"/>
          <w:sz w:val="28"/>
          <w:szCs w:val="28"/>
        </w:rPr>
        <w:t>5ml Kit</w:t>
      </w:r>
    </w:p>
    <w:p w14:paraId="122D1925" w14:textId="77777777" w:rsidR="000A4AD3" w:rsidRDefault="000A4AD3" w:rsidP="00D22060">
      <w:pPr>
        <w:tabs>
          <w:tab w:val="left" w:pos="3686"/>
        </w:tabs>
        <w:spacing w:line="256" w:lineRule="auto"/>
        <w:rPr>
          <w:rFonts w:ascii="Arial" w:eastAsia="Calibri" w:hAnsi="Arial" w:cs="Arial"/>
          <w:b/>
          <w:szCs w:val="24"/>
          <w:lang w:eastAsia="en-US"/>
        </w:rPr>
      </w:pPr>
      <w:r w:rsidRPr="00FB679E">
        <w:rPr>
          <w:rFonts w:ascii="Arial" w:eastAsia="Calibri" w:hAnsi="Arial" w:cs="Arial"/>
          <w:b/>
          <w:szCs w:val="24"/>
          <w:lang w:eastAsia="en-US"/>
        </w:rPr>
        <w:t>Applicant:</w:t>
      </w:r>
      <w:r w:rsidRPr="00FB679E">
        <w:rPr>
          <w:rFonts w:ascii="Arial" w:eastAsia="Calibri" w:hAnsi="Arial" w:cs="Arial"/>
          <w:b/>
          <w:szCs w:val="24"/>
          <w:lang w:eastAsia="en-US"/>
        </w:rPr>
        <w:tab/>
        <w:t xml:space="preserve">Novagenit Australia Pty Ltd </w:t>
      </w:r>
    </w:p>
    <w:p w14:paraId="672A4D79" w14:textId="045FDD85" w:rsidR="000A4AD3" w:rsidRDefault="000A4AD3" w:rsidP="000A4AD3">
      <w:pPr>
        <w:tabs>
          <w:tab w:val="left" w:pos="3686"/>
        </w:tabs>
        <w:spacing w:before="320"/>
        <w:rPr>
          <w:rFonts w:ascii="Arial" w:hAnsi="Arial" w:cs="Arial"/>
          <w:b/>
          <w:bCs/>
        </w:rPr>
      </w:pPr>
      <w:r w:rsidRPr="00624E42">
        <w:rPr>
          <w:rFonts w:ascii="Arial" w:hAnsi="Arial" w:cs="Arial"/>
          <w:b/>
          <w:bCs/>
        </w:rPr>
        <w:t xml:space="preserve">Date of </w:t>
      </w:r>
      <w:r w:rsidR="0049079C">
        <w:rPr>
          <w:rFonts w:ascii="Arial" w:hAnsi="Arial" w:cs="Arial"/>
          <w:b/>
          <w:bCs/>
        </w:rPr>
        <w:t>MSAC</w:t>
      </w:r>
      <w:r w:rsidRPr="00624E42">
        <w:rPr>
          <w:rFonts w:ascii="Arial" w:hAnsi="Arial" w:cs="Arial"/>
          <w:b/>
          <w:bCs/>
        </w:rPr>
        <w:t xml:space="preserve"> consideration:</w:t>
      </w:r>
      <w:r w:rsidRPr="00624E42">
        <w:rPr>
          <w:rFonts w:ascii="Arial" w:hAnsi="Arial" w:cs="Arial"/>
          <w:b/>
          <w:bCs/>
        </w:rPr>
        <w:tab/>
      </w:r>
      <w:r w:rsidR="00437C9C">
        <w:rPr>
          <w:rFonts w:ascii="Arial" w:hAnsi="Arial" w:cs="Arial"/>
          <w:b/>
          <w:bCs/>
        </w:rPr>
        <w:t>24-25 November</w:t>
      </w:r>
      <w:r w:rsidR="00437C9C" w:rsidRPr="00624E42">
        <w:rPr>
          <w:rFonts w:ascii="Arial" w:hAnsi="Arial" w:cs="Arial"/>
          <w:b/>
          <w:bCs/>
        </w:rPr>
        <w:t xml:space="preserve"> </w:t>
      </w:r>
      <w:r w:rsidRPr="00624E42">
        <w:rPr>
          <w:rFonts w:ascii="Arial" w:hAnsi="Arial" w:cs="Arial"/>
          <w:b/>
          <w:bCs/>
        </w:rPr>
        <w:t>2022</w:t>
      </w:r>
    </w:p>
    <w:p w14:paraId="0DDF8333" w14:textId="77777777" w:rsidR="00437C9C" w:rsidRPr="00B03EAB" w:rsidRDefault="00437C9C" w:rsidP="00437C9C">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11" w:tooltip="Link to Medical Services Advisory Committee website" w:history="1">
        <w:r w:rsidRPr="00F715D1">
          <w:rPr>
            <w:rStyle w:val="Hyperlink"/>
            <w:szCs w:val="24"/>
          </w:rPr>
          <w:t>visit the MSAC website</w:t>
        </w:r>
      </w:hyperlink>
    </w:p>
    <w:p w14:paraId="7F0C2558" w14:textId="1CA229A0" w:rsidR="002E2C6B" w:rsidRPr="002E2C6B" w:rsidRDefault="002E2C6B" w:rsidP="00607722">
      <w:pPr>
        <w:pStyle w:val="ESNumberedSectionHeading"/>
      </w:pPr>
      <w:bookmarkStart w:id="5" w:name="_Toc72335272"/>
      <w:bookmarkStart w:id="6" w:name="_Toc112076473"/>
      <w:bookmarkStart w:id="7" w:name="_Hlk107405490"/>
      <w:r w:rsidRPr="002E2C6B">
        <w:t>1.</w:t>
      </w:r>
      <w:r w:rsidRPr="002E2C6B">
        <w:tab/>
      </w:r>
      <w:r w:rsidRPr="003318E7">
        <w:t>Purpose</w:t>
      </w:r>
      <w:r w:rsidRPr="002E2C6B">
        <w:t xml:space="preserve"> </w:t>
      </w:r>
      <w:r w:rsidRPr="002E2C6B">
        <w:rPr>
          <w:szCs w:val="32"/>
        </w:rPr>
        <w:t>of</w:t>
      </w:r>
      <w:r w:rsidRPr="002E2C6B">
        <w:t xml:space="preserve"> application</w:t>
      </w:r>
      <w:bookmarkEnd w:id="5"/>
      <w:bookmarkEnd w:id="6"/>
    </w:p>
    <w:bookmarkEnd w:id="7"/>
    <w:p w14:paraId="356C7B27" w14:textId="563C1A0B" w:rsidR="00EB004F" w:rsidRDefault="00EB004F" w:rsidP="00CE2B86">
      <w:r w:rsidRPr="00C76DE4">
        <w:t xml:space="preserve">An application seeking MSAC’s advice to inform the </w:t>
      </w:r>
      <w:r w:rsidR="00601FB6">
        <w:t>Prostheses List Advisory Committee (</w:t>
      </w:r>
      <w:r w:rsidRPr="00C76DE4">
        <w:t>PLAC</w:t>
      </w:r>
      <w:r w:rsidR="00601FB6">
        <w:t>)</w:t>
      </w:r>
      <w:r w:rsidRPr="00C76DE4">
        <w:t xml:space="preserve"> on the comparative safety, effectiveness</w:t>
      </w:r>
      <w:r w:rsidR="00B62DD7">
        <w:t>,</w:t>
      </w:r>
      <w:r w:rsidRPr="00C76DE4">
        <w:t xml:space="preserve"> cost-</w:t>
      </w:r>
      <w:r w:rsidR="000C7DE2" w:rsidRPr="00C76DE4">
        <w:t>effectiveness</w:t>
      </w:r>
      <w:r w:rsidRPr="00C76DE4">
        <w:t xml:space="preserve"> </w:t>
      </w:r>
      <w:r w:rsidR="00B62DD7">
        <w:t xml:space="preserve">and total cost </w:t>
      </w:r>
      <w:r w:rsidRPr="00C76DE4">
        <w:t xml:space="preserve">of Defensive Antibacterial Coating 5ml kit (DAC) for patients at risk of periprosthetic deep </w:t>
      </w:r>
      <w:r w:rsidR="00601FB6">
        <w:t>surgical site infection (</w:t>
      </w:r>
      <w:r w:rsidRPr="00C76DE4">
        <w:t>SSI</w:t>
      </w:r>
      <w:r w:rsidR="00601FB6">
        <w:t>)</w:t>
      </w:r>
      <w:r w:rsidRPr="00C76DE4">
        <w:t xml:space="preserve"> when undergoing surgery with orthopaedic implant procedure(s) was received from Novagenit Australia Pty Ltd by the Department of Health</w:t>
      </w:r>
      <w:r w:rsidR="008234E2">
        <w:t xml:space="preserve"> and Aged Care</w:t>
      </w:r>
      <w:r w:rsidRPr="00C76DE4">
        <w:t>.</w:t>
      </w:r>
      <w:r w:rsidR="00632116" w:rsidRPr="00C76DE4">
        <w:t xml:space="preserve"> </w:t>
      </w:r>
    </w:p>
    <w:p w14:paraId="7E8F9C5F" w14:textId="77777777" w:rsidR="00437C9C" w:rsidRDefault="00437C9C" w:rsidP="00437C9C">
      <w:pPr>
        <w:pStyle w:val="ESNumberedSectionHeading"/>
      </w:pPr>
      <w:r>
        <w:t>2.</w:t>
      </w:r>
      <w:r>
        <w:tab/>
        <w:t>MSAC’s advice to the Minister</w:t>
      </w:r>
    </w:p>
    <w:p w14:paraId="666ED2C2" w14:textId="747AA0EB" w:rsidR="00437C9C" w:rsidRPr="007A7156" w:rsidRDefault="00437C9C" w:rsidP="00437C9C">
      <w:pPr>
        <w:spacing w:after="240"/>
      </w:pPr>
      <w:r>
        <w:t xml:space="preserve">After considering the strength of the available evidence in relation to comparative safety, clinical effectiveness, cost-effectiveness and total cost, </w:t>
      </w:r>
      <w:r>
        <w:rPr>
          <w:szCs w:val="24"/>
        </w:rPr>
        <w:t>MSA</w:t>
      </w:r>
      <w:r w:rsidR="00083099">
        <w:rPr>
          <w:szCs w:val="24"/>
        </w:rPr>
        <w:t xml:space="preserve">C </w:t>
      </w:r>
      <w:r w:rsidR="00083099">
        <w:t xml:space="preserve">will advise the PLAC that it did not support listing of DAC for patients at risk of periprosthetic SSI when undergoing surgery with orthopaedic implant procedure(s). MSAC noted that DAC is reconstituted with an antibiotic solution and considered the comparative evidence for DAC+antibiotics was limited, of low quality and did not demonstrate the comparative effectiveness and cost-effectiveness of surgery with DAC+antibiotics compared to surgery without DAC+antibiotics. MSAC considered the cost of DAC to be high and unjustified. MSAC was concerned that there was a real risk that DAC+antibiotics would be used outside the proposed populations and therefore considered the estimated </w:t>
      </w:r>
      <w:r w:rsidR="00083099" w:rsidRPr="007A7156">
        <w:t>utilisation and financial impacts to be highly uncertain and likely underestimated.</w:t>
      </w:r>
    </w:p>
    <w:p w14:paraId="1F7C522E" w14:textId="239641A5" w:rsidR="000A1338" w:rsidRDefault="000A1338" w:rsidP="00437C9C">
      <w:pPr>
        <w:spacing w:after="240"/>
        <w:rPr>
          <w:szCs w:val="24"/>
        </w:rPr>
      </w:pPr>
      <w:r w:rsidRPr="007A7156">
        <w:t>MSAC’s consideration, rationale and advice to the Minister outlined in this Public Summary Document (PSD) is based on the evidence available at the time of consideration (i.e. November 2022)</w:t>
      </w:r>
      <w:r w:rsidR="00F51910" w:rsidRPr="007A7156">
        <w:t xml:space="preserve">, at which time the evaluation of DAC for inclusion </w:t>
      </w:r>
      <w:r w:rsidR="00A26266" w:rsidRPr="007A7156">
        <w:t xml:space="preserve">on the Australian Register of </w:t>
      </w:r>
      <w:r w:rsidR="001A1C32" w:rsidRPr="007A7156">
        <w:t>Therapeutic</w:t>
      </w:r>
      <w:r w:rsidR="00A26266" w:rsidRPr="007A7156">
        <w:t xml:space="preserve"> Goods (ARTG) b</w:t>
      </w:r>
      <w:r w:rsidR="001A1C32" w:rsidRPr="007A7156">
        <w:t>y</w:t>
      </w:r>
      <w:r w:rsidR="00A26266" w:rsidRPr="007A7156">
        <w:t xml:space="preserve"> the Therapeutic Goods Administration </w:t>
      </w:r>
      <w:r w:rsidR="00EC1200" w:rsidRPr="007A7156">
        <w:t xml:space="preserve">(TGA) </w:t>
      </w:r>
      <w:r w:rsidR="00A26266" w:rsidRPr="007A7156">
        <w:t>was ongoing</w:t>
      </w:r>
      <w:r w:rsidRPr="007A7156">
        <w:t>. The Department of Health and Aged Care acknowledge</w:t>
      </w:r>
      <w:r w:rsidR="00566D1E" w:rsidRPr="007A7156">
        <w:t>s</w:t>
      </w:r>
      <w:r w:rsidRPr="007A7156">
        <w:t xml:space="preserve"> </w:t>
      </w:r>
      <w:r w:rsidR="00DD19BB" w:rsidRPr="007A7156">
        <w:t xml:space="preserve">that </w:t>
      </w:r>
      <w:r w:rsidR="00EB7981" w:rsidRPr="007A7156">
        <w:t>since MSAC’s consideration, DAC has been included on the Australian Register of Therapeutic Goods (ARTG</w:t>
      </w:r>
      <w:r w:rsidR="00513D8F" w:rsidRPr="007A7156">
        <w:t xml:space="preserve">, </w:t>
      </w:r>
      <w:hyperlink r:id="rId12" w:history="1">
        <w:r w:rsidR="00513D8F" w:rsidRPr="007A7156">
          <w:rPr>
            <w:rStyle w:val="Hyperlink"/>
          </w:rPr>
          <w:t xml:space="preserve">ARTG </w:t>
        </w:r>
        <w:r w:rsidR="00F979AE" w:rsidRPr="007A7156">
          <w:rPr>
            <w:rStyle w:val="Hyperlink"/>
          </w:rPr>
          <w:t>427290</w:t>
        </w:r>
      </w:hyperlink>
      <w:r w:rsidR="00EB7981" w:rsidRPr="007A7156">
        <w:t>)</w:t>
      </w:r>
      <w:r w:rsidR="00A45078" w:rsidRPr="007A7156">
        <w:t xml:space="preserve">, and this may be relevant </w:t>
      </w:r>
      <w:r w:rsidR="00076210" w:rsidRPr="007A7156">
        <w:t xml:space="preserve">context for any future resubmission to seek MSAC’s reconsideration </w:t>
      </w:r>
      <w:r w:rsidR="00B118DD" w:rsidRPr="007A7156">
        <w:t>of its advice</w:t>
      </w:r>
      <w:r w:rsidR="00EB7981" w:rsidRPr="007A7156">
        <w:t>.</w:t>
      </w:r>
      <w:r w:rsidR="00EB7981">
        <w:t xml:space="preserve"> </w:t>
      </w:r>
    </w:p>
    <w:tbl>
      <w:tblPr>
        <w:tblStyle w:val="TableGrid"/>
        <w:tblW w:w="0" w:type="auto"/>
        <w:tblLook w:val="04A0" w:firstRow="1" w:lastRow="0" w:firstColumn="1" w:lastColumn="0" w:noHBand="0" w:noVBand="1"/>
        <w:tblDescription w:val="Consumer summary of MSAC consideration"/>
      </w:tblPr>
      <w:tblGrid>
        <w:gridCol w:w="9016"/>
      </w:tblGrid>
      <w:tr w:rsidR="00437C9C" w14:paraId="21AFED56" w14:textId="77777777" w:rsidTr="00D22060">
        <w:trPr>
          <w:tblHeader/>
        </w:trPr>
        <w:tc>
          <w:tcPr>
            <w:tcW w:w="9016" w:type="dxa"/>
            <w:tcBorders>
              <w:top w:val="single" w:sz="4" w:space="0" w:color="auto"/>
              <w:left w:val="single" w:sz="4" w:space="0" w:color="auto"/>
              <w:bottom w:val="single" w:sz="4" w:space="0" w:color="auto"/>
              <w:right w:val="single" w:sz="4" w:space="0" w:color="auto"/>
            </w:tcBorders>
            <w:hideMark/>
          </w:tcPr>
          <w:p w14:paraId="44984C32" w14:textId="77777777" w:rsidR="00437C9C" w:rsidRPr="00E96E47" w:rsidRDefault="00437C9C" w:rsidP="00437C9C">
            <w:pPr>
              <w:pStyle w:val="Default"/>
              <w:spacing w:before="120" w:after="120"/>
              <w:ind w:left="0"/>
              <w:rPr>
                <w:rFonts w:ascii="Franklin Gothic Book" w:hAnsi="Franklin Gothic Book"/>
                <w:b/>
                <w:bCs/>
                <w:color w:val="auto"/>
                <w:sz w:val="22"/>
                <w:szCs w:val="22"/>
              </w:rPr>
            </w:pPr>
            <w:r w:rsidRPr="00E96E47">
              <w:rPr>
                <w:rFonts w:ascii="Franklin Gothic Book" w:hAnsi="Franklin Gothic Book"/>
                <w:b/>
                <w:bCs/>
                <w:color w:val="auto"/>
                <w:sz w:val="22"/>
                <w:szCs w:val="22"/>
              </w:rPr>
              <w:t>Consumer summary</w:t>
            </w:r>
          </w:p>
        </w:tc>
      </w:tr>
      <w:tr w:rsidR="00437C9C" w14:paraId="36DC0AC0" w14:textId="77777777" w:rsidTr="00D22060">
        <w:tc>
          <w:tcPr>
            <w:tcW w:w="9016" w:type="dxa"/>
            <w:tcBorders>
              <w:top w:val="single" w:sz="4" w:space="0" w:color="auto"/>
              <w:left w:val="single" w:sz="4" w:space="0" w:color="auto"/>
              <w:bottom w:val="single" w:sz="4" w:space="0" w:color="auto"/>
              <w:right w:val="single" w:sz="4" w:space="0" w:color="auto"/>
            </w:tcBorders>
            <w:hideMark/>
          </w:tcPr>
          <w:p w14:paraId="2F8F2A7E" w14:textId="40E12507" w:rsidR="004E07D9" w:rsidRPr="00DE2591" w:rsidRDefault="00083099" w:rsidP="00DE2591">
            <w:pPr>
              <w:spacing w:after="240"/>
              <w:ind w:left="0"/>
            </w:pPr>
            <w:r w:rsidRPr="00DE2591">
              <w:t xml:space="preserve">Novagenit Australia Pty Ltd </w:t>
            </w:r>
            <w:r w:rsidR="00C84767" w:rsidRPr="00DE2591">
              <w:t xml:space="preserve">submitted an application </w:t>
            </w:r>
            <w:r w:rsidRPr="00DE2591">
              <w:t>requesting MSAC’s advice on the comparative safety, effectiveness</w:t>
            </w:r>
            <w:r w:rsidR="00C84767" w:rsidRPr="00DE2591">
              <w:t xml:space="preserve">, </w:t>
            </w:r>
            <w:r w:rsidRPr="00DE2591">
              <w:t xml:space="preserve">cost-effectiveness </w:t>
            </w:r>
            <w:r w:rsidR="00C84767" w:rsidRPr="00DE2591">
              <w:t xml:space="preserve">and total costs </w:t>
            </w:r>
            <w:r w:rsidRPr="00DE2591">
              <w:t>of Defensive Antibacterial Coating 5ml kit (DAC)</w:t>
            </w:r>
            <w:r w:rsidR="00C84767" w:rsidRPr="00DE2591">
              <w:t xml:space="preserve"> </w:t>
            </w:r>
            <w:r w:rsidR="00D343FF">
              <w:t>to prevent infection in</w:t>
            </w:r>
            <w:r w:rsidR="00D343FF" w:rsidRPr="00DE2591">
              <w:t xml:space="preserve"> </w:t>
            </w:r>
            <w:r w:rsidR="004E07D9" w:rsidRPr="00DE2591">
              <w:t>patients</w:t>
            </w:r>
            <w:r w:rsidR="00D343FF">
              <w:t xml:space="preserve"> who are</w:t>
            </w:r>
            <w:r w:rsidR="00922170">
              <w:t xml:space="preserve"> at risk of developing an infection following</w:t>
            </w:r>
            <w:r w:rsidR="00D343FF">
              <w:t xml:space="preserve"> surgery involving an orthopaedic</w:t>
            </w:r>
            <w:r w:rsidR="00F43442">
              <w:t xml:space="preserve"> implant (eg. joint replacement).</w:t>
            </w:r>
            <w:r w:rsidR="00D343FF">
              <w:t xml:space="preserve"> </w:t>
            </w:r>
            <w:r w:rsidR="004E07D9" w:rsidRPr="00DE2591">
              <w:t xml:space="preserve">MSAC’s advice is </w:t>
            </w:r>
            <w:r w:rsidR="004E07D9" w:rsidRPr="00DE2591">
              <w:lastRenderedPageBreak/>
              <w:t xml:space="preserve">intended to inform the Prostheses List Advisory Committee (PLAC) consideration of whether to list DAC on the Prostheses List. </w:t>
            </w:r>
          </w:p>
          <w:p w14:paraId="1AC49113" w14:textId="4D4D04A8" w:rsidR="00BE5EE1" w:rsidRDefault="00083099" w:rsidP="00DE2591">
            <w:pPr>
              <w:spacing w:after="240"/>
              <w:ind w:left="0"/>
            </w:pPr>
            <w:r w:rsidRPr="00DE2591">
              <w:t>Orthopaedic implants are used to replace bones and joints</w:t>
            </w:r>
            <w:r w:rsidR="004E07D9" w:rsidRPr="00DE2591">
              <w:t xml:space="preserve"> (e.g., a </w:t>
            </w:r>
            <w:r w:rsidR="00BE3CB0">
              <w:t>hip replacement</w:t>
            </w:r>
            <w:r w:rsidR="00A82681">
              <w:t xml:space="preserve"> or the insertion of plates and screws to fix fractured bones</w:t>
            </w:r>
            <w:r w:rsidR="004E07D9" w:rsidRPr="00DE2591">
              <w:t>)</w:t>
            </w:r>
            <w:r w:rsidRPr="00DE2591">
              <w:t xml:space="preserve">. With any surgery, there is a risk of </w:t>
            </w:r>
            <w:r w:rsidR="00B81F26" w:rsidRPr="00DE2591">
              <w:t>infection,</w:t>
            </w:r>
            <w:r w:rsidRPr="00DE2591">
              <w:t xml:space="preserve"> and, in orthopaedic surgery, there is a risk of infection at the site of the </w:t>
            </w:r>
            <w:r w:rsidR="004E07D9" w:rsidRPr="00DE2591">
              <w:t>orthopaedic implant</w:t>
            </w:r>
            <w:r w:rsidR="00716C0A" w:rsidRPr="00DE2591">
              <w:t xml:space="preserve"> also known as a </w:t>
            </w:r>
            <w:r w:rsidR="00B81F26" w:rsidRPr="00DE2591">
              <w:t>periprosthetic surgical site</w:t>
            </w:r>
            <w:r w:rsidR="00716C0A" w:rsidRPr="00DE2591">
              <w:t xml:space="preserve"> infection</w:t>
            </w:r>
            <w:r w:rsidR="00B81F26" w:rsidRPr="00DE2591">
              <w:t xml:space="preserve"> (SSI)</w:t>
            </w:r>
            <w:r w:rsidRPr="00DE2591">
              <w:t>.</w:t>
            </w:r>
            <w:r w:rsidR="00716C0A" w:rsidRPr="00DE2591">
              <w:t xml:space="preserve"> These infections are difficult to treat and can have debilitating consequences for patients. </w:t>
            </w:r>
            <w:r w:rsidR="00AC2561">
              <w:t>A</w:t>
            </w:r>
            <w:r w:rsidR="00B96184">
              <w:t xml:space="preserve">s a preventative measure, </w:t>
            </w:r>
            <w:r w:rsidR="006A4738">
              <w:t xml:space="preserve">it is routine practice for </w:t>
            </w:r>
            <w:r w:rsidR="00BE5EE1">
              <w:t xml:space="preserve">all </w:t>
            </w:r>
            <w:r w:rsidR="00B96184">
              <w:t xml:space="preserve">patients </w:t>
            </w:r>
            <w:r w:rsidR="006A4738">
              <w:t>to be provided</w:t>
            </w:r>
            <w:r w:rsidR="00B96184">
              <w:t xml:space="preserve"> antibiotics</w:t>
            </w:r>
            <w:r w:rsidR="0043125A">
              <w:t xml:space="preserve"> that circulate throughout the whole body (</w:t>
            </w:r>
            <w:r w:rsidR="00CA73E3">
              <w:t>i.e.</w:t>
            </w:r>
            <w:r w:rsidR="00AD0435">
              <w:t>,</w:t>
            </w:r>
            <w:r w:rsidR="00CA73E3">
              <w:t xml:space="preserve"> prophylactic </w:t>
            </w:r>
            <w:r w:rsidR="0043125A">
              <w:t>systemic antibiotics).</w:t>
            </w:r>
            <w:r w:rsidR="00B96184">
              <w:t xml:space="preserve"> </w:t>
            </w:r>
            <w:r w:rsidR="001F01C5">
              <w:t>If a patient develops</w:t>
            </w:r>
            <w:r w:rsidR="00EF53F7">
              <w:t xml:space="preserve"> a periprosthetic SSI</w:t>
            </w:r>
            <w:r w:rsidR="001F01C5">
              <w:t xml:space="preserve">, it can be treated in </w:t>
            </w:r>
            <w:r w:rsidR="00701161">
              <w:t>several</w:t>
            </w:r>
            <w:r w:rsidR="001F01C5">
              <w:t xml:space="preserve"> ways. Some </w:t>
            </w:r>
            <w:r w:rsidR="00FC723D">
              <w:t xml:space="preserve">periprosthetic SSI are successfully treated with </w:t>
            </w:r>
            <w:r w:rsidR="00E756E4">
              <w:t xml:space="preserve">additional </w:t>
            </w:r>
            <w:r w:rsidR="00EC79DF">
              <w:t>systemic</w:t>
            </w:r>
            <w:r w:rsidR="00FC723D">
              <w:t xml:space="preserve"> antibiotics</w:t>
            </w:r>
            <w:r w:rsidR="000147C0">
              <w:t xml:space="preserve">. In </w:t>
            </w:r>
            <w:r w:rsidR="007D738E">
              <w:t xml:space="preserve">some </w:t>
            </w:r>
            <w:r w:rsidR="000147C0">
              <w:t xml:space="preserve">cases, the periprosthetic </w:t>
            </w:r>
            <w:r w:rsidR="00764A08">
              <w:t xml:space="preserve">SSI </w:t>
            </w:r>
            <w:r w:rsidR="000147C0">
              <w:t>may be treated with</w:t>
            </w:r>
            <w:r w:rsidR="007A532F">
              <w:t xml:space="preserve"> </w:t>
            </w:r>
            <w:r w:rsidR="00E756E4">
              <w:t xml:space="preserve">additional </w:t>
            </w:r>
            <w:r w:rsidR="00EC79DF">
              <w:t xml:space="preserve">systemic </w:t>
            </w:r>
            <w:r w:rsidR="007D57ED">
              <w:t xml:space="preserve">antibiotics </w:t>
            </w:r>
            <w:r w:rsidR="0011422A">
              <w:t>in addition to</w:t>
            </w:r>
            <w:r w:rsidR="007D57ED">
              <w:t xml:space="preserve"> surgery to </w:t>
            </w:r>
            <w:r w:rsidR="00653764">
              <w:t>thoroughly clean</w:t>
            </w:r>
            <w:r w:rsidR="00206065">
              <w:t xml:space="preserve"> the</w:t>
            </w:r>
            <w:r w:rsidR="00653764">
              <w:t xml:space="preserve"> </w:t>
            </w:r>
            <w:r w:rsidR="007D738E">
              <w:t>surgical site to</w:t>
            </w:r>
            <w:r w:rsidR="001263D0">
              <w:t xml:space="preserve"> remove </w:t>
            </w:r>
            <w:r w:rsidR="00AF504A">
              <w:t xml:space="preserve">any </w:t>
            </w:r>
            <w:r w:rsidR="0029090E">
              <w:t xml:space="preserve">infected/dead </w:t>
            </w:r>
            <w:r w:rsidR="00C24CEA">
              <w:t>tissue</w:t>
            </w:r>
            <w:r w:rsidR="007D738E">
              <w:t xml:space="preserve"> </w:t>
            </w:r>
            <w:r w:rsidR="00976E46">
              <w:t xml:space="preserve">and to replace exchangeable components </w:t>
            </w:r>
            <w:r w:rsidR="00670A41">
              <w:t xml:space="preserve">while </w:t>
            </w:r>
            <w:r w:rsidR="00C24CEA">
              <w:t xml:space="preserve">retaining the </w:t>
            </w:r>
            <w:r w:rsidR="00976E46">
              <w:t xml:space="preserve">fixed </w:t>
            </w:r>
            <w:r w:rsidR="007D738E">
              <w:t xml:space="preserve">orthopaedic implants. </w:t>
            </w:r>
            <w:r w:rsidR="00764A08">
              <w:t xml:space="preserve">In other cases, the periprosthetic SSI may be treated </w:t>
            </w:r>
            <w:r w:rsidR="00E756E4">
              <w:t xml:space="preserve">with additional </w:t>
            </w:r>
            <w:r w:rsidR="004B5C80">
              <w:t xml:space="preserve">systemic </w:t>
            </w:r>
            <w:r w:rsidR="004F28B8">
              <w:t xml:space="preserve">antibiotics </w:t>
            </w:r>
            <w:r w:rsidR="008D611C">
              <w:t>and a revision surgery to clean the surgical site and replace</w:t>
            </w:r>
            <w:r w:rsidR="00840FBC">
              <w:t xml:space="preserve"> the orthopaedic implants</w:t>
            </w:r>
            <w:r w:rsidR="008D611C">
              <w:t>.</w:t>
            </w:r>
            <w:r w:rsidR="004F28B8">
              <w:t xml:space="preserve"> </w:t>
            </w:r>
          </w:p>
          <w:p w14:paraId="50486AB8" w14:textId="5677A5C1" w:rsidR="009A61B7" w:rsidRDefault="00745364" w:rsidP="00DE2591">
            <w:pPr>
              <w:spacing w:after="240"/>
              <w:ind w:left="0"/>
            </w:pPr>
            <w:r>
              <w:t xml:space="preserve">The exact </w:t>
            </w:r>
            <w:r w:rsidR="00C04A9C">
              <w:t xml:space="preserve">number of </w:t>
            </w:r>
            <w:r w:rsidR="00BE66E0">
              <w:t xml:space="preserve">patients who </w:t>
            </w:r>
            <w:r w:rsidR="00545FB7">
              <w:t xml:space="preserve">develop a </w:t>
            </w:r>
            <w:r w:rsidR="00C04A9C">
              <w:t>periprosthetic SS</w:t>
            </w:r>
            <w:r w:rsidR="003A5FFA">
              <w:t>I</w:t>
            </w:r>
            <w:r w:rsidR="00C04A9C">
              <w:t xml:space="preserve"> in Australia is</w:t>
            </w:r>
            <w:r w:rsidR="007771D9">
              <w:t xml:space="preserve"> difficult to determine </w:t>
            </w:r>
            <w:r w:rsidR="00283613">
              <w:t xml:space="preserve">as a </w:t>
            </w:r>
            <w:r w:rsidR="004B5C80">
              <w:t xml:space="preserve">central point for recording all periprosthetic </w:t>
            </w:r>
            <w:r w:rsidR="005707F6">
              <w:t>SSI</w:t>
            </w:r>
            <w:r w:rsidR="00641692">
              <w:t xml:space="preserve"> is not available</w:t>
            </w:r>
            <w:r w:rsidR="005707F6">
              <w:t xml:space="preserve">. The Australian Orthopaedic </w:t>
            </w:r>
            <w:r w:rsidR="00310BCD">
              <w:t xml:space="preserve">Association National Joint Replacement Registry </w:t>
            </w:r>
            <w:r w:rsidR="0037470E">
              <w:t xml:space="preserve">(AOANJRR) </w:t>
            </w:r>
            <w:r w:rsidR="00E9640D">
              <w:t xml:space="preserve">collects information on joint replacement surgery including when </w:t>
            </w:r>
            <w:r w:rsidR="00243D2F">
              <w:t xml:space="preserve">a </w:t>
            </w:r>
            <w:r w:rsidR="00FC291B">
              <w:t>surgery is performed to replace</w:t>
            </w:r>
            <w:r w:rsidR="00223804">
              <w:t xml:space="preserve"> orthopaedic implants</w:t>
            </w:r>
            <w:r w:rsidR="00B83758">
              <w:t xml:space="preserve"> due to </w:t>
            </w:r>
            <w:r w:rsidR="00B80B75">
              <w:t xml:space="preserve">infection at the </w:t>
            </w:r>
            <w:r w:rsidR="00243D2F">
              <w:t xml:space="preserve">surgical </w:t>
            </w:r>
            <w:r w:rsidR="00B80B75">
              <w:t>site.</w:t>
            </w:r>
            <w:r w:rsidR="0094163E">
              <w:t xml:space="preserve"> Based on the AOANJRR, </w:t>
            </w:r>
            <w:r w:rsidR="0061016F" w:rsidRPr="00DE2591">
              <w:t xml:space="preserve">hip or knee replacement surgery </w:t>
            </w:r>
            <w:r w:rsidR="0061016F">
              <w:t xml:space="preserve">due to </w:t>
            </w:r>
            <w:r w:rsidR="00B81F26" w:rsidRPr="00DE2591">
              <w:t>peri</w:t>
            </w:r>
            <w:r w:rsidR="00C943E9" w:rsidRPr="00DE2591">
              <w:t xml:space="preserve">prosthetic </w:t>
            </w:r>
            <w:r w:rsidR="00B81F26" w:rsidRPr="00DE2591">
              <w:t>SSI</w:t>
            </w:r>
            <w:r w:rsidR="00C943E9" w:rsidRPr="00DE2591">
              <w:t xml:space="preserve"> is </w:t>
            </w:r>
            <w:r w:rsidR="00600003" w:rsidRPr="00DE2591">
              <w:t>approximately 1-2%</w:t>
            </w:r>
            <w:r w:rsidR="00600003">
              <w:t xml:space="preserve"> in Australia</w:t>
            </w:r>
            <w:r w:rsidR="00600003" w:rsidRPr="00DE2591">
              <w:t>.</w:t>
            </w:r>
            <w:r w:rsidR="00C943E9" w:rsidRPr="00DE2591">
              <w:t xml:space="preserve"> </w:t>
            </w:r>
            <w:r w:rsidR="00E807F3">
              <w:t xml:space="preserve">The AOANJRR does not include information on </w:t>
            </w:r>
            <w:r w:rsidR="000318F9">
              <w:t xml:space="preserve">patients with </w:t>
            </w:r>
            <w:r w:rsidR="00E807F3">
              <w:t xml:space="preserve">periprosthetic </w:t>
            </w:r>
            <w:r w:rsidR="00D21481">
              <w:t>SSI that do not require additional surgery</w:t>
            </w:r>
            <w:r w:rsidR="00D9281D">
              <w:t xml:space="preserve"> to replace orthopaedic implants</w:t>
            </w:r>
            <w:r w:rsidR="00D21481">
              <w:t xml:space="preserve">. </w:t>
            </w:r>
            <w:r w:rsidR="00BB7102">
              <w:t xml:space="preserve">Research </w:t>
            </w:r>
            <w:r w:rsidR="00D9281D">
              <w:t>using</w:t>
            </w:r>
            <w:r w:rsidR="00BB7102">
              <w:t xml:space="preserve"> </w:t>
            </w:r>
            <w:r w:rsidR="00F64AA2">
              <w:t xml:space="preserve">multiple sources of information, </w:t>
            </w:r>
            <w:r w:rsidR="00E807F3">
              <w:t>report</w:t>
            </w:r>
            <w:r w:rsidR="00D9281D">
              <w:t>s</w:t>
            </w:r>
            <w:r w:rsidR="00E807F3">
              <w:t xml:space="preserve"> that the AOA</w:t>
            </w:r>
            <w:r w:rsidR="008A266F">
              <w:t xml:space="preserve">NJRR may underestimate the risk of periprosthetic </w:t>
            </w:r>
            <w:r w:rsidR="00745374">
              <w:t>SSI,</w:t>
            </w:r>
            <w:r w:rsidR="00AE73A6">
              <w:t xml:space="preserve"> but these reports </w:t>
            </w:r>
            <w:r w:rsidR="008A266F">
              <w:t xml:space="preserve">still </w:t>
            </w:r>
            <w:r w:rsidR="00AE73A6">
              <w:t>suggest</w:t>
            </w:r>
            <w:r w:rsidR="008A266F">
              <w:t xml:space="preserve"> that the rate of periprosthetic SSI is under 2% in Australia</w:t>
            </w:r>
            <w:r w:rsidR="00AE73A6">
              <w:t>.</w:t>
            </w:r>
          </w:p>
          <w:p w14:paraId="1C36676E" w14:textId="34C09BA8" w:rsidR="004E07D9" w:rsidRPr="00DE2591" w:rsidRDefault="009A61B7" w:rsidP="00DE2591">
            <w:pPr>
              <w:spacing w:after="240"/>
              <w:ind w:left="0"/>
            </w:pPr>
            <w:r w:rsidRPr="00DE2591">
              <w:t xml:space="preserve">DAC is a sterile, single-use powder that is </w:t>
            </w:r>
            <w:r>
              <w:t>mixed with</w:t>
            </w:r>
            <w:r w:rsidRPr="00DE2591">
              <w:t xml:space="preserve"> an antibiotic solution </w:t>
            </w:r>
            <w:r>
              <w:t>(DA</w:t>
            </w:r>
            <w:r w:rsidR="006522F5">
              <w:t>C</w:t>
            </w:r>
            <w:r>
              <w:t xml:space="preserve">+antibiotics) to </w:t>
            </w:r>
            <w:r w:rsidRPr="00DE2591">
              <w:t xml:space="preserve">form a hydrogel that is then applied to the surface of orthopaedic implants. </w:t>
            </w:r>
            <w:r w:rsidR="004E07D9" w:rsidRPr="00DE2591">
              <w:t>The application suggest</w:t>
            </w:r>
            <w:r w:rsidR="0043125A">
              <w:t>ed</w:t>
            </w:r>
            <w:r w:rsidR="004E07D9" w:rsidRPr="00DE2591">
              <w:t xml:space="preserve"> that coating the </w:t>
            </w:r>
            <w:r w:rsidR="00F670D6" w:rsidRPr="00DE2591">
              <w:t>orthopaedic</w:t>
            </w:r>
            <w:r w:rsidR="004E07D9" w:rsidRPr="00DE2591">
              <w:t xml:space="preserve"> implant</w:t>
            </w:r>
            <w:r w:rsidR="00F670D6" w:rsidRPr="00DE2591">
              <w:t xml:space="preserve"> with </w:t>
            </w:r>
            <w:r w:rsidR="004E07D9" w:rsidRPr="00DE2591">
              <w:t xml:space="preserve">DAC+antibiotics </w:t>
            </w:r>
            <w:r w:rsidR="00B96184">
              <w:t xml:space="preserve">(in addition to the systemic antibiotics) </w:t>
            </w:r>
            <w:r w:rsidR="004E07D9" w:rsidRPr="00DE2591">
              <w:t xml:space="preserve">stops bacteria from sticking to the surface </w:t>
            </w:r>
            <w:r w:rsidR="00F670D6" w:rsidRPr="00DE2591">
              <w:t xml:space="preserve">of the implant </w:t>
            </w:r>
            <w:r w:rsidR="004E07D9" w:rsidRPr="00DE2591">
              <w:t xml:space="preserve">and </w:t>
            </w:r>
            <w:r w:rsidR="00F670D6" w:rsidRPr="00DE2591">
              <w:t xml:space="preserve">therefore </w:t>
            </w:r>
            <w:r w:rsidR="00B96184">
              <w:t xml:space="preserve">further </w:t>
            </w:r>
            <w:r w:rsidR="00F670D6" w:rsidRPr="00DE2591">
              <w:t>redu</w:t>
            </w:r>
            <w:r w:rsidR="004E07D9" w:rsidRPr="00DE2591">
              <w:t>c</w:t>
            </w:r>
            <w:r w:rsidR="00F670D6" w:rsidRPr="00DE2591">
              <w:t xml:space="preserve">es the risk of developing an </w:t>
            </w:r>
            <w:r w:rsidR="004E07D9" w:rsidRPr="00DE2591">
              <w:t xml:space="preserve">infection at the surgery site. </w:t>
            </w:r>
            <w:r w:rsidR="0018777D">
              <w:t>MSAC noted that i</w:t>
            </w:r>
            <w:r w:rsidR="0018777D" w:rsidRPr="0018777D">
              <w:t>rrespective of whether patients do or do not receive DAC+antibiotics, all patients would continue to receive routine preventative systemic antibiotics</w:t>
            </w:r>
            <w:r w:rsidR="00A6612C">
              <w:t xml:space="preserve"> at the time of surgery</w:t>
            </w:r>
            <w:r w:rsidR="0018777D" w:rsidRPr="0018777D">
              <w:t>.</w:t>
            </w:r>
          </w:p>
          <w:p w14:paraId="58B969A0" w14:textId="7A1D7B51" w:rsidR="00083099" w:rsidRPr="00DE2591" w:rsidRDefault="00083099" w:rsidP="00DE2591">
            <w:pPr>
              <w:spacing w:after="240"/>
              <w:ind w:left="0"/>
            </w:pPr>
            <w:r w:rsidRPr="00DE2591">
              <w:t>MSAC noted that the available evidence</w:t>
            </w:r>
            <w:r w:rsidR="009801C6" w:rsidRPr="00DE2591">
              <w:t xml:space="preserve"> comparing </w:t>
            </w:r>
            <w:r w:rsidR="00653B2B">
              <w:t xml:space="preserve">the risk of periprosthetic SSI </w:t>
            </w:r>
            <w:r w:rsidR="00C912FB">
              <w:t xml:space="preserve">developing following </w:t>
            </w:r>
            <w:r w:rsidR="009801C6" w:rsidRPr="00DE2591">
              <w:t xml:space="preserve">surgery </w:t>
            </w:r>
            <w:r w:rsidR="00892008" w:rsidRPr="00DE2591">
              <w:t>using</w:t>
            </w:r>
            <w:r w:rsidR="009801C6" w:rsidRPr="00DE2591">
              <w:t xml:space="preserve"> DAC+antibiotics versus surgery without using DAC+antibiotics </w:t>
            </w:r>
            <w:r w:rsidR="00363E12" w:rsidRPr="00DE2591">
              <w:t>wa</w:t>
            </w:r>
            <w:r w:rsidR="009801C6" w:rsidRPr="00DE2591">
              <w:t xml:space="preserve">s limited and of low to very low </w:t>
            </w:r>
            <w:r w:rsidRPr="00DE2591">
              <w:t>quality</w:t>
            </w:r>
            <w:r w:rsidR="009801C6" w:rsidRPr="00DE2591">
              <w:t xml:space="preserve">. </w:t>
            </w:r>
            <w:r w:rsidR="00CB6E3B" w:rsidRPr="00DE2591">
              <w:t xml:space="preserve">MSAC </w:t>
            </w:r>
            <w:r w:rsidR="000F63C2">
              <w:t>considered</w:t>
            </w:r>
            <w:r w:rsidR="000F63C2" w:rsidRPr="00DE2591">
              <w:t xml:space="preserve"> </w:t>
            </w:r>
            <w:r w:rsidR="006338B8" w:rsidRPr="00DE2591">
              <w:t xml:space="preserve">that </w:t>
            </w:r>
            <w:r w:rsidR="00363E12" w:rsidRPr="00DE2591">
              <w:t xml:space="preserve">while </w:t>
            </w:r>
            <w:r w:rsidR="006338B8" w:rsidRPr="00DE2591">
              <w:t>the poor</w:t>
            </w:r>
            <w:r w:rsidR="00A02BEE" w:rsidRPr="00DE2591">
              <w:t>-</w:t>
            </w:r>
            <w:r w:rsidR="006338B8" w:rsidRPr="00DE2591">
              <w:t xml:space="preserve">quality evidence indicated there may be a trend for DAC+antibiotics to reduce </w:t>
            </w:r>
            <w:r w:rsidR="00A02BEE" w:rsidRPr="00DE2591">
              <w:t>periprosthetic</w:t>
            </w:r>
            <w:r w:rsidR="006338B8" w:rsidRPr="00DE2591">
              <w:t xml:space="preserve"> infections</w:t>
            </w:r>
            <w:r w:rsidR="00A02BEE" w:rsidRPr="00DE2591">
              <w:t xml:space="preserve"> in some patients</w:t>
            </w:r>
            <w:r w:rsidR="006338B8" w:rsidRPr="00DE2591">
              <w:t xml:space="preserve">, the </w:t>
            </w:r>
            <w:r w:rsidR="00363E12" w:rsidRPr="00DE2591">
              <w:t xml:space="preserve">potential reduction </w:t>
            </w:r>
            <w:r w:rsidR="006338B8" w:rsidRPr="00DE2591">
              <w:t>was small and</w:t>
            </w:r>
            <w:r w:rsidR="00363E12" w:rsidRPr="00DE2591">
              <w:t xml:space="preserve"> </w:t>
            </w:r>
            <w:r w:rsidR="006338B8" w:rsidRPr="00DE2591">
              <w:t xml:space="preserve">highly uncertain. Therefore, MSAC </w:t>
            </w:r>
            <w:r w:rsidR="00C813C1" w:rsidRPr="00DE2591">
              <w:t xml:space="preserve">considered </w:t>
            </w:r>
            <w:r w:rsidR="006338B8" w:rsidRPr="00DE2591">
              <w:t xml:space="preserve">that </w:t>
            </w:r>
            <w:r w:rsidR="00363E12" w:rsidRPr="00DE2591">
              <w:t xml:space="preserve">surgery </w:t>
            </w:r>
            <w:r w:rsidR="00A02BEE" w:rsidRPr="00DE2591">
              <w:t>using</w:t>
            </w:r>
            <w:r w:rsidR="006338B8" w:rsidRPr="00DE2591">
              <w:t xml:space="preserve"> DAC+antibiot</w:t>
            </w:r>
            <w:r w:rsidR="00A02BEE" w:rsidRPr="00DE2591">
              <w:t xml:space="preserve">ics was no better (i.e., noninferior) </w:t>
            </w:r>
            <w:r w:rsidR="00363E12" w:rsidRPr="00DE2591">
              <w:t>than</w:t>
            </w:r>
            <w:r w:rsidR="00A02BEE" w:rsidRPr="00DE2591">
              <w:t xml:space="preserve"> surgery without DAC+antibiotics. </w:t>
            </w:r>
            <w:r w:rsidR="00CB6E3B" w:rsidRPr="00DE2591">
              <w:t xml:space="preserve">MSAC also </w:t>
            </w:r>
            <w:r w:rsidR="00C00EF4">
              <w:t xml:space="preserve">considered </w:t>
            </w:r>
            <w:r w:rsidR="00CB6E3B" w:rsidRPr="00DE2591">
              <w:t>that the proposed price for DAC is very high and was not justified</w:t>
            </w:r>
            <w:r w:rsidR="00AA093D" w:rsidRPr="00DE2591">
              <w:t xml:space="preserve">. </w:t>
            </w:r>
            <w:r w:rsidR="00290F21" w:rsidRPr="00D23507">
              <w:t>MSAC was also concerned that the high cost of DAC may be perceived by</w:t>
            </w:r>
            <w:r w:rsidR="00444935" w:rsidRPr="00D23507">
              <w:t xml:space="preserve"> consumers </w:t>
            </w:r>
            <w:r w:rsidR="00290F21" w:rsidRPr="00D23507">
              <w:t>as being directly related to high benefits</w:t>
            </w:r>
            <w:r w:rsidR="009630E3" w:rsidRPr="00D23507">
              <w:t xml:space="preserve"> </w:t>
            </w:r>
            <w:r w:rsidR="00D61B9D" w:rsidRPr="00D23507">
              <w:t>even though this is not</w:t>
            </w:r>
            <w:r w:rsidR="00DA24A6" w:rsidRPr="00D23507">
              <w:t xml:space="preserve"> supported by the </w:t>
            </w:r>
            <w:r w:rsidR="00CD3FF5" w:rsidRPr="00D23507">
              <w:t>evidence</w:t>
            </w:r>
            <w:r w:rsidR="00290F21" w:rsidRPr="00D23507">
              <w:t>, and this may result in additional out of pocket expense to patients</w:t>
            </w:r>
            <w:r w:rsidR="002E6EC9" w:rsidRPr="002E6EC9">
              <w:t>.</w:t>
            </w:r>
            <w:r w:rsidR="002E6EC9">
              <w:t xml:space="preserve"> </w:t>
            </w:r>
            <w:r w:rsidR="00D534F7" w:rsidRPr="00DE2591">
              <w:t xml:space="preserve">Overall, </w:t>
            </w:r>
            <w:r w:rsidR="00AA093D" w:rsidRPr="00DE2591">
              <w:t xml:space="preserve">MSAC </w:t>
            </w:r>
            <w:r w:rsidR="00D534F7" w:rsidRPr="00DE2591">
              <w:t xml:space="preserve">did not consider </w:t>
            </w:r>
            <w:r w:rsidR="008E0DBB" w:rsidRPr="00DE2591">
              <w:t xml:space="preserve">using </w:t>
            </w:r>
            <w:r w:rsidR="00D534F7" w:rsidRPr="00DE2591">
              <w:t>DAC+antibiotics</w:t>
            </w:r>
            <w:r w:rsidR="008E0DBB" w:rsidRPr="00DE2591">
              <w:t xml:space="preserve"> during orthopaedic surgery</w:t>
            </w:r>
            <w:r w:rsidR="00D534F7" w:rsidRPr="00DE2591">
              <w:t xml:space="preserve"> </w:t>
            </w:r>
            <w:r w:rsidR="00BE3CB0">
              <w:t>would</w:t>
            </w:r>
            <w:r w:rsidR="00D534F7" w:rsidRPr="00DE2591">
              <w:t xml:space="preserve"> provide</w:t>
            </w:r>
            <w:r w:rsidR="00AA093D" w:rsidRPr="00DE2591">
              <w:t xml:space="preserve"> good value </w:t>
            </w:r>
            <w:r w:rsidR="00AA093D" w:rsidRPr="00DE2591">
              <w:lastRenderedPageBreak/>
              <w:t xml:space="preserve">for money </w:t>
            </w:r>
            <w:r w:rsidR="008E0DBB" w:rsidRPr="00DE2591">
              <w:t xml:space="preserve">given it is </w:t>
            </w:r>
            <w:r w:rsidR="00BE3CB0">
              <w:t xml:space="preserve">more </w:t>
            </w:r>
            <w:r w:rsidR="008E0DBB" w:rsidRPr="00DE2591">
              <w:t xml:space="preserve">expensive </w:t>
            </w:r>
            <w:r w:rsidR="00BE3CB0">
              <w:t xml:space="preserve">than </w:t>
            </w:r>
            <w:r w:rsidR="008E0DBB" w:rsidRPr="00DE2591">
              <w:t>surgery without DAC+antibiotics</w:t>
            </w:r>
            <w:r w:rsidR="00BE3CB0">
              <w:t>, yet has similar effectiveness and safety.</w:t>
            </w:r>
          </w:p>
          <w:p w14:paraId="6B640E63" w14:textId="7452A8A0" w:rsidR="00437C9C" w:rsidRPr="000B5E96" w:rsidRDefault="00437C9C" w:rsidP="00083099">
            <w:pPr>
              <w:pStyle w:val="Default"/>
              <w:ind w:left="0"/>
              <w:rPr>
                <w:rFonts w:ascii="Franklin Gothic Book" w:hAnsi="Franklin Gothic Book"/>
                <w:b/>
                <w:bCs/>
                <w:iCs/>
                <w:color w:val="auto"/>
                <w:sz w:val="22"/>
                <w:szCs w:val="22"/>
              </w:rPr>
            </w:pPr>
            <w:r w:rsidRPr="000B5E96">
              <w:rPr>
                <w:rFonts w:ascii="Franklin Gothic Book" w:hAnsi="Franklin Gothic Book"/>
                <w:b/>
                <w:bCs/>
                <w:iCs/>
                <w:color w:val="auto"/>
                <w:sz w:val="22"/>
                <w:szCs w:val="22"/>
              </w:rPr>
              <w:t xml:space="preserve">MSAC’s advice to the </w:t>
            </w:r>
            <w:r w:rsidR="00083099" w:rsidRPr="00083099">
              <w:rPr>
                <w:rFonts w:ascii="Franklin Gothic Book" w:hAnsi="Franklin Gothic Book"/>
                <w:b/>
                <w:bCs/>
                <w:iCs/>
                <w:color w:val="auto"/>
                <w:sz w:val="22"/>
                <w:szCs w:val="22"/>
              </w:rPr>
              <w:t>Prostheses List Advisory Committee (PLAC)</w:t>
            </w:r>
          </w:p>
          <w:p w14:paraId="7888E592" w14:textId="47807CB0" w:rsidR="00437C9C" w:rsidRDefault="00083099" w:rsidP="00DE2591">
            <w:pPr>
              <w:spacing w:after="240"/>
              <w:ind w:left="0"/>
              <w:rPr>
                <w:rFonts w:ascii="Times New Roman" w:hAnsi="Times New Roman"/>
                <w:i/>
              </w:rPr>
            </w:pPr>
            <w:r w:rsidRPr="00DE2591">
              <w:t xml:space="preserve">MSAC did not support the listing of DAC </w:t>
            </w:r>
            <w:r w:rsidR="00104B59" w:rsidRPr="00DE2591">
              <w:t xml:space="preserve">for patients at risk of periprosthetic </w:t>
            </w:r>
            <w:r w:rsidR="00434A97" w:rsidRPr="00DE2591">
              <w:t>SSI</w:t>
            </w:r>
            <w:r w:rsidR="00104B59" w:rsidRPr="00DE2591">
              <w:t xml:space="preserve"> when undergoing surgery with orthopaedic implant procedures. </w:t>
            </w:r>
            <w:r w:rsidR="00434A97" w:rsidRPr="00DE2591">
              <w:t>MSAC considered the evidence did not demonstrate that DAC+antibiotics was superior to surgery without DAC+antibiotics and therefore, the high cost of DAC was not good value for money.</w:t>
            </w:r>
            <w:r w:rsidR="00434A97">
              <w:rPr>
                <w:iCs/>
              </w:rPr>
              <w:t xml:space="preserve"> </w:t>
            </w:r>
          </w:p>
        </w:tc>
      </w:tr>
    </w:tbl>
    <w:p w14:paraId="32953334" w14:textId="77777777" w:rsidR="00437C9C" w:rsidRDefault="00437C9C" w:rsidP="00437C9C">
      <w:pPr>
        <w:pStyle w:val="ESNumberedSectionHeading"/>
      </w:pPr>
      <w:r>
        <w:lastRenderedPageBreak/>
        <w:t>3.</w:t>
      </w:r>
      <w:r>
        <w:tab/>
        <w:t>Summary of consideration and rationale for MSAC’s advice</w:t>
      </w:r>
    </w:p>
    <w:p w14:paraId="474B32CC" w14:textId="02403430" w:rsidR="00083099" w:rsidRPr="007A7156" w:rsidRDefault="00083099" w:rsidP="00083099">
      <w:pPr>
        <w:rPr>
          <w:rFonts w:cstheme="minorBidi"/>
        </w:rPr>
      </w:pPr>
      <w:r>
        <w:t xml:space="preserve">MSAC noted this application from Novagenit Australia Pty Ltd </w:t>
      </w:r>
      <w:r w:rsidR="00892008">
        <w:t xml:space="preserve">requested </w:t>
      </w:r>
      <w:r>
        <w:t>MSAC’s advice to inform the PLAC on the comparative safety, effectiveness</w:t>
      </w:r>
      <w:r w:rsidR="00601FB6">
        <w:t>,</w:t>
      </w:r>
      <w:r>
        <w:t xml:space="preserve"> cost-effectiveness </w:t>
      </w:r>
      <w:r w:rsidR="00601FB6">
        <w:t xml:space="preserve">and total cost </w:t>
      </w:r>
      <w:r>
        <w:t xml:space="preserve">of DAC for patients at risk of periprosthetic deep SSI when undergoing surgery with orthopaedic implant </w:t>
      </w:r>
      <w:r w:rsidRPr="007A7156">
        <w:t>procedure(s).</w:t>
      </w:r>
    </w:p>
    <w:p w14:paraId="4D2A263D" w14:textId="3D6C4ED7" w:rsidR="002D7AFA" w:rsidRDefault="00083099" w:rsidP="00083099">
      <w:r w:rsidRPr="007A7156">
        <w:t>MSAC noted that DAC is</w:t>
      </w:r>
      <w:r w:rsidR="00892008" w:rsidRPr="007A7156">
        <w:t xml:space="preserve"> not included on the Australian Register of Therapeutic Goods (ARTG) but is</w:t>
      </w:r>
      <w:r w:rsidRPr="007A7156">
        <w:t xml:space="preserve"> currently under evaluation by </w:t>
      </w:r>
      <w:r w:rsidR="00892008" w:rsidRPr="007A7156">
        <w:t xml:space="preserve">the </w:t>
      </w:r>
      <w:r w:rsidRPr="007A7156">
        <w:t>Therapeutic Goods Administration (TGA).</w:t>
      </w:r>
      <w:r w:rsidR="00DE2591">
        <w:t xml:space="preserve"> </w:t>
      </w:r>
      <w:r>
        <w:t>MSAC noted that</w:t>
      </w:r>
      <w:r w:rsidR="00892008">
        <w:t xml:space="preserve">, per the intended use being evaluated by the TGA, </w:t>
      </w:r>
      <w:r>
        <w:t>DAC</w:t>
      </w:r>
      <w:r w:rsidR="00892008">
        <w:t xml:space="preserve"> </w:t>
      </w:r>
      <w:r w:rsidR="00601FB6">
        <w:t xml:space="preserve">(a </w:t>
      </w:r>
      <w:r w:rsidR="00601FB6" w:rsidRPr="00601FB6">
        <w:t>dry powder</w:t>
      </w:r>
      <w:r w:rsidR="00601FB6">
        <w:t xml:space="preserve"> containing</w:t>
      </w:r>
      <w:r w:rsidR="00601FB6" w:rsidRPr="00601FB6">
        <w:t xml:space="preserve"> hyaluronic acid and polylactic acid</w:t>
      </w:r>
      <w:r w:rsidR="00601FB6">
        <w:t xml:space="preserve">) </w:t>
      </w:r>
      <w:r w:rsidR="00BE34E8">
        <w:t>is</w:t>
      </w:r>
      <w:r w:rsidR="00601FB6" w:rsidRPr="00601FB6">
        <w:t xml:space="preserve"> rehydrated using an antibiotic solution (vancomycin or gentamicin, supplied separately)</w:t>
      </w:r>
      <w:r w:rsidR="00601FB6">
        <w:t>.</w:t>
      </w:r>
      <w:r>
        <w:t xml:space="preserve"> </w:t>
      </w:r>
      <w:r w:rsidR="002D7AFA">
        <w:t>MSAC noted there is no clinical evidence on the use of DAC alone for reducing periprosthetic SSI therefore, consistent with the intended use submitted to the TGA, th</w:t>
      </w:r>
      <w:r w:rsidR="0040406F">
        <w:t>e</w:t>
      </w:r>
      <w:r w:rsidR="002D7AFA">
        <w:t xml:space="preserve"> evaluation </w:t>
      </w:r>
      <w:r w:rsidR="0040406F">
        <w:t>pertains to</w:t>
      </w:r>
      <w:r w:rsidR="002D7AFA">
        <w:t xml:space="preserve"> DAC+antibiotics. </w:t>
      </w:r>
    </w:p>
    <w:p w14:paraId="3A23420D" w14:textId="6EE1DFCC" w:rsidR="00083099" w:rsidRDefault="00083099" w:rsidP="00083099">
      <w:r>
        <w:t xml:space="preserve">MSAC noted that </w:t>
      </w:r>
      <w:r w:rsidR="00601FB6">
        <w:t xml:space="preserve">DAC is applied to the </w:t>
      </w:r>
      <w:r w:rsidR="00B87266">
        <w:t xml:space="preserve">whole of an </w:t>
      </w:r>
      <w:r w:rsidR="00601FB6">
        <w:t>uncemented prosthesis</w:t>
      </w:r>
      <w:r w:rsidR="00B87266">
        <w:t xml:space="preserve">, or </w:t>
      </w:r>
      <w:r w:rsidR="1AF04FE8">
        <w:t xml:space="preserve">the </w:t>
      </w:r>
      <w:r w:rsidR="00B87266">
        <w:t>surface of a cemented prosthesis not in contact with antibiotic-loaded cement</w:t>
      </w:r>
      <w:r w:rsidR="00DE2591">
        <w:t xml:space="preserve"> during orthopaedic surgery where a prosthes</w:t>
      </w:r>
      <w:r w:rsidR="00CE2B86">
        <w:t>i</w:t>
      </w:r>
      <w:r w:rsidR="00DE2591">
        <w:t>s is implanted,</w:t>
      </w:r>
      <w:r w:rsidR="00601FB6">
        <w:t xml:space="preserve"> for which appropriate MBS items already exist</w:t>
      </w:r>
      <w:r w:rsidR="002D7AFA">
        <w:t>.</w:t>
      </w:r>
      <w:r w:rsidR="00601FB6">
        <w:t xml:space="preserve"> </w:t>
      </w:r>
      <w:r w:rsidR="002D7AFA">
        <w:t>T</w:t>
      </w:r>
      <w:r w:rsidR="00601FB6">
        <w:t>herefore</w:t>
      </w:r>
      <w:r w:rsidR="002D7AFA">
        <w:t>, the application does not seek to create a new or amend an existing MBS item</w:t>
      </w:r>
      <w:r>
        <w:t>.</w:t>
      </w:r>
    </w:p>
    <w:p w14:paraId="75A9B8EC" w14:textId="574541AA" w:rsidR="00083099" w:rsidRDefault="00083099" w:rsidP="00083099">
      <w:r>
        <w:t xml:space="preserve">MSAC noted that </w:t>
      </w:r>
      <w:r w:rsidR="00B83E41">
        <w:t>while</w:t>
      </w:r>
      <w:r w:rsidR="008422CD">
        <w:t xml:space="preserve"> the rate of periprosthetic SSI is low in Australia (approximately 1-2%), </w:t>
      </w:r>
      <w:r w:rsidR="000D7473">
        <w:t xml:space="preserve">periprosthetic SSI </w:t>
      </w:r>
      <w:r>
        <w:t xml:space="preserve">can </w:t>
      </w:r>
      <w:r w:rsidR="008422CD">
        <w:t xml:space="preserve">have catastrophic consequences </w:t>
      </w:r>
      <w:r w:rsidR="00B83E41">
        <w:t>for patients including leading to serious morbidity</w:t>
      </w:r>
      <w:r w:rsidR="008422CD">
        <w:t xml:space="preserve"> </w:t>
      </w:r>
      <w:r w:rsidR="00B83E41">
        <w:t xml:space="preserve">and death. </w:t>
      </w:r>
      <w:r w:rsidR="00B74439">
        <w:t xml:space="preserve">MSAC noted that joint </w:t>
      </w:r>
      <w:r w:rsidR="00F71C86">
        <w:t xml:space="preserve">replacement surgery is a common procedure </w:t>
      </w:r>
      <w:r w:rsidR="00C72180">
        <w:t xml:space="preserve">and </w:t>
      </w:r>
      <w:r w:rsidR="00F71C86">
        <w:t xml:space="preserve">that </w:t>
      </w:r>
      <w:r w:rsidR="00C72180">
        <w:t xml:space="preserve">the number of joint replacement surgeries is </w:t>
      </w:r>
      <w:r w:rsidR="00F71C86">
        <w:t>increasing</w:t>
      </w:r>
      <w:r w:rsidR="00C72180">
        <w:t xml:space="preserve"> each year</w:t>
      </w:r>
      <w:r w:rsidR="00F71C86">
        <w:t xml:space="preserve">. </w:t>
      </w:r>
      <w:r w:rsidR="00B83E41">
        <w:t>Therefore, while the r</w:t>
      </w:r>
      <w:r w:rsidR="00C72180">
        <w:t>ate</w:t>
      </w:r>
      <w:r w:rsidR="00B83E41">
        <w:t xml:space="preserve"> of periprosthetic SSI is low in Australia, there is a clinical need to </w:t>
      </w:r>
      <w:r w:rsidR="00B74439">
        <w:t>reduce th</w:t>
      </w:r>
      <w:r w:rsidR="00F71C86">
        <w:t>e</w:t>
      </w:r>
      <w:r w:rsidR="00B74439">
        <w:t xml:space="preserve"> risk</w:t>
      </w:r>
      <w:r w:rsidR="00F71C86">
        <w:t xml:space="preserve"> of periprosthetic SSI and subsequent consequences.</w:t>
      </w:r>
      <w:r>
        <w:t xml:space="preserve"> </w:t>
      </w:r>
    </w:p>
    <w:p w14:paraId="0B282B86" w14:textId="03D537A7" w:rsidR="00083099" w:rsidRPr="007B3B1A" w:rsidRDefault="00083099" w:rsidP="00083099">
      <w:r>
        <w:t xml:space="preserve">MSAC noted that DAC+antibiotics was proposed for use in four </w:t>
      </w:r>
      <w:r w:rsidR="00C72180">
        <w:t xml:space="preserve">patient </w:t>
      </w:r>
      <w:r>
        <w:t>populations</w:t>
      </w:r>
      <w:r w:rsidR="00C72180">
        <w:t xml:space="preserve"> that are</w:t>
      </w:r>
      <w:r w:rsidR="007B3B1A">
        <w:t xml:space="preserve"> considered high risk for periprosthetic SSI</w:t>
      </w:r>
      <w:r>
        <w:t xml:space="preserve">: </w:t>
      </w:r>
      <w:r w:rsidR="007B3B1A">
        <w:t>1) patients undergoing elective joint replacement surgery with an ASA</w:t>
      </w:r>
      <w:r w:rsidR="007B3B1A">
        <w:rPr>
          <w:rStyle w:val="FootnoteReference"/>
        </w:rPr>
        <w:footnoteReference w:id="2"/>
      </w:r>
      <w:r w:rsidR="007B3B1A">
        <w:t xml:space="preserve"> score</w:t>
      </w:r>
      <w:r w:rsidR="0055435C">
        <w:t xml:space="preserve"> ≥</w:t>
      </w:r>
      <w:r w:rsidR="007B3B1A">
        <w:t>3 and a BMI</w:t>
      </w:r>
      <w:r w:rsidR="007B3B1A">
        <w:rPr>
          <w:rStyle w:val="FootnoteReference"/>
        </w:rPr>
        <w:footnoteReference w:id="3"/>
      </w:r>
      <w:r w:rsidR="0055435C">
        <w:t xml:space="preserve"> </w:t>
      </w:r>
      <w:r w:rsidR="007B3B1A">
        <w:t>&gt;30 kg/m</w:t>
      </w:r>
      <w:r w:rsidR="007B3B1A">
        <w:rPr>
          <w:vertAlign w:val="superscript"/>
        </w:rPr>
        <w:t>2</w:t>
      </w:r>
      <w:r w:rsidR="007B3B1A">
        <w:t xml:space="preserve">; 2) patients undergoing elective megaprostheses or </w:t>
      </w:r>
      <w:r w:rsidR="0055435C">
        <w:t>revision surgery (not for infection); 3) patients under</w:t>
      </w:r>
      <w:r w:rsidR="00DE2591">
        <w:t>going</w:t>
      </w:r>
      <w:r w:rsidR="0055435C">
        <w:t xml:space="preserve"> revision </w:t>
      </w:r>
      <w:r w:rsidR="00DE2591">
        <w:t xml:space="preserve">surgery </w:t>
      </w:r>
      <w:r w:rsidR="0055435C">
        <w:t xml:space="preserve">(implant replacement) due to periprosthetic </w:t>
      </w:r>
      <w:r w:rsidR="00DE2591">
        <w:t>SSI</w:t>
      </w:r>
      <w:r w:rsidR="0055435C">
        <w:t xml:space="preserve">; and 4) patients </w:t>
      </w:r>
      <w:r w:rsidR="0055435C" w:rsidRPr="0055435C">
        <w:t>undergoing open reduction and internal fixation</w:t>
      </w:r>
      <w:r w:rsidR="0055435C">
        <w:t xml:space="preserve"> for a) closed fracture (ASA score ≥3 and BMI &gt;30 kg/m</w:t>
      </w:r>
      <w:r w:rsidR="0055435C">
        <w:rPr>
          <w:vertAlign w:val="superscript"/>
        </w:rPr>
        <w:t>2</w:t>
      </w:r>
      <w:r w:rsidR="0055435C">
        <w:t>) or b) open fracture.</w:t>
      </w:r>
      <w:r w:rsidR="007331E8">
        <w:t xml:space="preserve"> MSAC noted that </w:t>
      </w:r>
      <w:r w:rsidR="0099097C">
        <w:t>the</w:t>
      </w:r>
      <w:r w:rsidR="007331E8">
        <w:t xml:space="preserve"> ASA score is a subjective assessment that may not be a robust restriction criterion to prospectively assess </w:t>
      </w:r>
      <w:r w:rsidR="0099097C">
        <w:t>risk for periprosthetic SSI</w:t>
      </w:r>
      <w:r w:rsidR="007331E8">
        <w:t xml:space="preserve"> </w:t>
      </w:r>
      <w:r w:rsidR="0099097C">
        <w:t xml:space="preserve">and </w:t>
      </w:r>
      <w:r w:rsidR="00DB5806">
        <w:t xml:space="preserve">restrict the use of </w:t>
      </w:r>
      <w:r w:rsidR="0099097C">
        <w:lastRenderedPageBreak/>
        <w:t>DAC+antibiotics</w:t>
      </w:r>
      <w:r w:rsidR="007331E8">
        <w:t xml:space="preserve">. </w:t>
      </w:r>
      <w:r w:rsidR="005B2939">
        <w:t>MSAC noted th</w:t>
      </w:r>
      <w:r w:rsidR="00CA2AFD">
        <w:t xml:space="preserve">e </w:t>
      </w:r>
      <w:r w:rsidR="00A82681">
        <w:t xml:space="preserve">applicant’s </w:t>
      </w:r>
      <w:r w:rsidR="00CA2AFD">
        <w:t xml:space="preserve">pre-MSAC response </w:t>
      </w:r>
      <w:r w:rsidR="00C72180">
        <w:t xml:space="preserve">attempted to </w:t>
      </w:r>
      <w:r w:rsidR="00A82681">
        <w:t xml:space="preserve">allay </w:t>
      </w:r>
      <w:r w:rsidR="00CA2AFD">
        <w:t xml:space="preserve">concerns raised by </w:t>
      </w:r>
      <w:r w:rsidR="005B2939">
        <w:t xml:space="preserve">ESC regarding the potential for DAC+antibiotics to be used outside the four proposed populations. </w:t>
      </w:r>
      <w:r w:rsidR="00CA2AFD">
        <w:t>However, MSAC</w:t>
      </w:r>
      <w:r w:rsidR="005B2939">
        <w:t xml:space="preserve"> disagreed with the </w:t>
      </w:r>
      <w:r w:rsidR="002B5158">
        <w:t xml:space="preserve">applicant’s </w:t>
      </w:r>
      <w:r w:rsidR="005B2939">
        <w:t xml:space="preserve">pre-MSAC response as </w:t>
      </w:r>
      <w:r w:rsidR="00F95E2D">
        <w:t xml:space="preserve">MSAC considered there </w:t>
      </w:r>
      <w:r w:rsidR="00CE7E1A">
        <w:t>is</w:t>
      </w:r>
      <w:r w:rsidR="00F95E2D">
        <w:t xml:space="preserve"> a definite potential for </w:t>
      </w:r>
      <w:r w:rsidR="005B2939">
        <w:t xml:space="preserve">DAC+antibiotics to be used outside of the proposed populations, noting there are other comorbidities that increase the risk of periprosthetic SSI </w:t>
      </w:r>
      <w:r w:rsidR="00C72180">
        <w:t>and</w:t>
      </w:r>
      <w:r w:rsidR="005B2939">
        <w:t xml:space="preserve"> other orthopaedic surgeries </w:t>
      </w:r>
      <w:r w:rsidR="00CE7E1A">
        <w:t xml:space="preserve">(hemi-arthroplasties, </w:t>
      </w:r>
      <w:r w:rsidR="00922170">
        <w:t xml:space="preserve">anchors on tendon repairs, </w:t>
      </w:r>
      <w:r w:rsidR="00CE7E1A">
        <w:t xml:space="preserve">etc) </w:t>
      </w:r>
      <w:r w:rsidR="005B2939">
        <w:t xml:space="preserve">where patients may be at a high risk of infection. </w:t>
      </w:r>
      <w:r w:rsidR="0091411A">
        <w:t>MSAC</w:t>
      </w:r>
      <w:r w:rsidR="00850791">
        <w:t xml:space="preserve"> also</w:t>
      </w:r>
      <w:r w:rsidR="0091411A">
        <w:t xml:space="preserve"> noted the </w:t>
      </w:r>
      <w:r w:rsidR="002B5158">
        <w:t xml:space="preserve">applicant’s </w:t>
      </w:r>
      <w:r w:rsidR="0091411A">
        <w:t>pre-MSAC response presented company sales data illustrating the international utilisation of DAC</w:t>
      </w:r>
      <w:r w:rsidR="0043125A">
        <w:t>. H</w:t>
      </w:r>
      <w:r w:rsidR="00FC5872">
        <w:t>owever</w:t>
      </w:r>
      <w:r w:rsidR="0043125A">
        <w:t>,</w:t>
      </w:r>
      <w:r w:rsidR="00FC5872">
        <w:t xml:space="preserve"> </w:t>
      </w:r>
      <w:r w:rsidR="0091411A">
        <w:t>there was no information</w:t>
      </w:r>
      <w:r w:rsidR="00E40208">
        <w:t xml:space="preserve"> available</w:t>
      </w:r>
      <w:r w:rsidR="0091411A">
        <w:t xml:space="preserve"> </w:t>
      </w:r>
      <w:r w:rsidR="00A65090">
        <w:t>to understand the patient population where DAC was used internationally</w:t>
      </w:r>
      <w:r w:rsidR="00640A03">
        <w:t xml:space="preserve">. It was unclear whether </w:t>
      </w:r>
      <w:r w:rsidR="00A65090">
        <w:t>clinical discretion was applied to reserve DAC+antibiotics for high</w:t>
      </w:r>
      <w:r w:rsidR="00A9691F">
        <w:t>-</w:t>
      </w:r>
      <w:r w:rsidR="00A65090">
        <w:t xml:space="preserve">risk patients as defined in this application. </w:t>
      </w:r>
      <w:r w:rsidR="000C2827">
        <w:t xml:space="preserve">Further, the data showed significant </w:t>
      </w:r>
      <w:r w:rsidR="00640A03">
        <w:t xml:space="preserve">international </w:t>
      </w:r>
      <w:r w:rsidR="000C2827">
        <w:t>variation in the utilisation with the highest utilisation in countries where the studies were performed</w:t>
      </w:r>
      <w:r w:rsidR="00640A03">
        <w:t xml:space="preserve">. </w:t>
      </w:r>
      <w:r w:rsidR="000C2827">
        <w:t xml:space="preserve">MSAC noted </w:t>
      </w:r>
      <w:r w:rsidR="00640A03">
        <w:t xml:space="preserve">that this </w:t>
      </w:r>
      <w:r w:rsidR="000C2827">
        <w:t>could suggest that the use of DAC+antibiotics was based on proponents who had adopted the use of DAC+antibiotics.</w:t>
      </w:r>
    </w:p>
    <w:p w14:paraId="1BDC2F78" w14:textId="3203BB0E" w:rsidR="007B3B1A" w:rsidRDefault="00083099" w:rsidP="00083099">
      <w:r>
        <w:t xml:space="preserve">MSAC noted that the comparator was standard surgery without DAC+antibiotics. MSAC noted that the </w:t>
      </w:r>
      <w:r w:rsidR="007B3B1A">
        <w:t xml:space="preserve">available </w:t>
      </w:r>
      <w:r w:rsidR="00F95E2D">
        <w:t xml:space="preserve">clinical </w:t>
      </w:r>
      <w:r w:rsidR="007B3B1A">
        <w:t>evidence, comparing surgery with DAC+antibiotics versus surgery without DAC+antibiotics, consisted of</w:t>
      </w:r>
      <w:r>
        <w:t xml:space="preserve"> two randomised controlled trials (RCTs) and four case control studies. MSAC noted that the Department</w:t>
      </w:r>
      <w:r w:rsidR="007B3B1A">
        <w:t xml:space="preserve"> C</w:t>
      </w:r>
      <w:r>
        <w:t xml:space="preserve">ontracted </w:t>
      </w:r>
      <w:r w:rsidR="007B3B1A">
        <w:t>A</w:t>
      </w:r>
      <w:r>
        <w:t xml:space="preserve">ssessment </w:t>
      </w:r>
      <w:r w:rsidR="007B3B1A">
        <w:t>R</w:t>
      </w:r>
      <w:r>
        <w:t xml:space="preserve">eport (DCAR) assessed the overall risk of bias in both RCTs as having “some concerns” regarding the blinding of participants, carers and people delivering the interventions. </w:t>
      </w:r>
      <w:r w:rsidR="00063AE8">
        <w:t xml:space="preserve">MSAC also noted the concerns raised by ESC and in the DCAR regarding </w:t>
      </w:r>
      <w:r>
        <w:t>potential measurement bias in both RCTs as the stud</w:t>
      </w:r>
      <w:r w:rsidR="00DB5806">
        <w:t>ies</w:t>
      </w:r>
      <w:r>
        <w:t xml:space="preserve"> assumed a 6% periprosthetic SSI incidence in the control group. </w:t>
      </w:r>
      <w:r w:rsidR="00640A03">
        <w:t>This conflicts with</w:t>
      </w:r>
      <w:r>
        <w:t xml:space="preserve"> data from the Australian Orthopaedic Association National Joint Replacement Registry (AOANJRR) report that</w:t>
      </w:r>
      <w:r w:rsidR="009873B4">
        <w:t xml:space="preserve">, using </w:t>
      </w:r>
      <w:r w:rsidR="00B277CB">
        <w:t>the rate of revision procedures for infection,</w:t>
      </w:r>
      <w:r>
        <w:t xml:space="preserve"> the </w:t>
      </w:r>
      <w:r w:rsidR="00B277CB">
        <w:t xml:space="preserve">estimated </w:t>
      </w:r>
      <w:r>
        <w:t>incidence of SSI is around 1</w:t>
      </w:r>
      <w:r w:rsidR="00B43E1E">
        <w:t>-2</w:t>
      </w:r>
      <w:r>
        <w:t>%</w:t>
      </w:r>
      <w:r w:rsidR="00600003">
        <w:t xml:space="preserve"> </w:t>
      </w:r>
      <w:r>
        <w:t xml:space="preserve">in the Australian population. </w:t>
      </w:r>
      <w:r w:rsidR="00063AE8">
        <w:t xml:space="preserve">MSAC noted the </w:t>
      </w:r>
      <w:r w:rsidR="00640A03">
        <w:t xml:space="preserve">applicant’s </w:t>
      </w:r>
      <w:r w:rsidR="00063AE8">
        <w:t>pre-MSAC response reiterated its criticism of the AOANJRR data, claiming the AOANJRR underestimates the rate of periprosthetic SSI in Australia and cited two</w:t>
      </w:r>
      <w:r w:rsidR="00DB5806">
        <w:t xml:space="preserve"> supporting</w:t>
      </w:r>
      <w:r w:rsidR="00063AE8">
        <w:t xml:space="preserve"> studies</w:t>
      </w:r>
      <w:r w:rsidR="00063AE8">
        <w:rPr>
          <w:rStyle w:val="FootnoteReference"/>
        </w:rPr>
        <w:footnoteReference w:id="4"/>
      </w:r>
      <w:r w:rsidR="00063AE8">
        <w:rPr>
          <w:vertAlign w:val="superscript"/>
        </w:rPr>
        <w:t>, </w:t>
      </w:r>
      <w:r w:rsidR="00063AE8">
        <w:rPr>
          <w:rStyle w:val="FootnoteReference"/>
        </w:rPr>
        <w:footnoteReference w:id="5"/>
      </w:r>
      <w:r w:rsidR="00063AE8">
        <w:t xml:space="preserve">. However, MSAC noted that while the two studies did indicate that the AOANJRR underestimates periprosthetic SSI, the studies still report that the rate of periprosthetic SSI is under 2% in Australia. </w:t>
      </w:r>
      <w:r>
        <w:t xml:space="preserve">For the case control studies, the overall risk of bias was assessed to be “serious” in three studies and “moderate” in one. </w:t>
      </w:r>
    </w:p>
    <w:p w14:paraId="6E9C965F" w14:textId="25C4C717" w:rsidR="007B3B1A" w:rsidRDefault="00CA2AFD" w:rsidP="00083099">
      <w:r>
        <w:t xml:space="preserve">Regarding comparative safety, MSAC noted there was no difference in safety outcomes for surgery with DAC+antibiotics versus surgery without </w:t>
      </w:r>
      <w:r w:rsidR="00DB5806">
        <w:t>DAC+</w:t>
      </w:r>
      <w:r>
        <w:t xml:space="preserve">antibiotics. </w:t>
      </w:r>
      <w:r w:rsidR="007B3B1A">
        <w:t xml:space="preserve">MSAC noted </w:t>
      </w:r>
      <w:r w:rsidR="009A36E3">
        <w:t xml:space="preserve">in response to concerns raised by ESC regarding the lack of long term safety data, </w:t>
      </w:r>
      <w:r w:rsidR="007B3B1A">
        <w:t xml:space="preserve">the </w:t>
      </w:r>
      <w:r w:rsidR="00865601">
        <w:t xml:space="preserve">applicant’s </w:t>
      </w:r>
      <w:r w:rsidR="007B3B1A">
        <w:t>pre-MSAC response</w:t>
      </w:r>
      <w:r w:rsidR="009A36E3">
        <w:t xml:space="preserve"> stated there is a large evidence base supporting the </w:t>
      </w:r>
      <w:r w:rsidR="00C72180">
        <w:t xml:space="preserve">long term </w:t>
      </w:r>
      <w:r w:rsidR="009A36E3">
        <w:t>safety of hyaluronic a</w:t>
      </w:r>
      <w:r w:rsidR="00C72180">
        <w:t>c</w:t>
      </w:r>
      <w:r w:rsidR="009A36E3">
        <w:t xml:space="preserve">id and polylactic acid (components of DAC) used in other products in other clinical settings </w:t>
      </w:r>
      <w:r w:rsidR="007B3B1A">
        <w:t>(e.g. wound dressing</w:t>
      </w:r>
      <w:r w:rsidR="009A36E3">
        <w:t>s, dermal tissue fillers, drug-delivery vehicles</w:t>
      </w:r>
      <w:r w:rsidR="007B3B1A">
        <w:t>)</w:t>
      </w:r>
      <w:r w:rsidR="00DB5806">
        <w:t xml:space="preserve">. The </w:t>
      </w:r>
      <w:r w:rsidR="00865601">
        <w:t xml:space="preserve">applicant’s </w:t>
      </w:r>
      <w:r w:rsidR="00DB5806">
        <w:t xml:space="preserve">pre-MSAC response </w:t>
      </w:r>
      <w:r w:rsidR="009A36E3">
        <w:t xml:space="preserve">claimed </w:t>
      </w:r>
      <w:r w:rsidR="00DB5806">
        <w:t xml:space="preserve">this data </w:t>
      </w:r>
      <w:r w:rsidR="007B3B1A">
        <w:t xml:space="preserve">can be used as evidence </w:t>
      </w:r>
      <w:r w:rsidR="009A36E3">
        <w:t>for the long term safety of DAC</w:t>
      </w:r>
      <w:r w:rsidR="007B3B1A">
        <w:t>. However, MSAC noted that no data were presented to support this claim</w:t>
      </w:r>
      <w:r w:rsidR="009A36E3">
        <w:t xml:space="preserve"> and </w:t>
      </w:r>
      <w:r w:rsidR="00F5369C">
        <w:t xml:space="preserve">MSAC did not consider it appropriate to extrapolate the </w:t>
      </w:r>
      <w:r w:rsidR="00C72180">
        <w:t>long</w:t>
      </w:r>
      <w:r w:rsidR="00C809EE">
        <w:t>-</w:t>
      </w:r>
      <w:r w:rsidR="00C72180">
        <w:t>term</w:t>
      </w:r>
      <w:r w:rsidR="00F5369C">
        <w:t xml:space="preserve"> safety of</w:t>
      </w:r>
      <w:r w:rsidR="00C72180">
        <w:t xml:space="preserve"> other</w:t>
      </w:r>
      <w:r w:rsidR="00F5369C">
        <w:t xml:space="preserve"> products </w:t>
      </w:r>
      <w:r w:rsidR="00C72180">
        <w:t xml:space="preserve">(that are not the same as DAC+antibiotics even though they </w:t>
      </w:r>
      <w:r w:rsidR="00F5369C">
        <w:t>contain hyaluronic acid and polylactic acid) used in other clinical settings to assume the long</w:t>
      </w:r>
      <w:r w:rsidR="00300199">
        <w:t>-</w:t>
      </w:r>
      <w:r w:rsidR="00F5369C">
        <w:t>term safety of DAC+antibiotics in an orthopaedic implant surgery setting</w:t>
      </w:r>
      <w:r w:rsidR="007B3B1A">
        <w:t>.</w:t>
      </w:r>
    </w:p>
    <w:p w14:paraId="41319D14" w14:textId="67F0137E" w:rsidR="00083099" w:rsidRDefault="00C1730D" w:rsidP="00083099">
      <w:r>
        <w:t xml:space="preserve">Regarding comparative </w:t>
      </w:r>
      <w:r w:rsidR="00DB164C">
        <w:t xml:space="preserve">effectiveness, MSAC noted the applicant claimed that surgery with DAC+antibiotics </w:t>
      </w:r>
      <w:r w:rsidR="00A4115B">
        <w:t>was superior</w:t>
      </w:r>
      <w:r w:rsidR="00DB164C">
        <w:t xml:space="preserve"> to surgery without DAC+antibiotics</w:t>
      </w:r>
      <w:r w:rsidR="00C17AA2">
        <w:t xml:space="preserve"> with regards to the risk of </w:t>
      </w:r>
      <w:r w:rsidR="00C17AA2">
        <w:lastRenderedPageBreak/>
        <w:t>periprosthetic SSI</w:t>
      </w:r>
      <w:r w:rsidR="00DB164C">
        <w:t xml:space="preserve">. MSAC noted that the evidence indicated a trend for DAC+antibiotics to reduce the risk of periprosthetic SSI, </w:t>
      </w:r>
      <w:r w:rsidR="00A4115B">
        <w:t xml:space="preserve">but that the trend was small </w:t>
      </w:r>
      <w:r w:rsidR="006B51A6">
        <w:t>and</w:t>
      </w:r>
      <w:r w:rsidR="00A4115B">
        <w:t xml:space="preserve"> highly uncertain due </w:t>
      </w:r>
      <w:r w:rsidR="00C809EE">
        <w:t xml:space="preserve">to </w:t>
      </w:r>
      <w:r w:rsidR="00A4115B">
        <w:t>wide confidence intervals</w:t>
      </w:r>
      <w:r w:rsidR="007B7AB0">
        <w:t xml:space="preserve"> (see Figure 1</w:t>
      </w:r>
      <w:r w:rsidR="003403BD">
        <w:t xml:space="preserve"> in Section 12</w:t>
      </w:r>
      <w:r w:rsidR="007B7AB0">
        <w:t>)</w:t>
      </w:r>
      <w:r w:rsidR="00A4115B">
        <w:t xml:space="preserve">. </w:t>
      </w:r>
      <w:r w:rsidR="006B51A6">
        <w:t xml:space="preserve">The uncertainty in the benefit was further impacted by the low to very low quality of the data as discussed above. </w:t>
      </w:r>
      <w:r w:rsidR="007B3B1A">
        <w:t>MSAC concluded that the</w:t>
      </w:r>
      <w:r w:rsidR="00C809EE">
        <w:t xml:space="preserve"> </w:t>
      </w:r>
      <w:r w:rsidR="007B3B1A">
        <w:t>claim of superior</w:t>
      </w:r>
      <w:r w:rsidR="006B51A6">
        <w:t xml:space="preserve"> effectiveness for surgery with DAC+antibiotics, relative to surgery without DAC+antibiotics</w:t>
      </w:r>
      <w:r w:rsidR="00DB5806">
        <w:t>,</w:t>
      </w:r>
      <w:r w:rsidR="006B51A6">
        <w:t xml:space="preserve"> </w:t>
      </w:r>
      <w:r w:rsidR="007B3B1A">
        <w:t>was not supported by the evidence</w:t>
      </w:r>
      <w:r w:rsidR="006B51A6">
        <w:t>.</w:t>
      </w:r>
    </w:p>
    <w:p w14:paraId="44B790D3" w14:textId="0509EA60" w:rsidR="00190459" w:rsidRDefault="00083099" w:rsidP="009E0550">
      <w:r>
        <w:t>MSAC noted that the ability to model the cost-effectiveness of DAC+antibiotics was limited by the paucity of data and the limitations/uncertainties in the clinical evidence base.  MSAC noted that a</w:t>
      </w:r>
      <w:r w:rsidR="009E0550">
        <w:t xml:space="preserve"> </w:t>
      </w:r>
      <w:r>
        <w:t xml:space="preserve">stepped </w:t>
      </w:r>
      <w:r w:rsidR="009E0550">
        <w:t xml:space="preserve">cost-utility </w:t>
      </w:r>
      <w:r>
        <w:t>analysis was presented for populations 1 and 3.</w:t>
      </w:r>
      <w:r w:rsidR="009E0550">
        <w:t xml:space="preserve"> MSAC noted the treatment effect of DAC+antibiotics was a key driver of the model</w:t>
      </w:r>
      <w:r w:rsidR="00190459">
        <w:t>.</w:t>
      </w:r>
      <w:r w:rsidR="00300199">
        <w:t xml:space="preserve"> That is, DAC+antibiotics was dominated when</w:t>
      </w:r>
      <w:r w:rsidR="00190459">
        <w:t xml:space="preserve"> the</w:t>
      </w:r>
      <w:r w:rsidR="00300199">
        <w:t xml:space="preserve"> </w:t>
      </w:r>
      <w:r w:rsidR="00300199" w:rsidRPr="00BA081A">
        <w:t xml:space="preserve">upper 95% confidence interval (CI) </w:t>
      </w:r>
      <w:r w:rsidR="00300199">
        <w:t>was</w:t>
      </w:r>
      <w:r w:rsidR="00300199" w:rsidRPr="00BA081A">
        <w:t xml:space="preserve"> used</w:t>
      </w:r>
      <w:r w:rsidR="00300199">
        <w:t xml:space="preserve"> and</w:t>
      </w:r>
      <w:r w:rsidR="009E0550">
        <w:t xml:space="preserve"> as discussed above, based on the clinical evidence, surgery with DAC+antibiotics was considered noninferior to surgery without DAC+antibiotics. </w:t>
      </w:r>
    </w:p>
    <w:p w14:paraId="042E53BB" w14:textId="343CC377" w:rsidR="00B86BFD" w:rsidRDefault="009E0550" w:rsidP="009E0550">
      <w:r>
        <w:t xml:space="preserve">MSAC noted that </w:t>
      </w:r>
      <w:r w:rsidR="00300199">
        <w:t xml:space="preserve">the rate of periprosthetic SSI was also a key driver. That is, </w:t>
      </w:r>
      <w:r w:rsidR="00190459">
        <w:t xml:space="preserve">the </w:t>
      </w:r>
      <w:r w:rsidR="00300199">
        <w:t>rate of periprosthetic SSI in the control arm in the tr</w:t>
      </w:r>
      <w:r w:rsidR="00DB5806">
        <w:t>ia</w:t>
      </w:r>
      <w:r w:rsidR="00300199">
        <w:t>l evidence is different to the rate of periprosthetic SSI in Australia. Using the SSI rate from the AOANJRR, the ICER for Population 1</w:t>
      </w:r>
      <w:r w:rsidR="00D67597">
        <w:t xml:space="preserve"> substantially</w:t>
      </w:r>
      <w:r w:rsidR="00300199">
        <w:t xml:space="preserve"> increased to</w:t>
      </w:r>
      <w:r w:rsidR="00190459">
        <w:t xml:space="preserve"> &gt;$1,000,000</w:t>
      </w:r>
      <w:r w:rsidR="00D67597">
        <w:t xml:space="preserve"> (Step 2 over 1 year, but reduced to &gt;$100,000 when modelled over 20 years in Step 3) </w:t>
      </w:r>
      <w:r w:rsidR="00190459">
        <w:t>whereas for Population 3 the ICER flipped and became dominant</w:t>
      </w:r>
      <w:r w:rsidR="00D67597">
        <w:t xml:space="preserve"> (see Table</w:t>
      </w:r>
      <w:r w:rsidR="00AD0435">
        <w:t> </w:t>
      </w:r>
      <w:r w:rsidR="00D67597">
        <w:t>6)</w:t>
      </w:r>
      <w:r w:rsidR="00190459">
        <w:t xml:space="preserve">. MSAC noted the </w:t>
      </w:r>
      <w:r w:rsidR="00C17AA2">
        <w:t xml:space="preserve">applicant’s </w:t>
      </w:r>
      <w:r w:rsidR="00190459">
        <w:t xml:space="preserve">pre-MSAC response </w:t>
      </w:r>
      <w:r w:rsidR="00063AE8">
        <w:t>criticised</w:t>
      </w:r>
      <w:r w:rsidR="00190459">
        <w:t xml:space="preserve"> using </w:t>
      </w:r>
      <w:r w:rsidR="00DB5806">
        <w:t xml:space="preserve">the </w:t>
      </w:r>
      <w:r w:rsidR="00190459">
        <w:t>AOANJRR data</w:t>
      </w:r>
      <w:r w:rsidR="00DB5806">
        <w:t xml:space="preserve"> in the CUA</w:t>
      </w:r>
      <w:r w:rsidR="00190459">
        <w:t>, claiming the AOANJRR underestimates the rate of periprosthetic SSI in Australia</w:t>
      </w:r>
      <w:r w:rsidR="00063AE8">
        <w:t xml:space="preserve">. </w:t>
      </w:r>
      <w:r w:rsidR="00190459">
        <w:t xml:space="preserve">However, MSAC </w:t>
      </w:r>
      <w:r w:rsidR="00063AE8">
        <w:t>considered application of the AOANJRR data appropriate and noted that</w:t>
      </w:r>
      <w:r w:rsidR="000F7B8B">
        <w:t xml:space="preserve"> the DCAR conducted sensitivity analysis on the SSI rate</w:t>
      </w:r>
      <w:r w:rsidR="00063AE8">
        <w:t>,</w:t>
      </w:r>
      <w:r w:rsidR="000F7B8B">
        <w:t xml:space="preserve"> including increasing the rate by 20%</w:t>
      </w:r>
      <w:r w:rsidR="00C762D1">
        <w:t xml:space="preserve"> (see Table 8 [hips] and Table 9 [knee] for population 1; and Table 10 [hips] and Table 11 [knee] for population 3</w:t>
      </w:r>
      <w:r w:rsidR="00C17AA2">
        <w:t>)</w:t>
      </w:r>
      <w:r w:rsidR="00C762D1">
        <w:t xml:space="preserve"> </w:t>
      </w:r>
      <w:r w:rsidR="000F7B8B">
        <w:t xml:space="preserve">which MSAC considered addressed the </w:t>
      </w:r>
      <w:r w:rsidR="00DB5806">
        <w:t>concern</w:t>
      </w:r>
      <w:r w:rsidR="00C762D1">
        <w:t xml:space="preserve"> </w:t>
      </w:r>
      <w:r w:rsidR="00DB5806">
        <w:t>that the</w:t>
      </w:r>
      <w:r w:rsidR="00063AE8">
        <w:t xml:space="preserve"> </w:t>
      </w:r>
      <w:r w:rsidR="000F7B8B">
        <w:t xml:space="preserve">AOANJRR </w:t>
      </w:r>
      <w:r w:rsidR="00063AE8">
        <w:t xml:space="preserve">data </w:t>
      </w:r>
      <w:r w:rsidR="00DB5806">
        <w:t>underestimates the rate of</w:t>
      </w:r>
      <w:r w:rsidR="00063AE8">
        <w:t xml:space="preserve"> periprosthetic SSI</w:t>
      </w:r>
      <w:r w:rsidR="000F7B8B">
        <w:t xml:space="preserve">. MSAC also noted the cost of DAC and the number </w:t>
      </w:r>
      <w:r w:rsidR="00DB5806">
        <w:t xml:space="preserve">of </w:t>
      </w:r>
      <w:r w:rsidR="000F7B8B">
        <w:t>kits used were also key driver</w:t>
      </w:r>
      <w:r w:rsidR="00DB5806">
        <w:t>s</w:t>
      </w:r>
      <w:r w:rsidR="000F7B8B">
        <w:t xml:space="preserve">. </w:t>
      </w:r>
      <w:r w:rsidR="00C762D1">
        <w:t>In addition</w:t>
      </w:r>
      <w:r w:rsidR="000F7B8B">
        <w:t>, M</w:t>
      </w:r>
      <w:r w:rsidR="0023636C">
        <w:t>SAC noted t</w:t>
      </w:r>
      <w:r w:rsidR="000F7B8B">
        <w:t>hat the proposed P</w:t>
      </w:r>
      <w:r w:rsidR="00DB5806">
        <w:t xml:space="preserve">rostheses </w:t>
      </w:r>
      <w:r w:rsidR="000F7B8B">
        <w:t>L</w:t>
      </w:r>
      <w:r w:rsidR="00DB5806">
        <w:t>ist</w:t>
      </w:r>
      <w:r w:rsidR="000F7B8B">
        <w:t xml:space="preserve"> benefit for DAC was</w:t>
      </w:r>
      <w:r w:rsidR="00DB5806">
        <w:t xml:space="preserve"> high and</w:t>
      </w:r>
      <w:r w:rsidR="000F7B8B">
        <w:t xml:space="preserve"> not justified</w:t>
      </w:r>
      <w:r w:rsidR="005E56FF">
        <w:t>.</w:t>
      </w:r>
    </w:p>
    <w:p w14:paraId="3B6A9397" w14:textId="02EA42CA" w:rsidR="00083099" w:rsidRDefault="0023636C" w:rsidP="00083099">
      <w:r>
        <w:t>MSAC note</w:t>
      </w:r>
      <w:r w:rsidR="003F7884">
        <w:t>d</w:t>
      </w:r>
      <w:r>
        <w:t xml:space="preserve"> c</w:t>
      </w:r>
      <w:r w:rsidR="00083099">
        <w:t xml:space="preserve">ost-consequence analyses were </w:t>
      </w:r>
      <w:r>
        <w:t xml:space="preserve">presented </w:t>
      </w:r>
      <w:r w:rsidR="00083099">
        <w:t xml:space="preserve">for populations 2 and 4a (closed fractures). MSAC noted that the estimated incremental cost of surgery with DAC+antibiotics versus surgery without DAC+antibiotics was </w:t>
      </w:r>
      <w:r w:rsidR="00B86BFD">
        <w:t>approximately</w:t>
      </w:r>
      <w:r>
        <w:t xml:space="preserve"> $4,000 for Population 2 and approximately $3,300 for Population 4b. However, MSAC did not consider these estimates meaningful given the clinical evidence indicates that surgery with DAC+antibiotics is noninferior to surgery without DAC+antibiotics.</w:t>
      </w:r>
    </w:p>
    <w:p w14:paraId="324818A1" w14:textId="3548A176" w:rsidR="00083099" w:rsidRDefault="00083099" w:rsidP="00CE2B86">
      <w:r>
        <w:t>In terms of the financial impact, MSAC noted</w:t>
      </w:r>
      <w:r w:rsidR="00C17AA2">
        <w:t xml:space="preserve"> the</w:t>
      </w:r>
      <w:r>
        <w:t xml:space="preserve"> </w:t>
      </w:r>
      <w:r w:rsidR="00E377BB">
        <w:t xml:space="preserve">applicant </w:t>
      </w:r>
      <w:r w:rsidR="00E377BB" w:rsidRPr="007A6E7B">
        <w:t xml:space="preserve">had previously estimated that less than </w:t>
      </w:r>
      <w:r w:rsidR="008B0101" w:rsidRPr="00450F52">
        <w:rPr>
          <w:b/>
          <w:bCs/>
        </w:rPr>
        <w:t>redacted</w:t>
      </w:r>
      <w:r w:rsidR="00E377BB" w:rsidRPr="007A6E7B">
        <w:t xml:space="preserve"> patients would utilise DAC+antibiotics in the first year </w:t>
      </w:r>
      <w:r w:rsidR="00DB09AE" w:rsidRPr="007A6E7B">
        <w:t xml:space="preserve">based on international sales data </w:t>
      </w:r>
      <w:r w:rsidR="00E377BB" w:rsidRPr="007A6E7B">
        <w:t>(</w:t>
      </w:r>
      <w:r w:rsidR="008B0101" w:rsidRPr="00450F52">
        <w:rPr>
          <w:b/>
          <w:bCs/>
        </w:rPr>
        <w:t>redacted</w:t>
      </w:r>
      <w:r w:rsidR="00E377BB" w:rsidRPr="007A6E7B">
        <w:t xml:space="preserve">). </w:t>
      </w:r>
      <w:r w:rsidR="00C17AA2" w:rsidRPr="007A6E7B">
        <w:t xml:space="preserve">In contrast, </w:t>
      </w:r>
      <w:r w:rsidR="00E377BB" w:rsidRPr="007A6E7B">
        <w:t xml:space="preserve">MSAC </w:t>
      </w:r>
      <w:r w:rsidR="00AD7795" w:rsidRPr="007A6E7B">
        <w:t xml:space="preserve">noted the DCAR estimated </w:t>
      </w:r>
      <w:r w:rsidR="00600003">
        <w:rPr>
          <w:b/>
          <w:bCs/>
        </w:rPr>
        <w:t>redacted</w:t>
      </w:r>
      <w:r w:rsidR="00AD7795" w:rsidRPr="007A6E7B">
        <w:t xml:space="preserve"> patients may utilise DAC+antibiotics in the first year</w:t>
      </w:r>
      <w:r w:rsidR="00DB09AE" w:rsidRPr="007A6E7B">
        <w:t xml:space="preserve"> based on projections from the stated eligible population</w:t>
      </w:r>
      <w:r w:rsidR="009A0075" w:rsidRPr="007A6E7B">
        <w:t xml:space="preserve"> and assumed uptake rate</w:t>
      </w:r>
      <w:r w:rsidR="00517584" w:rsidRPr="007A6E7B">
        <w:t xml:space="preserve"> of DAC</w:t>
      </w:r>
      <w:r w:rsidR="00AD7795" w:rsidRPr="007A6E7B">
        <w:t xml:space="preserve">. MSAC noted the </w:t>
      </w:r>
      <w:r w:rsidR="00C17AA2" w:rsidRPr="007A6E7B">
        <w:t xml:space="preserve">applicant’s </w:t>
      </w:r>
      <w:r w:rsidR="00AD7795" w:rsidRPr="007A6E7B">
        <w:t>pre-MSAC response criticised the DCAR estimates</w:t>
      </w:r>
      <w:r w:rsidR="001E7165" w:rsidRPr="007A6E7B">
        <w:t xml:space="preserve">, </w:t>
      </w:r>
      <w:r w:rsidR="00AD7795" w:rsidRPr="007A6E7B">
        <w:t xml:space="preserve">highlighted an error in </w:t>
      </w:r>
      <w:bookmarkStart w:id="8" w:name="_Hlk121423154"/>
      <w:r w:rsidR="00AD7795" w:rsidRPr="007A6E7B">
        <w:t xml:space="preserve">the assumption </w:t>
      </w:r>
      <w:r w:rsidR="00AD7795">
        <w:t>regarding private/public patient utilisation</w:t>
      </w:r>
      <w:r w:rsidR="001E7165">
        <w:t xml:space="preserve"> </w:t>
      </w:r>
      <w:bookmarkEnd w:id="8"/>
      <w:r w:rsidR="001E7165">
        <w:t>and provided international sales data to argue the uptake would be lower</w:t>
      </w:r>
      <w:r w:rsidR="00AD7795">
        <w:t xml:space="preserve">. MSAC noted that correcting </w:t>
      </w:r>
      <w:r w:rsidR="001E7165">
        <w:t xml:space="preserve">the private/public patient assumption </w:t>
      </w:r>
      <w:r w:rsidR="00AD7795">
        <w:t>error would in fact increase the utilisation estimates</w:t>
      </w:r>
      <w:r w:rsidR="00B21412">
        <w:t xml:space="preserve"> and </w:t>
      </w:r>
      <w:r w:rsidR="00AD7795">
        <w:t xml:space="preserve">as discussed earlier, MSAC considered it highly likely that DAC+antibiotics </w:t>
      </w:r>
      <w:r w:rsidR="006530BA">
        <w:t>c</w:t>
      </w:r>
      <w:r w:rsidR="00AD7795">
        <w:t xml:space="preserve">ould be used outside the proposed populations creating further uncertainty in the estimated utilisation which MSAC considered to be underestimated. </w:t>
      </w:r>
      <w:bookmarkStart w:id="9" w:name="_Hlk121423257"/>
      <w:r w:rsidR="001E7165">
        <w:t xml:space="preserve">MSAC queried whether there was any utilisation data from New Zealand that could help inform assumptions when estimating the potential utilisation in Australia. </w:t>
      </w:r>
      <w:bookmarkEnd w:id="9"/>
      <w:r>
        <w:t>MSAC noted</w:t>
      </w:r>
      <w:r w:rsidR="006D4F60">
        <w:t xml:space="preserve">, based on </w:t>
      </w:r>
      <w:r w:rsidR="006530BA">
        <w:t xml:space="preserve">the </w:t>
      </w:r>
      <w:r w:rsidR="006D4F60">
        <w:t>DCAR estimated utilisation (underestimated),</w:t>
      </w:r>
      <w:r>
        <w:t xml:space="preserve"> that if DAC was listed on the Prosthes</w:t>
      </w:r>
      <w:r w:rsidR="00C17AA2">
        <w:t>e</w:t>
      </w:r>
      <w:r>
        <w:t xml:space="preserve">s List, </w:t>
      </w:r>
      <w:r w:rsidR="006D4F60">
        <w:t>the estimated annual cost to private health insurers would be more than $</w:t>
      </w:r>
      <w:r w:rsidR="004E076E">
        <w:rPr>
          <w:b/>
          <w:bCs/>
        </w:rPr>
        <w:t>redacted</w:t>
      </w:r>
      <w:r w:rsidR="006D4F60">
        <w:t xml:space="preserve">. MSAC considered that the additional estimated </w:t>
      </w:r>
      <w:r>
        <w:t xml:space="preserve">annual cost to the MBS </w:t>
      </w:r>
      <w:r w:rsidR="006D4F60">
        <w:t>(~$100,000 for each population) was likely overestimated d</w:t>
      </w:r>
      <w:r w:rsidR="006530BA">
        <w:t>ue</w:t>
      </w:r>
      <w:r w:rsidR="006D4F60">
        <w:t xml:space="preserve"> </w:t>
      </w:r>
      <w:r w:rsidR="006D4F60">
        <w:lastRenderedPageBreak/>
        <w:t>to over-estimating the costs associated with preparing the DAC+antibiotics. MSAC also noted</w:t>
      </w:r>
      <w:r w:rsidR="00280A6D">
        <w:t xml:space="preserve"> the other concerns raised in the </w:t>
      </w:r>
      <w:r w:rsidR="00C17AA2">
        <w:t xml:space="preserve">applicant’s </w:t>
      </w:r>
      <w:r w:rsidR="00280A6D">
        <w:t xml:space="preserve">pre-MSAC response that the analysis did not </w:t>
      </w:r>
      <w:r w:rsidR="00BE744F">
        <w:t xml:space="preserve">include </w:t>
      </w:r>
      <w:r w:rsidR="00280A6D">
        <w:t>costs for mortality, amputation etc. MSAC was not convinced that these would have a consequential effect noting most periprosthetic SSI are treated without replacing the joint or amputating the limb</w:t>
      </w:r>
      <w:r w:rsidR="003C7129">
        <w:t>.</w:t>
      </w:r>
      <w:r w:rsidR="006D4F60">
        <w:t xml:space="preserve"> </w:t>
      </w:r>
    </w:p>
    <w:p w14:paraId="78203619" w14:textId="5FEE2A82" w:rsidR="001246FF" w:rsidDel="006D4F60" w:rsidRDefault="001246FF" w:rsidP="00104B59">
      <w:r w:rsidDel="00B86BFD">
        <w:t xml:space="preserve">MSAC </w:t>
      </w:r>
      <w:r>
        <w:t xml:space="preserve">noted </w:t>
      </w:r>
      <w:r w:rsidDel="00B86BFD">
        <w:t>antimicrobial resistance and stewardship</w:t>
      </w:r>
      <w:r>
        <w:t xml:space="preserve"> had </w:t>
      </w:r>
      <w:r w:rsidR="006530BA">
        <w:t xml:space="preserve">been </w:t>
      </w:r>
      <w:r>
        <w:t>raised as an ‘other relevant factor</w:t>
      </w:r>
      <w:r w:rsidR="006530BA">
        <w:t>’</w:t>
      </w:r>
      <w:r>
        <w:t xml:space="preserve"> for</w:t>
      </w:r>
      <w:r w:rsidR="006530BA">
        <w:t xml:space="preserve"> MSAC</w:t>
      </w:r>
      <w:r>
        <w:t xml:space="preserve"> consideration. MSAC acknowledged that these </w:t>
      </w:r>
      <w:r w:rsidDel="00B86BFD">
        <w:t>are important public health issues</w:t>
      </w:r>
      <w:r>
        <w:t xml:space="preserve">. MSAC noted the </w:t>
      </w:r>
      <w:r w:rsidR="00BE744F">
        <w:t xml:space="preserve">applicant’s </w:t>
      </w:r>
      <w:r>
        <w:t>pre-MSAC response to this issue</w:t>
      </w:r>
      <w:r w:rsidR="007025A3">
        <w:t xml:space="preserve"> which </w:t>
      </w:r>
      <w:r w:rsidR="006530BA">
        <w:t xml:space="preserve">amongst other things </w:t>
      </w:r>
      <w:r w:rsidR="004D424A">
        <w:t xml:space="preserve">stated that </w:t>
      </w:r>
      <w:r w:rsidR="007025A3">
        <w:t xml:space="preserve">antibiotics </w:t>
      </w:r>
      <w:r w:rsidR="004D424A">
        <w:t xml:space="preserve">use </w:t>
      </w:r>
      <w:r w:rsidR="007025A3">
        <w:t>with bone cement</w:t>
      </w:r>
      <w:r w:rsidR="004D424A">
        <w:t xml:space="preserve"> is common practice</w:t>
      </w:r>
      <w:r w:rsidR="007025A3">
        <w:t>. A</w:t>
      </w:r>
      <w:r>
        <w:t>fter deliberating</w:t>
      </w:r>
      <w:r w:rsidR="007025A3">
        <w:t>, MSAC</w:t>
      </w:r>
      <w:r>
        <w:t xml:space="preserve"> considered the relevance of </w:t>
      </w:r>
      <w:r w:rsidDel="00B86BFD">
        <w:t>antimicrobial resistance and stewardship</w:t>
      </w:r>
      <w:r>
        <w:t xml:space="preserve"> to DAC should not be dismissed given </w:t>
      </w:r>
      <w:r w:rsidR="007025A3">
        <w:t>the potential for DAC (if listed on the PL) to increase antibiotic use when there is very uncertain evidence of clinical benefit.</w:t>
      </w:r>
    </w:p>
    <w:p w14:paraId="69AC3CB9" w14:textId="5E00734B" w:rsidR="00C05F7D" w:rsidRDefault="003F7884" w:rsidP="00C05F7D">
      <w:pPr>
        <w:spacing w:after="240"/>
        <w:rPr>
          <w:szCs w:val="24"/>
        </w:rPr>
      </w:pPr>
      <w:r>
        <w:rPr>
          <w:iCs/>
        </w:rPr>
        <w:t xml:space="preserve">Overall, MSAC will advise PLAC that </w:t>
      </w:r>
      <w:r w:rsidR="00150BCB">
        <w:rPr>
          <w:iCs/>
        </w:rPr>
        <w:t>MSAC</w:t>
      </w:r>
      <w:r w:rsidR="00C05F7D">
        <w:rPr>
          <w:iCs/>
        </w:rPr>
        <w:t xml:space="preserve"> did not support listing of DAC on the Prostheses list. MSAC considered the evidence did not demonstrate </w:t>
      </w:r>
      <w:r w:rsidR="00C05F7D">
        <w:t>that surgery with DAC+antibiotics has superior effectiveness relative to surgery without DAC+antibiotics (i.e.</w:t>
      </w:r>
      <w:r w:rsidR="00150BCB">
        <w:t>,</w:t>
      </w:r>
      <w:r w:rsidR="00C05F7D">
        <w:t xml:space="preserve"> DAC+antibiotics has noninferior effectiveness)</w:t>
      </w:r>
      <w:r w:rsidR="00BA1596">
        <w:t xml:space="preserve"> with regards to the risk of periprosthetic SSI</w:t>
      </w:r>
      <w:r w:rsidR="00C05F7D">
        <w:t>. Given the high (and unjustified) cost of DAC and the noninferior effectiveness of DAC+antibiotics</w:t>
      </w:r>
      <w:r w:rsidR="00C05F7D">
        <w:rPr>
          <w:iCs/>
        </w:rPr>
        <w:t xml:space="preserve">, MSAC concluded that DAC is not cost-effective. </w:t>
      </w:r>
      <w:r w:rsidR="001E7165">
        <w:t>MSAC noted concern</w:t>
      </w:r>
      <w:r w:rsidR="00BA1596">
        <w:t>s</w:t>
      </w:r>
      <w:r w:rsidR="001E7165">
        <w:t xml:space="preserve"> that the high cost </w:t>
      </w:r>
      <w:r w:rsidR="00BA1596">
        <w:t xml:space="preserve">of </w:t>
      </w:r>
      <w:r w:rsidR="001E7165">
        <w:t xml:space="preserve">DAC may </w:t>
      </w:r>
      <w:r w:rsidR="00B21412">
        <w:t xml:space="preserve">influence </w:t>
      </w:r>
      <w:r w:rsidR="001E7165">
        <w:t>consumers to assume DAC+antibiotics is of high benefit even though the evidence did not demonstrate this and considered this was important for consumers to understand</w:t>
      </w:r>
      <w:r w:rsidR="000478D5">
        <w:t xml:space="preserve"> (as it could lead to the high cost of DAC being borne as an additional out-of-pocket expense by patients)</w:t>
      </w:r>
      <w:r w:rsidR="000478D5" w:rsidRPr="002E6EC9">
        <w:t>.</w:t>
      </w:r>
      <w:r w:rsidR="001E7165">
        <w:t xml:space="preserve"> </w:t>
      </w:r>
      <w:r w:rsidR="00C05F7D">
        <w:rPr>
          <w:iCs/>
        </w:rPr>
        <w:t>Further</w:t>
      </w:r>
      <w:r w:rsidR="00951CBF">
        <w:rPr>
          <w:iCs/>
        </w:rPr>
        <w:t>, MSAC</w:t>
      </w:r>
      <w:r w:rsidR="00C05F7D">
        <w:t xml:space="preserve"> considered the estimated utilisation and financial impacts to be highly uncertain and likely underestimated.</w:t>
      </w:r>
    </w:p>
    <w:p w14:paraId="0DAB8E45" w14:textId="073972B3" w:rsidR="00083099" w:rsidDel="00B86BFD" w:rsidRDefault="00951CBF" w:rsidP="00083099">
      <w:r>
        <w:rPr>
          <w:iCs/>
        </w:rPr>
        <w:t>MSAC considered that any</w:t>
      </w:r>
      <w:r w:rsidR="00083099">
        <w:t xml:space="preserve"> resubmission</w:t>
      </w:r>
      <w:r>
        <w:t xml:space="preserve"> would need to present high quality RCT evidence that demonstrates the superior effectiveness of surgery with DAC+antibiotics over surgery without DAC+antibiotics where the </w:t>
      </w:r>
      <w:r w:rsidR="006530BA">
        <w:t xml:space="preserve">periprosthetic SSI rate in the </w:t>
      </w:r>
      <w:r>
        <w:t xml:space="preserve">control arm </w:t>
      </w:r>
      <w:r w:rsidR="0029600B">
        <w:t xml:space="preserve">is applicable to </w:t>
      </w:r>
      <w:r w:rsidR="00BA1596">
        <w:t xml:space="preserve">the </w:t>
      </w:r>
      <w:r w:rsidR="0029600B">
        <w:t>Australian population</w:t>
      </w:r>
      <w:r>
        <w:t xml:space="preserve">. MSAC noted that as DAC+antibiotics is reabsorbed after 72hrs, it is more likely to have an impact on early </w:t>
      </w:r>
      <w:r w:rsidR="006530BA">
        <w:t>(</w:t>
      </w:r>
      <w:r>
        <w:t>perioperative</w:t>
      </w:r>
      <w:r w:rsidR="006530BA">
        <w:t>)</w:t>
      </w:r>
      <w:r>
        <w:t xml:space="preserve"> SSI as opposed to late SSI</w:t>
      </w:r>
      <w:r w:rsidR="00EA13C7">
        <w:t xml:space="preserve"> therefore, </w:t>
      </w:r>
      <w:r>
        <w:t xml:space="preserve">it would be </w:t>
      </w:r>
      <w:r w:rsidR="00BA1596">
        <w:t xml:space="preserve">beneficial </w:t>
      </w:r>
      <w:r>
        <w:t xml:space="preserve">for the clinical evidence to </w:t>
      </w:r>
      <w:r w:rsidR="00083099">
        <w:t>clearly show the time points at which infection is reduced</w:t>
      </w:r>
      <w:r>
        <w:t xml:space="preserve"> with DAC+antibiotics. </w:t>
      </w:r>
      <w:r w:rsidR="0029600B">
        <w:t xml:space="preserve">The proposed population in any resubmission should be carefully reviewed and only include </w:t>
      </w:r>
      <w:r w:rsidR="006530BA">
        <w:t>populations at high-risk of periprosthetic SSI that are</w:t>
      </w:r>
      <w:r w:rsidR="0029600B">
        <w:t xml:space="preserve"> supported by high quality evidence. The resubmission should also present a justification for the cost of DAC along with a revised economic and financial analysis.</w:t>
      </w:r>
    </w:p>
    <w:p w14:paraId="1EB3013D" w14:textId="1F9F397E" w:rsidR="00FA0392" w:rsidRDefault="00681B6B" w:rsidP="000A4AD3">
      <w:pPr>
        <w:pStyle w:val="ESNumberedSectionHeading"/>
      </w:pPr>
      <w:bookmarkStart w:id="10" w:name="_Toc72335273"/>
      <w:bookmarkStart w:id="11" w:name="_Toc112076474"/>
      <w:bookmarkStart w:id="12" w:name="_Hlk107405524"/>
      <w:r>
        <w:t>4</w:t>
      </w:r>
      <w:r w:rsidR="00FA0392" w:rsidRPr="003318E7">
        <w:t>.</w:t>
      </w:r>
      <w:r w:rsidR="00FA0392" w:rsidRPr="003318E7">
        <w:tab/>
        <w:t>Background</w:t>
      </w:r>
      <w:bookmarkEnd w:id="10"/>
      <w:bookmarkEnd w:id="11"/>
    </w:p>
    <w:p w14:paraId="1D7D3AE5" w14:textId="08E1F244" w:rsidR="000C7DE2" w:rsidRPr="003318E7" w:rsidRDefault="000C7DE2" w:rsidP="000A4AD3">
      <w:r>
        <w:t xml:space="preserve">MSAC has not previously considered the comparative safety, effectiveness, </w:t>
      </w:r>
      <w:r w:rsidR="00B62DD7">
        <w:t>cost-effectiveness,</w:t>
      </w:r>
      <w:r>
        <w:t xml:space="preserve"> and total cos to DAC+antibiotics.</w:t>
      </w:r>
    </w:p>
    <w:p w14:paraId="29D77D50" w14:textId="33592115" w:rsidR="00FA0392" w:rsidRPr="00FA0392" w:rsidRDefault="00681B6B" w:rsidP="000A4AD3">
      <w:pPr>
        <w:pStyle w:val="ESNumberedSectionHeading"/>
      </w:pPr>
      <w:bookmarkStart w:id="13" w:name="_Toc72335274"/>
      <w:bookmarkStart w:id="14" w:name="_Toc112076475"/>
      <w:bookmarkStart w:id="15" w:name="_Toc379118248"/>
      <w:bookmarkStart w:id="16" w:name="_Toc381796432"/>
      <w:bookmarkStart w:id="17" w:name="_Toc395200743"/>
      <w:bookmarkStart w:id="18" w:name="_Toc395200746"/>
      <w:bookmarkStart w:id="19" w:name="_Toc379118058"/>
      <w:bookmarkStart w:id="20" w:name="_Toc379118250"/>
      <w:bookmarkStart w:id="21" w:name="_Toc381796434"/>
      <w:bookmarkEnd w:id="12"/>
      <w:r>
        <w:t>5</w:t>
      </w:r>
      <w:r w:rsidR="00FA0392" w:rsidRPr="00FA0392">
        <w:t>.</w:t>
      </w:r>
      <w:r w:rsidR="00FA0392" w:rsidRPr="00FA0392">
        <w:tab/>
        <w:t>Prerequisites to implementation of any funding advice</w:t>
      </w:r>
      <w:bookmarkEnd w:id="13"/>
      <w:bookmarkEnd w:id="14"/>
    </w:p>
    <w:p w14:paraId="4F67A8B3" w14:textId="54D02DB2" w:rsidR="00632116" w:rsidRDefault="00632116" w:rsidP="000A4AD3">
      <w:pPr>
        <w:pStyle w:val="Execsummnormal"/>
      </w:pPr>
      <w:bookmarkStart w:id="22" w:name="_Toc72335275"/>
      <w:bookmarkStart w:id="23" w:name="_Hlk107406161"/>
      <w:r w:rsidRPr="00FA0392">
        <w:t>DAC is a Class III medica</w:t>
      </w:r>
      <w:r w:rsidRPr="007A7156">
        <w:t xml:space="preserve">l </w:t>
      </w:r>
      <w:r w:rsidR="009141FB" w:rsidRPr="007A7156">
        <w:t>device</w:t>
      </w:r>
      <w:r w:rsidR="00770DC2" w:rsidRPr="007A7156">
        <w:t>.</w:t>
      </w:r>
      <w:r w:rsidR="009141FB" w:rsidRPr="007A7156">
        <w:t xml:space="preserve"> </w:t>
      </w:r>
      <w:r w:rsidR="00785020" w:rsidRPr="007A7156">
        <w:t xml:space="preserve">At the time of MSAC consideration, </w:t>
      </w:r>
      <w:r w:rsidR="009141FB" w:rsidRPr="007A7156">
        <w:t xml:space="preserve">DAC </w:t>
      </w:r>
      <w:r w:rsidR="00785020" w:rsidRPr="007A7156">
        <w:t>wa</w:t>
      </w:r>
      <w:r w:rsidR="009141FB" w:rsidRPr="007A7156">
        <w:t xml:space="preserve">s not included on the ARTG but </w:t>
      </w:r>
      <w:r w:rsidR="00785020" w:rsidRPr="007A7156">
        <w:t>wa</w:t>
      </w:r>
      <w:r w:rsidR="009141FB" w:rsidRPr="007A7156">
        <w:t>s under evaluation by TGA</w:t>
      </w:r>
      <w:r w:rsidR="00712A4A" w:rsidRPr="007A7156">
        <w:rPr>
          <w:rStyle w:val="FootnoteReference"/>
        </w:rPr>
        <w:footnoteReference w:id="6"/>
      </w:r>
      <w:r w:rsidR="006530BA" w:rsidRPr="007A7156">
        <w:t>.</w:t>
      </w:r>
      <w:r w:rsidR="009141FB">
        <w:t xml:space="preserve"> The TGA application for DAC states that DAC is </w:t>
      </w:r>
      <w:r w:rsidR="009141FB" w:rsidRPr="009141FB">
        <w:t xml:space="preserve">indicated </w:t>
      </w:r>
      <w:r w:rsidR="009141FB" w:rsidRPr="009141FB">
        <w:lastRenderedPageBreak/>
        <w:t>together with an antibiotic substance (</w:t>
      </w:r>
      <w:r w:rsidR="0005119A">
        <w:t>v</w:t>
      </w:r>
      <w:r w:rsidR="009141FB" w:rsidRPr="009141FB">
        <w:t xml:space="preserve">ancomycin or </w:t>
      </w:r>
      <w:r w:rsidR="0005119A">
        <w:t>g</w:t>
      </w:r>
      <w:r w:rsidR="009141FB" w:rsidRPr="009141FB">
        <w:t>entamicin) to be</w:t>
      </w:r>
      <w:r w:rsidR="009141FB">
        <w:t xml:space="preserve"> </w:t>
      </w:r>
      <w:r w:rsidR="009141FB" w:rsidRPr="009141FB">
        <w:t>loaded at the point of care by surgeons and prepared just before use in the operative field.</w:t>
      </w:r>
    </w:p>
    <w:p w14:paraId="205FDF14" w14:textId="0660B1A6" w:rsidR="0005119A" w:rsidRDefault="0005119A" w:rsidP="000A4AD3">
      <w:pPr>
        <w:pStyle w:val="Execsummnormal"/>
      </w:pPr>
      <w:r>
        <w:t>The antibiotics to be used with DAC are not supplied as part of the DAC kit. Vancomycin and gentamicin are included on the ARTG and listed on the Pharmaceutical Benefits Scheme (PBS)</w:t>
      </w:r>
      <w:r w:rsidR="00A6736C">
        <w:t>. Note there are restrictions on the PBS listing of Vancomycin (</w:t>
      </w:r>
      <w:r w:rsidR="00D049C7">
        <w:t>i.e.,</w:t>
      </w:r>
      <w:r w:rsidR="00A6736C">
        <w:t xml:space="preserve"> prophylaxis for endocarditis, in hospital treatment of endophthalmitis/infection).</w:t>
      </w:r>
    </w:p>
    <w:p w14:paraId="778E499C" w14:textId="3F446BC5" w:rsidR="006251A6" w:rsidRPr="00FA0392" w:rsidRDefault="001E44D8" w:rsidP="000A4AD3">
      <w:pPr>
        <w:pStyle w:val="Execsummnormal"/>
      </w:pPr>
      <w:r>
        <w:t>T</w:t>
      </w:r>
      <w:r w:rsidR="006251A6" w:rsidRPr="00FA0392">
        <w:t xml:space="preserve">he </w:t>
      </w:r>
      <w:r w:rsidR="00F84E82">
        <w:t xml:space="preserve">application form and </w:t>
      </w:r>
      <w:r w:rsidR="006251A6" w:rsidRPr="00FA0392">
        <w:t>PICO</w:t>
      </w:r>
      <w:r w:rsidR="00F10B1F">
        <w:t xml:space="preserve"> Confirmation for MSAC </w:t>
      </w:r>
      <w:r w:rsidR="006D5173">
        <w:t xml:space="preserve">application </w:t>
      </w:r>
      <w:r w:rsidR="00F10B1F">
        <w:t>1629</w:t>
      </w:r>
      <w:r w:rsidR="006251A6" w:rsidRPr="00FA0392">
        <w:t xml:space="preserve"> indicated that DAC c</w:t>
      </w:r>
      <w:r w:rsidR="00F84E82">
        <w:t>ould</w:t>
      </w:r>
      <w:r w:rsidR="006251A6" w:rsidRPr="00FA0392">
        <w:t xml:space="preserve"> be used with or without antibiotics (p.14, para.3 of </w:t>
      </w:r>
      <w:hyperlink r:id="rId13" w:history="1">
        <w:r w:rsidR="00F10B1F" w:rsidRPr="00F10B1F">
          <w:rPr>
            <w:rStyle w:val="Hyperlink"/>
          </w:rPr>
          <w:t xml:space="preserve">MSAC 1629 </w:t>
        </w:r>
        <w:r w:rsidR="006251A6" w:rsidRPr="00F10B1F">
          <w:rPr>
            <w:rStyle w:val="Hyperlink"/>
          </w:rPr>
          <w:t>PICO</w:t>
        </w:r>
        <w:r w:rsidR="00F10B1F" w:rsidRPr="00F10B1F">
          <w:rPr>
            <w:rStyle w:val="Hyperlink"/>
          </w:rPr>
          <w:t xml:space="preserve"> Confirmation</w:t>
        </w:r>
      </w:hyperlink>
      <w:r w:rsidR="006251A6" w:rsidRPr="00FA0392">
        <w:t>)</w:t>
      </w:r>
      <w:r>
        <w:t xml:space="preserve">. </w:t>
      </w:r>
      <w:r w:rsidRPr="007A7156">
        <w:t>How</w:t>
      </w:r>
      <w:r w:rsidR="0005119A" w:rsidRPr="007A7156">
        <w:t>e</w:t>
      </w:r>
      <w:r w:rsidRPr="007A7156">
        <w:t xml:space="preserve">ver, </w:t>
      </w:r>
      <w:r w:rsidR="00A9628B" w:rsidRPr="007A7156">
        <w:t>the option to use DAC without antibiotics does not align with the</w:t>
      </w:r>
      <w:r w:rsidR="00F84E82" w:rsidRPr="007A7156">
        <w:t xml:space="preserve"> current</w:t>
      </w:r>
      <w:r w:rsidR="00A9628B" w:rsidRPr="007A7156">
        <w:t xml:space="preserve"> TGA application. Further</w:t>
      </w:r>
      <w:r w:rsidR="00A9628B">
        <w:t>,</w:t>
      </w:r>
      <w:r>
        <w:t xml:space="preserve"> no clinical evidence </w:t>
      </w:r>
      <w:r w:rsidR="006251A6" w:rsidRPr="00FA0392">
        <w:t xml:space="preserve">was identified, for any population of interest, that used DAC without antibiotics (see Section </w:t>
      </w:r>
      <w:r w:rsidR="0082347E">
        <w:t>8 – Characteristics of the evidence base</w:t>
      </w:r>
      <w:r w:rsidR="006251A6" w:rsidRPr="00FA0392">
        <w:t>). Therefore, the intervention assessed in th</w:t>
      </w:r>
      <w:r w:rsidR="00A9628B">
        <w:t>e Department Contracted Assessment Report (</w:t>
      </w:r>
      <w:r w:rsidR="006251A6" w:rsidRPr="00FA0392">
        <w:t>DCAR</w:t>
      </w:r>
      <w:r w:rsidR="00A9628B">
        <w:t>)</w:t>
      </w:r>
      <w:r w:rsidR="006251A6" w:rsidRPr="00FA0392">
        <w:t xml:space="preserve"> </w:t>
      </w:r>
      <w:r w:rsidR="006530BA">
        <w:t>was</w:t>
      </w:r>
      <w:r w:rsidR="006530BA" w:rsidRPr="00FA0392">
        <w:t xml:space="preserve"> </w:t>
      </w:r>
      <w:r w:rsidR="006251A6" w:rsidRPr="00FA0392">
        <w:t xml:space="preserve">DAC </w:t>
      </w:r>
      <w:r w:rsidR="00683118">
        <w:t xml:space="preserve">loaded </w:t>
      </w:r>
      <w:r w:rsidR="00A9628B">
        <w:t>with</w:t>
      </w:r>
      <w:r w:rsidR="006251A6" w:rsidRPr="00FA0392">
        <w:t xml:space="preserve"> antibiotics (DAC</w:t>
      </w:r>
      <w:r w:rsidR="006251A6" w:rsidRPr="00FA0392">
        <w:rPr>
          <w:rFonts w:eastAsia="Calibri" w:cs="Calibri"/>
        </w:rPr>
        <w:t>+</w:t>
      </w:r>
      <w:r w:rsidR="00A01455">
        <w:rPr>
          <w:rFonts w:eastAsia="Calibri" w:cs="Calibri"/>
        </w:rPr>
        <w:t>a</w:t>
      </w:r>
      <w:r w:rsidR="006251A6" w:rsidRPr="00FA0392">
        <w:rPr>
          <w:rFonts w:eastAsia="Calibri" w:cs="Calibri"/>
        </w:rPr>
        <w:t>ntibiotics)</w:t>
      </w:r>
      <w:r w:rsidR="006251A6" w:rsidRPr="00FA0392">
        <w:t>.</w:t>
      </w:r>
    </w:p>
    <w:p w14:paraId="614555F4" w14:textId="0AF5923B" w:rsidR="00FA0392" w:rsidRPr="00FA0392" w:rsidRDefault="00681B6B" w:rsidP="000A4AD3">
      <w:pPr>
        <w:pStyle w:val="ESNumberedSectionHeading"/>
      </w:pPr>
      <w:bookmarkStart w:id="24" w:name="_Toc112076476"/>
      <w:r>
        <w:t>6</w:t>
      </w:r>
      <w:r w:rsidR="00FA0392" w:rsidRPr="00FA0392">
        <w:t>.</w:t>
      </w:r>
      <w:r w:rsidR="00FA0392" w:rsidRPr="00FA0392">
        <w:tab/>
        <w:t>Proposal for funding</w:t>
      </w:r>
      <w:bookmarkEnd w:id="22"/>
      <w:bookmarkEnd w:id="24"/>
    </w:p>
    <w:bookmarkEnd w:id="23"/>
    <w:p w14:paraId="4AD7E4EA" w14:textId="43C7D355" w:rsidR="00DF6F50" w:rsidRPr="00FA0392" w:rsidRDefault="00BF4087" w:rsidP="000A4AD3">
      <w:pPr>
        <w:pStyle w:val="Execsummnormal"/>
      </w:pPr>
      <w:r>
        <w:t xml:space="preserve">MSAC application 1629 for DAC does not seek to create or amend an </w:t>
      </w:r>
      <w:r w:rsidR="00DF6F50" w:rsidRPr="00FA0392">
        <w:t>MBS item</w:t>
      </w:r>
      <w:r>
        <w:t>(</w:t>
      </w:r>
      <w:r w:rsidR="00DF6F50" w:rsidRPr="00FA0392">
        <w:t>s</w:t>
      </w:r>
      <w:r>
        <w:t>)</w:t>
      </w:r>
      <w:r w:rsidR="00DF6F50" w:rsidRPr="00FA0392">
        <w:t xml:space="preserve"> as there are existing MBS items that can accommodate the delivery of DAC</w:t>
      </w:r>
      <w:r w:rsidR="00A01455">
        <w:t>+antibiotics</w:t>
      </w:r>
      <w:r w:rsidR="00DF6F50" w:rsidRPr="00FA0392">
        <w:t>.</w:t>
      </w:r>
    </w:p>
    <w:p w14:paraId="58C48806" w14:textId="56CFD7A2" w:rsidR="00DF6F50" w:rsidRPr="00FA0392" w:rsidRDefault="00BF4087" w:rsidP="000A4AD3">
      <w:pPr>
        <w:pStyle w:val="Execsummnormal"/>
      </w:pPr>
      <w:bookmarkStart w:id="25" w:name="_Hlk67924500"/>
      <w:bookmarkEnd w:id="15"/>
      <w:bookmarkEnd w:id="16"/>
      <w:bookmarkEnd w:id="17"/>
      <w:r>
        <w:t xml:space="preserve">MSAC </w:t>
      </w:r>
      <w:r w:rsidR="00DF6F50" w:rsidRPr="00FA0392">
        <w:t xml:space="preserve">application </w:t>
      </w:r>
      <w:r>
        <w:t xml:space="preserve">1629 </w:t>
      </w:r>
      <w:r w:rsidR="00DF6F50" w:rsidRPr="00FA0392">
        <w:t xml:space="preserve">seeks </w:t>
      </w:r>
      <w:r>
        <w:t>MSAC’s advice on the comparative safety, effectiveness</w:t>
      </w:r>
      <w:r w:rsidR="00607722">
        <w:t xml:space="preserve">, </w:t>
      </w:r>
      <w:r>
        <w:t>cost-</w:t>
      </w:r>
      <w:r w:rsidR="00D049C7">
        <w:t>effectiveness</w:t>
      </w:r>
      <w:r>
        <w:t xml:space="preserve"> </w:t>
      </w:r>
      <w:r w:rsidR="00607722">
        <w:t xml:space="preserve">and total cost </w:t>
      </w:r>
      <w:r>
        <w:t>of DAC</w:t>
      </w:r>
      <w:r w:rsidR="002B4945">
        <w:t>+antibio</w:t>
      </w:r>
      <w:r w:rsidR="00D049C7">
        <w:t>t</w:t>
      </w:r>
      <w:r w:rsidR="002B4945">
        <w:t>ics</w:t>
      </w:r>
      <w:r>
        <w:t xml:space="preserve"> to inform PLAC’s consideration of whether </w:t>
      </w:r>
      <w:r w:rsidR="00DF6F50" w:rsidRPr="00FA0392">
        <w:t xml:space="preserve">to list DAC on the Prostheses List </w:t>
      </w:r>
      <w:r>
        <w:t>for</w:t>
      </w:r>
      <w:r w:rsidR="00DF6F50" w:rsidRPr="00FA0392">
        <w:t xml:space="preserve"> fund</w:t>
      </w:r>
      <w:r>
        <w:t xml:space="preserve">ing </w:t>
      </w:r>
      <w:r w:rsidR="00DF6F50" w:rsidRPr="00FA0392">
        <w:t>by private health insurers.</w:t>
      </w:r>
      <w:bookmarkEnd w:id="25"/>
      <w:r w:rsidR="00EA3BCC">
        <w:t xml:space="preserve"> The applicant </w:t>
      </w:r>
      <w:r w:rsidR="00EF751A">
        <w:t>has stated the price of DAC is $</w:t>
      </w:r>
      <w:r w:rsidR="00270D7C">
        <w:rPr>
          <w:b/>
          <w:bCs/>
        </w:rPr>
        <w:t>redacted</w:t>
      </w:r>
      <w:r w:rsidR="00EF751A">
        <w:t xml:space="preserve"> (</w:t>
      </w:r>
      <w:r w:rsidR="00270D7C">
        <w:rPr>
          <w:b/>
          <w:bCs/>
        </w:rPr>
        <w:t>redacted</w:t>
      </w:r>
      <w:r w:rsidR="00EF751A">
        <w:t>).</w:t>
      </w:r>
    </w:p>
    <w:p w14:paraId="00F98B46" w14:textId="788052AD" w:rsidR="00FA0392" w:rsidRPr="00CE28E3" w:rsidRDefault="00681B6B" w:rsidP="000A4AD3">
      <w:pPr>
        <w:pStyle w:val="ESNumberedSectionHeading"/>
      </w:pPr>
      <w:bookmarkStart w:id="26" w:name="_Toc112076477"/>
      <w:bookmarkStart w:id="27" w:name="_Toc72335276"/>
      <w:bookmarkStart w:id="28" w:name="_Hlk107406561"/>
      <w:r>
        <w:t>7</w:t>
      </w:r>
      <w:r w:rsidR="00FA0392">
        <w:t>.</w:t>
      </w:r>
      <w:r w:rsidR="00FA0392">
        <w:tab/>
      </w:r>
      <w:r w:rsidR="00FA0392" w:rsidRPr="00CE28E3">
        <w:t>Population</w:t>
      </w:r>
      <w:bookmarkEnd w:id="26"/>
      <w:r w:rsidR="00FA0392" w:rsidRPr="00CE28E3">
        <w:t xml:space="preserve"> </w:t>
      </w:r>
    </w:p>
    <w:bookmarkEnd w:id="27"/>
    <w:bookmarkEnd w:id="28"/>
    <w:p w14:paraId="7E130555" w14:textId="3C2846F3" w:rsidR="002B1E4F" w:rsidRPr="00FA0392" w:rsidRDefault="002B1E4F" w:rsidP="000A4AD3">
      <w:pPr>
        <w:pStyle w:val="Execsummnormal"/>
      </w:pPr>
      <w:r w:rsidRPr="00FA0392">
        <w:t>As outlined in</w:t>
      </w:r>
      <w:r w:rsidR="00827A1F">
        <w:t xml:space="preserve"> the</w:t>
      </w:r>
      <w:hyperlink r:id="rId14" w:history="1">
        <w:r w:rsidR="00827A1F">
          <w:rPr>
            <w:rStyle w:val="Hyperlink"/>
          </w:rPr>
          <w:t xml:space="preserve"> </w:t>
        </w:r>
        <w:r w:rsidRPr="00F10B1F">
          <w:rPr>
            <w:rStyle w:val="Hyperlink"/>
          </w:rPr>
          <w:t>PICO</w:t>
        </w:r>
        <w:r w:rsidR="00F10B1F" w:rsidRPr="00F10B1F">
          <w:rPr>
            <w:rStyle w:val="Hyperlink"/>
          </w:rPr>
          <w:t xml:space="preserve"> Confirmation</w:t>
        </w:r>
      </w:hyperlink>
      <w:r w:rsidRPr="00FA0392">
        <w:t xml:space="preserve">, </w:t>
      </w:r>
      <w:r w:rsidR="005C28C2">
        <w:t xml:space="preserve">DAC+antibiotics is proposed for use in </w:t>
      </w:r>
      <w:r w:rsidRPr="00FA0392">
        <w:t>four populations based on the type and indication of the surgical arthroplasty procedure(s):</w:t>
      </w:r>
    </w:p>
    <w:p w14:paraId="3AC09A72" w14:textId="502F5572" w:rsidR="002B1E4F" w:rsidRPr="00FA0392" w:rsidRDefault="002B1E4F" w:rsidP="000A4AD3">
      <w:pPr>
        <w:pStyle w:val="Execsummnormal"/>
        <w:numPr>
          <w:ilvl w:val="0"/>
          <w:numId w:val="10"/>
        </w:numPr>
      </w:pPr>
      <w:r w:rsidRPr="00FA0392">
        <w:t>Population 1: Patients undergoing an elective primary joint implant at increased risk of infection due to the presence of comorbidities (American Society of Anaesthesiologists (ASA) score ≥3; and Body Mass Index (BMI) &gt;30</w:t>
      </w:r>
      <w:r w:rsidR="00C52B50" w:rsidRPr="00FA0392">
        <w:t xml:space="preserve"> kg/m</w:t>
      </w:r>
      <w:r w:rsidR="00C52B50" w:rsidRPr="00FA0392">
        <w:rPr>
          <w:vertAlign w:val="superscript"/>
        </w:rPr>
        <w:t>2</w:t>
      </w:r>
      <w:r w:rsidRPr="00FA0392">
        <w:t xml:space="preserve">; and receiving cementless components), </w:t>
      </w:r>
    </w:p>
    <w:p w14:paraId="09F1D7F7" w14:textId="77777777" w:rsidR="002B1E4F" w:rsidRPr="00FA0392" w:rsidRDefault="002B1E4F" w:rsidP="000A4AD3">
      <w:pPr>
        <w:pStyle w:val="Execsummnormal"/>
        <w:numPr>
          <w:ilvl w:val="0"/>
          <w:numId w:val="10"/>
        </w:numPr>
      </w:pPr>
      <w:r w:rsidRPr="00FA0392">
        <w:t xml:space="preserve">Population 2: Patients undergoing elective megaprosthesis implantation or elective major revision of joint implants for indications other than periprosthetic infection, including total joint revision, tumour removal, and reconstruction, </w:t>
      </w:r>
    </w:p>
    <w:p w14:paraId="1DF6DC53" w14:textId="07607F20" w:rsidR="002B1E4F" w:rsidRPr="00FA0392" w:rsidRDefault="002B1E4F" w:rsidP="000A4AD3">
      <w:pPr>
        <w:pStyle w:val="Execsummnormal"/>
        <w:numPr>
          <w:ilvl w:val="0"/>
          <w:numId w:val="10"/>
        </w:numPr>
      </w:pPr>
      <w:r w:rsidRPr="00FA0392">
        <w:t>Population 3: Patients undergoing surgery for periprosthetic deep SSI with implant replacement</w:t>
      </w:r>
      <w:r w:rsidR="00F83EBD" w:rsidRPr="00FA0392">
        <w:t>,</w:t>
      </w:r>
    </w:p>
    <w:p w14:paraId="226F1B78" w14:textId="77777777" w:rsidR="002B1E4F" w:rsidRPr="00FA0392" w:rsidRDefault="002B1E4F" w:rsidP="000A4AD3">
      <w:pPr>
        <w:pStyle w:val="Execsummnormal"/>
        <w:numPr>
          <w:ilvl w:val="0"/>
          <w:numId w:val="10"/>
        </w:numPr>
      </w:pPr>
      <w:r w:rsidRPr="00FA0392">
        <w:t>Population 4: Patients undergoing open reduction and internal fixation:</w:t>
      </w:r>
    </w:p>
    <w:p w14:paraId="1B7D90BB" w14:textId="33014E5D" w:rsidR="002B1E4F" w:rsidRPr="00FA0392" w:rsidRDefault="002B1E4F" w:rsidP="000A4AD3">
      <w:pPr>
        <w:pStyle w:val="Execsummnormal"/>
        <w:numPr>
          <w:ilvl w:val="1"/>
          <w:numId w:val="10"/>
        </w:numPr>
      </w:pPr>
      <w:r w:rsidRPr="00FA0392">
        <w:t>Subgroup 1: Closed fracture with comorbidities (ASA score ≥3 and BMI &gt;30</w:t>
      </w:r>
      <w:r w:rsidR="00C52B50" w:rsidRPr="00FA0392">
        <w:t xml:space="preserve"> kg/m</w:t>
      </w:r>
      <w:r w:rsidR="00C52B50" w:rsidRPr="00FA0392">
        <w:rPr>
          <w:vertAlign w:val="superscript"/>
        </w:rPr>
        <w:t>2</w:t>
      </w:r>
      <w:r w:rsidRPr="00FA0392">
        <w:t>).</w:t>
      </w:r>
    </w:p>
    <w:p w14:paraId="035FEE23" w14:textId="25FE44C5" w:rsidR="00B9047E" w:rsidRDefault="002B1E4F" w:rsidP="000A4AD3">
      <w:pPr>
        <w:pStyle w:val="Execsummnormal"/>
        <w:numPr>
          <w:ilvl w:val="1"/>
          <w:numId w:val="10"/>
        </w:numPr>
      </w:pPr>
      <w:r w:rsidRPr="00FA0392">
        <w:t>Subgroup 2: Open fracture.</w:t>
      </w:r>
    </w:p>
    <w:p w14:paraId="7C6095AC" w14:textId="7D87BB31" w:rsidR="00A01455" w:rsidRPr="00884F40" w:rsidRDefault="00D049C7" w:rsidP="000A4AD3">
      <w:pPr>
        <w:pStyle w:val="Execsummnormal"/>
      </w:pPr>
      <w:r>
        <w:t xml:space="preserve">In all populations, the DAC+antibiotic hydrogel coating </w:t>
      </w:r>
      <w:r w:rsidR="00607722">
        <w:t xml:space="preserve">is </w:t>
      </w:r>
      <w:r>
        <w:t xml:space="preserve">applied to the orthopaedic implant in addition to the current standard of care (i.e., all other elements of the orthopaedic surgery and peri/post-operative care such as systemic antibiotic prophylaxis remain unchanged). </w:t>
      </w:r>
    </w:p>
    <w:p w14:paraId="7907610C" w14:textId="480FAF6F" w:rsidR="00FA0392" w:rsidRPr="00CE28E3" w:rsidRDefault="00681B6B" w:rsidP="000A4AD3">
      <w:pPr>
        <w:pStyle w:val="ESNumberedSectionHeading"/>
      </w:pPr>
      <w:bookmarkStart w:id="29" w:name="_Toc72335277"/>
      <w:bookmarkStart w:id="30" w:name="_Toc112076478"/>
      <w:bookmarkStart w:id="31" w:name="_Toc75172478"/>
      <w:r>
        <w:lastRenderedPageBreak/>
        <w:t>8</w:t>
      </w:r>
      <w:r w:rsidR="00FA0392">
        <w:t>.</w:t>
      </w:r>
      <w:r w:rsidR="00FA0392">
        <w:tab/>
      </w:r>
      <w:r w:rsidR="00FA0392" w:rsidRPr="00CE28E3">
        <w:t>Comparator</w:t>
      </w:r>
      <w:bookmarkEnd w:id="29"/>
      <w:bookmarkEnd w:id="30"/>
    </w:p>
    <w:bookmarkEnd w:id="31"/>
    <w:p w14:paraId="312EAF38" w14:textId="5DCB6879" w:rsidR="00884743" w:rsidRDefault="005C28C2" w:rsidP="000A4AD3">
      <w:pPr>
        <w:pStyle w:val="Execsummnormal"/>
      </w:pPr>
      <w:r w:rsidRPr="003B0A02">
        <w:t>T</w:t>
      </w:r>
      <w:r w:rsidR="00066A6C" w:rsidRPr="003B0A02">
        <w:t xml:space="preserve">he comparator is standard </w:t>
      </w:r>
      <w:r w:rsidR="00884743">
        <w:t>(</w:t>
      </w:r>
      <w:r w:rsidR="00903EBA">
        <w:t>orthopaedic implant</w:t>
      </w:r>
      <w:r w:rsidR="00884743">
        <w:t>)</w:t>
      </w:r>
      <w:r w:rsidR="00903EBA">
        <w:t xml:space="preserve"> </w:t>
      </w:r>
      <w:r w:rsidR="00066A6C" w:rsidRPr="003B0A02">
        <w:t>surgery without DAC</w:t>
      </w:r>
      <w:r w:rsidRPr="003B0A02">
        <w:t>+antibiotics</w:t>
      </w:r>
      <w:r w:rsidR="00066A6C" w:rsidRPr="003B0A02">
        <w:t xml:space="preserve">. </w:t>
      </w:r>
      <w:r w:rsidRPr="003B0A02">
        <w:t>T</w:t>
      </w:r>
      <w:r w:rsidR="00066A6C" w:rsidRPr="003B0A02">
        <w:t xml:space="preserve">he choice of surgical intervention (including perioperative management) </w:t>
      </w:r>
      <w:r w:rsidR="006530BA">
        <w:t>is</w:t>
      </w:r>
      <w:r w:rsidR="00066A6C" w:rsidRPr="003B0A02">
        <w:t xml:space="preserve"> individualised for each patient within the proposed populations. </w:t>
      </w:r>
    </w:p>
    <w:bookmarkEnd w:id="18"/>
    <w:p w14:paraId="4CC85B06" w14:textId="65056066" w:rsidR="002B1E4F" w:rsidRPr="003F5213" w:rsidRDefault="002B1E4F" w:rsidP="000A4AD3">
      <w:pPr>
        <w:pStyle w:val="Execsummnormal"/>
      </w:pPr>
      <w:r w:rsidRPr="003F5213">
        <w:t>The main difference between the delivery of standard surgery with DAC</w:t>
      </w:r>
      <w:r w:rsidR="00E07877" w:rsidRPr="003F5213">
        <w:t>+antibiotics</w:t>
      </w:r>
      <w:r w:rsidRPr="003F5213">
        <w:t xml:space="preserve"> </w:t>
      </w:r>
      <w:r w:rsidR="00BF41C6">
        <w:t xml:space="preserve">(intervention) </w:t>
      </w:r>
      <w:r w:rsidRPr="003F5213">
        <w:t>and standard surgery without DAC</w:t>
      </w:r>
      <w:r w:rsidR="00E07877" w:rsidRPr="003F5213">
        <w:t>+antibiotics</w:t>
      </w:r>
      <w:r w:rsidRPr="003F5213">
        <w:t xml:space="preserve"> </w:t>
      </w:r>
      <w:r w:rsidR="00BF41C6">
        <w:t xml:space="preserve">(comparator) </w:t>
      </w:r>
      <w:r w:rsidRPr="003F5213">
        <w:t>is that standard surgery with DAC</w:t>
      </w:r>
      <w:r w:rsidR="00E07877" w:rsidRPr="003F5213">
        <w:t>+antibiotics</w:t>
      </w:r>
      <w:r w:rsidRPr="003F5213">
        <w:t xml:space="preserve"> requires additional resource use: DAC; antibiotics to load the hydrogel, surgeon/theatre time to prepare and apply the hydrogel, sterile water, sterile syringe needles. </w:t>
      </w:r>
      <w:r w:rsidR="00E07877" w:rsidRPr="003F5213">
        <w:t>A</w:t>
      </w:r>
      <w:r w:rsidRPr="003F5213">
        <w:t xml:space="preserve">ntibiotics for loading the hydrogel are not supplied with the DAC. </w:t>
      </w:r>
    </w:p>
    <w:p w14:paraId="4922BD59" w14:textId="0DDA19C3" w:rsidR="00884F40" w:rsidRPr="00CE28E3" w:rsidRDefault="00681B6B" w:rsidP="000A4AD3">
      <w:pPr>
        <w:pStyle w:val="ESNumberedSectionHeading"/>
      </w:pPr>
      <w:bookmarkStart w:id="32" w:name="_Toc72335278"/>
      <w:bookmarkStart w:id="33" w:name="_Toc112076479"/>
      <w:r>
        <w:t>9</w:t>
      </w:r>
      <w:r w:rsidR="00884F40">
        <w:t>.</w:t>
      </w:r>
      <w:r w:rsidR="00884F40">
        <w:tab/>
      </w:r>
      <w:r w:rsidR="00884F40" w:rsidRPr="00CE28E3">
        <w:t xml:space="preserve">Summary of public consultation </w:t>
      </w:r>
      <w:r w:rsidR="00884F40">
        <w:t>input</w:t>
      </w:r>
      <w:bookmarkEnd w:id="32"/>
      <w:bookmarkEnd w:id="33"/>
    </w:p>
    <w:p w14:paraId="547A6F2E" w14:textId="1EA90DAC" w:rsidR="00607722" w:rsidRDefault="003C465D" w:rsidP="00607722">
      <w:r>
        <w:t>Consultation feedback</w:t>
      </w:r>
      <w:r w:rsidRPr="00D33C2C">
        <w:t xml:space="preserve"> </w:t>
      </w:r>
      <w:r>
        <w:t xml:space="preserve">was received </w:t>
      </w:r>
      <w:r w:rsidRPr="00D33C2C">
        <w:t xml:space="preserve">from </w:t>
      </w:r>
      <w:r>
        <w:t>two</w:t>
      </w:r>
      <w:r w:rsidRPr="00D33C2C">
        <w:t xml:space="preserve"> </w:t>
      </w:r>
      <w:r>
        <w:t>organisations (a specialist society and a patient advocacy group), both of which were supportive of the application:</w:t>
      </w:r>
    </w:p>
    <w:p w14:paraId="7808107F" w14:textId="1BD8529F" w:rsidR="00607722" w:rsidRDefault="00607722" w:rsidP="00607722">
      <w:pPr>
        <w:pStyle w:val="ListParagraph"/>
        <w:numPr>
          <w:ilvl w:val="0"/>
          <w:numId w:val="30"/>
        </w:numPr>
        <w:spacing w:before="0" w:after="200" w:line="276" w:lineRule="auto"/>
        <w:contextualSpacing/>
      </w:pPr>
      <w:r w:rsidRPr="00BD0A01">
        <w:t xml:space="preserve">Orthopaedic oncology subgroup collective of the </w:t>
      </w:r>
      <w:r w:rsidR="00FD2C3C" w:rsidRPr="00CF69BD">
        <w:t xml:space="preserve">Australia and New Zealand Sarcoma Association </w:t>
      </w:r>
      <w:r w:rsidR="00FD2C3C">
        <w:t>(</w:t>
      </w:r>
      <w:r w:rsidRPr="00BD0A01">
        <w:t>ANZSA</w:t>
      </w:r>
      <w:r w:rsidR="00FD2C3C">
        <w:t>)</w:t>
      </w:r>
    </w:p>
    <w:p w14:paraId="686DE1B4" w14:textId="57A78E9A" w:rsidR="00607722" w:rsidRDefault="00607722" w:rsidP="00607722">
      <w:pPr>
        <w:pStyle w:val="ListParagraph"/>
        <w:numPr>
          <w:ilvl w:val="0"/>
          <w:numId w:val="30"/>
        </w:numPr>
        <w:spacing w:before="0" w:after="200" w:line="276" w:lineRule="auto"/>
        <w:contextualSpacing/>
      </w:pPr>
      <w:r>
        <w:t>Musculoskeletal Australia (MSK)</w:t>
      </w:r>
      <w:r w:rsidR="002B61F3">
        <w:t>.</w:t>
      </w:r>
    </w:p>
    <w:p w14:paraId="5A78A31C" w14:textId="32B416DC" w:rsidR="00607722" w:rsidRDefault="00607722" w:rsidP="00607722">
      <w:r>
        <w:t xml:space="preserve">The main benefits of the service considered in the consultation feedback included: </w:t>
      </w:r>
    </w:p>
    <w:p w14:paraId="61165883" w14:textId="47D01D07" w:rsidR="00607722" w:rsidRDefault="00607722" w:rsidP="00607722">
      <w:pPr>
        <w:pStyle w:val="ListParagraph"/>
        <w:numPr>
          <w:ilvl w:val="0"/>
          <w:numId w:val="30"/>
        </w:numPr>
        <w:spacing w:before="0" w:after="200" w:line="276" w:lineRule="auto"/>
        <w:contextualSpacing/>
      </w:pPr>
      <w:r>
        <w:t>Reduced risk of infection for the patient</w:t>
      </w:r>
      <w:r w:rsidR="002B61F3">
        <w:t>.</w:t>
      </w:r>
    </w:p>
    <w:p w14:paraId="314E96A5" w14:textId="77777777" w:rsidR="00607722" w:rsidRDefault="00607722" w:rsidP="00607722">
      <w:pPr>
        <w:pStyle w:val="ListParagraph"/>
        <w:numPr>
          <w:ilvl w:val="0"/>
          <w:numId w:val="30"/>
        </w:numPr>
        <w:spacing w:before="0" w:after="200" w:line="276" w:lineRule="auto"/>
        <w:contextualSpacing/>
      </w:pPr>
      <w:r>
        <w:t>Reduced pain and distress experienced by the patient.</w:t>
      </w:r>
    </w:p>
    <w:p w14:paraId="2EF617DA" w14:textId="77777777" w:rsidR="00607722" w:rsidRDefault="00607722" w:rsidP="00607722">
      <w:r>
        <w:t xml:space="preserve">The main disadvantages of the service considered in the consultation feedback considered the high cost of the product is likely to prohibit access for some patients. </w:t>
      </w:r>
    </w:p>
    <w:p w14:paraId="31FDCCDB" w14:textId="77777777" w:rsidR="00607722" w:rsidRDefault="00607722" w:rsidP="00607722">
      <w:r>
        <w:t xml:space="preserve">Other comments provided in the consultation feedback included: </w:t>
      </w:r>
    </w:p>
    <w:p w14:paraId="70A8AC0C" w14:textId="77777777" w:rsidR="00607722" w:rsidRPr="00BD0A01" w:rsidRDefault="00607722" w:rsidP="00607722">
      <w:pPr>
        <w:pStyle w:val="ListParagraph"/>
        <w:numPr>
          <w:ilvl w:val="0"/>
          <w:numId w:val="30"/>
        </w:numPr>
        <w:spacing w:before="0" w:after="200" w:line="276" w:lineRule="auto"/>
        <w:contextualSpacing/>
      </w:pPr>
      <w:r w:rsidRPr="00BD0A01">
        <w:t>Lower infection rates could reduce overall health costs</w:t>
      </w:r>
      <w:r>
        <w:t xml:space="preserve"> due to reduced hospital stay and ongoing treatment management (due to les</w:t>
      </w:r>
      <w:r w:rsidRPr="00BD0A01">
        <w:t>s need for revision of a</w:t>
      </w:r>
      <w:r>
        <w:t xml:space="preserve"> </w:t>
      </w:r>
      <w:r w:rsidRPr="00BD0A01">
        <w:t>prosthesis or the removal of a prosthesis or antibiotic washouts</w:t>
      </w:r>
      <w:r>
        <w:t>,</w:t>
      </w:r>
      <w:r w:rsidRPr="00BD0A01">
        <w:t xml:space="preserve"> </w:t>
      </w:r>
      <w:r>
        <w:t>e</w:t>
      </w:r>
      <w:r w:rsidRPr="00BD0A01">
        <w:t>tc.</w:t>
      </w:r>
      <w:r>
        <w:t>)</w:t>
      </w:r>
      <w:r w:rsidRPr="00BD0A01">
        <w:t xml:space="preserve">. </w:t>
      </w:r>
    </w:p>
    <w:p w14:paraId="11DD34EF" w14:textId="429B375C" w:rsidR="00607722" w:rsidRPr="00BD0A01" w:rsidRDefault="00607722" w:rsidP="00607722">
      <w:pPr>
        <w:pStyle w:val="ListParagraph"/>
        <w:numPr>
          <w:ilvl w:val="0"/>
          <w:numId w:val="30"/>
        </w:numPr>
        <w:spacing w:before="0" w:after="200" w:line="276" w:lineRule="auto"/>
        <w:contextualSpacing/>
      </w:pPr>
      <w:r>
        <w:t>The reduction in burden of infection has a benefit to the patient as they (and their families) will experience less distress, pain and may be able to return to work sooner.</w:t>
      </w:r>
    </w:p>
    <w:p w14:paraId="2E6BB850" w14:textId="581F4BAB" w:rsidR="00884F40" w:rsidRPr="00884F40" w:rsidRDefault="00681B6B" w:rsidP="00FD2C3C">
      <w:pPr>
        <w:pStyle w:val="ESNumberedSectionHeading"/>
      </w:pPr>
      <w:bookmarkStart w:id="34" w:name="_Toc72335279"/>
      <w:bookmarkStart w:id="35" w:name="_Toc112076480"/>
      <w:bookmarkStart w:id="36" w:name="_Hlk107407888"/>
      <w:bookmarkStart w:id="37" w:name="_Toc395200751"/>
      <w:bookmarkStart w:id="38" w:name="_Toc379118059"/>
      <w:bookmarkStart w:id="39" w:name="_Toc379118251"/>
      <w:bookmarkStart w:id="40" w:name="_Toc381796435"/>
      <w:bookmarkEnd w:id="19"/>
      <w:bookmarkEnd w:id="20"/>
      <w:bookmarkEnd w:id="21"/>
      <w:r>
        <w:t>10</w:t>
      </w:r>
      <w:r w:rsidR="00884F40" w:rsidRPr="00884F40">
        <w:t>.</w:t>
      </w:r>
      <w:r w:rsidR="00884F40" w:rsidRPr="00884F40">
        <w:tab/>
        <w:t>Characteristics of the evidence base</w:t>
      </w:r>
      <w:bookmarkEnd w:id="34"/>
      <w:bookmarkEnd w:id="35"/>
    </w:p>
    <w:bookmarkEnd w:id="36"/>
    <w:p w14:paraId="1EF8B410" w14:textId="0573F368" w:rsidR="00066A6C" w:rsidRDefault="00066A6C" w:rsidP="00FD2C3C">
      <w:pPr>
        <w:pStyle w:val="Execsummnormal"/>
      </w:pPr>
      <w:r w:rsidRPr="00815A71">
        <w:t xml:space="preserve">A total of six studies were </w:t>
      </w:r>
      <w:r w:rsidR="00C47A98">
        <w:t>included in the evidence base</w:t>
      </w:r>
      <w:r w:rsidRPr="00815A71">
        <w:t xml:space="preserve">, comprising two </w:t>
      </w:r>
      <w:r w:rsidR="00EB0EFF">
        <w:t>RCTs</w:t>
      </w:r>
      <w:r w:rsidR="004A21AA">
        <w:t xml:space="preserve"> </w:t>
      </w:r>
      <w:r w:rsidR="00EB0EFF">
        <w:t>(</w:t>
      </w:r>
      <w:r w:rsidRPr="00815A71">
        <w:t xml:space="preserve">Romanò </w:t>
      </w:r>
      <w:r w:rsidR="002B61F3">
        <w:t xml:space="preserve">et al. </w:t>
      </w:r>
      <w:r w:rsidRPr="00815A71">
        <w:t>2016</w:t>
      </w:r>
      <w:r w:rsidR="000B03BF">
        <w:rPr>
          <w:rStyle w:val="FootnoteReference"/>
        </w:rPr>
        <w:footnoteReference w:id="7"/>
      </w:r>
      <w:r w:rsidRPr="00815A71">
        <w:t xml:space="preserve">, Populations 1 and 3 and Malizos </w:t>
      </w:r>
      <w:r w:rsidR="002B61F3">
        <w:t xml:space="preserve">et al. </w:t>
      </w:r>
      <w:r w:rsidRPr="00815A71">
        <w:t>2017</w:t>
      </w:r>
      <w:r w:rsidR="000B03BF">
        <w:rPr>
          <w:rStyle w:val="FootnoteReference"/>
        </w:rPr>
        <w:footnoteReference w:id="8"/>
      </w:r>
      <w:r w:rsidRPr="00815A71">
        <w:t xml:space="preserve">, Population 4) and four case-control studies (De Meo </w:t>
      </w:r>
      <w:r w:rsidR="002B61F3">
        <w:t xml:space="preserve">et al. </w:t>
      </w:r>
      <w:r w:rsidRPr="00815A71">
        <w:t>2020</w:t>
      </w:r>
      <w:r w:rsidR="000B03BF">
        <w:rPr>
          <w:rStyle w:val="FootnoteReference"/>
        </w:rPr>
        <w:footnoteReference w:id="9"/>
      </w:r>
      <w:r w:rsidRPr="00815A71">
        <w:t xml:space="preserve"> and Zoccali </w:t>
      </w:r>
      <w:r w:rsidR="002B61F3">
        <w:t xml:space="preserve">et al. </w:t>
      </w:r>
      <w:r w:rsidRPr="00815A71">
        <w:t>2021</w:t>
      </w:r>
      <w:r w:rsidR="000B03BF">
        <w:rPr>
          <w:rStyle w:val="FootnoteReference"/>
        </w:rPr>
        <w:footnoteReference w:id="10"/>
      </w:r>
      <w:r w:rsidRPr="00815A71">
        <w:t xml:space="preserve">, Population 2; and Capuano </w:t>
      </w:r>
      <w:r w:rsidR="002B61F3">
        <w:t xml:space="preserve">et al. </w:t>
      </w:r>
      <w:r w:rsidRPr="00815A71">
        <w:t>2018</w:t>
      </w:r>
      <w:r w:rsidR="000B03BF">
        <w:rPr>
          <w:rStyle w:val="FootnoteReference"/>
        </w:rPr>
        <w:footnoteReference w:id="11"/>
      </w:r>
      <w:r w:rsidRPr="00815A71">
        <w:t xml:space="preserve"> and Zagra </w:t>
      </w:r>
      <w:r w:rsidR="002B61F3">
        <w:t xml:space="preserve">et al. </w:t>
      </w:r>
      <w:r w:rsidRPr="00815A71">
        <w:t>2019</w:t>
      </w:r>
      <w:r w:rsidR="000B03BF">
        <w:rPr>
          <w:rStyle w:val="FootnoteReference"/>
        </w:rPr>
        <w:footnoteReference w:id="12"/>
      </w:r>
      <w:r w:rsidRPr="00815A71">
        <w:t xml:space="preserve">, Population 3). </w:t>
      </w:r>
      <w:r w:rsidR="001576B4">
        <w:t xml:space="preserve">The key features of the six studies are presented in </w:t>
      </w:r>
      <w:r w:rsidR="001576B4">
        <w:fldChar w:fldCharType="begin"/>
      </w:r>
      <w:r w:rsidR="001576B4">
        <w:instrText xml:space="preserve"> REF _Ref110331461 \h </w:instrText>
      </w:r>
      <w:r w:rsidR="001576B4">
        <w:fldChar w:fldCharType="separate"/>
      </w:r>
      <w:r w:rsidR="00BB246A">
        <w:t xml:space="preserve">Table </w:t>
      </w:r>
      <w:r w:rsidR="00BB246A">
        <w:rPr>
          <w:noProof/>
        </w:rPr>
        <w:t>1</w:t>
      </w:r>
      <w:r w:rsidR="001576B4">
        <w:fldChar w:fldCharType="end"/>
      </w:r>
      <w:r w:rsidR="00C47A98">
        <w:t>.</w:t>
      </w:r>
    </w:p>
    <w:p w14:paraId="5CBCB482" w14:textId="361ED98B" w:rsidR="00C47A98" w:rsidRPr="00815A71" w:rsidRDefault="00C47A98" w:rsidP="00A94954">
      <w:pPr>
        <w:pStyle w:val="Execsummnormal"/>
      </w:pPr>
      <w:r>
        <w:lastRenderedPageBreak/>
        <w:t xml:space="preserve">The </w:t>
      </w:r>
      <w:r w:rsidR="008929EC">
        <w:t xml:space="preserve">primary cohort in the </w:t>
      </w:r>
      <w:r>
        <w:t xml:space="preserve">RCT reported by </w:t>
      </w:r>
      <w:r w:rsidRPr="00815A71">
        <w:t xml:space="preserve">Romanò </w:t>
      </w:r>
      <w:r w:rsidR="002B61F3">
        <w:t xml:space="preserve">et al. </w:t>
      </w:r>
      <w:r w:rsidR="00FB388B">
        <w:t>(</w:t>
      </w:r>
      <w:r w:rsidRPr="00815A71">
        <w:t>2016</w:t>
      </w:r>
      <w:r w:rsidR="00FB388B">
        <w:t>)</w:t>
      </w:r>
      <w:r>
        <w:t xml:space="preserve"> included both primary and revision total hip or knee joint replacement</w:t>
      </w:r>
      <w:r w:rsidR="00E416E6">
        <w:t xml:space="preserve"> (i.e.</w:t>
      </w:r>
      <w:r w:rsidR="00EB0EFF">
        <w:t>,</w:t>
      </w:r>
      <w:r w:rsidR="00E416E6">
        <w:t xml:space="preserve"> population 1 and 3 combined)</w:t>
      </w:r>
      <w:r>
        <w:t xml:space="preserve">. </w:t>
      </w:r>
      <w:r w:rsidR="008929EC">
        <w:t>The p</w:t>
      </w:r>
      <w:r>
        <w:t xml:space="preserve">rimary outcome (SSI incidence) </w:t>
      </w:r>
      <w:r w:rsidR="008929EC">
        <w:t>was</w:t>
      </w:r>
      <w:r>
        <w:t xml:space="preserve"> reported for the whole cohort and by primary or revision subgroup. Secondary outcomes were only reported for the whole cohort. </w:t>
      </w:r>
      <w:r w:rsidR="00871FEA">
        <w:t xml:space="preserve">The subgroup analysis for primary hip and knee joint replacement surgery is the only comparative evidence available for </w:t>
      </w:r>
      <w:r w:rsidR="008929EC">
        <w:t>Population</w:t>
      </w:r>
      <w:r w:rsidR="00681B6B">
        <w:t> </w:t>
      </w:r>
      <w:r w:rsidR="00871FEA">
        <w:t>1.</w:t>
      </w:r>
    </w:p>
    <w:p w14:paraId="68DD8142" w14:textId="06C76404" w:rsidR="00066A6C" w:rsidRPr="00815A71" w:rsidRDefault="00066A6C" w:rsidP="00A94954">
      <w:pPr>
        <w:pStyle w:val="Execsummnormal"/>
      </w:pPr>
      <w:r w:rsidRPr="00815A71">
        <w:t xml:space="preserve">The overall risk of bias in both </w:t>
      </w:r>
      <w:r w:rsidR="005F79C5">
        <w:t>RCTs (</w:t>
      </w:r>
      <w:r w:rsidR="005F79C5" w:rsidRPr="00815A71">
        <w:t xml:space="preserve">Romanò </w:t>
      </w:r>
      <w:r w:rsidR="002B61F3">
        <w:t xml:space="preserve">et al. </w:t>
      </w:r>
      <w:r w:rsidR="005F79C5" w:rsidRPr="00815A71">
        <w:t xml:space="preserve">2016, Malizos </w:t>
      </w:r>
      <w:r w:rsidR="002B61F3">
        <w:t xml:space="preserve">et al. </w:t>
      </w:r>
      <w:r w:rsidR="005F79C5" w:rsidRPr="00815A71">
        <w:t>2017</w:t>
      </w:r>
      <w:r w:rsidR="005F79C5">
        <w:t>)</w:t>
      </w:r>
      <w:r w:rsidRPr="00815A71">
        <w:t xml:space="preserve"> was </w:t>
      </w:r>
      <w:r w:rsidR="00A600E0">
        <w:t>assessed</w:t>
      </w:r>
      <w:r w:rsidR="00A600E0">
        <w:rPr>
          <w:rStyle w:val="FootnoteReference"/>
        </w:rPr>
        <w:footnoteReference w:id="13"/>
      </w:r>
      <w:r w:rsidR="004A21AA" w:rsidRPr="00815A71">
        <w:t xml:space="preserve"> </w:t>
      </w:r>
      <w:r w:rsidRPr="00815A71">
        <w:t>to have ‘some concerns’</w:t>
      </w:r>
      <w:r w:rsidR="004A21AA">
        <w:t xml:space="preserve"> due to</w:t>
      </w:r>
      <w:r w:rsidRPr="00815A71">
        <w:t xml:space="preserve"> concerns regarding the blinding of participants, carers and people delivering the interventions</w:t>
      </w:r>
      <w:r w:rsidR="00E416E6">
        <w:t xml:space="preserve">. In addition, there were </w:t>
      </w:r>
      <w:r w:rsidR="004A21AA">
        <w:t>concerns that</w:t>
      </w:r>
      <w:r w:rsidRPr="00815A71">
        <w:t xml:space="preserve"> the outcome assessment was possibly influenced by knowledge of </w:t>
      </w:r>
      <w:r w:rsidR="00DB4CD4" w:rsidRPr="00815A71">
        <w:t xml:space="preserve">the </w:t>
      </w:r>
      <w:r w:rsidRPr="00815A71">
        <w:t xml:space="preserve">intervention received. </w:t>
      </w:r>
      <w:r w:rsidR="00E416E6">
        <w:t>Further</w:t>
      </w:r>
      <w:r w:rsidR="00A600E0">
        <w:t>,</w:t>
      </w:r>
      <w:r w:rsidR="005F79C5">
        <w:t xml:space="preserve"> there is </w:t>
      </w:r>
      <w:r w:rsidRPr="00815A71">
        <w:t xml:space="preserve">also potential measurement bias in both RCTs as they assumed a 6% periprosthetic deep SSI incidence in the control group. However, </w:t>
      </w:r>
      <w:r w:rsidR="00326E84">
        <w:t xml:space="preserve">data from </w:t>
      </w:r>
      <w:r w:rsidR="00FB388B">
        <w:t xml:space="preserve">the </w:t>
      </w:r>
      <w:r w:rsidR="00326E84" w:rsidRPr="00815A71">
        <w:t>AOANJRR</w:t>
      </w:r>
      <w:r w:rsidR="002B61F3">
        <w:t xml:space="preserve"> </w:t>
      </w:r>
      <w:r w:rsidR="00326E84">
        <w:t>reports</w:t>
      </w:r>
      <w:r w:rsidR="00F83DFF">
        <w:t>, using the rate of revision procedures for infection,</w:t>
      </w:r>
      <w:r w:rsidR="00326E84">
        <w:t xml:space="preserve"> the </w:t>
      </w:r>
      <w:r w:rsidR="00F83DFF">
        <w:t xml:space="preserve">estimated </w:t>
      </w:r>
      <w:r w:rsidR="00326E84">
        <w:t xml:space="preserve">incidence of SSI is </w:t>
      </w:r>
      <w:r w:rsidRPr="00815A71">
        <w:t>around 1</w:t>
      </w:r>
      <w:r w:rsidR="00687CF3">
        <w:t>-2</w:t>
      </w:r>
      <w:r w:rsidRPr="00815A71">
        <w:t xml:space="preserve">% </w:t>
      </w:r>
      <w:r w:rsidR="00A94954">
        <w:t>for primary hip/knee joint arthroplasty</w:t>
      </w:r>
      <w:r w:rsidRPr="00815A71">
        <w:t>. Thus, it is not clear if studies were sufficiently powered to detect the reported treatment effect.</w:t>
      </w:r>
    </w:p>
    <w:p w14:paraId="64BBF0B7" w14:textId="15575F43" w:rsidR="00276F3D" w:rsidRDefault="00066A6C" w:rsidP="002B61F3">
      <w:pPr>
        <w:pStyle w:val="Execsummnormal"/>
        <w:sectPr w:rsidR="00276F3D">
          <w:footerReference w:type="even" r:id="rId15"/>
          <w:footerReference w:type="default" r:id="rId16"/>
          <w:pgSz w:w="11906" w:h="16838"/>
          <w:pgMar w:top="1440" w:right="1440" w:bottom="1440" w:left="1440" w:header="708" w:footer="708" w:gutter="0"/>
          <w:cols w:space="720"/>
        </w:sectPr>
      </w:pPr>
      <w:r w:rsidRPr="00815A71">
        <w:t>The study design of all non-randomised studies was retrospective with an inherently high risk of bias. The overall risk of bias was assessed</w:t>
      </w:r>
      <w:r w:rsidR="005F79C5">
        <w:rPr>
          <w:rStyle w:val="FootnoteReference"/>
        </w:rPr>
        <w:footnoteReference w:id="14"/>
      </w:r>
      <w:r w:rsidRPr="00815A71">
        <w:t xml:space="preserve"> to be ‘serious’ in three studies (Capuano </w:t>
      </w:r>
      <w:r w:rsidR="002B61F3">
        <w:t xml:space="preserve">et al. </w:t>
      </w:r>
      <w:r w:rsidRPr="00815A71">
        <w:t xml:space="preserve">2018, Zagra </w:t>
      </w:r>
      <w:r w:rsidR="002B61F3">
        <w:t xml:space="preserve">et al. </w:t>
      </w:r>
      <w:r w:rsidRPr="00815A71">
        <w:t xml:space="preserve">2019, and Zoccali </w:t>
      </w:r>
      <w:r w:rsidR="002B61F3">
        <w:t xml:space="preserve">et al. </w:t>
      </w:r>
      <w:r w:rsidRPr="00815A71">
        <w:t xml:space="preserve">2021), and ‘moderate’ in one (De Meo </w:t>
      </w:r>
      <w:r w:rsidR="002B61F3">
        <w:t xml:space="preserve">et al. </w:t>
      </w:r>
      <w:r w:rsidRPr="00815A71">
        <w:t xml:space="preserve">2020). De Meo </w:t>
      </w:r>
      <w:r w:rsidR="002B61F3">
        <w:t>et al. (</w:t>
      </w:r>
      <w:r w:rsidRPr="00815A71">
        <w:t>2020</w:t>
      </w:r>
      <w:r w:rsidR="002B61F3">
        <w:t>)</w:t>
      </w:r>
      <w:r w:rsidRPr="00815A71">
        <w:t xml:space="preserve"> reduced confounding bias by collecting all pre-operative clinical, laboratory, and radiographic data, the Charlson Comorbidity Index (CCI), and the periprosthetic joint infection (PJI) risk score. Further, it also adopted </w:t>
      </w:r>
      <w:r w:rsidR="00DB4CD4" w:rsidRPr="00815A71">
        <w:t xml:space="preserve">a </w:t>
      </w:r>
      <w:r w:rsidRPr="00815A71">
        <w:t xml:space="preserve">comparatively rigorous econometric technique (propensity score matching) to match cases and controls, which likely reduced selection bias to a certain extent. </w:t>
      </w:r>
      <w:bookmarkStart w:id="41" w:name="ColumnTitle_Table3"/>
      <w:bookmarkEnd w:id="41"/>
      <w:r w:rsidR="006D0DFC" w:rsidRPr="006D0DFC">
        <w:t xml:space="preserve"> </w:t>
      </w:r>
    </w:p>
    <w:p w14:paraId="130102A4" w14:textId="4AC016F1" w:rsidR="006D0DFC" w:rsidRDefault="006D0DFC" w:rsidP="000A4AD3">
      <w:pPr>
        <w:pStyle w:val="Caption"/>
        <w:rPr>
          <w:snapToGrid w:val="0"/>
          <w:lang w:eastAsia="en-US"/>
        </w:rPr>
      </w:pPr>
      <w:bookmarkStart w:id="42" w:name="_Ref110331461"/>
      <w:bookmarkStart w:id="43" w:name="_Toc112076618"/>
      <w:r>
        <w:lastRenderedPageBreak/>
        <w:t xml:space="preserve">Table </w:t>
      </w:r>
      <w:r w:rsidR="00000000">
        <w:fldChar w:fldCharType="begin"/>
      </w:r>
      <w:r w:rsidR="00000000">
        <w:instrText xml:space="preserve"> SEQ Table \* ARABIC </w:instrText>
      </w:r>
      <w:r w:rsidR="00000000">
        <w:fldChar w:fldCharType="separate"/>
      </w:r>
      <w:r w:rsidR="00BB246A">
        <w:rPr>
          <w:noProof/>
        </w:rPr>
        <w:t>1</w:t>
      </w:r>
      <w:r w:rsidR="00000000">
        <w:rPr>
          <w:noProof/>
        </w:rPr>
        <w:fldChar w:fldCharType="end"/>
      </w:r>
      <w:bookmarkEnd w:id="42"/>
      <w:r>
        <w:t xml:space="preserve"> </w:t>
      </w:r>
      <w:r w:rsidRPr="00183E4D">
        <w:tab/>
      </w:r>
      <w:r w:rsidRPr="00183E4D">
        <w:rPr>
          <w:snapToGrid w:val="0"/>
          <w:lang w:eastAsia="en-US"/>
        </w:rPr>
        <w:t>Key features of the included evidence</w:t>
      </w:r>
      <w:r>
        <w:rPr>
          <w:snapToGrid w:val="0"/>
          <w:lang w:eastAsia="en-US"/>
        </w:rPr>
        <w:t xml:space="preserve"> of the use of DAC+antibiotics to prevent periprosthetic deep SSI</w:t>
      </w:r>
      <w:bookmarkEnd w:id="43"/>
      <w:r>
        <w:rPr>
          <w:snapToGrid w:val="0"/>
          <w:lang w:eastAsia="en-US"/>
        </w:rPr>
        <w:t xml:space="preserve"> </w:t>
      </w:r>
    </w:p>
    <w:tbl>
      <w:tblPr>
        <w:tblStyle w:val="TableGrid1"/>
        <w:tblW w:w="5003" w:type="pct"/>
        <w:tblLayout w:type="fixed"/>
        <w:tblCellMar>
          <w:left w:w="28" w:type="dxa"/>
          <w:right w:w="28" w:type="dxa"/>
        </w:tblCellMar>
        <w:tblLook w:val="04A0" w:firstRow="1" w:lastRow="0" w:firstColumn="1" w:lastColumn="0" w:noHBand="0" w:noVBand="1"/>
        <w:tblCaption w:val="Key features of the included evidence of the use of DAC to prevent periprosthetic deep SSI (Population 1)"/>
        <w:tblDescription w:val="This table includes the key features of Romano 2016, in terms of sample size, study design, risk of bias, population characteristics, key outcomes and results used in modelled evaluation."/>
      </w:tblPr>
      <w:tblGrid>
        <w:gridCol w:w="1270"/>
        <w:gridCol w:w="1133"/>
        <w:gridCol w:w="1560"/>
        <w:gridCol w:w="1133"/>
        <w:gridCol w:w="3308"/>
        <w:gridCol w:w="3782"/>
        <w:gridCol w:w="1770"/>
      </w:tblGrid>
      <w:tr w:rsidR="003B52C9" w:rsidRPr="00183E4D" w14:paraId="238D6B73" w14:textId="77777777" w:rsidTr="00AC0442">
        <w:trPr>
          <w:cnfStyle w:val="100000000000" w:firstRow="1" w:lastRow="0" w:firstColumn="0" w:lastColumn="0" w:oddVBand="0" w:evenVBand="0" w:oddHBand="0" w:evenHBand="0" w:firstRowFirstColumn="0" w:firstRowLastColumn="0" w:lastRowFirstColumn="0" w:lastRowLastColumn="0"/>
          <w:tblHeader/>
        </w:trPr>
        <w:tc>
          <w:tcPr>
            <w:tcW w:w="455" w:type="pct"/>
            <w:shd w:val="clear" w:color="auto" w:fill="auto"/>
            <w:vAlign w:val="center"/>
          </w:tcPr>
          <w:p w14:paraId="28CEFEF5" w14:textId="77777777" w:rsidR="006D0DFC" w:rsidRPr="00183E4D" w:rsidRDefault="006D0DFC" w:rsidP="000A4AD3">
            <w:pPr>
              <w:pStyle w:val="TableHeading"/>
              <w:rPr>
                <w:snapToGrid w:val="0"/>
                <w:lang w:eastAsia="en-US"/>
              </w:rPr>
            </w:pPr>
            <w:r w:rsidRPr="00183E4D">
              <w:rPr>
                <w:snapToGrid w:val="0"/>
                <w:lang w:eastAsia="en-US"/>
              </w:rPr>
              <w:t>Trial/Study</w:t>
            </w:r>
          </w:p>
        </w:tc>
        <w:tc>
          <w:tcPr>
            <w:tcW w:w="406" w:type="pct"/>
            <w:shd w:val="clear" w:color="auto" w:fill="auto"/>
            <w:vAlign w:val="center"/>
          </w:tcPr>
          <w:p w14:paraId="2817CB61" w14:textId="77777777" w:rsidR="006D0DFC" w:rsidRPr="00183E4D" w:rsidRDefault="006D0DFC" w:rsidP="000A4AD3">
            <w:pPr>
              <w:pStyle w:val="TableHeading"/>
              <w:rPr>
                <w:snapToGrid w:val="0"/>
                <w:lang w:eastAsia="en-US"/>
              </w:rPr>
            </w:pPr>
            <w:r w:rsidRPr="00183E4D">
              <w:rPr>
                <w:snapToGrid w:val="0"/>
                <w:lang w:eastAsia="en-US"/>
              </w:rPr>
              <w:t>N</w:t>
            </w:r>
          </w:p>
        </w:tc>
        <w:tc>
          <w:tcPr>
            <w:tcW w:w="559" w:type="pct"/>
            <w:shd w:val="clear" w:color="auto" w:fill="auto"/>
            <w:vAlign w:val="center"/>
          </w:tcPr>
          <w:p w14:paraId="33E221EE" w14:textId="77777777" w:rsidR="006D0DFC" w:rsidRPr="00183E4D" w:rsidRDefault="006D0DFC" w:rsidP="000A4AD3">
            <w:pPr>
              <w:pStyle w:val="TableHeading"/>
              <w:rPr>
                <w:snapToGrid w:val="0"/>
                <w:lang w:eastAsia="en-US"/>
              </w:rPr>
            </w:pPr>
            <w:r w:rsidRPr="00183E4D">
              <w:rPr>
                <w:snapToGrid w:val="0"/>
                <w:lang w:eastAsia="en-US"/>
              </w:rPr>
              <w:t>Design/ duration</w:t>
            </w:r>
          </w:p>
        </w:tc>
        <w:tc>
          <w:tcPr>
            <w:tcW w:w="406" w:type="pct"/>
            <w:shd w:val="clear" w:color="auto" w:fill="auto"/>
            <w:vAlign w:val="center"/>
          </w:tcPr>
          <w:p w14:paraId="053C6B33" w14:textId="77777777" w:rsidR="006D0DFC" w:rsidRPr="00183E4D" w:rsidRDefault="006D0DFC" w:rsidP="000A4AD3">
            <w:pPr>
              <w:pStyle w:val="TableHeading"/>
              <w:rPr>
                <w:snapToGrid w:val="0"/>
                <w:lang w:eastAsia="en-US"/>
              </w:rPr>
            </w:pPr>
            <w:r w:rsidRPr="00183E4D">
              <w:rPr>
                <w:snapToGrid w:val="0"/>
                <w:lang w:eastAsia="en-US"/>
              </w:rPr>
              <w:t>Risk of bias</w:t>
            </w:r>
          </w:p>
        </w:tc>
        <w:tc>
          <w:tcPr>
            <w:tcW w:w="1185" w:type="pct"/>
            <w:shd w:val="clear" w:color="auto" w:fill="auto"/>
            <w:vAlign w:val="center"/>
          </w:tcPr>
          <w:p w14:paraId="79E93ECB" w14:textId="77777777" w:rsidR="006D0DFC" w:rsidRPr="00183E4D" w:rsidRDefault="006D0DFC" w:rsidP="000A4AD3">
            <w:pPr>
              <w:pStyle w:val="TableHeading"/>
              <w:rPr>
                <w:snapToGrid w:val="0"/>
                <w:lang w:eastAsia="en-US"/>
              </w:rPr>
            </w:pPr>
            <w:r>
              <w:rPr>
                <w:snapToGrid w:val="0"/>
                <w:lang w:eastAsia="en-US"/>
              </w:rPr>
              <w:t>Population characteristics</w:t>
            </w:r>
          </w:p>
        </w:tc>
        <w:tc>
          <w:tcPr>
            <w:tcW w:w="1355" w:type="pct"/>
            <w:shd w:val="clear" w:color="auto" w:fill="auto"/>
            <w:vAlign w:val="center"/>
          </w:tcPr>
          <w:p w14:paraId="041AE597" w14:textId="77777777" w:rsidR="006D0DFC" w:rsidRPr="00183E4D" w:rsidRDefault="006D0DFC" w:rsidP="000A4AD3">
            <w:pPr>
              <w:pStyle w:val="TableHeading"/>
              <w:rPr>
                <w:snapToGrid w:val="0"/>
                <w:lang w:eastAsia="en-US"/>
              </w:rPr>
            </w:pPr>
            <w:r w:rsidRPr="00183E4D">
              <w:rPr>
                <w:snapToGrid w:val="0"/>
                <w:lang w:eastAsia="en-US"/>
              </w:rPr>
              <w:t>Key outcome(s)</w:t>
            </w:r>
          </w:p>
        </w:tc>
        <w:tc>
          <w:tcPr>
            <w:tcW w:w="634" w:type="pct"/>
          </w:tcPr>
          <w:p w14:paraId="16E67E71" w14:textId="77777777" w:rsidR="006D0DFC" w:rsidRPr="00183E4D" w:rsidRDefault="006D0DFC" w:rsidP="000A4AD3">
            <w:pPr>
              <w:pStyle w:val="TableHeading"/>
              <w:rPr>
                <w:snapToGrid w:val="0"/>
                <w:lang w:eastAsia="en-US"/>
              </w:rPr>
            </w:pPr>
            <w:r>
              <w:rPr>
                <w:snapToGrid w:val="0"/>
                <w:lang w:eastAsia="en-US"/>
              </w:rPr>
              <w:t>Results used in modelled evaluation</w:t>
            </w:r>
          </w:p>
        </w:tc>
      </w:tr>
      <w:tr w:rsidR="006D0DFC" w:rsidRPr="00183E4D" w14:paraId="26C2B2D7" w14:textId="77777777" w:rsidTr="00AC0442">
        <w:tc>
          <w:tcPr>
            <w:tcW w:w="5000" w:type="pct"/>
            <w:gridSpan w:val="7"/>
            <w:shd w:val="clear" w:color="auto" w:fill="auto"/>
          </w:tcPr>
          <w:p w14:paraId="474B171E" w14:textId="363BB7C8" w:rsidR="006D0DFC" w:rsidRPr="008A1E53" w:rsidRDefault="006D0DFC" w:rsidP="000A4AD3">
            <w:pPr>
              <w:pStyle w:val="Tabletext1"/>
              <w:rPr>
                <w:snapToGrid w:val="0"/>
              </w:rPr>
            </w:pPr>
            <w:r>
              <w:rPr>
                <w:snapToGrid w:val="0"/>
              </w:rPr>
              <w:t>Population 1</w:t>
            </w:r>
          </w:p>
        </w:tc>
      </w:tr>
      <w:tr w:rsidR="003B52C9" w:rsidRPr="00183E4D" w14:paraId="06EA0A58" w14:textId="77777777" w:rsidTr="00AC0442">
        <w:tc>
          <w:tcPr>
            <w:tcW w:w="455" w:type="pct"/>
            <w:shd w:val="clear" w:color="auto" w:fill="auto"/>
          </w:tcPr>
          <w:p w14:paraId="035FEFAD" w14:textId="77777777" w:rsidR="006D0DFC" w:rsidRPr="005A6BF4" w:rsidRDefault="006D0DFC" w:rsidP="000A4AD3">
            <w:pPr>
              <w:pStyle w:val="Tabletext1"/>
              <w:rPr>
                <w:snapToGrid w:val="0"/>
              </w:rPr>
            </w:pPr>
            <w:r>
              <w:rPr>
                <w:snapToGrid w:val="0"/>
              </w:rPr>
              <w:t>Romanò 2016</w:t>
            </w:r>
          </w:p>
        </w:tc>
        <w:tc>
          <w:tcPr>
            <w:tcW w:w="406" w:type="pct"/>
            <w:shd w:val="clear" w:color="auto" w:fill="auto"/>
          </w:tcPr>
          <w:p w14:paraId="127A6B9C" w14:textId="77777777" w:rsidR="006D0DFC" w:rsidRDefault="006D0DFC" w:rsidP="000A4AD3">
            <w:pPr>
              <w:pStyle w:val="Tabletext1"/>
              <w:rPr>
                <w:snapToGrid w:val="0"/>
              </w:rPr>
            </w:pPr>
            <w:r>
              <w:rPr>
                <w:snapToGrid w:val="0"/>
              </w:rPr>
              <w:t>Whole study cohort (primary and revision): 373</w:t>
            </w:r>
          </w:p>
          <w:p w14:paraId="7D7EF624" w14:textId="77777777" w:rsidR="006D0DFC" w:rsidRDefault="006D0DFC" w:rsidP="000A4AD3">
            <w:pPr>
              <w:pStyle w:val="Tabletext1"/>
              <w:rPr>
                <w:snapToGrid w:val="0"/>
              </w:rPr>
            </w:pPr>
            <w:r>
              <w:rPr>
                <w:snapToGrid w:val="0"/>
              </w:rPr>
              <w:t>Hip: 78.8% (294/373)</w:t>
            </w:r>
          </w:p>
          <w:p w14:paraId="0AB5C54F" w14:textId="77777777" w:rsidR="006D0DFC" w:rsidRDefault="006D0DFC" w:rsidP="000A4AD3">
            <w:pPr>
              <w:pStyle w:val="Tabletext1"/>
              <w:rPr>
                <w:snapToGrid w:val="0"/>
              </w:rPr>
            </w:pPr>
            <w:r>
              <w:rPr>
                <w:snapToGrid w:val="0"/>
              </w:rPr>
              <w:t>Knee: 21.2% (79/373)</w:t>
            </w:r>
          </w:p>
          <w:p w14:paraId="7A5F0F7C" w14:textId="77777777" w:rsidR="006D0DFC" w:rsidRDefault="006D0DFC" w:rsidP="000A4AD3">
            <w:pPr>
              <w:pStyle w:val="Tabletext1"/>
              <w:rPr>
                <w:snapToGrid w:val="0"/>
              </w:rPr>
            </w:pPr>
          </w:p>
          <w:p w14:paraId="2BE1F332" w14:textId="77777777" w:rsidR="006D0DFC" w:rsidRDefault="006D0DFC" w:rsidP="000A4AD3">
            <w:pPr>
              <w:pStyle w:val="Tabletext1"/>
              <w:rPr>
                <w:snapToGrid w:val="0"/>
              </w:rPr>
            </w:pPr>
            <w:r>
              <w:rPr>
                <w:snapToGrid w:val="0"/>
              </w:rPr>
              <w:t>Primary: 71.6% (267/373)</w:t>
            </w:r>
          </w:p>
          <w:p w14:paraId="163B956A" w14:textId="77777777" w:rsidR="006D0DFC" w:rsidRPr="005A6BF4" w:rsidRDefault="006D0DFC" w:rsidP="000A4AD3">
            <w:pPr>
              <w:pStyle w:val="Tabletext1"/>
              <w:rPr>
                <w:snapToGrid w:val="0"/>
              </w:rPr>
            </w:pPr>
            <w:r>
              <w:rPr>
                <w:snapToGrid w:val="0"/>
              </w:rPr>
              <w:t xml:space="preserve">Revision: 28.4% (106/373) </w:t>
            </w:r>
          </w:p>
        </w:tc>
        <w:tc>
          <w:tcPr>
            <w:tcW w:w="559" w:type="pct"/>
            <w:shd w:val="clear" w:color="auto" w:fill="auto"/>
          </w:tcPr>
          <w:p w14:paraId="06DFCB98" w14:textId="77777777" w:rsidR="006D0DFC" w:rsidRPr="005A6BF4" w:rsidRDefault="006D0DFC" w:rsidP="000A4AD3">
            <w:pPr>
              <w:pStyle w:val="Tabletext1"/>
              <w:rPr>
                <w:snapToGrid w:val="0"/>
              </w:rPr>
            </w:pPr>
            <w:r w:rsidRPr="005A6BF4">
              <w:rPr>
                <w:snapToGrid w:val="0"/>
              </w:rPr>
              <w:t xml:space="preserve">R, </w:t>
            </w:r>
            <w:r>
              <w:rPr>
                <w:snapToGrid w:val="0"/>
              </w:rPr>
              <w:t>Mean</w:t>
            </w:r>
            <w:r w:rsidRPr="00EA77DA">
              <w:rPr>
                <w:snapToGrid w:val="0"/>
              </w:rPr>
              <w:t>±</w:t>
            </w:r>
            <w:r>
              <w:rPr>
                <w:snapToGrid w:val="0"/>
              </w:rPr>
              <w:t xml:space="preserve">SD follow-up of </w:t>
            </w:r>
            <w:r w:rsidRPr="00EA77DA">
              <w:rPr>
                <w:snapToGrid w:val="0"/>
              </w:rPr>
              <w:t>14.5 ± 5.5 months (range 6 to 24</w:t>
            </w:r>
            <w:r>
              <w:rPr>
                <w:snapToGrid w:val="0"/>
              </w:rPr>
              <w:t xml:space="preserve"> months</w:t>
            </w:r>
            <w:r w:rsidRPr="00EA77DA">
              <w:rPr>
                <w:snapToGrid w:val="0"/>
              </w:rPr>
              <w:t>)</w:t>
            </w:r>
          </w:p>
        </w:tc>
        <w:tc>
          <w:tcPr>
            <w:tcW w:w="406" w:type="pct"/>
            <w:shd w:val="clear" w:color="auto" w:fill="auto"/>
          </w:tcPr>
          <w:p w14:paraId="52922FA7" w14:textId="77777777" w:rsidR="006D0DFC" w:rsidRPr="005A6BF4" w:rsidRDefault="006D0DFC" w:rsidP="000A4AD3">
            <w:pPr>
              <w:pStyle w:val="Tabletext1"/>
              <w:rPr>
                <w:snapToGrid w:val="0"/>
              </w:rPr>
            </w:pPr>
            <w:r w:rsidRPr="005A6BF4">
              <w:rPr>
                <w:snapToGrid w:val="0"/>
              </w:rPr>
              <w:t>Some concerns</w:t>
            </w:r>
          </w:p>
        </w:tc>
        <w:tc>
          <w:tcPr>
            <w:tcW w:w="1185" w:type="pct"/>
            <w:shd w:val="clear" w:color="auto" w:fill="auto"/>
          </w:tcPr>
          <w:p w14:paraId="4D3B04AA" w14:textId="77777777" w:rsidR="006D0DFC" w:rsidRPr="00D247BE" w:rsidRDefault="006D0DFC" w:rsidP="000A4AD3">
            <w:pPr>
              <w:pStyle w:val="Tabletext1"/>
              <w:rPr>
                <w:snapToGrid w:val="0"/>
              </w:rPr>
            </w:pPr>
            <w:r w:rsidRPr="00D247BE">
              <w:rPr>
                <w:snapToGrid w:val="0"/>
              </w:rPr>
              <w:t>Intervention: Aged&gt;18 yrs</w:t>
            </w:r>
          </w:p>
          <w:p w14:paraId="6C2ED648" w14:textId="77777777" w:rsidR="006D0DFC" w:rsidRPr="00D247BE" w:rsidRDefault="006D0DFC" w:rsidP="000A4AD3">
            <w:pPr>
              <w:pStyle w:val="Tabletext1"/>
              <w:rPr>
                <w:snapToGrid w:val="0"/>
              </w:rPr>
            </w:pPr>
            <w:r w:rsidRPr="00D247BE">
              <w:rPr>
                <w:snapToGrid w:val="0"/>
              </w:rPr>
              <w:t>[Whole study cohort (primary, revision): mean 70.0 yrs (range 36 to 96 yrs)]</w:t>
            </w:r>
          </w:p>
          <w:p w14:paraId="5BDF70E8" w14:textId="77777777" w:rsidR="006D0DFC" w:rsidRDefault="006D0DFC" w:rsidP="000A4AD3">
            <w:pPr>
              <w:pStyle w:val="Tabletext1"/>
              <w:rPr>
                <w:snapToGrid w:val="0"/>
              </w:rPr>
            </w:pPr>
            <w:r w:rsidRPr="00D247BE">
              <w:rPr>
                <w:snapToGrid w:val="0"/>
              </w:rPr>
              <w:t>Gender (Female): 57.1%)</w:t>
            </w:r>
          </w:p>
          <w:p w14:paraId="25FB4BB9" w14:textId="75861A14" w:rsidR="006D0DFC" w:rsidRPr="00D247BE" w:rsidRDefault="006D0DFC" w:rsidP="000A4AD3">
            <w:pPr>
              <w:pStyle w:val="Tabletext1"/>
              <w:rPr>
                <w:snapToGrid w:val="0"/>
              </w:rPr>
            </w:pPr>
            <w:r>
              <w:rPr>
                <w:snapToGrid w:val="0"/>
              </w:rPr>
              <w:t>Comorbidities</w:t>
            </w:r>
            <w:r w:rsidR="008A1E53">
              <w:rPr>
                <w:snapToGrid w:val="0"/>
                <w:vertAlign w:val="superscript"/>
              </w:rPr>
              <w:t>1</w:t>
            </w:r>
            <w:r>
              <w:rPr>
                <w:snapToGrid w:val="0"/>
              </w:rPr>
              <w:t>: diabetes and BMI&gt;40: 0.37% (1/267) [only 1 patient]</w:t>
            </w:r>
          </w:p>
          <w:p w14:paraId="3494D113" w14:textId="77777777" w:rsidR="006D0DFC" w:rsidRPr="00D247BE" w:rsidRDefault="006D0DFC" w:rsidP="000A4AD3">
            <w:pPr>
              <w:pStyle w:val="Tabletext1"/>
              <w:rPr>
                <w:snapToGrid w:val="0"/>
              </w:rPr>
            </w:pPr>
            <w:r w:rsidRPr="00D247BE">
              <w:rPr>
                <w:snapToGrid w:val="0"/>
              </w:rPr>
              <w:t xml:space="preserve">Control: Data specific to primary TJA subgroup </w:t>
            </w:r>
            <w:r>
              <w:rPr>
                <w:snapToGrid w:val="0"/>
              </w:rPr>
              <w:t>not reported</w:t>
            </w:r>
            <w:r w:rsidRPr="00D247BE">
              <w:rPr>
                <w:snapToGrid w:val="0"/>
              </w:rPr>
              <w:t xml:space="preserve"> [Whole study cohort (primary, revision): mean±SD (range): 71±10.6 yrs (range 36-96 yrs)]</w:t>
            </w:r>
          </w:p>
          <w:p w14:paraId="4C2589B6" w14:textId="77777777" w:rsidR="006D0DFC" w:rsidRPr="00D247BE" w:rsidRDefault="006D0DFC" w:rsidP="000A4AD3">
            <w:pPr>
              <w:pStyle w:val="Tabletext1"/>
              <w:rPr>
                <w:snapToGrid w:val="0"/>
              </w:rPr>
            </w:pPr>
            <w:r w:rsidRPr="00D247BE">
              <w:rPr>
                <w:snapToGrid w:val="0"/>
              </w:rPr>
              <w:t>Gender (Female): 59.8%</w:t>
            </w:r>
          </w:p>
          <w:p w14:paraId="5720F3B7" w14:textId="77777777" w:rsidR="006D0DFC" w:rsidRDefault="006D0DFC" w:rsidP="000A4AD3">
            <w:pPr>
              <w:pStyle w:val="Tabletext1"/>
              <w:rPr>
                <w:snapToGrid w:val="0"/>
              </w:rPr>
            </w:pPr>
          </w:p>
          <w:p w14:paraId="2632A333" w14:textId="7E79E81F" w:rsidR="006D0DFC" w:rsidRPr="008B448A" w:rsidRDefault="006D0DFC" w:rsidP="000A4AD3">
            <w:pPr>
              <w:pStyle w:val="Tabletext1"/>
              <w:rPr>
                <w:snapToGrid w:val="0"/>
              </w:rPr>
            </w:pPr>
            <w:r>
              <w:rPr>
                <w:snapToGrid w:val="0"/>
              </w:rPr>
              <w:t>Comorbidities (primary): diabetes</w:t>
            </w:r>
            <w:r w:rsidR="008A1E53">
              <w:rPr>
                <w:snapToGrid w:val="0"/>
                <w:vertAlign w:val="superscript"/>
              </w:rPr>
              <w:t>2</w:t>
            </w:r>
            <w:r>
              <w:rPr>
                <w:snapToGrid w:val="0"/>
              </w:rPr>
              <w:t xml:space="preserve"> 1.12% (3/267); nicotine abuse: 0.37% (1/267); previous PJI: 0.37% (1/267); previous surgeries: 0.37% (1/267)</w:t>
            </w:r>
          </w:p>
        </w:tc>
        <w:tc>
          <w:tcPr>
            <w:tcW w:w="1355" w:type="pct"/>
            <w:shd w:val="clear" w:color="auto" w:fill="auto"/>
          </w:tcPr>
          <w:p w14:paraId="7FABAEB2" w14:textId="7044A4EA" w:rsidR="006D0DFC" w:rsidRDefault="006D0DFC" w:rsidP="000A4AD3">
            <w:pPr>
              <w:pStyle w:val="Tabletext1"/>
              <w:rPr>
                <w:snapToGrid w:val="0"/>
              </w:rPr>
            </w:pPr>
            <w:r>
              <w:rPr>
                <w:snapToGrid w:val="0"/>
              </w:rPr>
              <w:t>Post-operative data at the latest follow-up: Early SSI</w:t>
            </w:r>
            <w:r w:rsidR="008A1E53">
              <w:rPr>
                <w:snapToGrid w:val="0"/>
                <w:vertAlign w:val="superscript"/>
              </w:rPr>
              <w:t>3</w:t>
            </w:r>
            <w:r>
              <w:rPr>
                <w:snapToGrid w:val="0"/>
              </w:rPr>
              <w:t xml:space="preserve"> (overall/ overall (minimal 12 months follow-up), delayed w</w:t>
            </w:r>
            <w:r w:rsidRPr="005A6BF4">
              <w:rPr>
                <w:snapToGrid w:val="0"/>
              </w:rPr>
              <w:t>ound healing</w:t>
            </w:r>
            <w:r w:rsidR="008A1E53">
              <w:rPr>
                <w:snapToGrid w:val="0"/>
                <w:vertAlign w:val="superscript"/>
              </w:rPr>
              <w:t>4</w:t>
            </w:r>
            <w:r>
              <w:rPr>
                <w:snapToGrid w:val="0"/>
              </w:rPr>
              <w:t>, other complications, u</w:t>
            </w:r>
            <w:r w:rsidRPr="00D6141D">
              <w:rPr>
                <w:snapToGrid w:val="0"/>
              </w:rPr>
              <w:t>nplanned antibiotic treatment during hospital stay</w:t>
            </w:r>
            <w:r>
              <w:rPr>
                <w:snapToGrid w:val="0"/>
              </w:rPr>
              <w:t xml:space="preserve"> </w:t>
            </w:r>
            <w:r w:rsidRPr="00D6141D">
              <w:rPr>
                <w:snapToGrid w:val="0"/>
              </w:rPr>
              <w:t>for reasons other than SSI (mainly urinary or respiratory tract infections)</w:t>
            </w:r>
          </w:p>
          <w:p w14:paraId="7859D454" w14:textId="77777777" w:rsidR="006D0DFC" w:rsidRDefault="006D0DFC" w:rsidP="000A4AD3">
            <w:pPr>
              <w:pStyle w:val="Tabletext1"/>
              <w:rPr>
                <w:snapToGrid w:val="0"/>
              </w:rPr>
            </w:pPr>
          </w:p>
          <w:p w14:paraId="2933897C" w14:textId="4D771573" w:rsidR="006D0DFC" w:rsidRDefault="006D0DFC" w:rsidP="000A4AD3">
            <w:pPr>
              <w:pStyle w:val="Tabletext1"/>
              <w:rPr>
                <w:snapToGrid w:val="0"/>
              </w:rPr>
            </w:pPr>
            <w:r>
              <w:rPr>
                <w:snapToGrid w:val="0"/>
              </w:rPr>
              <w:t>Continuous outcomes: Time to early wound healing</w:t>
            </w:r>
            <w:r w:rsidR="008A1E53">
              <w:rPr>
                <w:snapToGrid w:val="0"/>
                <w:vertAlign w:val="superscript"/>
              </w:rPr>
              <w:t>5</w:t>
            </w:r>
            <w:r>
              <w:rPr>
                <w:snapToGrid w:val="0"/>
              </w:rPr>
              <w:t xml:space="preserve"> (mean ASEPSIS score at 7 and 14 days)</w:t>
            </w:r>
          </w:p>
          <w:p w14:paraId="392E3456" w14:textId="77777777" w:rsidR="006D0DFC" w:rsidRDefault="006D0DFC" w:rsidP="000A4AD3">
            <w:pPr>
              <w:pStyle w:val="Tabletext1"/>
              <w:rPr>
                <w:snapToGrid w:val="0"/>
              </w:rPr>
            </w:pPr>
          </w:p>
          <w:p w14:paraId="3C9A9C5C" w14:textId="77777777" w:rsidR="006D0DFC" w:rsidRDefault="006D0DFC" w:rsidP="000A4AD3">
            <w:pPr>
              <w:pStyle w:val="Tabletext1"/>
              <w:rPr>
                <w:snapToGrid w:val="0"/>
              </w:rPr>
            </w:pPr>
            <w:r>
              <w:rPr>
                <w:snapToGrid w:val="0"/>
              </w:rPr>
              <w:t>Serum laboratory values at 6 months after index surgery: Erythrocyte Sedimentation Rate (mm/h), C-reactive Protein (mg/L)</w:t>
            </w:r>
          </w:p>
          <w:p w14:paraId="126D5C74" w14:textId="77777777" w:rsidR="006D0DFC" w:rsidRDefault="006D0DFC" w:rsidP="000A4AD3">
            <w:pPr>
              <w:pStyle w:val="Tabletext1"/>
              <w:rPr>
                <w:snapToGrid w:val="0"/>
              </w:rPr>
            </w:pPr>
          </w:p>
          <w:p w14:paraId="08807841" w14:textId="77777777" w:rsidR="006D0DFC" w:rsidRDefault="006D0DFC" w:rsidP="000A4AD3">
            <w:pPr>
              <w:pStyle w:val="Tabletext1"/>
              <w:rPr>
                <w:snapToGrid w:val="0"/>
              </w:rPr>
            </w:pPr>
            <w:r>
              <w:rPr>
                <w:snapToGrid w:val="0"/>
              </w:rPr>
              <w:t>Postoperative data at the latest follow-up</w:t>
            </w:r>
          </w:p>
          <w:p w14:paraId="43920C3C" w14:textId="77777777" w:rsidR="006D0DFC" w:rsidRPr="005A6BF4" w:rsidRDefault="006D0DFC" w:rsidP="000A4AD3">
            <w:pPr>
              <w:pStyle w:val="Tabletext1"/>
              <w:rPr>
                <w:snapToGrid w:val="0"/>
              </w:rPr>
            </w:pPr>
            <w:r w:rsidRPr="005A6BF4">
              <w:rPr>
                <w:snapToGrid w:val="0"/>
              </w:rPr>
              <w:t>SF-12 score</w:t>
            </w:r>
            <w:r>
              <w:rPr>
                <w:snapToGrid w:val="0"/>
              </w:rPr>
              <w:t xml:space="preserve"> (physical, mental and total)</w:t>
            </w:r>
            <w:r w:rsidRPr="005A6BF4">
              <w:rPr>
                <w:snapToGrid w:val="0"/>
              </w:rPr>
              <w:t>, HHS, KSS</w:t>
            </w:r>
          </w:p>
        </w:tc>
        <w:tc>
          <w:tcPr>
            <w:tcW w:w="634" w:type="pct"/>
          </w:tcPr>
          <w:p w14:paraId="54EC4398" w14:textId="7B621BA8" w:rsidR="006D0DFC" w:rsidRDefault="006D0DFC" w:rsidP="000A4AD3">
            <w:pPr>
              <w:pStyle w:val="Tabletext1"/>
              <w:rPr>
                <w:snapToGrid w:val="0"/>
              </w:rPr>
            </w:pPr>
            <w:r>
              <w:rPr>
                <w:snapToGrid w:val="0"/>
              </w:rPr>
              <w:t>SSI rates, follow-up, starting age, and number</w:t>
            </w:r>
            <w:r w:rsidR="00647306">
              <w:rPr>
                <w:snapToGrid w:val="0"/>
              </w:rPr>
              <w:t xml:space="preserve"> </w:t>
            </w:r>
            <w:r>
              <w:rPr>
                <w:snapToGrid w:val="0"/>
              </w:rPr>
              <w:t>of DAC kits</w:t>
            </w:r>
          </w:p>
        </w:tc>
      </w:tr>
      <w:tr w:rsidR="004E504A" w:rsidRPr="00183E4D" w14:paraId="7FDF3433" w14:textId="77777777" w:rsidTr="00AC0442">
        <w:tc>
          <w:tcPr>
            <w:tcW w:w="5000" w:type="pct"/>
            <w:gridSpan w:val="7"/>
            <w:shd w:val="clear" w:color="auto" w:fill="auto"/>
          </w:tcPr>
          <w:p w14:paraId="3A0C2B20" w14:textId="73B4EE86" w:rsidR="004E504A" w:rsidRPr="008A1E53" w:rsidRDefault="004E504A" w:rsidP="000A4AD3">
            <w:pPr>
              <w:pStyle w:val="Tabletext1"/>
              <w:rPr>
                <w:snapToGrid w:val="0"/>
              </w:rPr>
            </w:pPr>
            <w:r>
              <w:rPr>
                <w:snapToGrid w:val="0"/>
              </w:rPr>
              <w:t>Population 2</w:t>
            </w:r>
          </w:p>
        </w:tc>
      </w:tr>
      <w:tr w:rsidR="003B52C9" w:rsidRPr="00183E4D" w14:paraId="6619865F" w14:textId="77777777" w:rsidTr="00AC0442">
        <w:tc>
          <w:tcPr>
            <w:tcW w:w="455" w:type="pct"/>
            <w:shd w:val="clear" w:color="auto" w:fill="auto"/>
          </w:tcPr>
          <w:p w14:paraId="493A817E" w14:textId="3A100BE1" w:rsidR="004E504A" w:rsidRDefault="004E504A" w:rsidP="000A4AD3">
            <w:pPr>
              <w:pStyle w:val="Tabletext1"/>
              <w:rPr>
                <w:snapToGrid w:val="0"/>
              </w:rPr>
            </w:pPr>
            <w:r>
              <w:t>De Meo 2020</w:t>
            </w:r>
          </w:p>
        </w:tc>
        <w:tc>
          <w:tcPr>
            <w:tcW w:w="406" w:type="pct"/>
            <w:shd w:val="clear" w:color="auto" w:fill="auto"/>
          </w:tcPr>
          <w:p w14:paraId="64869BE8" w14:textId="14A48CE9" w:rsidR="004E504A" w:rsidRDefault="004E504A" w:rsidP="000A4AD3">
            <w:pPr>
              <w:pStyle w:val="Tabletext1"/>
              <w:rPr>
                <w:snapToGrid w:val="0"/>
              </w:rPr>
            </w:pPr>
            <w:r w:rsidRPr="00800D70">
              <w:t>34 (hip)</w:t>
            </w:r>
          </w:p>
        </w:tc>
        <w:tc>
          <w:tcPr>
            <w:tcW w:w="559" w:type="pct"/>
            <w:shd w:val="clear" w:color="auto" w:fill="auto"/>
          </w:tcPr>
          <w:p w14:paraId="1B180B05" w14:textId="07BE75C7" w:rsidR="004E504A" w:rsidRPr="005A6BF4" w:rsidRDefault="004E504A" w:rsidP="000A4AD3">
            <w:pPr>
              <w:pStyle w:val="Tabletext1"/>
              <w:rPr>
                <w:snapToGrid w:val="0"/>
              </w:rPr>
            </w:pPr>
            <w:r w:rsidRPr="00800D70">
              <w:t>CC, NR, Mean±SD follow-up of 12.4±5.7 months in the treatment group and 34.3 ± 21.3 months in the control group</w:t>
            </w:r>
          </w:p>
        </w:tc>
        <w:tc>
          <w:tcPr>
            <w:tcW w:w="406" w:type="pct"/>
            <w:shd w:val="clear" w:color="auto" w:fill="auto"/>
          </w:tcPr>
          <w:p w14:paraId="046B7C56" w14:textId="30B91070" w:rsidR="004E504A" w:rsidRPr="005A6BF4" w:rsidRDefault="004E504A" w:rsidP="000A4AD3">
            <w:pPr>
              <w:pStyle w:val="Tabletext1"/>
              <w:rPr>
                <w:snapToGrid w:val="0"/>
              </w:rPr>
            </w:pPr>
            <w:r w:rsidRPr="00800D70">
              <w:t>Moderate</w:t>
            </w:r>
          </w:p>
        </w:tc>
        <w:tc>
          <w:tcPr>
            <w:tcW w:w="1185" w:type="pct"/>
            <w:shd w:val="clear" w:color="auto" w:fill="auto"/>
          </w:tcPr>
          <w:p w14:paraId="46B8548E" w14:textId="77777777" w:rsidR="004E504A" w:rsidRPr="00800D70" w:rsidRDefault="004E504A" w:rsidP="00607722">
            <w:pPr>
              <w:pStyle w:val="Tabletext1"/>
            </w:pPr>
            <w:r w:rsidRPr="00800D70">
              <w:t>Intervention (Mean±SD):</w:t>
            </w:r>
          </w:p>
          <w:p w14:paraId="2890AA72" w14:textId="77777777" w:rsidR="004E504A" w:rsidRPr="00800D70" w:rsidRDefault="004E504A" w:rsidP="00607722">
            <w:pPr>
              <w:pStyle w:val="Tabletext1"/>
            </w:pPr>
            <w:r w:rsidRPr="00800D70">
              <w:t>Age: 74.9 ± 11.5</w:t>
            </w:r>
          </w:p>
          <w:p w14:paraId="50E7AF9B" w14:textId="77777777" w:rsidR="004E504A" w:rsidRPr="00800D70" w:rsidRDefault="004E504A" w:rsidP="00607722">
            <w:pPr>
              <w:pStyle w:val="Tabletext1"/>
            </w:pPr>
            <w:r w:rsidRPr="00800D70">
              <w:t>Gender (Female): 65% (11/17)</w:t>
            </w:r>
          </w:p>
          <w:p w14:paraId="63489F21" w14:textId="77777777" w:rsidR="004E504A" w:rsidRPr="00800D70" w:rsidRDefault="004E504A" w:rsidP="00607722">
            <w:pPr>
              <w:pStyle w:val="Tabletext1"/>
            </w:pPr>
          </w:p>
          <w:p w14:paraId="740D9C50" w14:textId="77777777" w:rsidR="004E504A" w:rsidRPr="00800D70" w:rsidRDefault="004E504A" w:rsidP="00FD2C3C">
            <w:pPr>
              <w:pStyle w:val="Tabletext1"/>
            </w:pPr>
            <w:r w:rsidRPr="00800D70">
              <w:t>Control:</w:t>
            </w:r>
          </w:p>
          <w:p w14:paraId="49329569" w14:textId="77777777" w:rsidR="004E504A" w:rsidRPr="00800D70" w:rsidRDefault="004E504A" w:rsidP="00A94954">
            <w:pPr>
              <w:pStyle w:val="Tabletext1"/>
            </w:pPr>
            <w:r w:rsidRPr="00800D70">
              <w:t>Age (Mean±SD): 75.9 ±9.6</w:t>
            </w:r>
          </w:p>
          <w:p w14:paraId="349AA9CC" w14:textId="77777777" w:rsidR="004E504A" w:rsidRDefault="004E504A" w:rsidP="00A94954">
            <w:pPr>
              <w:pStyle w:val="Tabletext1"/>
            </w:pPr>
            <w:r w:rsidRPr="00800D70">
              <w:t>Gender (Female): 59% (10/17)</w:t>
            </w:r>
          </w:p>
          <w:p w14:paraId="2C70C9FB" w14:textId="77777777" w:rsidR="004E504A" w:rsidRDefault="004E504A" w:rsidP="00FC3571">
            <w:pPr>
              <w:pStyle w:val="Tabletext1"/>
            </w:pPr>
          </w:p>
          <w:p w14:paraId="2A8DA797" w14:textId="7E0177F9" w:rsidR="004E504A" w:rsidRPr="00D247BE" w:rsidRDefault="004E504A" w:rsidP="000A4AD3">
            <w:pPr>
              <w:pStyle w:val="Tabletext1"/>
              <w:rPr>
                <w:snapToGrid w:val="0"/>
              </w:rPr>
            </w:pPr>
            <w:r>
              <w:t>Intervention and control groups matched for the age, BMI, PJI risk score, CCI, length of stay, and operative time as response variables.</w:t>
            </w:r>
          </w:p>
        </w:tc>
        <w:tc>
          <w:tcPr>
            <w:tcW w:w="1355" w:type="pct"/>
            <w:shd w:val="clear" w:color="auto" w:fill="auto"/>
          </w:tcPr>
          <w:p w14:paraId="19648AD6" w14:textId="77777777" w:rsidR="004E504A" w:rsidRDefault="004E504A" w:rsidP="00607722">
            <w:pPr>
              <w:pStyle w:val="Tabletext1"/>
            </w:pPr>
            <w:r>
              <w:t>Early (3-6 months) infection</w:t>
            </w:r>
          </w:p>
          <w:p w14:paraId="412F057D" w14:textId="77777777" w:rsidR="004E504A" w:rsidRDefault="004E504A" w:rsidP="00607722">
            <w:pPr>
              <w:pStyle w:val="Tabletext1"/>
            </w:pPr>
          </w:p>
          <w:p w14:paraId="43F26CC5" w14:textId="77777777" w:rsidR="004E504A" w:rsidRDefault="004E504A" w:rsidP="00607722">
            <w:pPr>
              <w:pStyle w:val="Tabletext1"/>
            </w:pPr>
            <w:r>
              <w:t>Functional outcomes:</w:t>
            </w:r>
            <w:r w:rsidRPr="00800D70">
              <w:t xml:space="preserve"> HOOS (only post), HHS (pre/post)</w:t>
            </w:r>
          </w:p>
          <w:p w14:paraId="46438BAC" w14:textId="77777777" w:rsidR="004E504A" w:rsidRDefault="004E504A" w:rsidP="00607722">
            <w:pPr>
              <w:pStyle w:val="Tabletext1"/>
            </w:pPr>
          </w:p>
          <w:p w14:paraId="1763161D" w14:textId="2852119D" w:rsidR="004E504A" w:rsidRDefault="004E504A" w:rsidP="000A4AD3">
            <w:pPr>
              <w:pStyle w:val="Tabletext1"/>
              <w:rPr>
                <w:snapToGrid w:val="0"/>
              </w:rPr>
            </w:pPr>
            <w:r>
              <w:t>Others: Surgery duration, LOS, total complications, prolonged wound discharge, dislocation, nerve deficit, systemics, death</w:t>
            </w:r>
          </w:p>
        </w:tc>
        <w:tc>
          <w:tcPr>
            <w:tcW w:w="634" w:type="pct"/>
          </w:tcPr>
          <w:p w14:paraId="4F540A3C" w14:textId="6F7A7C7D" w:rsidR="004E504A" w:rsidRDefault="004E504A" w:rsidP="000A4AD3">
            <w:pPr>
              <w:pStyle w:val="Tabletext1"/>
              <w:rPr>
                <w:snapToGrid w:val="0"/>
              </w:rPr>
            </w:pPr>
            <w:r>
              <w:t>Not applicable</w:t>
            </w:r>
          </w:p>
        </w:tc>
      </w:tr>
      <w:tr w:rsidR="003B52C9" w:rsidRPr="00183E4D" w14:paraId="6BAA7E28" w14:textId="77777777" w:rsidTr="00AC0442">
        <w:tc>
          <w:tcPr>
            <w:tcW w:w="455" w:type="pct"/>
            <w:shd w:val="clear" w:color="auto" w:fill="auto"/>
          </w:tcPr>
          <w:p w14:paraId="02A153A1" w14:textId="4906BA0D" w:rsidR="004E504A" w:rsidRDefault="004E504A" w:rsidP="000A4AD3">
            <w:pPr>
              <w:pStyle w:val="Tabletext1"/>
              <w:rPr>
                <w:snapToGrid w:val="0"/>
              </w:rPr>
            </w:pPr>
            <w:r>
              <w:lastRenderedPageBreak/>
              <w:t>Zoccali 2021</w:t>
            </w:r>
          </w:p>
        </w:tc>
        <w:tc>
          <w:tcPr>
            <w:tcW w:w="406" w:type="pct"/>
            <w:shd w:val="clear" w:color="auto" w:fill="auto"/>
          </w:tcPr>
          <w:p w14:paraId="0211ED8E" w14:textId="221C5B44" w:rsidR="004E504A" w:rsidRDefault="004E504A" w:rsidP="000A4AD3">
            <w:pPr>
              <w:pStyle w:val="Tabletext1"/>
              <w:rPr>
                <w:snapToGrid w:val="0"/>
              </w:rPr>
            </w:pPr>
            <w:r w:rsidRPr="00800D70">
              <w:t>86 (bone tumors, severe trauma or infection)</w:t>
            </w:r>
          </w:p>
        </w:tc>
        <w:tc>
          <w:tcPr>
            <w:tcW w:w="559" w:type="pct"/>
            <w:shd w:val="clear" w:color="auto" w:fill="auto"/>
          </w:tcPr>
          <w:p w14:paraId="04D31E8F" w14:textId="34E611AD" w:rsidR="004E504A" w:rsidRPr="005A6BF4" w:rsidRDefault="004E504A" w:rsidP="000A4AD3">
            <w:pPr>
              <w:pStyle w:val="Tabletext1"/>
              <w:rPr>
                <w:snapToGrid w:val="0"/>
              </w:rPr>
            </w:pPr>
            <w:r w:rsidRPr="00800D70">
              <w:t>CC, NR, Mean±SD follow-up of 24.3 ± 11.7 months in the treatment group and 24.2 ± 11.5 months in the control group</w:t>
            </w:r>
          </w:p>
        </w:tc>
        <w:tc>
          <w:tcPr>
            <w:tcW w:w="406" w:type="pct"/>
            <w:shd w:val="clear" w:color="auto" w:fill="auto"/>
          </w:tcPr>
          <w:p w14:paraId="32480061" w14:textId="7940E8BE" w:rsidR="004E504A" w:rsidRPr="005A6BF4" w:rsidRDefault="004E504A" w:rsidP="000A4AD3">
            <w:pPr>
              <w:pStyle w:val="Tabletext1"/>
              <w:rPr>
                <w:snapToGrid w:val="0"/>
              </w:rPr>
            </w:pPr>
            <w:r w:rsidRPr="00800D70">
              <w:t>Serious</w:t>
            </w:r>
          </w:p>
        </w:tc>
        <w:tc>
          <w:tcPr>
            <w:tcW w:w="1185" w:type="pct"/>
            <w:shd w:val="clear" w:color="auto" w:fill="auto"/>
          </w:tcPr>
          <w:p w14:paraId="4A2DCB7E" w14:textId="77777777" w:rsidR="004E504A" w:rsidRPr="00800D70" w:rsidRDefault="004E504A" w:rsidP="00607722">
            <w:pPr>
              <w:pStyle w:val="Tabletext1"/>
            </w:pPr>
            <w:r w:rsidRPr="00800D70">
              <w:t>Intervention (Mean±SD):</w:t>
            </w:r>
          </w:p>
          <w:p w14:paraId="59E46E06" w14:textId="77777777" w:rsidR="004E504A" w:rsidRPr="00800D70" w:rsidRDefault="004E504A" w:rsidP="00607722">
            <w:pPr>
              <w:pStyle w:val="Tabletext1"/>
            </w:pPr>
            <w:r w:rsidRPr="00800D70">
              <w:t>Age: 45.6 ± 21.3</w:t>
            </w:r>
          </w:p>
          <w:p w14:paraId="2B5DC06F" w14:textId="77777777" w:rsidR="004E504A" w:rsidRPr="00800D70" w:rsidRDefault="004E504A" w:rsidP="00607722">
            <w:pPr>
              <w:pStyle w:val="Tabletext1"/>
            </w:pPr>
            <w:r w:rsidRPr="00800D70">
              <w:t>Gender (Female): 44% (19/43)</w:t>
            </w:r>
          </w:p>
          <w:p w14:paraId="46AC3D83" w14:textId="77777777" w:rsidR="004E504A" w:rsidRPr="00800D70" w:rsidRDefault="004E504A" w:rsidP="00607722">
            <w:pPr>
              <w:pStyle w:val="Tabletext1"/>
            </w:pPr>
          </w:p>
          <w:p w14:paraId="58C0A69A" w14:textId="77777777" w:rsidR="004E504A" w:rsidRPr="00800D70" w:rsidRDefault="004E504A" w:rsidP="00FD2C3C">
            <w:pPr>
              <w:pStyle w:val="Tabletext1"/>
            </w:pPr>
            <w:r w:rsidRPr="00800D70">
              <w:t>Control:</w:t>
            </w:r>
          </w:p>
          <w:p w14:paraId="71C43DE1" w14:textId="77777777" w:rsidR="004E504A" w:rsidRPr="00800D70" w:rsidRDefault="004E504A" w:rsidP="00A94954">
            <w:pPr>
              <w:pStyle w:val="Tabletext1"/>
            </w:pPr>
            <w:r w:rsidRPr="00800D70">
              <w:t>Age (Mean±SD): 47.4 ± 19.5</w:t>
            </w:r>
          </w:p>
          <w:p w14:paraId="1086DC13" w14:textId="77777777" w:rsidR="004E504A" w:rsidRDefault="004E504A" w:rsidP="00A94954">
            <w:pPr>
              <w:pStyle w:val="Tabletext1"/>
            </w:pPr>
            <w:r w:rsidRPr="00800D70">
              <w:t>Gender (Female): 44% (19/43)</w:t>
            </w:r>
          </w:p>
          <w:p w14:paraId="0F435070" w14:textId="20B577C8" w:rsidR="004E504A" w:rsidRPr="00D247BE" w:rsidRDefault="004E504A" w:rsidP="000A4AD3">
            <w:pPr>
              <w:pStyle w:val="Tabletext1"/>
              <w:rPr>
                <w:snapToGrid w:val="0"/>
              </w:rPr>
            </w:pPr>
            <w:r>
              <w:t xml:space="preserve">Intervention and control groups </w:t>
            </w:r>
            <w:r w:rsidRPr="009A17AA">
              <w:t>matched for age, sex, pre-operative diagnosis and host type.</w:t>
            </w:r>
          </w:p>
        </w:tc>
        <w:tc>
          <w:tcPr>
            <w:tcW w:w="1355" w:type="pct"/>
            <w:shd w:val="clear" w:color="auto" w:fill="auto"/>
          </w:tcPr>
          <w:p w14:paraId="6CC0F3F1" w14:textId="77777777" w:rsidR="004E504A" w:rsidRDefault="004E504A" w:rsidP="00607722">
            <w:pPr>
              <w:pStyle w:val="Tabletext1"/>
            </w:pPr>
            <w:r w:rsidRPr="00800D70">
              <w:t>‘Post-surgical infection’ at follow-up</w:t>
            </w:r>
            <w:r>
              <w:t>, surgery duration</w:t>
            </w:r>
          </w:p>
          <w:p w14:paraId="415B5EE9" w14:textId="77777777" w:rsidR="004E504A" w:rsidRDefault="004E504A" w:rsidP="00607722">
            <w:pPr>
              <w:pStyle w:val="Tabletext1"/>
            </w:pPr>
          </w:p>
          <w:p w14:paraId="2471921F" w14:textId="6954DBF2" w:rsidR="004E504A" w:rsidRDefault="004E504A" w:rsidP="000A4AD3">
            <w:pPr>
              <w:pStyle w:val="Tabletext1"/>
              <w:rPr>
                <w:snapToGrid w:val="0"/>
              </w:rPr>
            </w:pPr>
            <w:r>
              <w:t>Post-operative complications: Intraoperative fracture, haematoma and surgical revision, aseptic implant revision, intraoperative femoral fissure, oncological disease progression, hip implant dislocation, transient femoral nerve palsy</w:t>
            </w:r>
          </w:p>
        </w:tc>
        <w:tc>
          <w:tcPr>
            <w:tcW w:w="634" w:type="pct"/>
          </w:tcPr>
          <w:p w14:paraId="33FF7EA6" w14:textId="7786C1CE" w:rsidR="004E504A" w:rsidRDefault="004E504A" w:rsidP="000A4AD3">
            <w:pPr>
              <w:pStyle w:val="Tabletext1"/>
              <w:rPr>
                <w:snapToGrid w:val="0"/>
              </w:rPr>
            </w:pPr>
            <w:r>
              <w:t>Not applicable</w:t>
            </w:r>
          </w:p>
        </w:tc>
      </w:tr>
      <w:tr w:rsidR="004E504A" w:rsidRPr="00183E4D" w14:paraId="2F28F585" w14:textId="77777777" w:rsidTr="00AC0442">
        <w:tc>
          <w:tcPr>
            <w:tcW w:w="5000" w:type="pct"/>
            <w:gridSpan w:val="7"/>
            <w:shd w:val="clear" w:color="auto" w:fill="auto"/>
          </w:tcPr>
          <w:p w14:paraId="46546810" w14:textId="2E99E09B" w:rsidR="004E504A" w:rsidRPr="004E504A" w:rsidRDefault="004E504A" w:rsidP="000A4AD3">
            <w:pPr>
              <w:pStyle w:val="Tabletext1"/>
              <w:rPr>
                <w:snapToGrid w:val="0"/>
              </w:rPr>
            </w:pPr>
            <w:r>
              <w:t>Population 3</w:t>
            </w:r>
          </w:p>
        </w:tc>
      </w:tr>
      <w:tr w:rsidR="003B52C9" w:rsidRPr="00183E4D" w14:paraId="3AD7D475" w14:textId="77777777" w:rsidTr="00AC0442">
        <w:tc>
          <w:tcPr>
            <w:tcW w:w="455" w:type="pct"/>
            <w:shd w:val="clear" w:color="auto" w:fill="auto"/>
          </w:tcPr>
          <w:p w14:paraId="6AD82AF5" w14:textId="0D3EAD5E" w:rsidR="004E504A" w:rsidRDefault="004E504A" w:rsidP="000A4AD3">
            <w:pPr>
              <w:pStyle w:val="Tabletext1"/>
            </w:pPr>
            <w:r>
              <w:t>Romanò 2016</w:t>
            </w:r>
            <w:r w:rsidR="008A1E53">
              <w:rPr>
                <w:vertAlign w:val="superscript"/>
              </w:rPr>
              <w:t>6</w:t>
            </w:r>
          </w:p>
        </w:tc>
        <w:tc>
          <w:tcPr>
            <w:tcW w:w="406" w:type="pct"/>
            <w:shd w:val="clear" w:color="auto" w:fill="auto"/>
          </w:tcPr>
          <w:p w14:paraId="01F4F3D1" w14:textId="27A05F0E" w:rsidR="004E504A" w:rsidRPr="00800D70" w:rsidRDefault="004E504A" w:rsidP="000A4AD3">
            <w:pPr>
              <w:pStyle w:val="Tabletext1"/>
            </w:pPr>
            <w:r>
              <w:t>106 (hip and knee)</w:t>
            </w:r>
          </w:p>
        </w:tc>
        <w:tc>
          <w:tcPr>
            <w:tcW w:w="559" w:type="pct"/>
            <w:shd w:val="clear" w:color="auto" w:fill="auto"/>
          </w:tcPr>
          <w:p w14:paraId="2D3A4150" w14:textId="4E6B5D6C" w:rsidR="004E504A" w:rsidRPr="00800D70" w:rsidRDefault="004E504A" w:rsidP="000A4AD3">
            <w:pPr>
              <w:pStyle w:val="Tabletext1"/>
            </w:pPr>
            <w:r w:rsidRPr="005A6BF4">
              <w:t>R, MC, Mean±SD follow-up of 14.5 ± 5.5 months (range 6 to 24 months)</w:t>
            </w:r>
          </w:p>
        </w:tc>
        <w:tc>
          <w:tcPr>
            <w:tcW w:w="406" w:type="pct"/>
            <w:shd w:val="clear" w:color="auto" w:fill="auto"/>
          </w:tcPr>
          <w:p w14:paraId="2EE8703C" w14:textId="07EBE110" w:rsidR="004E504A" w:rsidRPr="00800D70" w:rsidRDefault="004E504A" w:rsidP="000A4AD3">
            <w:pPr>
              <w:pStyle w:val="Tabletext1"/>
            </w:pPr>
            <w:r w:rsidRPr="005A6BF4">
              <w:t>Some concerns</w:t>
            </w:r>
          </w:p>
        </w:tc>
        <w:tc>
          <w:tcPr>
            <w:tcW w:w="1185" w:type="pct"/>
            <w:shd w:val="clear" w:color="auto" w:fill="auto"/>
          </w:tcPr>
          <w:p w14:paraId="7F25DAB5" w14:textId="77777777" w:rsidR="004E504A" w:rsidRPr="00B13089" w:rsidRDefault="004E504A" w:rsidP="000A4AD3">
            <w:pPr>
              <w:pStyle w:val="Tabletext1"/>
            </w:pPr>
            <w:r w:rsidRPr="00B13089">
              <w:t>Intervention: Aged&gt; 18 yrs</w:t>
            </w:r>
          </w:p>
          <w:p w14:paraId="6A443EEC" w14:textId="77777777" w:rsidR="004E504A" w:rsidRPr="00B13089" w:rsidRDefault="004E504A" w:rsidP="000A4AD3">
            <w:pPr>
              <w:pStyle w:val="Tabletext1"/>
            </w:pPr>
            <w:r w:rsidRPr="00B13089">
              <w:t>[Whole study cohort (primary, revision): mean: 69 ± 12.6 yrs (range 36 to 96 yrs)]</w:t>
            </w:r>
          </w:p>
          <w:p w14:paraId="572ED699" w14:textId="77777777" w:rsidR="004E504A" w:rsidRPr="00B13089" w:rsidRDefault="004E504A" w:rsidP="000A4AD3">
            <w:pPr>
              <w:pStyle w:val="Tabletext1"/>
            </w:pPr>
            <w:r w:rsidRPr="00B13089">
              <w:t>Gender (Female): 57.1% (108/189)</w:t>
            </w:r>
          </w:p>
          <w:p w14:paraId="3AEB96E1" w14:textId="77777777" w:rsidR="004E504A" w:rsidRPr="00B13089" w:rsidRDefault="004E504A" w:rsidP="000A4AD3">
            <w:pPr>
              <w:pStyle w:val="Tabletext1"/>
            </w:pPr>
          </w:p>
          <w:p w14:paraId="7B0813C5" w14:textId="77777777" w:rsidR="004E504A" w:rsidRPr="00B13089" w:rsidRDefault="004E504A" w:rsidP="000A4AD3">
            <w:pPr>
              <w:pStyle w:val="Tabletext1"/>
            </w:pPr>
            <w:r w:rsidRPr="00B13089">
              <w:t xml:space="preserve">Control: Data specific to primary TJA subgroup </w:t>
            </w:r>
            <w:r>
              <w:t>not reported</w:t>
            </w:r>
            <w:r w:rsidRPr="00B13089">
              <w:t xml:space="preserve"> [Whole study cohort (primary, revision): mean±SD (range): 71±10.6 yrs (range 36-96 yrs)]</w:t>
            </w:r>
          </w:p>
          <w:p w14:paraId="7FEB6B31" w14:textId="77777777" w:rsidR="004E504A" w:rsidRPr="00B13089" w:rsidRDefault="004E504A" w:rsidP="000A4AD3">
            <w:pPr>
              <w:pStyle w:val="Tabletext1"/>
            </w:pPr>
            <w:r w:rsidRPr="00B13089">
              <w:t>Gender (Female): 59.8% (110/184)</w:t>
            </w:r>
          </w:p>
          <w:p w14:paraId="057C361C" w14:textId="77777777" w:rsidR="004E504A" w:rsidRPr="00B13089" w:rsidRDefault="004E504A" w:rsidP="000A4AD3">
            <w:pPr>
              <w:pStyle w:val="Tabletext1"/>
            </w:pPr>
          </w:p>
          <w:p w14:paraId="262673EF" w14:textId="093474AA" w:rsidR="004E504A" w:rsidRPr="00800D70" w:rsidRDefault="004E504A" w:rsidP="00607722">
            <w:pPr>
              <w:pStyle w:val="Tabletext1"/>
            </w:pPr>
            <w:r w:rsidRPr="00FC10AF">
              <w:t>Comorbidities: diabetes</w:t>
            </w:r>
            <w:r>
              <w:t>:</w:t>
            </w:r>
            <w:r w:rsidRPr="00FC10AF">
              <w:t xml:space="preserve"> 1.12% (3/267); nicotine abuse: 0.37% (1/267); previous PJI: 0.37% (1/267); previous surgeries: 0.37% (1/267)</w:t>
            </w:r>
          </w:p>
        </w:tc>
        <w:tc>
          <w:tcPr>
            <w:tcW w:w="1355" w:type="pct"/>
            <w:shd w:val="clear" w:color="auto" w:fill="auto"/>
          </w:tcPr>
          <w:p w14:paraId="3C6C62D8" w14:textId="77777777" w:rsidR="004E504A" w:rsidRDefault="004E504A" w:rsidP="000A4AD3">
            <w:pPr>
              <w:pStyle w:val="Tabletext1"/>
            </w:pPr>
            <w:r>
              <w:t>Categorical: SSI, delayed wound healing, other complications, unplanned antibiotic treatment during hospital stay for other reasons than SSI</w:t>
            </w:r>
          </w:p>
          <w:p w14:paraId="2518BE14" w14:textId="77777777" w:rsidR="004E504A" w:rsidRDefault="004E504A" w:rsidP="000A4AD3">
            <w:pPr>
              <w:pStyle w:val="Tabletext1"/>
            </w:pPr>
          </w:p>
          <w:p w14:paraId="4140D54A" w14:textId="77777777" w:rsidR="004E504A" w:rsidRDefault="004E504A" w:rsidP="000A4AD3">
            <w:pPr>
              <w:pStyle w:val="Tabletext1"/>
            </w:pPr>
            <w:r>
              <w:t>Continuous: time to early wound healing (mean ASEPSIS score at 7/14 days), serum laboratory values at six months after index surgery</w:t>
            </w:r>
          </w:p>
          <w:p w14:paraId="6F43516B" w14:textId="77777777" w:rsidR="004E504A" w:rsidRDefault="004E504A" w:rsidP="000A4AD3">
            <w:pPr>
              <w:pStyle w:val="Tabletext1"/>
            </w:pPr>
          </w:p>
          <w:p w14:paraId="2C3A4BE7" w14:textId="04977866" w:rsidR="004E504A" w:rsidRPr="00800D70" w:rsidRDefault="004E504A" w:rsidP="00607722">
            <w:pPr>
              <w:pStyle w:val="Tabletext1"/>
            </w:pPr>
            <w:r>
              <w:t>Postoperative data at the latest follow-up: SF-12 (physical, mental, total), HHS, KSS</w:t>
            </w:r>
          </w:p>
        </w:tc>
        <w:tc>
          <w:tcPr>
            <w:tcW w:w="634" w:type="pct"/>
          </w:tcPr>
          <w:p w14:paraId="537E999C" w14:textId="41F2A4B7" w:rsidR="004E504A" w:rsidRDefault="004E504A" w:rsidP="000A4AD3">
            <w:pPr>
              <w:pStyle w:val="Tabletext1"/>
            </w:pPr>
            <w:r>
              <w:rPr>
                <w:snapToGrid w:val="0"/>
              </w:rPr>
              <w:t>SSI rates, follow-up, starting age, and number of DAC kits</w:t>
            </w:r>
          </w:p>
        </w:tc>
      </w:tr>
      <w:tr w:rsidR="003B52C9" w:rsidRPr="00183E4D" w14:paraId="6152C35B" w14:textId="77777777" w:rsidTr="00AC0442">
        <w:tc>
          <w:tcPr>
            <w:tcW w:w="455" w:type="pct"/>
            <w:shd w:val="clear" w:color="auto" w:fill="auto"/>
          </w:tcPr>
          <w:p w14:paraId="762F9A77" w14:textId="14A5DB26" w:rsidR="004E504A" w:rsidRDefault="004E504A" w:rsidP="000A4AD3">
            <w:pPr>
              <w:pStyle w:val="Tabletext1"/>
            </w:pPr>
            <w:r>
              <w:t>Capuano 2018</w:t>
            </w:r>
          </w:p>
        </w:tc>
        <w:tc>
          <w:tcPr>
            <w:tcW w:w="406" w:type="pct"/>
            <w:shd w:val="clear" w:color="auto" w:fill="auto"/>
          </w:tcPr>
          <w:p w14:paraId="1B45C842" w14:textId="39D4EC0A" w:rsidR="004E504A" w:rsidRPr="00800D70" w:rsidRDefault="004E504A" w:rsidP="000A4AD3">
            <w:pPr>
              <w:pStyle w:val="Tabletext1"/>
            </w:pPr>
            <w:r w:rsidRPr="005A6BF4">
              <w:t>44</w:t>
            </w:r>
            <w:r>
              <w:t xml:space="preserve"> (hip and knee)</w:t>
            </w:r>
          </w:p>
        </w:tc>
        <w:tc>
          <w:tcPr>
            <w:tcW w:w="559" w:type="pct"/>
            <w:shd w:val="clear" w:color="auto" w:fill="auto"/>
          </w:tcPr>
          <w:p w14:paraId="5F205DB9" w14:textId="38700E0E" w:rsidR="004E504A" w:rsidRPr="00800D70" w:rsidRDefault="004E504A" w:rsidP="000A4AD3">
            <w:pPr>
              <w:pStyle w:val="Tabletext1"/>
            </w:pPr>
            <w:r w:rsidRPr="005A6BF4">
              <w:t>CC, NR, Mean±SD follow-up of 29.3 ± 5.0 months</w:t>
            </w:r>
          </w:p>
        </w:tc>
        <w:tc>
          <w:tcPr>
            <w:tcW w:w="406" w:type="pct"/>
            <w:shd w:val="clear" w:color="auto" w:fill="auto"/>
          </w:tcPr>
          <w:p w14:paraId="77B86290" w14:textId="3DD8016F" w:rsidR="004E504A" w:rsidRPr="00800D70" w:rsidRDefault="004E504A" w:rsidP="000A4AD3">
            <w:pPr>
              <w:pStyle w:val="Tabletext1"/>
            </w:pPr>
            <w:r w:rsidRPr="005A6BF4">
              <w:t>Serious</w:t>
            </w:r>
          </w:p>
        </w:tc>
        <w:tc>
          <w:tcPr>
            <w:tcW w:w="1185" w:type="pct"/>
            <w:shd w:val="clear" w:color="auto" w:fill="auto"/>
          </w:tcPr>
          <w:p w14:paraId="22BBCAB4" w14:textId="77777777" w:rsidR="004E504A" w:rsidRPr="00B13089" w:rsidRDefault="004E504A" w:rsidP="000A4AD3">
            <w:pPr>
              <w:pStyle w:val="Tabletext1"/>
            </w:pPr>
            <w:r w:rsidRPr="00B13089">
              <w:t>Mean age: 71.3 ± 13.6</w:t>
            </w:r>
          </w:p>
          <w:p w14:paraId="195C2AE4" w14:textId="77777777" w:rsidR="004E504A" w:rsidRDefault="004E504A" w:rsidP="000A4AD3">
            <w:pPr>
              <w:pStyle w:val="Tabletext1"/>
            </w:pPr>
            <w:r w:rsidRPr="00B13089">
              <w:t>Gender (Female): 59.1% in both cases and controls</w:t>
            </w:r>
          </w:p>
          <w:p w14:paraId="77AA1EC7" w14:textId="7FE63BF3" w:rsidR="004E504A" w:rsidRPr="00800D70" w:rsidRDefault="004E504A" w:rsidP="00607722">
            <w:pPr>
              <w:pStyle w:val="Tabletext1"/>
            </w:pPr>
            <w:r>
              <w:t>Intervention and control groups matched for age, sex, site of infection and host type according to McPherson’s classification</w:t>
            </w:r>
          </w:p>
        </w:tc>
        <w:tc>
          <w:tcPr>
            <w:tcW w:w="1355" w:type="pct"/>
            <w:shd w:val="clear" w:color="auto" w:fill="auto"/>
          </w:tcPr>
          <w:p w14:paraId="3E96D249" w14:textId="77777777" w:rsidR="004E504A" w:rsidRDefault="004E504A" w:rsidP="000A4AD3">
            <w:pPr>
              <w:pStyle w:val="Tabletext1"/>
            </w:pPr>
            <w:r>
              <w:t xml:space="preserve">Categorical: </w:t>
            </w:r>
            <w:r w:rsidRPr="00D1717F">
              <w:t>delayed or late periprosthetic hip/knee infection</w:t>
            </w:r>
          </w:p>
          <w:p w14:paraId="3B0E21D9" w14:textId="77777777" w:rsidR="004E504A" w:rsidRDefault="004E504A" w:rsidP="000A4AD3">
            <w:pPr>
              <w:pStyle w:val="Tabletext1"/>
            </w:pPr>
          </w:p>
          <w:p w14:paraId="546BAADB" w14:textId="283547D1" w:rsidR="004E504A" w:rsidRPr="00800D70" w:rsidRDefault="004E504A" w:rsidP="00607722">
            <w:pPr>
              <w:pStyle w:val="Tabletext1"/>
            </w:pPr>
            <w:r>
              <w:t>Continuous: SF-12 score (total), HHS, KSS, hospital LOS, duration of systemic antibiotic therapy</w:t>
            </w:r>
          </w:p>
        </w:tc>
        <w:tc>
          <w:tcPr>
            <w:tcW w:w="634" w:type="pct"/>
          </w:tcPr>
          <w:p w14:paraId="4186896C" w14:textId="1F10E96E" w:rsidR="004E504A" w:rsidRDefault="004E504A" w:rsidP="000A4AD3">
            <w:pPr>
              <w:pStyle w:val="Tabletext1"/>
            </w:pPr>
            <w:r>
              <w:rPr>
                <w:snapToGrid w:val="0"/>
              </w:rPr>
              <w:t>SSI rates, and number of DAC kits</w:t>
            </w:r>
          </w:p>
        </w:tc>
      </w:tr>
      <w:tr w:rsidR="003B52C9" w:rsidRPr="00183E4D" w14:paraId="682CE4DD" w14:textId="77777777" w:rsidTr="00AC0442">
        <w:tc>
          <w:tcPr>
            <w:tcW w:w="455" w:type="pct"/>
            <w:shd w:val="clear" w:color="auto" w:fill="auto"/>
          </w:tcPr>
          <w:p w14:paraId="50590C78" w14:textId="66D7E5E5" w:rsidR="004E504A" w:rsidRDefault="004E504A" w:rsidP="000A4AD3">
            <w:pPr>
              <w:pStyle w:val="Tabletext1"/>
            </w:pPr>
            <w:r>
              <w:lastRenderedPageBreak/>
              <w:t>Zagra 2019</w:t>
            </w:r>
          </w:p>
        </w:tc>
        <w:tc>
          <w:tcPr>
            <w:tcW w:w="406" w:type="pct"/>
            <w:shd w:val="clear" w:color="auto" w:fill="auto"/>
          </w:tcPr>
          <w:p w14:paraId="03402706" w14:textId="039B603B" w:rsidR="004E504A" w:rsidRPr="00800D70" w:rsidRDefault="004E504A" w:rsidP="000A4AD3">
            <w:pPr>
              <w:pStyle w:val="Tabletext1"/>
            </w:pPr>
            <w:r w:rsidRPr="005A6BF4">
              <w:t>54</w:t>
            </w:r>
            <w:r>
              <w:t xml:space="preserve"> (hip)</w:t>
            </w:r>
          </w:p>
        </w:tc>
        <w:tc>
          <w:tcPr>
            <w:tcW w:w="559" w:type="pct"/>
            <w:shd w:val="clear" w:color="auto" w:fill="auto"/>
          </w:tcPr>
          <w:p w14:paraId="4F25B2F9" w14:textId="7AC76955" w:rsidR="004E504A" w:rsidRPr="00800D70" w:rsidRDefault="004E504A" w:rsidP="000A4AD3">
            <w:pPr>
              <w:pStyle w:val="Tabletext1"/>
            </w:pPr>
            <w:r w:rsidRPr="005A6BF4">
              <w:t>CC, NR, Mean±SD follow-up of 2.7 ± 0.6 years (min: 2, max: 3.5 years)</w:t>
            </w:r>
          </w:p>
        </w:tc>
        <w:tc>
          <w:tcPr>
            <w:tcW w:w="406" w:type="pct"/>
            <w:shd w:val="clear" w:color="auto" w:fill="auto"/>
          </w:tcPr>
          <w:p w14:paraId="744FD139" w14:textId="4F20E108" w:rsidR="004E504A" w:rsidRPr="00800D70" w:rsidRDefault="004E504A" w:rsidP="000A4AD3">
            <w:pPr>
              <w:pStyle w:val="Tabletext1"/>
            </w:pPr>
            <w:r w:rsidRPr="005A6BF4">
              <w:t>Serious</w:t>
            </w:r>
          </w:p>
        </w:tc>
        <w:tc>
          <w:tcPr>
            <w:tcW w:w="1185" w:type="pct"/>
            <w:shd w:val="clear" w:color="auto" w:fill="auto"/>
          </w:tcPr>
          <w:p w14:paraId="3B65D330" w14:textId="77777777" w:rsidR="004E504A" w:rsidRPr="00B13089" w:rsidRDefault="004E504A" w:rsidP="000A4AD3">
            <w:pPr>
              <w:pStyle w:val="Tabletext1"/>
            </w:pPr>
            <w:r>
              <w:t>Intervention</w:t>
            </w:r>
            <w:r w:rsidRPr="00B13089">
              <w:t xml:space="preserve"> (mean age): 63.9 ± 11.7 years;</w:t>
            </w:r>
          </w:p>
          <w:p w14:paraId="4C63A5C3" w14:textId="77777777" w:rsidR="004E504A" w:rsidRPr="00B13089" w:rsidRDefault="004E504A" w:rsidP="000A4AD3">
            <w:pPr>
              <w:pStyle w:val="Tabletext1"/>
            </w:pPr>
            <w:r w:rsidRPr="00B13089">
              <w:t>Control group: 64.8 ± 10.1 years</w:t>
            </w:r>
          </w:p>
          <w:p w14:paraId="60C3DDE1" w14:textId="77777777" w:rsidR="004E504A" w:rsidRPr="00B13089" w:rsidRDefault="004E504A" w:rsidP="000A4AD3">
            <w:pPr>
              <w:pStyle w:val="Tabletext1"/>
            </w:pPr>
            <w:r w:rsidRPr="00B13089">
              <w:t>Gender (Female):</w:t>
            </w:r>
          </w:p>
          <w:p w14:paraId="5523DD20" w14:textId="77777777" w:rsidR="004E504A" w:rsidRPr="00B13089" w:rsidRDefault="004E504A" w:rsidP="000A4AD3">
            <w:pPr>
              <w:pStyle w:val="Tabletext1"/>
            </w:pPr>
            <w:r w:rsidRPr="00B13089">
              <w:t>Treatment: 59.3% (16/27)</w:t>
            </w:r>
          </w:p>
          <w:p w14:paraId="5BE6ED0A" w14:textId="77777777" w:rsidR="004E504A" w:rsidRDefault="004E504A" w:rsidP="000A4AD3">
            <w:pPr>
              <w:pStyle w:val="Tabletext1"/>
            </w:pPr>
            <w:r w:rsidRPr="00B13089">
              <w:t>Control: 48.1% (13/27)</w:t>
            </w:r>
          </w:p>
          <w:p w14:paraId="351A7596" w14:textId="45207F5C" w:rsidR="004E504A" w:rsidRPr="00800D70" w:rsidRDefault="004E504A" w:rsidP="00607722">
            <w:pPr>
              <w:pStyle w:val="Tabletext1"/>
            </w:pPr>
            <w:r>
              <w:t xml:space="preserve">Intervention and control groups matched for </w:t>
            </w:r>
            <w:r w:rsidRPr="001D5B60">
              <w:t>age and host type</w:t>
            </w:r>
          </w:p>
        </w:tc>
        <w:tc>
          <w:tcPr>
            <w:tcW w:w="1355" w:type="pct"/>
            <w:shd w:val="clear" w:color="auto" w:fill="auto"/>
          </w:tcPr>
          <w:p w14:paraId="0AC2C763" w14:textId="77777777" w:rsidR="004E504A" w:rsidRDefault="004E504A" w:rsidP="000A4AD3">
            <w:pPr>
              <w:pStyle w:val="Tabletext1"/>
            </w:pPr>
            <w:r w:rsidRPr="00A67760">
              <w:t xml:space="preserve">Categorical: </w:t>
            </w:r>
            <w:r w:rsidRPr="00147877">
              <w:t>delayed or later periprosthetic hip infection</w:t>
            </w:r>
            <w:r>
              <w:t>, delayed wound healing, dislocation</w:t>
            </w:r>
          </w:p>
          <w:p w14:paraId="6D67E812" w14:textId="77777777" w:rsidR="004E504A" w:rsidRDefault="004E504A" w:rsidP="000A4AD3">
            <w:pPr>
              <w:pStyle w:val="Tabletext1"/>
            </w:pPr>
          </w:p>
          <w:p w14:paraId="531DDB53" w14:textId="463EE2D7" w:rsidR="004E504A" w:rsidRPr="00800D70" w:rsidRDefault="004E504A" w:rsidP="00607722">
            <w:pPr>
              <w:pStyle w:val="Tabletext1"/>
            </w:pPr>
            <w:r>
              <w:t>Continuous: HHS, hospital LOS</w:t>
            </w:r>
          </w:p>
        </w:tc>
        <w:tc>
          <w:tcPr>
            <w:tcW w:w="634" w:type="pct"/>
          </w:tcPr>
          <w:p w14:paraId="3B73E535" w14:textId="759125F3" w:rsidR="004E504A" w:rsidRDefault="004E504A" w:rsidP="000A4AD3">
            <w:pPr>
              <w:pStyle w:val="Tabletext1"/>
            </w:pPr>
            <w:r>
              <w:rPr>
                <w:snapToGrid w:val="0"/>
              </w:rPr>
              <w:t>SSI rates, and number of DAC kits</w:t>
            </w:r>
          </w:p>
        </w:tc>
      </w:tr>
      <w:tr w:rsidR="004E504A" w:rsidRPr="00183E4D" w14:paraId="4835048C" w14:textId="77777777" w:rsidTr="00AC0442">
        <w:tc>
          <w:tcPr>
            <w:tcW w:w="5000" w:type="pct"/>
            <w:gridSpan w:val="7"/>
            <w:shd w:val="clear" w:color="auto" w:fill="auto"/>
          </w:tcPr>
          <w:p w14:paraId="69965B2F" w14:textId="1CF522AB" w:rsidR="004E504A" w:rsidRPr="004772F6" w:rsidRDefault="004E504A" w:rsidP="000A4AD3">
            <w:pPr>
              <w:pStyle w:val="Tabletext1"/>
              <w:rPr>
                <w:snapToGrid w:val="0"/>
              </w:rPr>
            </w:pPr>
            <w:r>
              <w:rPr>
                <w:snapToGrid w:val="0"/>
              </w:rPr>
              <w:t>Population 4</w:t>
            </w:r>
          </w:p>
        </w:tc>
      </w:tr>
      <w:tr w:rsidR="003B52C9" w:rsidRPr="00183E4D" w14:paraId="14A8474C" w14:textId="77777777" w:rsidTr="00AC0442">
        <w:tc>
          <w:tcPr>
            <w:tcW w:w="455" w:type="pct"/>
            <w:shd w:val="clear" w:color="auto" w:fill="auto"/>
          </w:tcPr>
          <w:p w14:paraId="4B5B31E9" w14:textId="755B5351" w:rsidR="004E504A" w:rsidRDefault="004E504A" w:rsidP="000A4AD3">
            <w:pPr>
              <w:pStyle w:val="Tabletext1"/>
            </w:pPr>
            <w:r>
              <w:rPr>
                <w:snapToGrid w:val="0"/>
              </w:rPr>
              <w:t>Malizos 2017 (Closed fractures)</w:t>
            </w:r>
          </w:p>
        </w:tc>
        <w:tc>
          <w:tcPr>
            <w:tcW w:w="406" w:type="pct"/>
            <w:shd w:val="clear" w:color="auto" w:fill="auto"/>
          </w:tcPr>
          <w:p w14:paraId="049686D9" w14:textId="4B984C80" w:rsidR="004E504A" w:rsidRPr="005A6BF4" w:rsidRDefault="004E504A" w:rsidP="000A4AD3">
            <w:pPr>
              <w:pStyle w:val="Tabletext1"/>
            </w:pPr>
            <w:r w:rsidRPr="007E3F2E">
              <w:rPr>
                <w:snapToGrid w:val="0"/>
              </w:rPr>
              <w:t>253</w:t>
            </w:r>
            <w:r>
              <w:rPr>
                <w:snapToGrid w:val="0"/>
              </w:rPr>
              <w:t xml:space="preserve"> (</w:t>
            </w:r>
            <w:r w:rsidRPr="00BB33FD">
              <w:rPr>
                <w:snapToGrid w:val="0"/>
              </w:rPr>
              <w:t>fresh fractures</w:t>
            </w:r>
            <w:r>
              <w:rPr>
                <w:snapToGrid w:val="0"/>
              </w:rPr>
              <w:t>)</w:t>
            </w:r>
          </w:p>
        </w:tc>
        <w:tc>
          <w:tcPr>
            <w:tcW w:w="559" w:type="pct"/>
            <w:shd w:val="clear" w:color="auto" w:fill="auto"/>
          </w:tcPr>
          <w:p w14:paraId="2CBBB0EE" w14:textId="77777777" w:rsidR="004E504A" w:rsidRPr="007E3F2E" w:rsidRDefault="004E504A" w:rsidP="00607722">
            <w:pPr>
              <w:pStyle w:val="Tabletext1"/>
              <w:rPr>
                <w:snapToGrid w:val="0"/>
              </w:rPr>
            </w:pPr>
            <w:r w:rsidRPr="007E3F2E">
              <w:rPr>
                <w:snapToGrid w:val="0"/>
              </w:rPr>
              <w:t>R, MC, Mean±SD follow-up of 18.1 ± 4.5 months</w:t>
            </w:r>
          </w:p>
          <w:p w14:paraId="1DBFE616" w14:textId="377F598D" w:rsidR="004E504A" w:rsidRPr="005A6BF4" w:rsidRDefault="004E504A" w:rsidP="000A4AD3">
            <w:pPr>
              <w:pStyle w:val="Tabletext1"/>
            </w:pPr>
            <w:r w:rsidRPr="007E3F2E">
              <w:rPr>
                <w:snapToGrid w:val="0"/>
              </w:rPr>
              <w:t>(range 12–30 months); results presented for minimum of 12-month follow-up</w:t>
            </w:r>
          </w:p>
        </w:tc>
        <w:tc>
          <w:tcPr>
            <w:tcW w:w="406" w:type="pct"/>
            <w:shd w:val="clear" w:color="auto" w:fill="auto"/>
          </w:tcPr>
          <w:p w14:paraId="65EA96C2" w14:textId="2B9B4DD1" w:rsidR="004E504A" w:rsidRPr="005A6BF4" w:rsidRDefault="004E504A" w:rsidP="000A4AD3">
            <w:pPr>
              <w:pStyle w:val="Tabletext1"/>
            </w:pPr>
            <w:r w:rsidRPr="007E3F2E">
              <w:rPr>
                <w:snapToGrid w:val="0"/>
              </w:rPr>
              <w:t>Some concerns</w:t>
            </w:r>
          </w:p>
        </w:tc>
        <w:tc>
          <w:tcPr>
            <w:tcW w:w="1185" w:type="pct"/>
            <w:shd w:val="clear" w:color="auto" w:fill="auto"/>
          </w:tcPr>
          <w:p w14:paraId="00050B5E" w14:textId="77777777" w:rsidR="004E504A" w:rsidRPr="00A56EE1" w:rsidRDefault="004E504A" w:rsidP="00607722">
            <w:pPr>
              <w:pStyle w:val="Tabletext1"/>
              <w:rPr>
                <w:snapToGrid w:val="0"/>
              </w:rPr>
            </w:pPr>
            <w:r w:rsidRPr="00A56EE1">
              <w:rPr>
                <w:snapToGrid w:val="0"/>
              </w:rPr>
              <w:t>Age (&gt;18 years), Mean±SD:</w:t>
            </w:r>
          </w:p>
          <w:p w14:paraId="5C91D0B7" w14:textId="77777777" w:rsidR="004E504A" w:rsidRPr="00A56EE1" w:rsidRDefault="004E504A" w:rsidP="00607722">
            <w:pPr>
              <w:pStyle w:val="Tabletext1"/>
              <w:rPr>
                <w:snapToGrid w:val="0"/>
              </w:rPr>
            </w:pPr>
            <w:r>
              <w:rPr>
                <w:snapToGrid w:val="0"/>
              </w:rPr>
              <w:t>Intervention</w:t>
            </w:r>
            <w:r w:rsidRPr="00A56EE1">
              <w:rPr>
                <w:snapToGrid w:val="0"/>
              </w:rPr>
              <w:t>: 62.5 ± 21.2</w:t>
            </w:r>
          </w:p>
          <w:p w14:paraId="6100E5D4" w14:textId="77777777" w:rsidR="004E504A" w:rsidRPr="00A56EE1" w:rsidRDefault="004E504A" w:rsidP="00607722">
            <w:pPr>
              <w:pStyle w:val="Tabletext1"/>
              <w:rPr>
                <w:snapToGrid w:val="0"/>
              </w:rPr>
            </w:pPr>
            <w:r w:rsidRPr="00A56EE1">
              <w:rPr>
                <w:snapToGrid w:val="0"/>
              </w:rPr>
              <w:t>Control: 58.6 ± 17.6</w:t>
            </w:r>
          </w:p>
          <w:p w14:paraId="4BE8C4B3" w14:textId="77777777" w:rsidR="004E504A" w:rsidRPr="00A56EE1" w:rsidRDefault="004E504A" w:rsidP="00FD2C3C">
            <w:pPr>
              <w:pStyle w:val="Tabletext1"/>
              <w:rPr>
                <w:snapToGrid w:val="0"/>
              </w:rPr>
            </w:pPr>
            <w:r w:rsidRPr="00A56EE1">
              <w:rPr>
                <w:snapToGrid w:val="0"/>
              </w:rPr>
              <w:t>Gender (Female):</w:t>
            </w:r>
          </w:p>
          <w:p w14:paraId="3BCEDB06" w14:textId="77777777" w:rsidR="004E504A" w:rsidRPr="00A56EE1" w:rsidRDefault="004E504A" w:rsidP="00A94954">
            <w:pPr>
              <w:pStyle w:val="Tabletext1"/>
              <w:rPr>
                <w:snapToGrid w:val="0"/>
              </w:rPr>
            </w:pPr>
            <w:r>
              <w:rPr>
                <w:snapToGrid w:val="0"/>
              </w:rPr>
              <w:t>Intervention</w:t>
            </w:r>
            <w:r w:rsidRPr="00A56EE1">
              <w:rPr>
                <w:snapToGrid w:val="0"/>
              </w:rPr>
              <w:t>: 57.9% (73/126)</w:t>
            </w:r>
          </w:p>
          <w:p w14:paraId="09B54069" w14:textId="77777777" w:rsidR="004E504A" w:rsidRDefault="004E504A" w:rsidP="00A94954">
            <w:pPr>
              <w:pStyle w:val="Tabletext1"/>
              <w:rPr>
                <w:snapToGrid w:val="0"/>
              </w:rPr>
            </w:pPr>
            <w:r w:rsidRPr="00A56EE1">
              <w:rPr>
                <w:snapToGrid w:val="0"/>
              </w:rPr>
              <w:t>Control: 55.1% (70/127)</w:t>
            </w:r>
          </w:p>
          <w:p w14:paraId="73A6763A" w14:textId="12A9AECB" w:rsidR="004E504A" w:rsidRDefault="004E504A" w:rsidP="000A4AD3">
            <w:pPr>
              <w:pStyle w:val="Tabletext1"/>
            </w:pPr>
            <w:r>
              <w:rPr>
                <w:snapToGrid w:val="0"/>
              </w:rPr>
              <w:t>Comorbidities</w:t>
            </w:r>
            <w:r w:rsidR="008A1E53">
              <w:rPr>
                <w:b/>
                <w:bCs/>
                <w:snapToGrid w:val="0"/>
                <w:vertAlign w:val="superscript"/>
              </w:rPr>
              <w:t>7</w:t>
            </w:r>
            <w:r>
              <w:rPr>
                <w:snapToGrid w:val="0"/>
              </w:rPr>
              <w:t xml:space="preserve">: Nicotine abuse: 0.79% (2/253); alcohol abuse: 0.40% (1/253); diabetes: 0.79% (2/253); vasculopathy: 0.40% (1/253) </w:t>
            </w:r>
          </w:p>
        </w:tc>
        <w:tc>
          <w:tcPr>
            <w:tcW w:w="1355" w:type="pct"/>
            <w:shd w:val="clear" w:color="auto" w:fill="auto"/>
          </w:tcPr>
          <w:p w14:paraId="0671972A" w14:textId="77777777" w:rsidR="004E504A" w:rsidRDefault="004E504A" w:rsidP="00607722">
            <w:pPr>
              <w:pStyle w:val="Tabletext1"/>
              <w:rPr>
                <w:snapToGrid w:val="0"/>
              </w:rPr>
            </w:pPr>
            <w:r>
              <w:rPr>
                <w:snapToGrid w:val="0"/>
              </w:rPr>
              <w:t>Complications: SSI, delayed wound healing, delayed union</w:t>
            </w:r>
          </w:p>
          <w:p w14:paraId="4EC0C7D3" w14:textId="77777777" w:rsidR="004E504A" w:rsidRDefault="004E504A" w:rsidP="00607722">
            <w:pPr>
              <w:pStyle w:val="Tabletext1"/>
              <w:rPr>
                <w:snapToGrid w:val="0"/>
              </w:rPr>
            </w:pPr>
          </w:p>
          <w:p w14:paraId="54128289" w14:textId="54BED1E0" w:rsidR="004E504A" w:rsidRPr="00A67760" w:rsidRDefault="004E504A" w:rsidP="000A4AD3">
            <w:pPr>
              <w:pStyle w:val="Tabletext1"/>
            </w:pPr>
            <w:r>
              <w:rPr>
                <w:snapToGrid w:val="0"/>
              </w:rPr>
              <w:t>Follow-up: SF-12 (physical, mental and total)</w:t>
            </w:r>
          </w:p>
        </w:tc>
        <w:tc>
          <w:tcPr>
            <w:tcW w:w="634" w:type="pct"/>
          </w:tcPr>
          <w:p w14:paraId="65269829" w14:textId="3786719E" w:rsidR="004E504A" w:rsidRDefault="004E504A" w:rsidP="000A4AD3">
            <w:pPr>
              <w:pStyle w:val="Tabletext1"/>
              <w:rPr>
                <w:snapToGrid w:val="0"/>
              </w:rPr>
            </w:pPr>
            <w:r>
              <w:rPr>
                <w:snapToGrid w:val="0"/>
              </w:rPr>
              <w:t>Not applicable</w:t>
            </w:r>
          </w:p>
        </w:tc>
      </w:tr>
    </w:tbl>
    <w:p w14:paraId="5CB298A6" w14:textId="5DB42159" w:rsidR="006D0DFC" w:rsidRPr="00702BD5" w:rsidRDefault="006D0DFC" w:rsidP="000A4AD3">
      <w:pPr>
        <w:pStyle w:val="Tabletext1"/>
        <w:rPr>
          <w:rStyle w:val="TablenotesChar0"/>
        </w:rPr>
      </w:pPr>
      <w:r w:rsidRPr="00702BD5">
        <w:rPr>
          <w:rStyle w:val="TablenotesChar0"/>
        </w:rPr>
        <w:t xml:space="preserve">Source: </w:t>
      </w:r>
      <w:r w:rsidR="00A94954">
        <w:rPr>
          <w:rStyle w:val="TablenotesChar0"/>
        </w:rPr>
        <w:t xml:space="preserve">Table 1, p 24 of MSAC 1629 DCAR, adapted from </w:t>
      </w:r>
      <w:r w:rsidR="004E504A">
        <w:rPr>
          <w:rStyle w:val="TablenotesChar0"/>
        </w:rPr>
        <w:t xml:space="preserve">Capuano </w:t>
      </w:r>
      <w:r w:rsidR="002B61F3">
        <w:rPr>
          <w:rStyle w:val="TablenotesChar0"/>
        </w:rPr>
        <w:t xml:space="preserve">et al. </w:t>
      </w:r>
      <w:r w:rsidR="004E504A">
        <w:rPr>
          <w:rStyle w:val="TablenotesChar0"/>
        </w:rPr>
        <w:t>2018</w:t>
      </w:r>
      <w:r w:rsidR="004E504A" w:rsidRPr="002431BA">
        <w:rPr>
          <w:rStyle w:val="TablenotesChar0"/>
        </w:rPr>
        <w:t xml:space="preserve">, </w:t>
      </w:r>
      <w:r>
        <w:rPr>
          <w:rStyle w:val="TablenotesChar0"/>
        </w:rPr>
        <w:t>De Meo</w:t>
      </w:r>
      <w:r w:rsidR="002B61F3">
        <w:rPr>
          <w:rStyle w:val="TablenotesChar0"/>
        </w:rPr>
        <w:t xml:space="preserve"> et al.</w:t>
      </w:r>
      <w:r>
        <w:rPr>
          <w:rStyle w:val="TablenotesChar0"/>
        </w:rPr>
        <w:t xml:space="preserve"> 2020</w:t>
      </w:r>
      <w:r w:rsidRPr="00702BD5">
        <w:rPr>
          <w:rStyle w:val="TablenotesChar0"/>
        </w:rPr>
        <w:t xml:space="preserve">, </w:t>
      </w:r>
      <w:r w:rsidR="004E504A">
        <w:rPr>
          <w:rStyle w:val="TablenotesChar0"/>
        </w:rPr>
        <w:t>Malizos 2017</w:t>
      </w:r>
      <w:r w:rsidR="001576B4">
        <w:rPr>
          <w:rStyle w:val="TablenotesChar0"/>
        </w:rPr>
        <w:t xml:space="preserve">, </w:t>
      </w:r>
      <w:r w:rsidR="004E504A">
        <w:rPr>
          <w:rStyle w:val="TablenotesChar0"/>
        </w:rPr>
        <w:t xml:space="preserve">Romanò </w:t>
      </w:r>
      <w:r w:rsidR="002B61F3">
        <w:rPr>
          <w:rStyle w:val="TablenotesChar0"/>
        </w:rPr>
        <w:t xml:space="preserve">et al. </w:t>
      </w:r>
      <w:r w:rsidR="004E504A">
        <w:rPr>
          <w:rStyle w:val="TablenotesChar0"/>
        </w:rPr>
        <w:t>2016</w:t>
      </w:r>
      <w:r w:rsidR="004E504A" w:rsidRPr="002431BA">
        <w:rPr>
          <w:rStyle w:val="TablenotesChar0"/>
        </w:rPr>
        <w:t xml:space="preserve">, </w:t>
      </w:r>
      <w:r w:rsidR="004E504A">
        <w:rPr>
          <w:rStyle w:val="TablenotesChar0"/>
        </w:rPr>
        <w:t>Zagra</w:t>
      </w:r>
      <w:r w:rsidR="002B61F3">
        <w:rPr>
          <w:rStyle w:val="TablenotesChar0"/>
        </w:rPr>
        <w:t xml:space="preserve"> et al.</w:t>
      </w:r>
      <w:r w:rsidR="004E504A">
        <w:rPr>
          <w:rStyle w:val="TablenotesChar0"/>
        </w:rPr>
        <w:t xml:space="preserve"> 2019; </w:t>
      </w:r>
      <w:r>
        <w:rPr>
          <w:rStyle w:val="TablenotesChar0"/>
        </w:rPr>
        <w:t xml:space="preserve">Zoccali </w:t>
      </w:r>
      <w:r w:rsidR="002B61F3">
        <w:rPr>
          <w:rStyle w:val="TablenotesChar0"/>
        </w:rPr>
        <w:t xml:space="preserve">et al. </w:t>
      </w:r>
      <w:r>
        <w:rPr>
          <w:rStyle w:val="TablenotesChar0"/>
        </w:rPr>
        <w:t>2021</w:t>
      </w:r>
    </w:p>
    <w:p w14:paraId="4A96EF99" w14:textId="6341DDEF" w:rsidR="006D0DFC" w:rsidRDefault="006D0DFC" w:rsidP="000A4AD3">
      <w:pPr>
        <w:pStyle w:val="Tablenotes0"/>
        <w:rPr>
          <w:rStyle w:val="TablenotesChar0"/>
        </w:rPr>
      </w:pPr>
      <w:r>
        <w:rPr>
          <w:rStyle w:val="TablenotesChar0"/>
        </w:rPr>
        <w:t xml:space="preserve">Abbreviations: </w:t>
      </w:r>
      <w:r w:rsidR="003B52C9" w:rsidRPr="00277F86">
        <w:rPr>
          <w:rStyle w:val="TablenotesChar0"/>
        </w:rPr>
        <w:t>ASEPSIS=Additional treatment, the presence of Serous discharge, Erythema, Purulent exudate, and Separation of the deep tissues, the Isolation of bacteria, and the duration of inpatient Stay;</w:t>
      </w:r>
      <w:r w:rsidR="003B52C9">
        <w:rPr>
          <w:rStyle w:val="TablenotesChar0"/>
        </w:rPr>
        <w:t xml:space="preserve"> </w:t>
      </w:r>
      <w:r>
        <w:rPr>
          <w:rStyle w:val="TablenotesChar0"/>
        </w:rPr>
        <w:t>CC</w:t>
      </w:r>
      <w:r w:rsidRPr="00183E4D">
        <w:rPr>
          <w:rStyle w:val="TablenotesChar0"/>
        </w:rPr>
        <w:t>=</w:t>
      </w:r>
      <w:r>
        <w:rPr>
          <w:rStyle w:val="TablenotesChar0"/>
        </w:rPr>
        <w:t xml:space="preserve"> Case-control</w:t>
      </w:r>
      <w:r w:rsidRPr="00183E4D">
        <w:rPr>
          <w:rStyle w:val="TablenotesChar0"/>
        </w:rPr>
        <w:t>;</w:t>
      </w:r>
      <w:r>
        <w:rPr>
          <w:rStyle w:val="TablenotesChar0"/>
        </w:rPr>
        <w:t xml:space="preserve"> HHS= </w:t>
      </w:r>
      <w:r w:rsidRPr="00FD7E88">
        <w:t>H</w:t>
      </w:r>
      <w:r>
        <w:t xml:space="preserve">arris Hip Score; </w:t>
      </w:r>
      <w:r w:rsidR="003B52C9">
        <w:rPr>
          <w:rStyle w:val="TablenotesChar0"/>
        </w:rPr>
        <w:t>HOOS= H</w:t>
      </w:r>
      <w:r w:rsidR="003B52C9" w:rsidRPr="00F9461B">
        <w:rPr>
          <w:rStyle w:val="TablenotesChar0"/>
        </w:rPr>
        <w:t>ip</w:t>
      </w:r>
      <w:r w:rsidR="003B52C9">
        <w:rPr>
          <w:rStyle w:val="TablenotesChar0"/>
        </w:rPr>
        <w:t xml:space="preserve"> </w:t>
      </w:r>
      <w:r w:rsidR="003B52C9" w:rsidRPr="00F9461B">
        <w:rPr>
          <w:rStyle w:val="TablenotesChar0"/>
        </w:rPr>
        <w:t>disability osteoarthritis outcome score</w:t>
      </w:r>
      <w:r w:rsidR="003B52C9">
        <w:rPr>
          <w:rStyle w:val="TablenotesChar0"/>
        </w:rPr>
        <w:t xml:space="preserve">; </w:t>
      </w:r>
      <w:r w:rsidR="003B52C9">
        <w:t xml:space="preserve">; KSS= </w:t>
      </w:r>
      <w:r w:rsidR="003B52C9" w:rsidRPr="00F9461B">
        <w:t>Knee Society Scores</w:t>
      </w:r>
      <w:r w:rsidR="003B52C9">
        <w:t xml:space="preserve"> </w:t>
      </w:r>
      <w:r>
        <w:t xml:space="preserve">LOS= Length of Stay; </w:t>
      </w:r>
      <w:r w:rsidR="003B52C9" w:rsidRPr="00183E4D">
        <w:rPr>
          <w:rStyle w:val="TablenotesChar0"/>
        </w:rPr>
        <w:t>MC=</w:t>
      </w:r>
      <w:r w:rsidR="003B52C9">
        <w:rPr>
          <w:rStyle w:val="TablenotesChar0"/>
        </w:rPr>
        <w:t xml:space="preserve"> M</w:t>
      </w:r>
      <w:r w:rsidR="003B52C9" w:rsidRPr="00183E4D">
        <w:rPr>
          <w:rStyle w:val="TablenotesChar0"/>
        </w:rPr>
        <w:t>ulti-centre;</w:t>
      </w:r>
      <w:r w:rsidR="003B52C9">
        <w:rPr>
          <w:rStyle w:val="TablenotesChar0"/>
        </w:rPr>
        <w:t xml:space="preserve"> NR= Not randomised,</w:t>
      </w:r>
      <w:r w:rsidR="003B52C9" w:rsidRPr="00183E4D">
        <w:rPr>
          <w:rStyle w:val="TablenotesChar0"/>
        </w:rPr>
        <w:t xml:space="preserve"> </w:t>
      </w:r>
      <w:r w:rsidR="003B52C9">
        <w:rPr>
          <w:rStyle w:val="TablenotesChar0"/>
        </w:rPr>
        <w:t>R= Randomised</w:t>
      </w:r>
      <w:r w:rsidR="003B52C9" w:rsidRPr="00183E4D">
        <w:rPr>
          <w:rStyle w:val="TablenotesChar0"/>
        </w:rPr>
        <w:t xml:space="preserve">; </w:t>
      </w:r>
      <w:r w:rsidR="003B52C9">
        <w:rPr>
          <w:rStyle w:val="TablenotesChar0"/>
        </w:rPr>
        <w:t xml:space="preserve">PJI= Periprosthetic Joint Infection; SD= Standard Deviation; SF-12= Short-form 12, </w:t>
      </w:r>
      <w:r>
        <w:rPr>
          <w:rStyle w:val="TablenotesChar0"/>
        </w:rPr>
        <w:t>SSI= Surgical Site Infection; THA= Total Hip Arthroplasty</w:t>
      </w:r>
    </w:p>
    <w:p w14:paraId="1B728B83" w14:textId="56FA41C4" w:rsidR="006D0DFC" w:rsidRDefault="006D0DFC" w:rsidP="000A4AD3">
      <w:pPr>
        <w:pStyle w:val="Tablenotes0"/>
      </w:pPr>
      <w:r>
        <w:t>Note: Intervention and control in the table refer to surgery with DAC</w:t>
      </w:r>
      <w:r w:rsidR="008A1E53">
        <w:t>+antibiotics</w:t>
      </w:r>
      <w:r>
        <w:t xml:space="preserve"> and without DAC</w:t>
      </w:r>
      <w:r w:rsidR="008A1E53">
        <w:t>+antibiotics</w:t>
      </w:r>
      <w:r>
        <w:t>, respectively.</w:t>
      </w:r>
    </w:p>
    <w:p w14:paraId="00C11C02" w14:textId="07BFE406" w:rsidR="008A1E53" w:rsidRDefault="008A1E53" w:rsidP="000A4AD3">
      <w:pPr>
        <w:pStyle w:val="Tablenotes0"/>
      </w:pPr>
      <w:r>
        <w:t>Note: No evidence was available for</w:t>
      </w:r>
      <w:r w:rsidR="001576B4">
        <w:t xml:space="preserve"> Population 4 -</w:t>
      </w:r>
      <w:r>
        <w:t xml:space="preserve"> </w:t>
      </w:r>
      <w:r w:rsidRPr="00FB1F44">
        <w:t xml:space="preserve">Subgroup </w:t>
      </w:r>
      <w:r>
        <w:t>2 (</w:t>
      </w:r>
      <w:r w:rsidRPr="00716169">
        <w:t>Patients undergoing open reduction and internal fixation</w:t>
      </w:r>
      <w:r>
        <w:t>: open</w:t>
      </w:r>
      <w:r w:rsidRPr="00FB1F44">
        <w:t xml:space="preserve"> fracture</w:t>
      </w:r>
      <w:r>
        <w:t>).</w:t>
      </w:r>
    </w:p>
    <w:p w14:paraId="0FFB9B6B" w14:textId="3507FA44" w:rsidR="006D0DFC" w:rsidRDefault="008A1E53" w:rsidP="000A4AD3">
      <w:pPr>
        <w:pStyle w:val="Tablenotes0"/>
      </w:pPr>
      <w:r>
        <w:rPr>
          <w:vertAlign w:val="superscript"/>
        </w:rPr>
        <w:t>1</w:t>
      </w:r>
      <w:r w:rsidR="006D0DFC">
        <w:rPr>
          <w:vertAlign w:val="superscript"/>
        </w:rPr>
        <w:t xml:space="preserve"> </w:t>
      </w:r>
      <w:r w:rsidR="006D0DFC">
        <w:t>Comorbidities reported only for patients with SSIs</w:t>
      </w:r>
    </w:p>
    <w:p w14:paraId="42860235" w14:textId="4813A75A" w:rsidR="006D0DFC" w:rsidRPr="008A6576" w:rsidRDefault="008A1E53" w:rsidP="000A4AD3">
      <w:pPr>
        <w:pStyle w:val="Tablenotes0"/>
      </w:pPr>
      <w:r>
        <w:rPr>
          <w:vertAlign w:val="superscript"/>
        </w:rPr>
        <w:t>2</w:t>
      </w:r>
      <w:r w:rsidR="006D0DFC">
        <w:rPr>
          <w:vertAlign w:val="superscript"/>
        </w:rPr>
        <w:t xml:space="preserve"> </w:t>
      </w:r>
      <w:r w:rsidR="006D0DFC">
        <w:t>3 out of 4</w:t>
      </w:r>
      <w:r w:rsidR="006D0DFC" w:rsidRPr="008A6576">
        <w:t xml:space="preserve"> </w:t>
      </w:r>
      <w:r w:rsidR="006D0DFC">
        <w:t>patients (Population 1) with SSIs had diabetes</w:t>
      </w:r>
    </w:p>
    <w:p w14:paraId="2A0F76C9" w14:textId="36071093" w:rsidR="006D0DFC" w:rsidRDefault="008A1E53" w:rsidP="000A4AD3">
      <w:pPr>
        <w:pStyle w:val="Tablenotes0"/>
      </w:pPr>
      <w:r>
        <w:rPr>
          <w:vertAlign w:val="superscript"/>
        </w:rPr>
        <w:t>3</w:t>
      </w:r>
      <w:r w:rsidR="006D0DFC">
        <w:t xml:space="preserve"> </w:t>
      </w:r>
      <w:r w:rsidR="006D0DFC" w:rsidRPr="00B04165">
        <w:t>SSIs were defined as the presence of positive local clinical signs of acute inflammation and/or a draining sinus requiring further surgery, including early debridement or implant removal and/or unplanned antibiotic treatment with or without a positive cultural examination.</w:t>
      </w:r>
    </w:p>
    <w:p w14:paraId="2E4CB418" w14:textId="392E0874" w:rsidR="006D0DFC" w:rsidRDefault="008A1E53" w:rsidP="000A4AD3">
      <w:pPr>
        <w:pStyle w:val="Tablenotes0"/>
      </w:pPr>
      <w:r>
        <w:rPr>
          <w:vertAlign w:val="superscript"/>
        </w:rPr>
        <w:t>4</w:t>
      </w:r>
      <w:r w:rsidR="006D0DFC">
        <w:rPr>
          <w:vertAlign w:val="superscript"/>
        </w:rPr>
        <w:t xml:space="preserve"> </w:t>
      </w:r>
      <w:r w:rsidR="006D0DFC" w:rsidRPr="005E547F">
        <w:t>Delayed wound healing was defined as an incomplete healing of the wound at 4 weeks after surgery, including the presence of wound dehiscence, necrosis or serum leakage, that may need further medication, but that did not require any additional surgical treatment.</w:t>
      </w:r>
    </w:p>
    <w:p w14:paraId="4FA5C39A" w14:textId="3F68F93A" w:rsidR="006D0DFC" w:rsidRDefault="008A1E53" w:rsidP="000A4AD3">
      <w:pPr>
        <w:pStyle w:val="Tablenotes0"/>
      </w:pPr>
      <w:r>
        <w:rPr>
          <w:vertAlign w:val="superscript"/>
        </w:rPr>
        <w:t>5</w:t>
      </w:r>
      <w:r w:rsidR="006D0DFC">
        <w:rPr>
          <w:vertAlign w:val="superscript"/>
        </w:rPr>
        <w:t xml:space="preserve"> </w:t>
      </w:r>
      <w:r w:rsidR="006D0DFC" w:rsidRPr="00D16B42">
        <w:t>The authors reported using the ASEPSIS scoring method to assess wound healing. Category of infection: total ASEPSIS score 0-10 = satisfactory healing; 11-20= disturbance of healing; 21-30=</w:t>
      </w:r>
      <w:r w:rsidR="006D0DFC">
        <w:t xml:space="preserve"> </w:t>
      </w:r>
      <w:r w:rsidR="006D0DFC" w:rsidRPr="00D16B42">
        <w:t>minor wound infection; 31-40=</w:t>
      </w:r>
      <w:r w:rsidR="006D0DFC">
        <w:t xml:space="preserve"> </w:t>
      </w:r>
      <w:r w:rsidR="006D0DFC" w:rsidRPr="00D16B42">
        <w:t>moderate wound infection; &gt;40= severe wound infection</w:t>
      </w:r>
      <w:r w:rsidR="006D0DFC">
        <w:t>.</w:t>
      </w:r>
    </w:p>
    <w:p w14:paraId="0A928B33" w14:textId="23CE60EC" w:rsidR="006D0DFC" w:rsidRPr="004772F6" w:rsidRDefault="008A1E53" w:rsidP="000A4AD3">
      <w:pPr>
        <w:pStyle w:val="Tablenotes0"/>
      </w:pPr>
      <w:r w:rsidRPr="004772F6">
        <w:rPr>
          <w:vertAlign w:val="superscript"/>
        </w:rPr>
        <w:t>6</w:t>
      </w:r>
      <w:r w:rsidR="006D0DFC" w:rsidRPr="004772F6">
        <w:t xml:space="preserve"> Elective TJA, both primary and revision and both hip and knee</w:t>
      </w:r>
    </w:p>
    <w:p w14:paraId="2F3D5DF4" w14:textId="6BC8C70B" w:rsidR="006D0DFC" w:rsidRPr="004427E7" w:rsidRDefault="008A1E53" w:rsidP="000A4AD3">
      <w:pPr>
        <w:pStyle w:val="Tablenotes0"/>
      </w:pPr>
      <w:r w:rsidRPr="004772F6">
        <w:rPr>
          <w:vertAlign w:val="superscript"/>
        </w:rPr>
        <w:t>7</w:t>
      </w:r>
      <w:r w:rsidR="006D0DFC" w:rsidRPr="004772F6">
        <w:rPr>
          <w:vertAlign w:val="superscript"/>
        </w:rPr>
        <w:t xml:space="preserve"> </w:t>
      </w:r>
      <w:r w:rsidR="003B52C9">
        <w:t>R</w:t>
      </w:r>
      <w:r w:rsidR="006D0DFC" w:rsidRPr="004772F6">
        <w:t>eported among patients</w:t>
      </w:r>
      <w:r w:rsidR="006D0DFC">
        <w:t xml:space="preserve"> with SSIs</w:t>
      </w:r>
    </w:p>
    <w:p w14:paraId="5E7B8FD1" w14:textId="77777777" w:rsidR="00276F3D" w:rsidRDefault="00276F3D" w:rsidP="00E50C67">
      <w:pPr>
        <w:pStyle w:val="Heading3"/>
        <w:sectPr w:rsidR="00276F3D" w:rsidSect="008A1E53">
          <w:pgSz w:w="16838" w:h="11906" w:orient="landscape"/>
          <w:pgMar w:top="1440" w:right="1440" w:bottom="1440" w:left="1440" w:header="709" w:footer="709" w:gutter="0"/>
          <w:cols w:space="720"/>
        </w:sectPr>
      </w:pPr>
    </w:p>
    <w:p w14:paraId="79A690BB" w14:textId="3CF47777" w:rsidR="00884F40" w:rsidRPr="00884F40" w:rsidRDefault="00681B6B" w:rsidP="00E50C67">
      <w:pPr>
        <w:pStyle w:val="ESNumberedSectionHeading"/>
      </w:pPr>
      <w:bookmarkStart w:id="44" w:name="_Toc72335280"/>
      <w:bookmarkStart w:id="45" w:name="_Toc112076481"/>
      <w:r>
        <w:lastRenderedPageBreak/>
        <w:t>11</w:t>
      </w:r>
      <w:r w:rsidR="00884F40" w:rsidRPr="00884F40">
        <w:t>.</w:t>
      </w:r>
      <w:r w:rsidR="00884F40" w:rsidRPr="00884F40">
        <w:tab/>
        <w:t>Comparative safety</w:t>
      </w:r>
      <w:bookmarkEnd w:id="44"/>
      <w:bookmarkEnd w:id="45"/>
    </w:p>
    <w:p w14:paraId="3A1338CD" w14:textId="241C16D1" w:rsidR="00066A6C" w:rsidRPr="00815A71" w:rsidRDefault="00066A6C" w:rsidP="00E50C67">
      <w:pPr>
        <w:pStyle w:val="Execsummnormal"/>
      </w:pPr>
      <w:r w:rsidRPr="00815A71">
        <w:t xml:space="preserve">All </w:t>
      </w:r>
      <w:r w:rsidR="009B7374">
        <w:t xml:space="preserve">six </w:t>
      </w:r>
      <w:r w:rsidRPr="00815A71">
        <w:t xml:space="preserve">studies included in </w:t>
      </w:r>
      <w:r w:rsidR="009B7374">
        <w:t>the DCAR</w:t>
      </w:r>
      <w:r w:rsidRPr="00815A71">
        <w:t xml:space="preserve"> </w:t>
      </w:r>
      <w:r w:rsidR="009B7374">
        <w:t>reported</w:t>
      </w:r>
      <w:r w:rsidR="009B7374" w:rsidRPr="00815A71">
        <w:t xml:space="preserve"> </w:t>
      </w:r>
      <w:r w:rsidRPr="00815A71">
        <w:t>that there were no detectable adverse events or side effects directly attributable to the DAC</w:t>
      </w:r>
      <w:r w:rsidR="00B3099A">
        <w:t>+antibiotic</w:t>
      </w:r>
      <w:r w:rsidRPr="00815A71">
        <w:t xml:space="preserve"> hydrogel coating across all populations. Further, no allergies associated with DAC</w:t>
      </w:r>
      <w:r w:rsidR="00B3099A">
        <w:t>+antibiotics</w:t>
      </w:r>
      <w:r w:rsidRPr="00815A71">
        <w:t xml:space="preserve"> were noted in the studies.</w:t>
      </w:r>
    </w:p>
    <w:p w14:paraId="0E76D7E2" w14:textId="59B9F36A" w:rsidR="00066A6C" w:rsidRPr="00815A71" w:rsidRDefault="00066A6C" w:rsidP="00E50C67">
      <w:pPr>
        <w:pStyle w:val="Execsummnormal"/>
      </w:pPr>
      <w:r w:rsidRPr="00815A71">
        <w:t>The studies indicated similar incidence of safety outcomes or complications for surgery with and without DAC</w:t>
      </w:r>
      <w:r w:rsidR="00B3099A">
        <w:t>+antibiotics</w:t>
      </w:r>
      <w:r w:rsidRPr="00815A71">
        <w:t xml:space="preserve"> across all populations.</w:t>
      </w:r>
    </w:p>
    <w:p w14:paraId="48BB056E" w14:textId="2060CFBA" w:rsidR="00815A71" w:rsidRPr="00815A71" w:rsidRDefault="00815A71" w:rsidP="00E50C67">
      <w:pPr>
        <w:pStyle w:val="ESNumberedSectionHeading"/>
      </w:pPr>
      <w:bookmarkStart w:id="46" w:name="_Toc72335281"/>
      <w:bookmarkStart w:id="47" w:name="_Toc112076482"/>
      <w:r w:rsidRPr="00815A71">
        <w:t>1</w:t>
      </w:r>
      <w:r w:rsidR="00681B6B">
        <w:t>2</w:t>
      </w:r>
      <w:r w:rsidRPr="00815A71">
        <w:t>.</w:t>
      </w:r>
      <w:r w:rsidRPr="00815A71">
        <w:tab/>
        <w:t>Comparative effectiveness</w:t>
      </w:r>
      <w:bookmarkEnd w:id="46"/>
      <w:bookmarkEnd w:id="47"/>
    </w:p>
    <w:p w14:paraId="4DE0EFBD" w14:textId="1B544354" w:rsidR="00066A6C" w:rsidRPr="00815A71" w:rsidRDefault="00066A6C" w:rsidP="00E50C67">
      <w:pPr>
        <w:pStyle w:val="Execsummnormal"/>
      </w:pPr>
      <w:r w:rsidRPr="00815A71">
        <w:t>The effectiveness of surgery with DAC</w:t>
      </w:r>
      <w:r w:rsidR="00B3099A">
        <w:t>+antibiotics</w:t>
      </w:r>
      <w:r w:rsidRPr="00815A71">
        <w:t xml:space="preserve"> </w:t>
      </w:r>
      <w:r w:rsidR="00D35C0F">
        <w:t xml:space="preserve">versus no DAC+antibiotics, </w:t>
      </w:r>
      <w:r w:rsidRPr="00815A71">
        <w:t>in terms of risk difference and relative risk of SSI/PJI are illustrated in</w:t>
      </w:r>
      <w:r w:rsidR="007B5970" w:rsidRPr="00815A71">
        <w:t xml:space="preserve"> </w:t>
      </w:r>
      <w:r w:rsidR="00774113" w:rsidRPr="00815A71">
        <w:fldChar w:fldCharType="begin"/>
      </w:r>
      <w:r w:rsidR="00774113" w:rsidRPr="00815A71">
        <w:instrText xml:space="preserve"> REF _Ref75343715 \h </w:instrText>
      </w:r>
      <w:r w:rsidR="00815A71">
        <w:instrText xml:space="preserve"> \* MERGEFORMAT </w:instrText>
      </w:r>
      <w:r w:rsidR="00774113" w:rsidRPr="00815A71">
        <w:fldChar w:fldCharType="separate"/>
      </w:r>
      <w:r w:rsidR="00BB246A">
        <w:t xml:space="preserve">Figure </w:t>
      </w:r>
      <w:r w:rsidR="00BB246A">
        <w:rPr>
          <w:noProof/>
        </w:rPr>
        <w:t>1</w:t>
      </w:r>
      <w:r w:rsidR="00774113" w:rsidRPr="00815A71">
        <w:fldChar w:fldCharType="end"/>
      </w:r>
      <w:r w:rsidR="00774113" w:rsidRPr="00815A71">
        <w:t xml:space="preserve"> and </w:t>
      </w:r>
      <w:r w:rsidR="00774113" w:rsidRPr="00815A71">
        <w:fldChar w:fldCharType="begin"/>
      </w:r>
      <w:r w:rsidR="00774113" w:rsidRPr="00815A71">
        <w:instrText xml:space="preserve"> REF _Ref75343717 \h </w:instrText>
      </w:r>
      <w:r w:rsidR="00815A71">
        <w:instrText xml:space="preserve"> \* MERGEFORMAT </w:instrText>
      </w:r>
      <w:r w:rsidR="00774113" w:rsidRPr="00815A71">
        <w:fldChar w:fldCharType="separate"/>
      </w:r>
      <w:r w:rsidR="00BB246A">
        <w:t xml:space="preserve">Figure </w:t>
      </w:r>
      <w:r w:rsidR="00BB246A">
        <w:rPr>
          <w:noProof/>
        </w:rPr>
        <w:t>2</w:t>
      </w:r>
      <w:r w:rsidR="00774113" w:rsidRPr="00815A71">
        <w:fldChar w:fldCharType="end"/>
      </w:r>
      <w:r w:rsidRPr="00815A71">
        <w:t xml:space="preserve">, respectively. For all four </w:t>
      </w:r>
      <w:r w:rsidR="00FB388B">
        <w:t>p</w:t>
      </w:r>
      <w:r w:rsidRPr="00815A71">
        <w:t>opulations, there is a trend in favour of surgery with DAC</w:t>
      </w:r>
      <w:r w:rsidR="00B3099A">
        <w:t>+antibiotics</w:t>
      </w:r>
      <w:r w:rsidRPr="00815A71">
        <w:t xml:space="preserve"> versus no DAC</w:t>
      </w:r>
      <w:r w:rsidR="00B3099A">
        <w:t>+antibiotics</w:t>
      </w:r>
      <w:r w:rsidR="00774113" w:rsidRPr="00815A71">
        <w:t>. This is evident from the fact that the point estimates for risk difference and relative risk lie on the left of zero and one, respectively.</w:t>
      </w:r>
    </w:p>
    <w:p w14:paraId="35A91A9E" w14:textId="0AA7A484" w:rsidR="00774113" w:rsidRDefault="00774113" w:rsidP="00E50C67">
      <w:pPr>
        <w:pStyle w:val="Caption"/>
      </w:pPr>
      <w:bookmarkStart w:id="48" w:name="_Ref75343715"/>
      <w:bookmarkStart w:id="49" w:name="_Toc112076785"/>
      <w:r>
        <w:t xml:space="preserve">Figure </w:t>
      </w:r>
      <w:r w:rsidR="00000000">
        <w:fldChar w:fldCharType="begin"/>
      </w:r>
      <w:r w:rsidR="00000000">
        <w:instrText xml:space="preserve"> SEQ Figure \* ARABIC </w:instrText>
      </w:r>
      <w:r w:rsidR="00000000">
        <w:fldChar w:fldCharType="separate"/>
      </w:r>
      <w:r w:rsidR="00BB246A">
        <w:rPr>
          <w:noProof/>
        </w:rPr>
        <w:t>1</w:t>
      </w:r>
      <w:r w:rsidR="00000000">
        <w:rPr>
          <w:noProof/>
        </w:rPr>
        <w:fldChar w:fldCharType="end"/>
      </w:r>
      <w:bookmarkEnd w:id="48"/>
      <w:r>
        <w:tab/>
      </w:r>
      <w:r w:rsidRPr="005D5DBA">
        <w:t>Risk difference of PJI/SSI among surgery with DAC</w:t>
      </w:r>
      <w:r w:rsidR="00A01455">
        <w:t>+antibiotics</w:t>
      </w:r>
      <w:r w:rsidRPr="005D5DBA">
        <w:t xml:space="preserve"> vs no DAC</w:t>
      </w:r>
      <w:r w:rsidR="00A01455">
        <w:t>+antibiotics</w:t>
      </w:r>
      <w:r w:rsidRPr="005D5DBA">
        <w:t xml:space="preserve"> in all populations</w:t>
      </w:r>
      <w:bookmarkEnd w:id="49"/>
    </w:p>
    <w:p w14:paraId="336EED06" w14:textId="77777777" w:rsidR="00774113" w:rsidRDefault="00774113" w:rsidP="000A4AD3">
      <w:pPr>
        <w:spacing w:after="0"/>
      </w:pPr>
      <w:r>
        <w:rPr>
          <w:noProof/>
        </w:rPr>
        <w:drawing>
          <wp:inline distT="0" distB="0" distL="0" distR="0" wp14:anchorId="34C9E953" wp14:editId="131B2C1C">
            <wp:extent cx="4787900" cy="3149163"/>
            <wp:effectExtent l="0" t="0" r="0" b="0"/>
            <wp:docPr id="10" name="Picture 10" descr="This figure depicts the risk difference of PJI/SSIs among standard surgery with DAC vs no DAC for all populations. Overall, the risk of PJI/SSI was lower in the standard surgery with DAC group in all populations. However, there was more uncertainty in the results based on non-randomised studies, which is evident in the form of much wider confidence intervals compared to randomis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his figure depicts the risk difference of PJI/SSIs among standard surgery with DAC vs no DAC for all populations. Overall, the risk of PJI/SSI was lower in the standard surgery with DAC group in all populations. However, there was more uncertainty in the results based on non-randomised studies, which is evident in the form of much wider confidence intervals compared to randomised studies."/>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811043" cy="3164385"/>
                    </a:xfrm>
                    <a:prstGeom prst="rect">
                      <a:avLst/>
                    </a:prstGeom>
                    <a:ln>
                      <a:noFill/>
                    </a:ln>
                    <a:extLst>
                      <a:ext uri="{53640926-AAD7-44D8-BBD7-CCE9431645EC}">
                        <a14:shadowObscured xmlns:a14="http://schemas.microsoft.com/office/drawing/2010/main"/>
                      </a:ext>
                    </a:extLst>
                  </pic:spPr>
                </pic:pic>
              </a:graphicData>
            </a:graphic>
          </wp:inline>
        </w:drawing>
      </w:r>
    </w:p>
    <w:p w14:paraId="6C4CE243" w14:textId="77777777" w:rsidR="00A94954" w:rsidRDefault="00A94954" w:rsidP="00607722">
      <w:pPr>
        <w:pStyle w:val="Tablenotes0"/>
      </w:pPr>
      <w:r>
        <w:t>Source: Figure 1, p27 of MSAC 1629 DCAR</w:t>
      </w:r>
    </w:p>
    <w:p w14:paraId="4187DFEA" w14:textId="741BDF27" w:rsidR="00774113" w:rsidRDefault="00774113" w:rsidP="00607722">
      <w:pPr>
        <w:pStyle w:val="Tablenotes0"/>
      </w:pPr>
      <w:r>
        <w:t>Note: Black dots represent risk difference</w:t>
      </w:r>
    </w:p>
    <w:p w14:paraId="14A5DA98" w14:textId="47BCEB2A" w:rsidR="00774113" w:rsidRDefault="00DB4CD4" w:rsidP="00607722">
      <w:pPr>
        <w:pStyle w:val="Tablenotes0"/>
      </w:pPr>
      <w:r>
        <w:t>The r</w:t>
      </w:r>
      <w:r w:rsidR="00774113">
        <w:t xml:space="preserve">isk of PJI/SSI was expressed in % terms by dividing total PJI/SSIs by </w:t>
      </w:r>
      <w:r>
        <w:t xml:space="preserve">the </w:t>
      </w:r>
      <w:r w:rsidR="00774113">
        <w:t xml:space="preserve">total number of patients </w:t>
      </w:r>
      <w:r>
        <w:t xml:space="preserve">in </w:t>
      </w:r>
      <w:r w:rsidR="00774113">
        <w:t>the group, where group= either surgery with DAC</w:t>
      </w:r>
      <w:r w:rsidR="00D35C0F">
        <w:t>+antibiotics</w:t>
      </w:r>
      <w:r w:rsidR="00774113">
        <w:t xml:space="preserve"> or surgery without DAC</w:t>
      </w:r>
      <w:r w:rsidR="00D35C0F">
        <w:t>+antibiotics</w:t>
      </w:r>
    </w:p>
    <w:p w14:paraId="39BFB0BE" w14:textId="6B3C7A68" w:rsidR="00774113" w:rsidRDefault="00774113" w:rsidP="00607722">
      <w:pPr>
        <w:pStyle w:val="Tablenotes0"/>
      </w:pPr>
      <w:r>
        <w:t>Risk difference= Risk of PJI/SSI among patients in surgery with DAC</w:t>
      </w:r>
      <w:r w:rsidR="001655AF">
        <w:t>+antibiotics</w:t>
      </w:r>
      <w:r>
        <w:t xml:space="preserve"> - Risk of PJI/SSI among patients in surgery with</w:t>
      </w:r>
      <w:r w:rsidR="001655AF">
        <w:t>out</w:t>
      </w:r>
      <w:r>
        <w:t xml:space="preserve"> DAC</w:t>
      </w:r>
      <w:r w:rsidR="001655AF">
        <w:t>+antibiotics</w:t>
      </w:r>
    </w:p>
    <w:p w14:paraId="457AE4BA" w14:textId="452D196D" w:rsidR="00774113" w:rsidRPr="00E8589E" w:rsidRDefault="00774113" w:rsidP="00607722">
      <w:pPr>
        <w:pStyle w:val="Tablenotes0"/>
      </w:pPr>
      <w:r>
        <w:t>Risk difference &lt; 0% favours surgery with DAC, while relative risk &gt;0% favours surgery without DAC.</w:t>
      </w:r>
    </w:p>
    <w:p w14:paraId="697957F1" w14:textId="32EFEE8E" w:rsidR="00774113" w:rsidRDefault="00774113" w:rsidP="002B61F3">
      <w:pPr>
        <w:pStyle w:val="Caption"/>
        <w:keepNext/>
      </w:pPr>
      <w:bookmarkStart w:id="50" w:name="_Ref75343717"/>
      <w:bookmarkStart w:id="51" w:name="_Toc112076786"/>
      <w:r>
        <w:lastRenderedPageBreak/>
        <w:t xml:space="preserve">Figure </w:t>
      </w:r>
      <w:r w:rsidR="00000000">
        <w:fldChar w:fldCharType="begin"/>
      </w:r>
      <w:r w:rsidR="00000000">
        <w:instrText xml:space="preserve"> SEQ Figure \* ARABIC </w:instrText>
      </w:r>
      <w:r w:rsidR="00000000">
        <w:fldChar w:fldCharType="separate"/>
      </w:r>
      <w:r w:rsidR="00BB246A">
        <w:rPr>
          <w:noProof/>
        </w:rPr>
        <w:t>2</w:t>
      </w:r>
      <w:r w:rsidR="00000000">
        <w:rPr>
          <w:noProof/>
        </w:rPr>
        <w:fldChar w:fldCharType="end"/>
      </w:r>
      <w:bookmarkEnd w:id="50"/>
      <w:r>
        <w:tab/>
      </w:r>
      <w:r w:rsidRPr="00081E2F">
        <w:t>Relative risk of PJI/SSI among surgery with DAC</w:t>
      </w:r>
      <w:r w:rsidR="00A01455">
        <w:t>+antibiotics</w:t>
      </w:r>
      <w:r w:rsidRPr="00081E2F">
        <w:t xml:space="preserve"> vs no DAC</w:t>
      </w:r>
      <w:r w:rsidR="00A01455">
        <w:t>+antibiotics</w:t>
      </w:r>
      <w:r w:rsidRPr="00081E2F">
        <w:t xml:space="preserve"> in all populations</w:t>
      </w:r>
      <w:bookmarkEnd w:id="51"/>
    </w:p>
    <w:p w14:paraId="6F2FAABD" w14:textId="77777777" w:rsidR="00774113" w:rsidRDefault="00774113" w:rsidP="000A4AD3">
      <w:pPr>
        <w:spacing w:after="0"/>
        <w:rPr>
          <w:lang w:eastAsia="en-US"/>
        </w:rPr>
      </w:pPr>
      <w:r>
        <w:rPr>
          <w:noProof/>
        </w:rPr>
        <w:drawing>
          <wp:inline distT="0" distB="0" distL="0" distR="0" wp14:anchorId="0D04EC20" wp14:editId="09E65F39">
            <wp:extent cx="4686300" cy="3117116"/>
            <wp:effectExtent l="0" t="0" r="0" b="7620"/>
            <wp:docPr id="11" name="Picture 11" descr="This figure depicts the relative risk of PJI/SSIs among standard surgery with DAC vs no DAC for all populations. Overall, the risk of PJI/SSI was lower in the standard surgery with DAC group in all populations as all relative risks were less than 1. However, there was more uncertainty in the results based on non-randomised studies, which is evident in the form of much wider confidence intervals compared to that of randomis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his figure depicts the relative risk of PJI/SSIs among standard surgery with DAC vs no DAC for all populations. Overall, the risk of PJI/SSI was lower in the standard surgery with DAC group in all populations as all relative risks were less than 1. However, there was more uncertainty in the results based on non-randomised studies, which is evident in the form of much wider confidence intervals compared to that of randomised studies."/>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716993" cy="3137532"/>
                    </a:xfrm>
                    <a:prstGeom prst="rect">
                      <a:avLst/>
                    </a:prstGeom>
                    <a:ln>
                      <a:noFill/>
                    </a:ln>
                    <a:extLst>
                      <a:ext uri="{53640926-AAD7-44D8-BBD7-CCE9431645EC}">
                        <a14:shadowObscured xmlns:a14="http://schemas.microsoft.com/office/drawing/2010/main"/>
                      </a:ext>
                    </a:extLst>
                  </pic:spPr>
                </pic:pic>
              </a:graphicData>
            </a:graphic>
          </wp:inline>
        </w:drawing>
      </w:r>
    </w:p>
    <w:p w14:paraId="2ED67885" w14:textId="77777777" w:rsidR="00A94954" w:rsidRDefault="00A94954" w:rsidP="000C7DE2">
      <w:pPr>
        <w:pStyle w:val="Tablenotes0"/>
      </w:pPr>
      <w:r>
        <w:t xml:space="preserve">Source: Figure 2, pg 28 of MSAC 1629 DCAR </w:t>
      </w:r>
    </w:p>
    <w:p w14:paraId="12B60DF9" w14:textId="49E69B09" w:rsidR="00774113" w:rsidRDefault="00774113" w:rsidP="000A4AD3">
      <w:pPr>
        <w:pStyle w:val="Tablenotes0"/>
        <w:spacing w:before="0" w:after="0"/>
      </w:pPr>
      <w:r>
        <w:t>Note: Black dots represent relative risk values</w:t>
      </w:r>
    </w:p>
    <w:p w14:paraId="495A0CC3" w14:textId="7A4802E0" w:rsidR="00066A6C" w:rsidRDefault="00774113" w:rsidP="000A4AD3">
      <w:pPr>
        <w:pStyle w:val="Tablenotes0"/>
        <w:spacing w:before="0" w:after="0"/>
      </w:pPr>
      <w:r>
        <w:t>Relative risk&lt; 1 favours surgery with DAC</w:t>
      </w:r>
      <w:r w:rsidR="00A7724D">
        <w:t>+antibiotics</w:t>
      </w:r>
      <w:r>
        <w:t>, while relative risk &gt;1 favours surgery without DAC</w:t>
      </w:r>
      <w:r w:rsidR="00A7724D">
        <w:t>+antibiotics</w:t>
      </w:r>
      <w:r>
        <w:t>.</w:t>
      </w:r>
    </w:p>
    <w:p w14:paraId="7BDAA38A" w14:textId="6958059C" w:rsidR="001762ED" w:rsidRDefault="001762ED" w:rsidP="00607722">
      <w:pPr>
        <w:pStyle w:val="ExecSummHeading3"/>
      </w:pPr>
      <w:bookmarkStart w:id="52" w:name="_Toc112076483"/>
      <w:r>
        <w:t>Population 1</w:t>
      </w:r>
      <w:r w:rsidR="00670F1D">
        <w:t>+</w:t>
      </w:r>
      <w:r>
        <w:t>3</w:t>
      </w:r>
      <w:bookmarkEnd w:id="52"/>
    </w:p>
    <w:p w14:paraId="77122781" w14:textId="60688E4C" w:rsidR="0032080D" w:rsidRDefault="00A7724D" w:rsidP="00607722">
      <w:pPr>
        <w:pStyle w:val="Execsummnormal"/>
      </w:pPr>
      <w:r w:rsidRPr="00815A71">
        <w:t xml:space="preserve">Romanò </w:t>
      </w:r>
      <w:r w:rsidR="002B61F3">
        <w:t>et al. (</w:t>
      </w:r>
      <w:r w:rsidRPr="00815A71">
        <w:t>2016</w:t>
      </w:r>
      <w:r w:rsidR="002B61F3">
        <w:t>)</w:t>
      </w:r>
      <w:r>
        <w:t xml:space="preserve"> reported </w:t>
      </w:r>
      <w:r w:rsidR="001762ED" w:rsidRPr="00815A71">
        <w:t xml:space="preserve">for </w:t>
      </w:r>
      <w:r w:rsidR="001762ED">
        <w:t xml:space="preserve">the </w:t>
      </w:r>
      <w:r>
        <w:t>whole cohort (primary [</w:t>
      </w:r>
      <w:r w:rsidR="001762ED" w:rsidRPr="00815A71">
        <w:t>Population 1</w:t>
      </w:r>
      <w:r>
        <w:t xml:space="preserve">] and revision [Population </w:t>
      </w:r>
      <w:r w:rsidR="001762ED" w:rsidRPr="00815A71">
        <w:t>3</w:t>
      </w:r>
      <w:r>
        <w:t>] joint replacement)</w:t>
      </w:r>
      <w:r w:rsidR="00F74505">
        <w:t>, the overall</w:t>
      </w:r>
      <w:r w:rsidR="00F74505" w:rsidRPr="00815A71">
        <w:t xml:space="preserve"> </w:t>
      </w:r>
      <w:r w:rsidR="00F74505">
        <w:t xml:space="preserve">incidence of </w:t>
      </w:r>
      <w:r w:rsidR="00F74505" w:rsidRPr="00815A71">
        <w:t>SSI</w:t>
      </w:r>
      <w:r w:rsidR="001762ED" w:rsidRPr="00815A71">
        <w:t xml:space="preserve"> was</w:t>
      </w:r>
      <w:r w:rsidR="0032080D">
        <w:t xml:space="preserve"> lower for</w:t>
      </w:r>
      <w:r w:rsidR="001762ED" w:rsidRPr="00815A71">
        <w:t xml:space="preserve"> </w:t>
      </w:r>
      <w:r w:rsidR="00F74505" w:rsidRPr="00815A71">
        <w:t xml:space="preserve">surgery </w:t>
      </w:r>
      <w:r w:rsidR="00F74505">
        <w:t xml:space="preserve">with </w:t>
      </w:r>
      <w:r w:rsidR="001762ED" w:rsidRPr="00815A71">
        <w:t>DAC</w:t>
      </w:r>
      <w:r w:rsidR="001762ED">
        <w:t>+antibiotics</w:t>
      </w:r>
      <w:r w:rsidR="00F74505">
        <w:t xml:space="preserve"> </w:t>
      </w:r>
      <w:r w:rsidR="001762ED" w:rsidRPr="00815A71">
        <w:t xml:space="preserve">compared </w:t>
      </w:r>
      <w:r w:rsidR="00F74505">
        <w:t xml:space="preserve">to </w:t>
      </w:r>
      <w:r w:rsidR="001762ED" w:rsidRPr="00815A71">
        <w:t>surgery without DAC</w:t>
      </w:r>
      <w:r w:rsidR="001762ED">
        <w:t>+antibiotics</w:t>
      </w:r>
      <w:r w:rsidR="001762ED" w:rsidRPr="00815A71">
        <w:t xml:space="preserve"> (p= 0.0196</w:t>
      </w:r>
      <w:r>
        <w:t xml:space="preserve">; </w:t>
      </w:r>
      <w:r>
        <w:fldChar w:fldCharType="begin"/>
      </w:r>
      <w:r>
        <w:instrText xml:space="preserve"> REF _Ref71701365 \h </w:instrText>
      </w:r>
      <w:r>
        <w:fldChar w:fldCharType="separate"/>
      </w:r>
      <w:r w:rsidR="00BB246A">
        <w:t xml:space="preserve">Table </w:t>
      </w:r>
      <w:r w:rsidR="00BB246A">
        <w:rPr>
          <w:noProof/>
        </w:rPr>
        <w:t>2</w:t>
      </w:r>
      <w:r>
        <w:fldChar w:fldCharType="end"/>
      </w:r>
      <w:r w:rsidR="001762ED" w:rsidRPr="00815A71">
        <w:t xml:space="preserve">). </w:t>
      </w:r>
      <w:r w:rsidR="00FC3658">
        <w:t>It is noted that the statistical significance in the observed treatment effect is driven by the SSI rate in the revision subpopulation (Population</w:t>
      </w:r>
      <w:r w:rsidR="001719C4">
        <w:t xml:space="preserve"> 3</w:t>
      </w:r>
      <w:r w:rsidR="00FC3658">
        <w:t>),</w:t>
      </w:r>
      <w:r w:rsidR="001719C4">
        <w:t xml:space="preserve"> that is</w:t>
      </w:r>
      <w:r w:rsidR="00FC3658">
        <w:t xml:space="preserve"> the point estimates in the SSI rate shift towards null for Population 1 but the converse is observed for Population 3 (see Figure 1 above). </w:t>
      </w:r>
    </w:p>
    <w:p w14:paraId="05ADE327" w14:textId="6EC76503" w:rsidR="0032080D" w:rsidRDefault="0032080D" w:rsidP="00607722">
      <w:pPr>
        <w:pStyle w:val="Execsummnormal"/>
      </w:pPr>
      <w:r>
        <w:t>Regarding</w:t>
      </w:r>
      <w:r w:rsidRPr="00815A71">
        <w:t xml:space="preserve"> secondary outcomes, SF-12</w:t>
      </w:r>
      <w:r w:rsidRPr="0032080D">
        <w:t xml:space="preserve"> </w:t>
      </w:r>
      <w:r>
        <w:t>Health Survey</w:t>
      </w:r>
      <w:r w:rsidRPr="00815A71">
        <w:t xml:space="preserve"> total</w:t>
      </w:r>
      <w:r>
        <w:t xml:space="preserve"> scores</w:t>
      </w:r>
      <w:r w:rsidRPr="00815A71">
        <w:t xml:space="preserve"> </w:t>
      </w:r>
      <w:r>
        <w:t>were higher at follow-up for</w:t>
      </w:r>
      <w:r w:rsidRPr="00815A71">
        <w:t xml:space="preserve"> surgery with DAC</w:t>
      </w:r>
      <w:r>
        <w:t xml:space="preserve">+antibiotics versus surgery without DAC+antibiotics (p=0.006, </w:t>
      </w:r>
      <w:r>
        <w:fldChar w:fldCharType="begin"/>
      </w:r>
      <w:r>
        <w:instrText xml:space="preserve"> REF _Ref71701365 \h </w:instrText>
      </w:r>
      <w:r>
        <w:fldChar w:fldCharType="separate"/>
      </w:r>
      <w:r w:rsidR="00BB246A">
        <w:t>Table</w:t>
      </w:r>
      <w:r w:rsidR="002B61F3">
        <w:t> </w:t>
      </w:r>
      <w:r w:rsidR="00BB246A">
        <w:rPr>
          <w:noProof/>
        </w:rPr>
        <w:t>2</w:t>
      </w:r>
      <w:r>
        <w:fldChar w:fldCharType="end"/>
      </w:r>
      <w:r>
        <w:t>)</w:t>
      </w:r>
      <w:r w:rsidRPr="00815A71">
        <w:t xml:space="preserve">. </w:t>
      </w:r>
      <w:r w:rsidR="00FC3658">
        <w:t xml:space="preserve">Although it is noted that the SF-12 scores were very high for both with and without DAC+antibiotics (99.9/100 versus 94.7/100, respectively). </w:t>
      </w:r>
      <w:r>
        <w:t xml:space="preserve">However, </w:t>
      </w:r>
      <w:r w:rsidRPr="00815A71">
        <w:t xml:space="preserve">surgery with </w:t>
      </w:r>
      <w:r w:rsidR="001655AF">
        <w:t xml:space="preserve">and without </w:t>
      </w:r>
      <w:r w:rsidRPr="00815A71">
        <w:t>DAC</w:t>
      </w:r>
      <w:r>
        <w:t>+antibiotics</w:t>
      </w:r>
      <w:r w:rsidRPr="00815A71">
        <w:t xml:space="preserve"> were similar in terms of delayed wound healing, other complications</w:t>
      </w:r>
      <w:r w:rsidR="00F73AAB">
        <w:t>,</w:t>
      </w:r>
      <w:r w:rsidRPr="00815A71">
        <w:t xml:space="preserve"> unplanned antibiotic treatment during the hospital stay</w:t>
      </w:r>
      <w:r>
        <w:t xml:space="preserve"> (other than SSI), Harris Hip Score</w:t>
      </w:r>
      <w:r w:rsidR="005418F4">
        <w:t xml:space="preserve"> (HHS)</w:t>
      </w:r>
      <w:r>
        <w:t xml:space="preserve"> and Knee Society Score (</w:t>
      </w:r>
      <w:r w:rsidR="005418F4">
        <w:t xml:space="preserve">KSS; </w:t>
      </w:r>
      <w:r>
        <w:fldChar w:fldCharType="begin"/>
      </w:r>
      <w:r>
        <w:instrText xml:space="preserve"> REF _Ref71701365 \h </w:instrText>
      </w:r>
      <w:r>
        <w:fldChar w:fldCharType="separate"/>
      </w:r>
      <w:r w:rsidR="00BB246A">
        <w:t xml:space="preserve">Table </w:t>
      </w:r>
      <w:r w:rsidR="00BB246A">
        <w:rPr>
          <w:noProof/>
        </w:rPr>
        <w:t>2</w:t>
      </w:r>
      <w:r>
        <w:fldChar w:fldCharType="end"/>
      </w:r>
      <w:r>
        <w:t>).</w:t>
      </w:r>
      <w:r w:rsidRPr="00815A71">
        <w:t xml:space="preserve"> Romanò </w:t>
      </w:r>
      <w:r w:rsidR="002B61F3">
        <w:t>et al. (</w:t>
      </w:r>
      <w:r w:rsidRPr="00815A71">
        <w:t>2016</w:t>
      </w:r>
      <w:r w:rsidR="002B61F3">
        <w:t>)</w:t>
      </w:r>
      <w:r>
        <w:t xml:space="preserve"> also reported no difference between the study arms for early wound healing</w:t>
      </w:r>
      <w:r w:rsidRPr="00815A71">
        <w:t xml:space="preserve"> (</w:t>
      </w:r>
      <w:r>
        <w:t xml:space="preserve">assessed using the </w:t>
      </w:r>
      <w:r w:rsidRPr="00815A71">
        <w:t>ASEPSIS</w:t>
      </w:r>
      <w:r>
        <w:rPr>
          <w:rStyle w:val="FootnoteReference"/>
        </w:rPr>
        <w:footnoteReference w:id="15"/>
      </w:r>
      <w:r>
        <w:t xml:space="preserve"> scoring method</w:t>
      </w:r>
      <w:r w:rsidRPr="00815A71">
        <w:t>) and serum laboratory values.</w:t>
      </w:r>
    </w:p>
    <w:p w14:paraId="1EA86C49" w14:textId="13FA13EA" w:rsidR="00066A6C" w:rsidRPr="00815A71" w:rsidRDefault="00066A6C" w:rsidP="00607722">
      <w:pPr>
        <w:pStyle w:val="ExecSummHeading3"/>
      </w:pPr>
      <w:bookmarkStart w:id="53" w:name="_Toc112076484"/>
      <w:r w:rsidRPr="00CF69BD">
        <w:t>Population</w:t>
      </w:r>
      <w:r w:rsidRPr="00815A71">
        <w:t xml:space="preserve"> 1</w:t>
      </w:r>
      <w:bookmarkEnd w:id="53"/>
    </w:p>
    <w:p w14:paraId="0005AA19" w14:textId="727B13A8" w:rsidR="00F74505" w:rsidRPr="00815A71" w:rsidRDefault="002C2AFB" w:rsidP="00A94954">
      <w:pPr>
        <w:pStyle w:val="Execsummnormal"/>
      </w:pPr>
      <w:r w:rsidRPr="00815A71">
        <w:t xml:space="preserve">Romanò </w:t>
      </w:r>
      <w:r w:rsidR="002B61F3">
        <w:t>et al. (</w:t>
      </w:r>
      <w:r w:rsidRPr="00815A71">
        <w:t>2016</w:t>
      </w:r>
      <w:r w:rsidR="002B61F3">
        <w:t>)</w:t>
      </w:r>
      <w:r>
        <w:t xml:space="preserve"> reported, for the </w:t>
      </w:r>
      <w:r w:rsidR="00A600E0" w:rsidRPr="00815A71">
        <w:t>sub</w:t>
      </w:r>
      <w:r w:rsidR="00A600E0">
        <w:t>g</w:t>
      </w:r>
      <w:r>
        <w:t>roup</w:t>
      </w:r>
      <w:r w:rsidR="00A600E0" w:rsidRPr="00815A71">
        <w:t xml:space="preserve"> </w:t>
      </w:r>
      <w:r>
        <w:t xml:space="preserve">analysis </w:t>
      </w:r>
      <w:r w:rsidR="00A2196F" w:rsidRPr="00815A71">
        <w:t>of</w:t>
      </w:r>
      <w:r w:rsidR="00A2196F">
        <w:t xml:space="preserve"> patients who underwent primary hip or knee replacement</w:t>
      </w:r>
      <w:r w:rsidR="00066A6C" w:rsidRPr="00815A71">
        <w:t>,</w:t>
      </w:r>
      <w:r>
        <w:t xml:space="preserve"> </w:t>
      </w:r>
      <w:r w:rsidR="009F6A6D">
        <w:t xml:space="preserve">that there was no difference in </w:t>
      </w:r>
      <w:r w:rsidR="00066A6C" w:rsidRPr="00815A71">
        <w:t>the incidence of SSI between surgery with DAC</w:t>
      </w:r>
      <w:r w:rsidR="009F6A6D">
        <w:t>+antibiotics</w:t>
      </w:r>
      <w:r w:rsidR="00066A6C" w:rsidRPr="00815A71">
        <w:t xml:space="preserve"> compared with surgery without DAC</w:t>
      </w:r>
      <w:r w:rsidR="009F6A6D">
        <w:t>+antibiotics</w:t>
      </w:r>
      <w:r w:rsidR="00E6115C">
        <w:t xml:space="preserve">. That is there was a trend for </w:t>
      </w:r>
      <w:r w:rsidR="00E6115C">
        <w:lastRenderedPageBreak/>
        <w:t xml:space="preserve">lower incidence and relative risk for surgery with DAC+antibitoics but this was not statistically significant and the wide confidence intervals create uncertainty in the </w:t>
      </w:r>
      <w:r w:rsidR="00C37DD3">
        <w:t xml:space="preserve">observed </w:t>
      </w:r>
      <w:r w:rsidR="00E6115C">
        <w:t>treatment effect</w:t>
      </w:r>
      <w:r w:rsidR="002B61F3">
        <w:t xml:space="preserve"> </w:t>
      </w:r>
      <w:r w:rsidR="00066A6C" w:rsidRPr="00815A71">
        <w:t>(</w:t>
      </w:r>
      <w:r w:rsidR="00F74505">
        <w:fldChar w:fldCharType="begin"/>
      </w:r>
      <w:r w:rsidR="00F74505">
        <w:instrText xml:space="preserve"> REF _Ref71701365 \h </w:instrText>
      </w:r>
      <w:r w:rsidR="00F74505">
        <w:fldChar w:fldCharType="separate"/>
      </w:r>
      <w:r w:rsidR="00BB246A">
        <w:t xml:space="preserve">Table </w:t>
      </w:r>
      <w:r w:rsidR="00BB246A">
        <w:rPr>
          <w:noProof/>
        </w:rPr>
        <w:t>2</w:t>
      </w:r>
      <w:r w:rsidR="00F74505">
        <w:fldChar w:fldCharType="end"/>
      </w:r>
      <w:r w:rsidR="00066A6C" w:rsidRPr="00815A71">
        <w:t>).</w:t>
      </w:r>
      <w:r w:rsidR="00F74505">
        <w:t xml:space="preserve"> </w:t>
      </w:r>
      <w:r w:rsidR="00B636B9">
        <w:t>No secondary outcomes were reported for this subpopulation.</w:t>
      </w:r>
    </w:p>
    <w:p w14:paraId="7DCF4E82" w14:textId="6CA503AC" w:rsidR="00066A6C" w:rsidRPr="00815A71" w:rsidDel="00871FEA" w:rsidRDefault="00066A6C" w:rsidP="00A94954">
      <w:pPr>
        <w:pStyle w:val="Execsummnormal"/>
      </w:pPr>
      <w:r w:rsidRPr="00815A71" w:rsidDel="00871FEA">
        <w:t xml:space="preserve">The relevance of the </w:t>
      </w:r>
      <w:r w:rsidRPr="00815A71">
        <w:t>trial evidence</w:t>
      </w:r>
      <w:r w:rsidRPr="00815A71" w:rsidDel="00871FEA">
        <w:t xml:space="preserve"> </w:t>
      </w:r>
      <w:r w:rsidR="009F291E">
        <w:t>from</w:t>
      </w:r>
      <w:r w:rsidRPr="00815A71" w:rsidDel="00871FEA">
        <w:t xml:space="preserve"> Romanò </w:t>
      </w:r>
      <w:r w:rsidR="002B61F3">
        <w:t>et al. (</w:t>
      </w:r>
      <w:r w:rsidRPr="00815A71" w:rsidDel="00871FEA">
        <w:t>2016</w:t>
      </w:r>
      <w:r w:rsidR="002B61F3">
        <w:t>)</w:t>
      </w:r>
      <w:r w:rsidRPr="00815A71" w:rsidDel="00871FEA">
        <w:t xml:space="preserve"> was limited in that it did not specify ASA score ≥ 3 and BMI ≥ 30, a requirement for Population 1. It also had a relatively short follow-up. Further, randomisation had to be broken to estimate treatment effects separately for</w:t>
      </w:r>
      <w:r w:rsidR="00EB721D">
        <w:t xml:space="preserve"> the subgroup analysis of</w:t>
      </w:r>
      <w:r w:rsidRPr="00815A71" w:rsidDel="00871FEA">
        <w:t xml:space="preserve"> </w:t>
      </w:r>
      <w:r w:rsidR="00EB721D">
        <w:t>primary joint replacement surgeries (</w:t>
      </w:r>
      <w:r w:rsidRPr="00815A71" w:rsidDel="00871FEA">
        <w:t>Population 1</w:t>
      </w:r>
      <w:r w:rsidR="00EB721D">
        <w:t>)</w:t>
      </w:r>
      <w:r w:rsidRPr="00815A71" w:rsidDel="00871FEA">
        <w:t>.</w:t>
      </w:r>
    </w:p>
    <w:p w14:paraId="1503C0F3" w14:textId="77777777" w:rsidR="00066A6C" w:rsidRPr="00815A71" w:rsidRDefault="00066A6C" w:rsidP="00FC3571">
      <w:pPr>
        <w:pStyle w:val="ExecSummHeading3"/>
      </w:pPr>
      <w:bookmarkStart w:id="54" w:name="_Toc112076485"/>
      <w:r w:rsidRPr="00815A71">
        <w:t>Population 2</w:t>
      </w:r>
      <w:bookmarkEnd w:id="54"/>
    </w:p>
    <w:p w14:paraId="4C0DD729" w14:textId="0C3776FC" w:rsidR="00066A6C" w:rsidRPr="00815A71" w:rsidRDefault="00B636B9" w:rsidP="00761439">
      <w:pPr>
        <w:pStyle w:val="Execsummnormal"/>
      </w:pPr>
      <w:r>
        <w:t xml:space="preserve">Both De Meo </w:t>
      </w:r>
      <w:r w:rsidR="002B61F3">
        <w:t>et al. (</w:t>
      </w:r>
      <w:r>
        <w:t>2020</w:t>
      </w:r>
      <w:r w:rsidR="002B61F3">
        <w:t>)</w:t>
      </w:r>
      <w:r>
        <w:t xml:space="preserve"> and Zoccali </w:t>
      </w:r>
      <w:r w:rsidR="002B61F3">
        <w:t>et al (</w:t>
      </w:r>
      <w:r>
        <w:t>2021</w:t>
      </w:r>
      <w:r w:rsidR="002B61F3">
        <w:t>)</w:t>
      </w:r>
      <w:r>
        <w:t xml:space="preserve"> reported t</w:t>
      </w:r>
      <w:r w:rsidR="00066A6C" w:rsidRPr="00815A71">
        <w:t xml:space="preserve">he incidence of PJIs was </w:t>
      </w:r>
      <w:r w:rsidR="00F73AAB">
        <w:t>lower for</w:t>
      </w:r>
      <w:r w:rsidR="00066A6C" w:rsidRPr="00815A71">
        <w:t xml:space="preserve"> surgery with DAC</w:t>
      </w:r>
      <w:r w:rsidR="006A128D">
        <w:t>+antibiotics</w:t>
      </w:r>
      <w:r w:rsidR="00066A6C" w:rsidRPr="00815A71">
        <w:t xml:space="preserve"> </w:t>
      </w:r>
      <w:r>
        <w:t>compared with surgery without DAC+antibiotics</w:t>
      </w:r>
      <w:r w:rsidR="0032080D">
        <w:t xml:space="preserve"> (p=0.018 and p=0.026, respectively)</w:t>
      </w:r>
      <w:r>
        <w:t xml:space="preserve">. </w:t>
      </w:r>
      <w:r w:rsidR="00066A6C" w:rsidRPr="00815A71">
        <w:t>The relative risk</w:t>
      </w:r>
      <w:r>
        <w:t xml:space="preserve"> of PJI</w:t>
      </w:r>
      <w:r w:rsidR="00066A6C" w:rsidRPr="00815A71">
        <w:t xml:space="preserve"> favoured surgery with DAC</w:t>
      </w:r>
      <w:r w:rsidR="006A128D">
        <w:t>+antibiotics</w:t>
      </w:r>
      <w:r w:rsidR="00066A6C" w:rsidRPr="00815A71">
        <w:t xml:space="preserve"> but </w:t>
      </w:r>
      <w:r w:rsidRPr="00815A71">
        <w:t>w</w:t>
      </w:r>
      <w:r>
        <w:t>as</w:t>
      </w:r>
      <w:r w:rsidRPr="00815A71">
        <w:t xml:space="preserve"> </w:t>
      </w:r>
      <w:r w:rsidR="00066A6C" w:rsidRPr="00815A71">
        <w:t>not statistically significant</w:t>
      </w:r>
      <w:r w:rsidR="0037454F">
        <w:t xml:space="preserve"> (</w:t>
      </w:r>
      <w:r w:rsidR="0037454F">
        <w:fldChar w:fldCharType="begin"/>
      </w:r>
      <w:r w:rsidR="0037454F">
        <w:instrText xml:space="preserve"> REF _Ref71701365 \h </w:instrText>
      </w:r>
      <w:r w:rsidR="0037454F">
        <w:fldChar w:fldCharType="separate"/>
      </w:r>
      <w:r w:rsidR="00BB246A">
        <w:t xml:space="preserve">Table </w:t>
      </w:r>
      <w:r w:rsidR="00BB246A">
        <w:rPr>
          <w:noProof/>
        </w:rPr>
        <w:t>2</w:t>
      </w:r>
      <w:r w:rsidR="0037454F">
        <w:fldChar w:fldCharType="end"/>
      </w:r>
      <w:r w:rsidR="0037454F">
        <w:t>)</w:t>
      </w:r>
      <w:r w:rsidR="00066A6C" w:rsidRPr="00815A71">
        <w:t>.</w:t>
      </w:r>
    </w:p>
    <w:p w14:paraId="48E3471B" w14:textId="0B71F2FB" w:rsidR="00F10074" w:rsidRDefault="005C2702" w:rsidP="000A4AD3">
      <w:pPr>
        <w:pStyle w:val="Execsummnormal"/>
      </w:pPr>
      <w:r>
        <w:t xml:space="preserve">Regarding </w:t>
      </w:r>
      <w:r w:rsidR="00066A6C" w:rsidRPr="00815A71">
        <w:t xml:space="preserve">secondary outcomes, </w:t>
      </w:r>
      <w:r w:rsidR="00D91027">
        <w:t xml:space="preserve">De Meo </w:t>
      </w:r>
      <w:r w:rsidR="002B61F3">
        <w:t>et al. (</w:t>
      </w:r>
      <w:r w:rsidR="00D91027">
        <w:t>2020</w:t>
      </w:r>
      <w:r w:rsidR="002B61F3">
        <w:t>)</w:t>
      </w:r>
      <w:r w:rsidR="00D91027">
        <w:t xml:space="preserve"> reported </w:t>
      </w:r>
      <w:r w:rsidR="00066A6C" w:rsidRPr="00815A71">
        <w:t>the mean HHS and Hip Disability and Osteoarthritis Outcome Score (HOOS) favoured surgery with DAC</w:t>
      </w:r>
      <w:r w:rsidR="00214DA2">
        <w:t>+antibiotics</w:t>
      </w:r>
      <w:r w:rsidR="00066A6C" w:rsidRPr="00815A71">
        <w:t xml:space="preserve"> but were not statistically significant. </w:t>
      </w:r>
      <w:r w:rsidR="00F10074">
        <w:t xml:space="preserve">In De Meo </w:t>
      </w:r>
      <w:r w:rsidR="002B61F3">
        <w:t>et al. (</w:t>
      </w:r>
      <w:r w:rsidR="00F10074">
        <w:t>2020</w:t>
      </w:r>
      <w:r w:rsidR="002B61F3">
        <w:t>)</w:t>
      </w:r>
      <w:r w:rsidR="00F10074">
        <w:t>, t</w:t>
      </w:r>
      <w:r w:rsidR="00066A6C" w:rsidRPr="00815A71">
        <w:t xml:space="preserve">he rate of total complications was </w:t>
      </w:r>
      <w:r w:rsidR="00F73AAB">
        <w:t>lower for</w:t>
      </w:r>
      <w:r w:rsidR="00066A6C" w:rsidRPr="00815A71">
        <w:t xml:space="preserve"> surgery with DAC</w:t>
      </w:r>
      <w:r w:rsidR="00214DA2">
        <w:t>+antibi</w:t>
      </w:r>
      <w:r>
        <w:t>o</w:t>
      </w:r>
      <w:r w:rsidR="00214DA2">
        <w:t>tics</w:t>
      </w:r>
      <w:r w:rsidR="00066A6C" w:rsidRPr="00815A71">
        <w:t xml:space="preserve"> than without DAC</w:t>
      </w:r>
      <w:r w:rsidR="00214DA2">
        <w:t>+antibiotics</w:t>
      </w:r>
      <w:r w:rsidR="00066A6C" w:rsidRPr="00815A71">
        <w:t xml:space="preserve"> </w:t>
      </w:r>
      <w:r w:rsidR="00424E44">
        <w:t>(p=0.0134</w:t>
      </w:r>
      <w:r w:rsidR="00F10074">
        <w:t xml:space="preserve">; </w:t>
      </w:r>
      <w:r w:rsidR="00F10074">
        <w:fldChar w:fldCharType="begin"/>
      </w:r>
      <w:r w:rsidR="00F10074">
        <w:instrText xml:space="preserve"> REF _Ref71701365 \h </w:instrText>
      </w:r>
      <w:r w:rsidR="00F10074">
        <w:fldChar w:fldCharType="separate"/>
      </w:r>
      <w:r w:rsidR="00BB246A">
        <w:t>Table</w:t>
      </w:r>
      <w:r w:rsidR="002B61F3">
        <w:t> </w:t>
      </w:r>
      <w:r w:rsidR="00BB246A">
        <w:rPr>
          <w:noProof/>
        </w:rPr>
        <w:t>2</w:t>
      </w:r>
      <w:r w:rsidR="00F10074">
        <w:fldChar w:fldCharType="end"/>
      </w:r>
      <w:r w:rsidR="00F10074">
        <w:t>)</w:t>
      </w:r>
      <w:r w:rsidR="00F10074" w:rsidRPr="00815A71">
        <w:t>.</w:t>
      </w:r>
    </w:p>
    <w:p w14:paraId="1939C009" w14:textId="752A4875" w:rsidR="00066A6C" w:rsidRPr="00815A71" w:rsidRDefault="00066A6C" w:rsidP="00E50C67">
      <w:pPr>
        <w:pStyle w:val="Execsummnormal"/>
      </w:pPr>
      <w:r w:rsidRPr="00815A71">
        <w:t xml:space="preserve">De Meo </w:t>
      </w:r>
      <w:r w:rsidR="002B61F3">
        <w:t>et al. (</w:t>
      </w:r>
      <w:r w:rsidRPr="00815A71">
        <w:t>2020</w:t>
      </w:r>
      <w:r w:rsidR="002B61F3">
        <w:t>)</w:t>
      </w:r>
      <w:r w:rsidR="00424E44">
        <w:t xml:space="preserve"> </w:t>
      </w:r>
      <w:r w:rsidR="005C2702">
        <w:t>reported</w:t>
      </w:r>
      <w:r w:rsidRPr="00815A71">
        <w:t xml:space="preserve"> one death (6%) due to sequelae of prolonged immobilisation in bed in the surgery with DAC</w:t>
      </w:r>
      <w:r w:rsidR="00214DA2">
        <w:t>+antibiotics</w:t>
      </w:r>
      <w:r w:rsidRPr="00815A71">
        <w:t xml:space="preserve"> group and 4 (23.5%) deaths due to periprosthetic infection complications (n=3) and myocardial infection (n=1) in the surgery without DAC</w:t>
      </w:r>
      <w:r w:rsidR="00214DA2">
        <w:t>+antibiotics</w:t>
      </w:r>
      <w:r w:rsidRPr="00815A71">
        <w:t xml:space="preserve"> group. Zoccali </w:t>
      </w:r>
      <w:r w:rsidR="002B61F3">
        <w:t>et al. (</w:t>
      </w:r>
      <w:r w:rsidRPr="00815A71">
        <w:t>2021</w:t>
      </w:r>
      <w:r w:rsidR="002B61F3">
        <w:t>)</w:t>
      </w:r>
      <w:r w:rsidR="005C2702">
        <w:t xml:space="preserve"> reported </w:t>
      </w:r>
      <w:r w:rsidRPr="00815A71">
        <w:t>one death (2%) due to underlying malignancy (Ewing’s sarcoma) in the surgery with DAC</w:t>
      </w:r>
      <w:r w:rsidR="00214DA2">
        <w:t>+antibiotics</w:t>
      </w:r>
      <w:r w:rsidRPr="00815A71">
        <w:t xml:space="preserve"> group and two deaths (5%) due to tumour recurrence in the surgery without DAC</w:t>
      </w:r>
      <w:r w:rsidR="00214DA2">
        <w:t>+antibiotics</w:t>
      </w:r>
      <w:r w:rsidRPr="00815A71">
        <w:t xml:space="preserve"> group.</w:t>
      </w:r>
    </w:p>
    <w:p w14:paraId="5788C686" w14:textId="722A96A1" w:rsidR="00066A6C" w:rsidRPr="00815A71" w:rsidRDefault="00214DA2" w:rsidP="00E50C67">
      <w:pPr>
        <w:pStyle w:val="Execsummnormal"/>
      </w:pPr>
      <w:r>
        <w:t>The confidence in the f</w:t>
      </w:r>
      <w:r w:rsidR="00066A6C" w:rsidRPr="00815A71">
        <w:t>avourable outcomes</w:t>
      </w:r>
      <w:r>
        <w:t xml:space="preserve"> reported</w:t>
      </w:r>
      <w:r w:rsidR="00066A6C" w:rsidRPr="00815A71">
        <w:t xml:space="preserve"> for surgery with DAC</w:t>
      </w:r>
      <w:r>
        <w:t>+antibiotics</w:t>
      </w:r>
      <w:r w:rsidR="00066A6C" w:rsidRPr="00815A71">
        <w:t xml:space="preserve"> group in De Meo </w:t>
      </w:r>
      <w:r w:rsidR="002B61F3">
        <w:t>et al. (</w:t>
      </w:r>
      <w:r w:rsidR="00066A6C" w:rsidRPr="00815A71">
        <w:t>2020</w:t>
      </w:r>
      <w:r w:rsidR="002B61F3">
        <w:t>)</w:t>
      </w:r>
      <w:r w:rsidR="00066A6C" w:rsidRPr="00815A71">
        <w:t xml:space="preserve"> and Zoccali </w:t>
      </w:r>
      <w:r w:rsidR="002B61F3">
        <w:t>et al. (</w:t>
      </w:r>
      <w:r w:rsidR="00066A6C" w:rsidRPr="00815A71">
        <w:t>2021</w:t>
      </w:r>
      <w:r w:rsidR="002B61F3">
        <w:t>)</w:t>
      </w:r>
      <w:r w:rsidR="00066A6C" w:rsidRPr="00815A71">
        <w:t xml:space="preserve"> are limited by their weak study designs and small sample sizes. Further, De Meo</w:t>
      </w:r>
      <w:r w:rsidR="002B61F3">
        <w:t xml:space="preserve"> et al.</w:t>
      </w:r>
      <w:r w:rsidR="00066A6C" w:rsidRPr="00815A71">
        <w:t xml:space="preserve"> </w:t>
      </w:r>
      <w:r w:rsidR="002B61F3">
        <w:t>(</w:t>
      </w:r>
      <w:r w:rsidR="00066A6C" w:rsidRPr="00815A71">
        <w:t>2020</w:t>
      </w:r>
      <w:r w:rsidR="002B61F3">
        <w:t>)</w:t>
      </w:r>
      <w:r w:rsidR="00066A6C" w:rsidRPr="00815A71">
        <w:t xml:space="preserve"> considered hips only</w:t>
      </w:r>
      <w:r w:rsidR="00DB4CD4" w:rsidRPr="00815A71">
        <w:t>,</w:t>
      </w:r>
      <w:r w:rsidR="00066A6C" w:rsidRPr="00815A71">
        <w:t xml:space="preserve"> and it is unclear if the results apply to other joints.</w:t>
      </w:r>
    </w:p>
    <w:p w14:paraId="3534F7CB" w14:textId="77777777" w:rsidR="00066A6C" w:rsidRPr="00815A71" w:rsidRDefault="00066A6C" w:rsidP="00E50C67">
      <w:pPr>
        <w:pStyle w:val="ExecSummHeading3"/>
      </w:pPr>
      <w:bookmarkStart w:id="55" w:name="_Toc112076486"/>
      <w:r w:rsidRPr="00815A71">
        <w:t>Population 3</w:t>
      </w:r>
      <w:bookmarkEnd w:id="55"/>
    </w:p>
    <w:p w14:paraId="4C12FCEA" w14:textId="7ECB5A55" w:rsidR="00066A6C" w:rsidRPr="00815A71" w:rsidRDefault="00ED4CC7" w:rsidP="00E50C67">
      <w:pPr>
        <w:pStyle w:val="Execsummnormal"/>
      </w:pPr>
      <w:r w:rsidRPr="00ED4CC7">
        <w:t xml:space="preserve">Romanò </w:t>
      </w:r>
      <w:r w:rsidR="002B61F3">
        <w:t>et al. (</w:t>
      </w:r>
      <w:r w:rsidRPr="00ED4CC7">
        <w:t>2016</w:t>
      </w:r>
      <w:r w:rsidR="002B61F3">
        <w:t>)</w:t>
      </w:r>
      <w:r w:rsidRPr="00ED4CC7">
        <w:t xml:space="preserve"> reported</w:t>
      </w:r>
      <w:r w:rsidR="00486546">
        <w:t xml:space="preserve">, for the </w:t>
      </w:r>
      <w:r w:rsidR="00486546" w:rsidRPr="00815A71">
        <w:t>sub</w:t>
      </w:r>
      <w:r w:rsidR="00486546">
        <w:t>group</w:t>
      </w:r>
      <w:r w:rsidR="00486546" w:rsidRPr="00815A71">
        <w:t xml:space="preserve"> </w:t>
      </w:r>
      <w:r w:rsidR="00486546">
        <w:t xml:space="preserve">analysis </w:t>
      </w:r>
      <w:r w:rsidR="00486546" w:rsidRPr="00815A71">
        <w:t>of</w:t>
      </w:r>
      <w:r w:rsidR="00486546">
        <w:t xml:space="preserve"> patients who underwent revision hip or knee replacement for </w:t>
      </w:r>
      <w:r w:rsidR="00486546" w:rsidRPr="00FA0392">
        <w:t>periprosthetic SSI</w:t>
      </w:r>
      <w:r w:rsidR="00486546" w:rsidRPr="00815A71">
        <w:t>,</w:t>
      </w:r>
      <w:r w:rsidR="00486546">
        <w:t xml:space="preserve"> that </w:t>
      </w:r>
      <w:r>
        <w:t>t</w:t>
      </w:r>
      <w:r w:rsidR="00066A6C" w:rsidRPr="00815A71">
        <w:t>he SSI incidence</w:t>
      </w:r>
      <w:r w:rsidR="00486546">
        <w:t xml:space="preserve"> (recurrence)</w:t>
      </w:r>
      <w:r w:rsidR="00066A6C" w:rsidRPr="00815A71">
        <w:t xml:space="preserve"> </w:t>
      </w:r>
      <w:r w:rsidR="001655AF">
        <w:t xml:space="preserve">was </w:t>
      </w:r>
      <w:r w:rsidR="002C2AFB">
        <w:t>lower for</w:t>
      </w:r>
      <w:r w:rsidR="00066A6C" w:rsidRPr="00815A71">
        <w:t xml:space="preserve"> surgery with DAC</w:t>
      </w:r>
      <w:r>
        <w:t>+antibiotics</w:t>
      </w:r>
      <w:r w:rsidR="00066A6C" w:rsidRPr="00815A71">
        <w:t xml:space="preserve"> </w:t>
      </w:r>
      <w:r w:rsidR="002C2AFB">
        <w:t xml:space="preserve">versus without DAC+antibiotics </w:t>
      </w:r>
      <w:r w:rsidR="00066A6C" w:rsidRPr="00815A71">
        <w:t>(</w:t>
      </w:r>
      <w:r w:rsidR="002C2AFB">
        <w:t>p=</w:t>
      </w:r>
      <w:r w:rsidR="00066A6C" w:rsidRPr="00815A71">
        <w:t xml:space="preserve">0.006; </w:t>
      </w:r>
      <w:r w:rsidR="002C2AFB">
        <w:fldChar w:fldCharType="begin"/>
      </w:r>
      <w:r w:rsidR="002C2AFB">
        <w:instrText xml:space="preserve"> REF _Ref71701365 \h </w:instrText>
      </w:r>
      <w:r w:rsidR="002C2AFB">
        <w:fldChar w:fldCharType="separate"/>
      </w:r>
      <w:r w:rsidR="00BB246A">
        <w:t xml:space="preserve">Table </w:t>
      </w:r>
      <w:r w:rsidR="00BB246A">
        <w:rPr>
          <w:noProof/>
        </w:rPr>
        <w:t>2</w:t>
      </w:r>
      <w:r w:rsidR="002C2AFB">
        <w:fldChar w:fldCharType="end"/>
      </w:r>
      <w:r w:rsidR="00066A6C" w:rsidRPr="00815A71">
        <w:t>). However, although the relative risk favoured surgery with DAC</w:t>
      </w:r>
      <w:r>
        <w:t>+antibiotics</w:t>
      </w:r>
      <w:r w:rsidR="00066A6C" w:rsidRPr="00815A71">
        <w:t xml:space="preserve">, it was not statistically significant (p= 0.058). </w:t>
      </w:r>
      <w:r w:rsidR="002C2AFB">
        <w:t xml:space="preserve">In contrast, </w:t>
      </w:r>
      <w:r w:rsidR="002B61F3">
        <w:t xml:space="preserve">Capuano et al. (2018) and </w:t>
      </w:r>
      <w:r w:rsidR="002C2AFB">
        <w:t xml:space="preserve">Zagara </w:t>
      </w:r>
      <w:r w:rsidR="002B61F3">
        <w:t>et al. (</w:t>
      </w:r>
      <w:r w:rsidR="002C2AFB">
        <w:t>2019</w:t>
      </w:r>
      <w:r w:rsidR="002B61F3">
        <w:t xml:space="preserve">) </w:t>
      </w:r>
      <w:r w:rsidR="002C2AFB">
        <w:t>reported, for both</w:t>
      </w:r>
      <w:r w:rsidR="00066A6C" w:rsidRPr="00815A71">
        <w:t xml:space="preserve"> PJI recurrence</w:t>
      </w:r>
      <w:r w:rsidR="002C2AFB">
        <w:t xml:space="preserve"> and relative risk of PJI occurrence, that there was no </w:t>
      </w:r>
      <w:r w:rsidR="002C2AFB" w:rsidRPr="00815A71">
        <w:t>statistically significant difference between surgery with and without DAC</w:t>
      </w:r>
      <w:r w:rsidR="002C2AFB">
        <w:t>+antibiotics (</w:t>
      </w:r>
      <w:r w:rsidR="002C2AFB">
        <w:fldChar w:fldCharType="begin"/>
      </w:r>
      <w:r w:rsidR="002C2AFB">
        <w:instrText xml:space="preserve"> REF _Ref71701365 \h </w:instrText>
      </w:r>
      <w:r w:rsidR="002C2AFB">
        <w:fldChar w:fldCharType="separate"/>
      </w:r>
      <w:r w:rsidR="00BB246A">
        <w:t xml:space="preserve">Table </w:t>
      </w:r>
      <w:r w:rsidR="00BB246A">
        <w:rPr>
          <w:noProof/>
        </w:rPr>
        <w:t>2</w:t>
      </w:r>
      <w:r w:rsidR="002C2AFB">
        <w:fldChar w:fldCharType="end"/>
      </w:r>
      <w:r w:rsidR="002C2AFB" w:rsidRPr="00815A71">
        <w:t>)</w:t>
      </w:r>
      <w:r w:rsidR="00066A6C" w:rsidRPr="00815A71">
        <w:t>.</w:t>
      </w:r>
    </w:p>
    <w:p w14:paraId="0F7D7281" w14:textId="6E9297FC" w:rsidR="00066A6C" w:rsidRPr="00815A71" w:rsidRDefault="00DA78FF" w:rsidP="00E50C67">
      <w:pPr>
        <w:pStyle w:val="Execsummnormal"/>
      </w:pPr>
      <w:r>
        <w:t xml:space="preserve">Regarding </w:t>
      </w:r>
      <w:r w:rsidR="00066A6C" w:rsidRPr="00815A71">
        <w:t xml:space="preserve">secondary outcomes, Capuano </w:t>
      </w:r>
      <w:r w:rsidR="002B61F3">
        <w:t>et al. (</w:t>
      </w:r>
      <w:r w:rsidR="00066A6C" w:rsidRPr="00815A71">
        <w:t>2018</w:t>
      </w:r>
      <w:r w:rsidR="002B61F3">
        <w:t>)</w:t>
      </w:r>
      <w:r w:rsidR="00066A6C" w:rsidRPr="00815A71">
        <w:t xml:space="preserve"> and Zagra </w:t>
      </w:r>
      <w:r w:rsidR="002B61F3">
        <w:t>et al. (</w:t>
      </w:r>
      <w:r w:rsidR="00066A6C" w:rsidRPr="00815A71">
        <w:t>2019</w:t>
      </w:r>
      <w:r w:rsidR="002B61F3">
        <w:t>)</w:t>
      </w:r>
      <w:r w:rsidR="00066A6C" w:rsidRPr="00815A71">
        <w:t xml:space="preserve"> </w:t>
      </w:r>
      <w:r w:rsidR="002C2AFB">
        <w:t>reported</w:t>
      </w:r>
      <w:r w:rsidR="00066A6C" w:rsidRPr="00815A71">
        <w:t xml:space="preserve"> </w:t>
      </w:r>
      <w:r w:rsidR="005418F4">
        <w:t>no difference in patient-reported outcomes measures</w:t>
      </w:r>
      <w:r w:rsidR="00066A6C" w:rsidRPr="00815A71">
        <w:t xml:space="preserve"> (</w:t>
      </w:r>
      <w:r w:rsidR="005418F4">
        <w:t>i.e.</w:t>
      </w:r>
      <w:r w:rsidR="00066A6C" w:rsidRPr="00815A71">
        <w:t xml:space="preserve"> </w:t>
      </w:r>
      <w:r w:rsidR="005418F4">
        <w:t xml:space="preserve">SF-12, </w:t>
      </w:r>
      <w:r w:rsidR="00066A6C" w:rsidRPr="00815A71">
        <w:t xml:space="preserve">HHS, KSS). </w:t>
      </w:r>
      <w:r>
        <w:t>H</w:t>
      </w:r>
      <w:r w:rsidR="00066A6C" w:rsidRPr="00815A71">
        <w:t xml:space="preserve">ospital length of stay </w:t>
      </w:r>
      <w:r w:rsidR="005418F4">
        <w:t xml:space="preserve">and </w:t>
      </w:r>
      <w:r w:rsidR="005418F4" w:rsidRPr="005418F4">
        <w:t>duration of systemic antibiotic therapy</w:t>
      </w:r>
      <w:r w:rsidR="005418F4">
        <w:t xml:space="preserve"> </w:t>
      </w:r>
      <w:r w:rsidR="00066A6C" w:rsidRPr="00815A71">
        <w:t>was statistically significantly less in the DAC</w:t>
      </w:r>
      <w:r>
        <w:t>+antibiotics</w:t>
      </w:r>
      <w:r w:rsidR="00066A6C" w:rsidRPr="00815A71">
        <w:t xml:space="preserve"> group </w:t>
      </w:r>
      <w:r w:rsidR="00320E9B">
        <w:t>(</w:t>
      </w:r>
      <w:r w:rsidR="00320E9B">
        <w:fldChar w:fldCharType="begin"/>
      </w:r>
      <w:r w:rsidR="00320E9B">
        <w:instrText xml:space="preserve"> REF _Ref71701365 \h </w:instrText>
      </w:r>
      <w:r w:rsidR="00320E9B">
        <w:fldChar w:fldCharType="separate"/>
      </w:r>
      <w:r w:rsidR="00BB246A">
        <w:t xml:space="preserve">Table </w:t>
      </w:r>
      <w:r w:rsidR="00BB246A">
        <w:rPr>
          <w:noProof/>
        </w:rPr>
        <w:t>2</w:t>
      </w:r>
      <w:r w:rsidR="00320E9B">
        <w:fldChar w:fldCharType="end"/>
      </w:r>
      <w:r w:rsidR="00320E9B" w:rsidRPr="00815A71">
        <w:t>)</w:t>
      </w:r>
      <w:r w:rsidR="00066A6C" w:rsidRPr="00815A71">
        <w:t>.</w:t>
      </w:r>
    </w:p>
    <w:p w14:paraId="5A9E7C01" w14:textId="592FF7DE" w:rsidR="00066A6C" w:rsidRPr="00815A71" w:rsidRDefault="00066A6C" w:rsidP="00E50C67">
      <w:pPr>
        <w:pStyle w:val="Execsummnormal"/>
      </w:pPr>
      <w:r w:rsidRPr="00815A71">
        <w:t xml:space="preserve">All studies (Romanò </w:t>
      </w:r>
      <w:r w:rsidR="002B61F3">
        <w:t xml:space="preserve">et al. </w:t>
      </w:r>
      <w:r w:rsidRPr="00815A71">
        <w:t xml:space="preserve">2016, Capuano </w:t>
      </w:r>
      <w:r w:rsidR="002B61F3">
        <w:t xml:space="preserve">et al. </w:t>
      </w:r>
      <w:r w:rsidRPr="00815A71">
        <w:t>2018</w:t>
      </w:r>
      <w:r w:rsidR="002B61F3">
        <w:t xml:space="preserve"> and </w:t>
      </w:r>
      <w:r w:rsidR="002B61F3" w:rsidRPr="00815A71">
        <w:t xml:space="preserve">Zagra </w:t>
      </w:r>
      <w:r w:rsidR="002B61F3">
        <w:t xml:space="preserve">et al. </w:t>
      </w:r>
      <w:r w:rsidR="002B61F3" w:rsidRPr="00815A71">
        <w:t>2019</w:t>
      </w:r>
      <w:r w:rsidRPr="00815A71">
        <w:t xml:space="preserve">) exhibited several limitations. The subgroup in Romanò </w:t>
      </w:r>
      <w:r w:rsidR="002B61F3">
        <w:t>et al. (</w:t>
      </w:r>
      <w:r w:rsidRPr="00815A71">
        <w:t>2016</w:t>
      </w:r>
      <w:r w:rsidR="002B61F3">
        <w:t>)</w:t>
      </w:r>
      <w:r w:rsidRPr="00815A71">
        <w:t xml:space="preserve"> included a relatively small sample size (n=106)</w:t>
      </w:r>
      <w:r w:rsidR="009F291E">
        <w:t>,</w:t>
      </w:r>
      <w:r w:rsidR="001655AF">
        <w:t xml:space="preserve"> </w:t>
      </w:r>
      <w:r w:rsidR="00DB4CD4" w:rsidRPr="00815A71">
        <w:t xml:space="preserve">a </w:t>
      </w:r>
      <w:r w:rsidRPr="00815A71">
        <w:t>short follow-up</w:t>
      </w:r>
      <w:r w:rsidR="009F291E">
        <w:t xml:space="preserve"> and </w:t>
      </w:r>
      <w:r w:rsidR="009F291E" w:rsidRPr="00815A71" w:rsidDel="00871FEA">
        <w:t>randomisation had to be broken to estimate treatment effects</w:t>
      </w:r>
      <w:r w:rsidR="009F291E">
        <w:t xml:space="preserve"> for the subgroup</w:t>
      </w:r>
      <w:r w:rsidRPr="00815A71">
        <w:t xml:space="preserve">. Both Capuano </w:t>
      </w:r>
      <w:r w:rsidR="002B61F3">
        <w:t>et al. (</w:t>
      </w:r>
      <w:r w:rsidRPr="00815A71">
        <w:t>2018</w:t>
      </w:r>
      <w:r w:rsidR="002B61F3">
        <w:t>)</w:t>
      </w:r>
      <w:r w:rsidRPr="00815A71">
        <w:t xml:space="preserve"> and Zagra </w:t>
      </w:r>
      <w:r w:rsidR="002B61F3">
        <w:t>et al. (</w:t>
      </w:r>
      <w:r w:rsidRPr="00815A71">
        <w:t>2019</w:t>
      </w:r>
      <w:r w:rsidR="002B61F3">
        <w:t>)</w:t>
      </w:r>
      <w:r w:rsidRPr="00815A71">
        <w:t xml:space="preserve"> had weak study designs (i.e., case-control studies) and small sample sizes. In addition, Capuano </w:t>
      </w:r>
      <w:r w:rsidR="002B61F3">
        <w:t>et al. (</w:t>
      </w:r>
      <w:r w:rsidRPr="00815A71">
        <w:t>2018</w:t>
      </w:r>
      <w:r w:rsidR="002B61F3">
        <w:t>)</w:t>
      </w:r>
      <w:r w:rsidRPr="00815A71">
        <w:t xml:space="preserve"> compared </w:t>
      </w:r>
      <w:r w:rsidR="009F291E" w:rsidRPr="00815A71">
        <w:t xml:space="preserve">single-stage revision </w:t>
      </w:r>
      <w:r w:rsidRPr="00815A71">
        <w:t>with DAC</w:t>
      </w:r>
      <w:r w:rsidR="00DA78FF">
        <w:t>+antibiotics</w:t>
      </w:r>
      <w:r w:rsidRPr="00815A71">
        <w:t xml:space="preserve"> (cases) to two-stage revisions without DAC</w:t>
      </w:r>
      <w:r w:rsidR="00DA78FF">
        <w:t>+antibiotics</w:t>
      </w:r>
      <w:r w:rsidRPr="00815A71">
        <w:t xml:space="preserve"> </w:t>
      </w:r>
      <w:r w:rsidRPr="00815A71">
        <w:lastRenderedPageBreak/>
        <w:t xml:space="preserve">(controls), where the latter could be more prone to SSI. Further, Zagra </w:t>
      </w:r>
      <w:r w:rsidR="002B61F3">
        <w:t>et al. (</w:t>
      </w:r>
      <w:r w:rsidRPr="00815A71">
        <w:t>2019</w:t>
      </w:r>
      <w:r w:rsidR="002B61F3">
        <w:t>)</w:t>
      </w:r>
      <w:r w:rsidRPr="00815A71">
        <w:t xml:space="preserve"> included hip revisions only and whether the treatment effect results apply to other joints is uncertain.</w:t>
      </w:r>
    </w:p>
    <w:p w14:paraId="0D081499" w14:textId="77777777" w:rsidR="00066A6C" w:rsidRPr="00815A71" w:rsidRDefault="00066A6C" w:rsidP="00E50C67">
      <w:pPr>
        <w:pStyle w:val="ExecSummHeading3"/>
      </w:pPr>
      <w:bookmarkStart w:id="56" w:name="_Toc112076487"/>
      <w:r w:rsidRPr="00815A71">
        <w:t>Population 4</w:t>
      </w:r>
      <w:bookmarkEnd w:id="56"/>
    </w:p>
    <w:p w14:paraId="0A0AEA15" w14:textId="179C6C85" w:rsidR="00066A6C" w:rsidRPr="00815A71" w:rsidRDefault="00CB00BE" w:rsidP="00E50C67">
      <w:pPr>
        <w:pStyle w:val="Execsummnormal"/>
      </w:pPr>
      <w:r>
        <w:t>For patients with closed fractures</w:t>
      </w:r>
      <w:r w:rsidR="00C575F1">
        <w:t xml:space="preserve"> (Population 4a)</w:t>
      </w:r>
      <w:r>
        <w:t xml:space="preserve">, </w:t>
      </w:r>
      <w:r w:rsidR="00066A6C" w:rsidRPr="00815A71">
        <w:t xml:space="preserve">Malizos </w:t>
      </w:r>
      <w:r w:rsidR="002B61F3">
        <w:t>et al. (</w:t>
      </w:r>
      <w:r w:rsidR="00066A6C" w:rsidRPr="00815A71">
        <w:t>2017</w:t>
      </w:r>
      <w:r w:rsidR="002B61F3">
        <w:t>)</w:t>
      </w:r>
      <w:r w:rsidR="00066A6C" w:rsidRPr="00815A71">
        <w:t xml:space="preserve"> </w:t>
      </w:r>
      <w:r w:rsidR="009F291E">
        <w:t xml:space="preserve">reported </w:t>
      </w:r>
      <w:r w:rsidR="00066A6C" w:rsidRPr="00815A71">
        <w:t xml:space="preserve">the incidence of deep SSI </w:t>
      </w:r>
      <w:r w:rsidR="009F291E">
        <w:t>was lower for</w:t>
      </w:r>
      <w:r w:rsidR="009F291E" w:rsidRPr="00815A71">
        <w:t xml:space="preserve"> </w:t>
      </w:r>
      <w:r w:rsidR="00066A6C" w:rsidRPr="00815A71">
        <w:t>surgery with DAC</w:t>
      </w:r>
      <w:r w:rsidR="00DA78FF">
        <w:t>+antibiotics</w:t>
      </w:r>
      <w:r w:rsidR="00066A6C" w:rsidRPr="00815A71">
        <w:t xml:space="preserve"> </w:t>
      </w:r>
      <w:r w:rsidR="009F291E">
        <w:t>versus surgery</w:t>
      </w:r>
      <w:r w:rsidR="00066A6C" w:rsidRPr="00815A71">
        <w:t xml:space="preserve"> without DAC</w:t>
      </w:r>
      <w:r w:rsidR="00DA78FF">
        <w:t>+antibiotics</w:t>
      </w:r>
      <w:r w:rsidR="00066A6C" w:rsidRPr="00815A71">
        <w:t xml:space="preserve"> </w:t>
      </w:r>
      <w:r w:rsidR="009F291E">
        <w:t>(p</w:t>
      </w:r>
      <w:r w:rsidR="00066A6C" w:rsidRPr="00815A71">
        <w:t>=0.029</w:t>
      </w:r>
      <w:r w:rsidR="009F291E">
        <w:t xml:space="preserve">, </w:t>
      </w:r>
      <w:r w:rsidR="009F291E">
        <w:fldChar w:fldCharType="begin"/>
      </w:r>
      <w:r w:rsidR="009F291E">
        <w:instrText xml:space="preserve"> REF _Ref71701365 \h </w:instrText>
      </w:r>
      <w:r w:rsidR="009F291E">
        <w:fldChar w:fldCharType="separate"/>
      </w:r>
      <w:r w:rsidR="00BB246A">
        <w:t xml:space="preserve">Table </w:t>
      </w:r>
      <w:r w:rsidR="00BB246A">
        <w:rPr>
          <w:noProof/>
        </w:rPr>
        <w:t>2</w:t>
      </w:r>
      <w:r w:rsidR="009F291E">
        <w:fldChar w:fldCharType="end"/>
      </w:r>
      <w:r w:rsidR="009F291E">
        <w:t>)</w:t>
      </w:r>
      <w:r w:rsidR="00066A6C" w:rsidRPr="00815A71">
        <w:t>. However, there was no statistically significant difference between surgery with and without DAC</w:t>
      </w:r>
      <w:r w:rsidR="00DA78FF">
        <w:t>+antibiotics</w:t>
      </w:r>
      <w:r w:rsidR="00066A6C" w:rsidRPr="00815A71">
        <w:t xml:space="preserve"> in terms of relative risk </w:t>
      </w:r>
      <w:r w:rsidR="001655AF">
        <w:t xml:space="preserve">for SSI </w:t>
      </w:r>
      <w:r w:rsidR="00066A6C" w:rsidRPr="00815A71">
        <w:t>(p= 0.08).</w:t>
      </w:r>
    </w:p>
    <w:p w14:paraId="5FC2D974" w14:textId="7034FE92" w:rsidR="00066A6C" w:rsidRPr="00815A71" w:rsidRDefault="00DA78FF" w:rsidP="00E50C67">
      <w:pPr>
        <w:pStyle w:val="Execsummnormal"/>
      </w:pPr>
      <w:r>
        <w:t xml:space="preserve">Regarding </w:t>
      </w:r>
      <w:r w:rsidR="00066A6C" w:rsidRPr="00815A71">
        <w:t>secondary outcomes</w:t>
      </w:r>
      <w:r w:rsidR="009F291E">
        <w:t xml:space="preserve">, </w:t>
      </w:r>
      <w:r w:rsidR="00066A6C" w:rsidRPr="00815A71">
        <w:t xml:space="preserve">Malizos </w:t>
      </w:r>
      <w:r w:rsidR="002B61F3">
        <w:t>et al. (</w:t>
      </w:r>
      <w:r w:rsidR="00066A6C" w:rsidRPr="00815A71">
        <w:t>2017</w:t>
      </w:r>
      <w:r w:rsidR="002B61F3">
        <w:t>)</w:t>
      </w:r>
      <w:r w:rsidR="00066A6C" w:rsidRPr="00815A71">
        <w:t xml:space="preserve"> reported that </w:t>
      </w:r>
      <w:r w:rsidR="009F291E">
        <w:t>there</w:t>
      </w:r>
      <w:r w:rsidR="00066A6C" w:rsidRPr="00815A71">
        <w:t xml:space="preserve"> was no statistically </w:t>
      </w:r>
      <w:r w:rsidR="00C575F1">
        <w:t xml:space="preserve">significant </w:t>
      </w:r>
      <w:r w:rsidR="00066A6C" w:rsidRPr="00815A71">
        <w:t>differen</w:t>
      </w:r>
      <w:r w:rsidR="00C575F1">
        <w:t>ce</w:t>
      </w:r>
      <w:r w:rsidR="00066A6C" w:rsidRPr="00815A71">
        <w:t xml:space="preserve"> between the groups</w:t>
      </w:r>
      <w:r w:rsidR="009F291E">
        <w:t xml:space="preserve"> for SF-12 Health Survey total score, delayed wound healing, delayed union or u</w:t>
      </w:r>
      <w:r w:rsidR="009F291E" w:rsidRPr="009F291E">
        <w:t xml:space="preserve">nplanned antibiotic treatment during hospital stay </w:t>
      </w:r>
      <w:r w:rsidR="009F291E">
        <w:t>(</w:t>
      </w:r>
      <w:r w:rsidR="009F291E" w:rsidRPr="009F291E">
        <w:t>for other reasons than SSI</w:t>
      </w:r>
      <w:r w:rsidR="009F291E">
        <w:t>)</w:t>
      </w:r>
      <w:r w:rsidR="00066A6C" w:rsidRPr="00815A71">
        <w:t>.</w:t>
      </w:r>
    </w:p>
    <w:p w14:paraId="34B028EB" w14:textId="27A4BF7D" w:rsidR="00C575F1" w:rsidRDefault="00CB00BE" w:rsidP="00E50C67">
      <w:pPr>
        <w:pStyle w:val="Execsummnormal"/>
      </w:pPr>
      <w:r w:rsidRPr="00CB00BE">
        <w:t xml:space="preserve">The relevance of the trial evidence </w:t>
      </w:r>
      <w:r>
        <w:t xml:space="preserve">from </w:t>
      </w:r>
      <w:r w:rsidR="00066A6C" w:rsidRPr="00815A71">
        <w:t>Malizos</w:t>
      </w:r>
      <w:r w:rsidR="002B61F3">
        <w:t xml:space="preserve"> et al.</w:t>
      </w:r>
      <w:r w:rsidR="00066A6C" w:rsidRPr="00815A71">
        <w:t xml:space="preserve"> </w:t>
      </w:r>
      <w:r w:rsidR="002B61F3">
        <w:t>(</w:t>
      </w:r>
      <w:r w:rsidR="00066A6C" w:rsidRPr="00815A71">
        <w:t>2017</w:t>
      </w:r>
      <w:r w:rsidR="002B61F3">
        <w:t>)</w:t>
      </w:r>
      <w:r w:rsidR="00066A6C" w:rsidRPr="00815A71">
        <w:t xml:space="preserve"> </w:t>
      </w:r>
      <w:r>
        <w:t xml:space="preserve">is also limited as the study </w:t>
      </w:r>
      <w:r w:rsidR="00066A6C" w:rsidRPr="00815A71">
        <w:t>did not impose inclusion criteria for ASA score ≥ 3 and BMI ≥ 30, required for Population 4 (closed fractures). Further, the study had a relatively short follow-up.</w:t>
      </w:r>
      <w:r w:rsidR="00C575F1" w:rsidRPr="00C575F1">
        <w:t xml:space="preserve"> </w:t>
      </w:r>
    </w:p>
    <w:p w14:paraId="2FD2CA90" w14:textId="447AC3A3" w:rsidR="00066A6C" w:rsidRDefault="00C575F1" w:rsidP="00E50C67">
      <w:pPr>
        <w:pStyle w:val="Execsummnormal"/>
      </w:pPr>
      <w:r>
        <w:t>N</w:t>
      </w:r>
      <w:r w:rsidRPr="00815A71">
        <w:t xml:space="preserve">o evidence for </w:t>
      </w:r>
      <w:r>
        <w:t xml:space="preserve">the comparative safety of DAC+antibiotics for patients with </w:t>
      </w:r>
      <w:r w:rsidRPr="00815A71">
        <w:t>open fractures</w:t>
      </w:r>
      <w:r>
        <w:t xml:space="preserve"> Population 4b) was identified</w:t>
      </w:r>
      <w:r w:rsidRPr="00815A71">
        <w:t>.</w:t>
      </w:r>
    </w:p>
    <w:p w14:paraId="0121E6C6" w14:textId="006BC949" w:rsidR="00C575F1" w:rsidRDefault="00C575F1" w:rsidP="003207C6">
      <w:pPr>
        <w:sectPr w:rsidR="00C575F1" w:rsidSect="00C37DD3">
          <w:pgSz w:w="11906" w:h="16838"/>
          <w:pgMar w:top="1440" w:right="1440" w:bottom="1440" w:left="1440" w:header="709" w:footer="709" w:gutter="0"/>
          <w:cols w:space="720"/>
        </w:sectPr>
      </w:pPr>
    </w:p>
    <w:p w14:paraId="74C1D761" w14:textId="48C1AF5F" w:rsidR="00066A6C" w:rsidRDefault="00066A6C" w:rsidP="00761439">
      <w:pPr>
        <w:pStyle w:val="Caption"/>
        <w:rPr>
          <w:snapToGrid w:val="0"/>
          <w:lang w:eastAsia="en-US"/>
        </w:rPr>
      </w:pPr>
      <w:bookmarkStart w:id="57" w:name="_Ref71701365"/>
      <w:bookmarkStart w:id="58" w:name="_Toc71718449"/>
      <w:bookmarkStart w:id="59" w:name="_Toc112076619"/>
      <w:r>
        <w:lastRenderedPageBreak/>
        <w:t xml:space="preserve">Table </w:t>
      </w:r>
      <w:r w:rsidR="00000000">
        <w:fldChar w:fldCharType="begin"/>
      </w:r>
      <w:r w:rsidR="00000000">
        <w:instrText xml:space="preserve"> SEQ Table \* ARABIC </w:instrText>
      </w:r>
      <w:r w:rsidR="00000000">
        <w:fldChar w:fldCharType="separate"/>
      </w:r>
      <w:r w:rsidR="00BB246A">
        <w:rPr>
          <w:noProof/>
        </w:rPr>
        <w:t>2</w:t>
      </w:r>
      <w:r w:rsidR="00000000">
        <w:rPr>
          <w:noProof/>
        </w:rPr>
        <w:fldChar w:fldCharType="end"/>
      </w:r>
      <w:bookmarkEnd w:id="57"/>
      <w:r>
        <w:tab/>
      </w:r>
      <w:r>
        <w:rPr>
          <w:snapToGrid w:val="0"/>
          <w:lang w:eastAsia="en-US"/>
        </w:rPr>
        <w:tab/>
        <w:t>Balance of clinical benefits of DAC, relative to no DAC, and as measured by the critical patient-relevant outcomes in the key studies</w:t>
      </w:r>
      <w:bookmarkEnd w:id="58"/>
      <w:bookmarkEnd w:id="59"/>
      <w:r>
        <w:rPr>
          <w:snapToGrid w:val="0"/>
          <w:lang w:eastAsia="en-US"/>
        </w:rPr>
        <w:t xml:space="preserve"> </w:t>
      </w:r>
    </w:p>
    <w:tbl>
      <w:tblPr>
        <w:tblStyle w:val="TableGrid1"/>
        <w:tblW w:w="5178" w:type="pct"/>
        <w:tblLayout w:type="fixed"/>
        <w:tblCellMar>
          <w:left w:w="28" w:type="dxa"/>
          <w:right w:w="28" w:type="dxa"/>
        </w:tblCellMar>
        <w:tblLook w:val="04A0" w:firstRow="1" w:lastRow="0" w:firstColumn="1" w:lastColumn="0" w:noHBand="0" w:noVBand="1"/>
        <w:tblCaption w:val="Balance of clinical benefits of DAC, relative to no DAC, and as measured by the critical patient-relevant outcomes in the key studies "/>
        <w:tblDescription w:val="This table includes major outcomes for all populations, quality of evidence assessment based on GRADE and results in terms of event counts, relative risk, risk difference and number needed to treat, alongside their confidence intervals and p-values."/>
      </w:tblPr>
      <w:tblGrid>
        <w:gridCol w:w="2972"/>
        <w:gridCol w:w="1709"/>
        <w:gridCol w:w="1783"/>
        <w:gridCol w:w="2317"/>
        <w:gridCol w:w="714"/>
        <w:gridCol w:w="1520"/>
        <w:gridCol w:w="1731"/>
        <w:gridCol w:w="1676"/>
        <w:gridCol w:w="23"/>
      </w:tblGrid>
      <w:tr w:rsidR="004F1EB1" w14:paraId="749A29A9" w14:textId="77777777" w:rsidTr="00F871EC">
        <w:trPr>
          <w:gridAfter w:val="1"/>
          <w:cnfStyle w:val="100000000000" w:firstRow="1" w:lastRow="0" w:firstColumn="0" w:lastColumn="0" w:oddVBand="0" w:evenVBand="0" w:oddHBand="0" w:evenHBand="0" w:firstRowFirstColumn="0" w:firstRowLastColumn="0" w:lastRowFirstColumn="0" w:lastRowLastColumn="0"/>
          <w:wAfter w:w="8" w:type="pct"/>
          <w:tblHeader/>
        </w:trPr>
        <w:tc>
          <w:tcPr>
            <w:tcW w:w="1029" w:type="pct"/>
            <w:tcBorders>
              <w:top w:val="single" w:sz="4" w:space="0" w:color="auto"/>
              <w:left w:val="single" w:sz="4" w:space="0" w:color="auto"/>
              <w:bottom w:val="single" w:sz="4" w:space="0" w:color="auto"/>
              <w:right w:val="single" w:sz="4" w:space="0" w:color="auto"/>
            </w:tcBorders>
            <w:hideMark/>
          </w:tcPr>
          <w:p w14:paraId="4B70A26B" w14:textId="77777777" w:rsidR="00066A6C" w:rsidRDefault="00066A6C" w:rsidP="000A4AD3">
            <w:pPr>
              <w:pStyle w:val="TableHeading"/>
            </w:pPr>
            <w:bookmarkStart w:id="60" w:name="_Hlk74139972"/>
            <w:r>
              <w:t>Outcomes</w:t>
            </w:r>
          </w:p>
          <w:p w14:paraId="3B13B837" w14:textId="77777777" w:rsidR="00066A6C" w:rsidRDefault="00066A6C" w:rsidP="000A4AD3">
            <w:pPr>
              <w:pStyle w:val="TableHeading"/>
            </w:pPr>
            <w:r>
              <w:t>Follow-up</w:t>
            </w:r>
          </w:p>
        </w:tc>
        <w:tc>
          <w:tcPr>
            <w:tcW w:w="592" w:type="pct"/>
            <w:tcBorders>
              <w:top w:val="single" w:sz="4" w:space="0" w:color="auto"/>
              <w:left w:val="single" w:sz="4" w:space="0" w:color="auto"/>
              <w:bottom w:val="single" w:sz="4" w:space="0" w:color="auto"/>
              <w:right w:val="single" w:sz="4" w:space="0" w:color="auto"/>
            </w:tcBorders>
          </w:tcPr>
          <w:p w14:paraId="7E8EEB8C" w14:textId="77777777" w:rsidR="00066A6C" w:rsidRDefault="00066A6C" w:rsidP="000A4AD3">
            <w:pPr>
              <w:pStyle w:val="TableHeading"/>
            </w:pPr>
            <w:r>
              <w:t>Participants (studies)</w:t>
            </w:r>
          </w:p>
        </w:tc>
        <w:tc>
          <w:tcPr>
            <w:tcW w:w="617" w:type="pct"/>
            <w:tcBorders>
              <w:top w:val="single" w:sz="4" w:space="0" w:color="auto"/>
              <w:left w:val="single" w:sz="4" w:space="0" w:color="auto"/>
              <w:bottom w:val="single" w:sz="4" w:space="0" w:color="auto"/>
              <w:right w:val="single" w:sz="4" w:space="0" w:color="auto"/>
            </w:tcBorders>
            <w:hideMark/>
          </w:tcPr>
          <w:p w14:paraId="4BEF4455" w14:textId="77777777" w:rsidR="00066A6C" w:rsidRDefault="00066A6C" w:rsidP="000A4AD3">
            <w:pPr>
              <w:pStyle w:val="TableHeading"/>
            </w:pPr>
            <w:r>
              <w:t>Quality of evidence (GRADE)</w:t>
            </w:r>
          </w:p>
        </w:tc>
        <w:tc>
          <w:tcPr>
            <w:tcW w:w="802" w:type="pct"/>
            <w:tcBorders>
              <w:top w:val="single" w:sz="4" w:space="0" w:color="auto"/>
              <w:left w:val="single" w:sz="4" w:space="0" w:color="auto"/>
              <w:bottom w:val="single" w:sz="4" w:space="0" w:color="auto"/>
              <w:right w:val="single" w:sz="4" w:space="0" w:color="auto"/>
            </w:tcBorders>
            <w:hideMark/>
          </w:tcPr>
          <w:p w14:paraId="351D4F11" w14:textId="77777777" w:rsidR="00066A6C" w:rsidRDefault="00066A6C" w:rsidP="000A4AD3">
            <w:pPr>
              <w:pStyle w:val="TableHeading"/>
            </w:pPr>
            <w:r>
              <w:t>Event counts</w:t>
            </w:r>
          </w:p>
        </w:tc>
        <w:tc>
          <w:tcPr>
            <w:tcW w:w="247" w:type="pct"/>
            <w:tcBorders>
              <w:top w:val="single" w:sz="4" w:space="0" w:color="auto"/>
              <w:left w:val="single" w:sz="4" w:space="0" w:color="auto"/>
              <w:bottom w:val="single" w:sz="4" w:space="0" w:color="auto"/>
              <w:right w:val="single" w:sz="4" w:space="0" w:color="auto"/>
            </w:tcBorders>
            <w:hideMark/>
          </w:tcPr>
          <w:p w14:paraId="406EFF04" w14:textId="77777777" w:rsidR="00066A6C" w:rsidRDefault="00066A6C" w:rsidP="000A4AD3">
            <w:pPr>
              <w:pStyle w:val="TableHeading"/>
            </w:pPr>
            <w:r>
              <w:t>P-value</w:t>
            </w:r>
            <w:r>
              <w:rPr>
                <w:vertAlign w:val="superscript"/>
              </w:rPr>
              <w:t>b</w:t>
            </w:r>
          </w:p>
        </w:tc>
        <w:tc>
          <w:tcPr>
            <w:tcW w:w="526" w:type="pct"/>
            <w:tcBorders>
              <w:top w:val="single" w:sz="4" w:space="0" w:color="auto"/>
              <w:left w:val="single" w:sz="4" w:space="0" w:color="auto"/>
              <w:bottom w:val="single" w:sz="4" w:space="0" w:color="auto"/>
              <w:right w:val="single" w:sz="4" w:space="0" w:color="auto"/>
            </w:tcBorders>
            <w:hideMark/>
          </w:tcPr>
          <w:p w14:paraId="7D3A0CFF" w14:textId="613B4190" w:rsidR="00066A6C" w:rsidRDefault="00066A6C" w:rsidP="000A4AD3">
            <w:pPr>
              <w:pStyle w:val="TableHeading"/>
            </w:pPr>
            <w:r>
              <w:t>Relative Risk (95% CI)</w:t>
            </w:r>
          </w:p>
        </w:tc>
        <w:tc>
          <w:tcPr>
            <w:tcW w:w="599" w:type="pct"/>
            <w:tcBorders>
              <w:top w:val="single" w:sz="4" w:space="0" w:color="auto"/>
              <w:left w:val="single" w:sz="4" w:space="0" w:color="auto"/>
              <w:bottom w:val="single" w:sz="4" w:space="0" w:color="auto"/>
              <w:right w:val="single" w:sz="4" w:space="0" w:color="auto"/>
            </w:tcBorders>
            <w:hideMark/>
          </w:tcPr>
          <w:p w14:paraId="37119CF5" w14:textId="60F8A6F2" w:rsidR="00066A6C" w:rsidRDefault="00066A6C" w:rsidP="000A4AD3">
            <w:pPr>
              <w:pStyle w:val="TableHeading"/>
            </w:pPr>
            <w:r>
              <w:t>Risk difference with DAC</w:t>
            </w:r>
            <w:r w:rsidR="001762ED">
              <w:t>+abs</w:t>
            </w:r>
            <w:r>
              <w:t xml:space="preserve"> (95% CI)</w:t>
            </w:r>
          </w:p>
        </w:tc>
        <w:tc>
          <w:tcPr>
            <w:tcW w:w="580" w:type="pct"/>
            <w:tcBorders>
              <w:top w:val="single" w:sz="4" w:space="0" w:color="auto"/>
              <w:left w:val="single" w:sz="4" w:space="0" w:color="auto"/>
              <w:bottom w:val="single" w:sz="4" w:space="0" w:color="auto"/>
              <w:right w:val="single" w:sz="4" w:space="0" w:color="auto"/>
            </w:tcBorders>
          </w:tcPr>
          <w:p w14:paraId="39BF2278" w14:textId="77777777" w:rsidR="00066A6C" w:rsidDel="00643BE3" w:rsidRDefault="00066A6C" w:rsidP="000A4AD3">
            <w:pPr>
              <w:pStyle w:val="TableHeading"/>
            </w:pPr>
            <w:r>
              <w:t>Number needed to treat (95% CI)</w:t>
            </w:r>
          </w:p>
        </w:tc>
      </w:tr>
      <w:tr w:rsidR="00066A6C" w14:paraId="1B8BE486" w14:textId="77777777" w:rsidTr="00A32CC1">
        <w:tc>
          <w:tcPr>
            <w:tcW w:w="5000" w:type="pct"/>
            <w:gridSpan w:val="9"/>
            <w:tcBorders>
              <w:top w:val="single" w:sz="4" w:space="0" w:color="auto"/>
              <w:left w:val="single" w:sz="4" w:space="0" w:color="auto"/>
              <w:bottom w:val="single" w:sz="4" w:space="0" w:color="auto"/>
              <w:right w:val="single" w:sz="4" w:space="0" w:color="auto"/>
            </w:tcBorders>
            <w:hideMark/>
          </w:tcPr>
          <w:p w14:paraId="593D30F4" w14:textId="713D3B15" w:rsidR="00066A6C" w:rsidRPr="00AD61BC" w:rsidRDefault="00066A6C" w:rsidP="000A4AD3">
            <w:pPr>
              <w:pStyle w:val="Tabletext1"/>
            </w:pPr>
            <w:r w:rsidRPr="00AD61BC">
              <w:t xml:space="preserve">Populations 1 &amp; 3 combined </w:t>
            </w:r>
          </w:p>
        </w:tc>
      </w:tr>
      <w:tr w:rsidR="004F1EB1" w14:paraId="70DAF2C2"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589053CC" w14:textId="73B690AD" w:rsidR="00066A6C" w:rsidRDefault="00066A6C" w:rsidP="000A4AD3">
            <w:pPr>
              <w:pStyle w:val="Tabletext1"/>
            </w:pPr>
            <w:r>
              <w:t xml:space="preserve">SSI </w:t>
            </w:r>
          </w:p>
        </w:tc>
        <w:tc>
          <w:tcPr>
            <w:tcW w:w="592" w:type="pct"/>
            <w:vMerge w:val="restart"/>
            <w:tcBorders>
              <w:top w:val="single" w:sz="4" w:space="0" w:color="auto"/>
              <w:left w:val="single" w:sz="4" w:space="0" w:color="auto"/>
              <w:right w:val="single" w:sz="4" w:space="0" w:color="auto"/>
            </w:tcBorders>
            <w:hideMark/>
          </w:tcPr>
          <w:p w14:paraId="7BDCA259" w14:textId="77777777" w:rsidR="00066A6C" w:rsidRDefault="00066A6C" w:rsidP="000A4AD3">
            <w:pPr>
              <w:pStyle w:val="Tabletext1"/>
            </w:pPr>
            <w:r>
              <w:t>373</w:t>
            </w:r>
          </w:p>
          <w:p w14:paraId="33EB932D" w14:textId="5FEAC075" w:rsidR="000826B4" w:rsidRDefault="000826B4" w:rsidP="000A4AD3">
            <w:pPr>
              <w:pStyle w:val="Tabletext1"/>
            </w:pPr>
            <w:r>
              <w:t xml:space="preserve">(1 RCT, </w:t>
            </w:r>
            <w:r w:rsidR="00E416E6">
              <w:t xml:space="preserve">whole cohort analysis of primary and revision joint replacement with or without DAC+antibiotics, </w:t>
            </w:r>
            <w:r>
              <w:t>Romanò 2016)</w:t>
            </w:r>
          </w:p>
        </w:tc>
        <w:tc>
          <w:tcPr>
            <w:tcW w:w="617" w:type="pct"/>
            <w:tcBorders>
              <w:top w:val="single" w:sz="4" w:space="0" w:color="auto"/>
              <w:left w:val="single" w:sz="4" w:space="0" w:color="auto"/>
              <w:bottom w:val="single" w:sz="4" w:space="0" w:color="auto"/>
              <w:right w:val="single" w:sz="4" w:space="0" w:color="auto"/>
            </w:tcBorders>
            <w:vAlign w:val="center"/>
            <w:hideMark/>
          </w:tcPr>
          <w:p w14:paraId="6F79E58F" w14:textId="3B7DE9DA" w:rsidR="00066A6C" w:rsidRPr="002B182F" w:rsidRDefault="00066A6C"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hideMark/>
          </w:tcPr>
          <w:p w14:paraId="068BE754" w14:textId="53255F1F" w:rsidR="001762ED" w:rsidRDefault="00066A6C" w:rsidP="000A4AD3">
            <w:pPr>
              <w:pStyle w:val="Tabletext1"/>
            </w:pPr>
            <w:r>
              <w:t>DAC</w:t>
            </w:r>
            <w:r w:rsidR="001762ED">
              <w:t>+abs</w:t>
            </w:r>
            <w:r>
              <w:t xml:space="preserve">: 0.53% (1/189); </w:t>
            </w:r>
          </w:p>
          <w:p w14:paraId="32689257" w14:textId="5F89762E" w:rsidR="00066A6C" w:rsidRDefault="00066A6C" w:rsidP="000A4AD3">
            <w:pPr>
              <w:pStyle w:val="Tabletext1"/>
            </w:pPr>
            <w:r>
              <w:t>No DAC</w:t>
            </w:r>
            <w:r w:rsidR="001762ED">
              <w:t>+abs</w:t>
            </w:r>
            <w:r>
              <w:t>: 6.0% (11/184)</w:t>
            </w:r>
          </w:p>
        </w:tc>
        <w:tc>
          <w:tcPr>
            <w:tcW w:w="247" w:type="pct"/>
            <w:tcBorders>
              <w:top w:val="single" w:sz="4" w:space="0" w:color="auto"/>
              <w:left w:val="single" w:sz="4" w:space="0" w:color="auto"/>
              <w:bottom w:val="single" w:sz="4" w:space="0" w:color="auto"/>
              <w:right w:val="single" w:sz="4" w:space="0" w:color="auto"/>
            </w:tcBorders>
            <w:hideMark/>
          </w:tcPr>
          <w:p w14:paraId="70C2E2F4" w14:textId="77777777" w:rsidR="00066A6C" w:rsidRDefault="00066A6C" w:rsidP="000A4AD3">
            <w:pPr>
              <w:pStyle w:val="Tabletext1"/>
            </w:pPr>
            <w:r>
              <w:t>0.003</w:t>
            </w:r>
          </w:p>
        </w:tc>
        <w:tc>
          <w:tcPr>
            <w:tcW w:w="526" w:type="pct"/>
            <w:tcBorders>
              <w:top w:val="single" w:sz="4" w:space="0" w:color="auto"/>
              <w:left w:val="single" w:sz="4" w:space="0" w:color="auto"/>
              <w:bottom w:val="single" w:sz="4" w:space="0" w:color="auto"/>
              <w:right w:val="single" w:sz="4" w:space="0" w:color="auto"/>
            </w:tcBorders>
            <w:hideMark/>
          </w:tcPr>
          <w:p w14:paraId="7F899230" w14:textId="77777777" w:rsidR="00066A6C" w:rsidRDefault="00066A6C" w:rsidP="000A4AD3">
            <w:pPr>
              <w:pStyle w:val="Tabletext1"/>
            </w:pPr>
            <w:r>
              <w:t>0.09 (0.01, 0.68), p= 0.0196</w:t>
            </w:r>
          </w:p>
        </w:tc>
        <w:tc>
          <w:tcPr>
            <w:tcW w:w="599" w:type="pct"/>
            <w:tcBorders>
              <w:top w:val="single" w:sz="4" w:space="0" w:color="auto"/>
              <w:left w:val="single" w:sz="4" w:space="0" w:color="auto"/>
              <w:bottom w:val="single" w:sz="4" w:space="0" w:color="auto"/>
              <w:right w:val="single" w:sz="4" w:space="0" w:color="auto"/>
            </w:tcBorders>
            <w:hideMark/>
          </w:tcPr>
          <w:p w14:paraId="5BBA3CD6" w14:textId="77777777" w:rsidR="00066A6C" w:rsidRDefault="00066A6C" w:rsidP="000A4AD3">
            <w:pPr>
              <w:pStyle w:val="Tabletext1"/>
            </w:pPr>
            <w:r>
              <w:t xml:space="preserve">−5.4% (−9.0%, −1.9%) </w:t>
            </w:r>
          </w:p>
        </w:tc>
        <w:tc>
          <w:tcPr>
            <w:tcW w:w="580" w:type="pct"/>
            <w:tcBorders>
              <w:top w:val="single" w:sz="4" w:space="0" w:color="auto"/>
              <w:left w:val="single" w:sz="4" w:space="0" w:color="auto"/>
              <w:bottom w:val="single" w:sz="4" w:space="0" w:color="auto"/>
              <w:right w:val="single" w:sz="4" w:space="0" w:color="auto"/>
            </w:tcBorders>
          </w:tcPr>
          <w:p w14:paraId="12BCD242" w14:textId="77777777" w:rsidR="00066A6C" w:rsidRPr="003143CF" w:rsidRDefault="00066A6C" w:rsidP="000A4AD3">
            <w:pPr>
              <w:pStyle w:val="Tabletext1"/>
            </w:pPr>
            <w:r w:rsidRPr="003143CF">
              <w:t>18 (11, 53)</w:t>
            </w:r>
          </w:p>
        </w:tc>
      </w:tr>
      <w:tr w:rsidR="004F1EB1" w14:paraId="387CFBA5" w14:textId="77777777" w:rsidTr="00F871EC">
        <w:trPr>
          <w:gridAfter w:val="1"/>
          <w:wAfter w:w="8" w:type="pct"/>
          <w:trHeight w:val="551"/>
        </w:trPr>
        <w:tc>
          <w:tcPr>
            <w:tcW w:w="1029" w:type="pct"/>
            <w:tcBorders>
              <w:top w:val="single" w:sz="4" w:space="0" w:color="auto"/>
              <w:left w:val="single" w:sz="4" w:space="0" w:color="auto"/>
              <w:right w:val="single" w:sz="4" w:space="0" w:color="auto"/>
            </w:tcBorders>
            <w:hideMark/>
          </w:tcPr>
          <w:p w14:paraId="1A9FF2F1" w14:textId="0C77B17C" w:rsidR="00066A6C" w:rsidRDefault="00066A6C" w:rsidP="000A4AD3">
            <w:pPr>
              <w:pStyle w:val="Tabletext1"/>
            </w:pPr>
            <w:r>
              <w:t>SSI (minimal 12 mths follow-up)</w:t>
            </w:r>
          </w:p>
        </w:tc>
        <w:tc>
          <w:tcPr>
            <w:tcW w:w="592" w:type="pct"/>
            <w:vMerge/>
            <w:tcBorders>
              <w:left w:val="single" w:sz="4" w:space="0" w:color="auto"/>
              <w:right w:val="single" w:sz="4" w:space="0" w:color="auto"/>
            </w:tcBorders>
            <w:vAlign w:val="center"/>
            <w:hideMark/>
          </w:tcPr>
          <w:p w14:paraId="0537C1C6" w14:textId="77777777" w:rsidR="00066A6C" w:rsidRDefault="00066A6C" w:rsidP="000A4AD3"/>
        </w:tc>
        <w:tc>
          <w:tcPr>
            <w:tcW w:w="617" w:type="pct"/>
            <w:tcBorders>
              <w:top w:val="single" w:sz="4" w:space="0" w:color="auto"/>
              <w:left w:val="single" w:sz="4" w:space="0" w:color="auto"/>
              <w:right w:val="single" w:sz="4" w:space="0" w:color="auto"/>
            </w:tcBorders>
            <w:vAlign w:val="center"/>
            <w:hideMark/>
          </w:tcPr>
          <w:p w14:paraId="47118193" w14:textId="77777777" w:rsidR="00066A6C" w:rsidRDefault="00066A6C"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right w:val="single" w:sz="4" w:space="0" w:color="auto"/>
            </w:tcBorders>
          </w:tcPr>
          <w:p w14:paraId="38F8E202" w14:textId="66E089C2" w:rsidR="00E325C6" w:rsidRDefault="00066A6C" w:rsidP="000A4AD3">
            <w:pPr>
              <w:pStyle w:val="Tabletext1"/>
            </w:pPr>
            <w:r>
              <w:t>DAC</w:t>
            </w:r>
            <w:r w:rsidR="001762ED">
              <w:t>+abs</w:t>
            </w:r>
            <w:r>
              <w:t>: 0.0% (</w:t>
            </w:r>
            <w:r w:rsidR="003C3424">
              <w:t>0</w:t>
            </w:r>
            <w:r>
              <w:t xml:space="preserve">/126); </w:t>
            </w:r>
          </w:p>
          <w:p w14:paraId="1DFA8CFD" w14:textId="0771EF60" w:rsidR="00066A6C" w:rsidRDefault="00066A6C" w:rsidP="000A4AD3">
            <w:pPr>
              <w:pStyle w:val="Tabletext1"/>
            </w:pPr>
            <w:r>
              <w:t>No DAC</w:t>
            </w:r>
            <w:r w:rsidR="001762ED">
              <w:t>+abs</w:t>
            </w:r>
            <w:r>
              <w:t>: 6.4% (8/125)</w:t>
            </w:r>
          </w:p>
        </w:tc>
        <w:tc>
          <w:tcPr>
            <w:tcW w:w="247" w:type="pct"/>
            <w:tcBorders>
              <w:top w:val="single" w:sz="4" w:space="0" w:color="auto"/>
              <w:left w:val="single" w:sz="4" w:space="0" w:color="auto"/>
              <w:right w:val="single" w:sz="4" w:space="0" w:color="auto"/>
            </w:tcBorders>
            <w:hideMark/>
          </w:tcPr>
          <w:p w14:paraId="2FFF87A0" w14:textId="77777777" w:rsidR="00066A6C" w:rsidRDefault="00066A6C" w:rsidP="000A4AD3">
            <w:pPr>
              <w:pStyle w:val="Tabletext1"/>
            </w:pPr>
            <w:r>
              <w:t>0.019</w:t>
            </w:r>
          </w:p>
        </w:tc>
        <w:tc>
          <w:tcPr>
            <w:tcW w:w="526" w:type="pct"/>
            <w:tcBorders>
              <w:top w:val="single" w:sz="4" w:space="0" w:color="auto"/>
              <w:left w:val="single" w:sz="4" w:space="0" w:color="auto"/>
              <w:right w:val="single" w:sz="4" w:space="0" w:color="auto"/>
            </w:tcBorders>
            <w:hideMark/>
          </w:tcPr>
          <w:p w14:paraId="7A2889D4" w14:textId="1B7699F6" w:rsidR="00066A6C" w:rsidRDefault="00066A6C" w:rsidP="000A4AD3">
            <w:pPr>
              <w:pStyle w:val="Tabletext1"/>
              <w:rPr>
                <w:iCs/>
              </w:rPr>
            </w:pPr>
            <w:r>
              <w:t>0.12 (0.016, 0.98), p= 0.0475</w:t>
            </w:r>
          </w:p>
        </w:tc>
        <w:tc>
          <w:tcPr>
            <w:tcW w:w="599" w:type="pct"/>
            <w:tcBorders>
              <w:top w:val="single" w:sz="4" w:space="0" w:color="auto"/>
              <w:left w:val="single" w:sz="4" w:space="0" w:color="auto"/>
              <w:right w:val="single" w:sz="4" w:space="0" w:color="auto"/>
            </w:tcBorders>
          </w:tcPr>
          <w:p w14:paraId="003C7923" w14:textId="77777777" w:rsidR="00066A6C" w:rsidRDefault="00066A6C" w:rsidP="000A4AD3">
            <w:pPr>
              <w:pStyle w:val="Tabletext1"/>
            </w:pPr>
            <w:r>
              <w:t>−6.4% (−10.59%, −2.11%)</w:t>
            </w:r>
          </w:p>
        </w:tc>
        <w:tc>
          <w:tcPr>
            <w:tcW w:w="580" w:type="pct"/>
            <w:tcBorders>
              <w:top w:val="single" w:sz="4" w:space="0" w:color="auto"/>
              <w:left w:val="single" w:sz="4" w:space="0" w:color="auto"/>
              <w:right w:val="single" w:sz="4" w:space="0" w:color="auto"/>
            </w:tcBorders>
          </w:tcPr>
          <w:p w14:paraId="2AFFF594" w14:textId="751E8E4D" w:rsidR="00066A6C" w:rsidRPr="003143CF" w:rsidRDefault="00066A6C" w:rsidP="000A4AD3">
            <w:pPr>
              <w:pStyle w:val="Tabletext1"/>
            </w:pPr>
            <w:r w:rsidRPr="003143CF">
              <w:t>18 (10, 9</w:t>
            </w:r>
            <w:r w:rsidR="00510E7D">
              <w:t>4</w:t>
            </w:r>
            <w:r w:rsidRPr="003143CF">
              <w:t>)</w:t>
            </w:r>
          </w:p>
        </w:tc>
      </w:tr>
      <w:tr w:rsidR="004F1EB1" w14:paraId="5161030E"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2DCEB8BE" w14:textId="77777777" w:rsidR="00066A6C" w:rsidRDefault="00066A6C" w:rsidP="000A4AD3">
            <w:pPr>
              <w:pStyle w:val="Tabletext1"/>
            </w:pPr>
            <w:r>
              <w:t>SF-12 total score (only follow-up)</w:t>
            </w:r>
          </w:p>
        </w:tc>
        <w:tc>
          <w:tcPr>
            <w:tcW w:w="592" w:type="pct"/>
            <w:vMerge/>
            <w:tcBorders>
              <w:left w:val="single" w:sz="4" w:space="0" w:color="auto"/>
              <w:right w:val="single" w:sz="4" w:space="0" w:color="auto"/>
            </w:tcBorders>
            <w:vAlign w:val="center"/>
            <w:hideMark/>
          </w:tcPr>
          <w:p w14:paraId="6E9215A8"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vAlign w:val="center"/>
            <w:hideMark/>
          </w:tcPr>
          <w:p w14:paraId="7555B68E" w14:textId="77777777" w:rsidR="00066A6C" w:rsidRDefault="00066A6C" w:rsidP="000A4AD3">
            <w:pPr>
              <w:rPr>
                <w:rFonts w:ascii="Arial Narrow" w:hAnsi="Arial Narrow"/>
                <w:sz w:val="20"/>
                <w:szCs w:val="20"/>
              </w:rPr>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hideMark/>
          </w:tcPr>
          <w:p w14:paraId="74494E68" w14:textId="6A5B633E" w:rsidR="00066A6C" w:rsidRDefault="00066A6C" w:rsidP="000A4AD3">
            <w:pPr>
              <w:pStyle w:val="Tabletext1"/>
            </w:pPr>
            <w:r>
              <w:t>Mean±SD</w:t>
            </w:r>
          </w:p>
          <w:p w14:paraId="3868A5A0" w14:textId="77777777" w:rsidR="000826B4" w:rsidRDefault="00066A6C" w:rsidP="000A4AD3">
            <w:pPr>
              <w:pStyle w:val="Tabletext1"/>
            </w:pPr>
            <w:r>
              <w:t>DAC</w:t>
            </w:r>
            <w:r w:rsidR="001762ED">
              <w:t>+abs</w:t>
            </w:r>
            <w:r>
              <w:t xml:space="preserve">: </w:t>
            </w:r>
            <w:r w:rsidRPr="00ED4955">
              <w:t>99.9 ± 18.4</w:t>
            </w:r>
            <w:r>
              <w:t xml:space="preserve">; </w:t>
            </w:r>
          </w:p>
          <w:p w14:paraId="3B51F07B" w14:textId="4F11BBA8" w:rsidR="00066A6C" w:rsidRDefault="001762ED" w:rsidP="000A4AD3">
            <w:pPr>
              <w:pStyle w:val="Tabletext1"/>
            </w:pPr>
            <w:r>
              <w:t>N</w:t>
            </w:r>
            <w:r w:rsidR="00066A6C">
              <w:t>o DAC</w:t>
            </w:r>
            <w:r>
              <w:t>+abs</w:t>
            </w:r>
            <w:r w:rsidR="00066A6C">
              <w:t>:</w:t>
            </w:r>
            <w:r>
              <w:t xml:space="preserve"> </w:t>
            </w:r>
            <w:r w:rsidR="00066A6C" w:rsidRPr="00ED4955">
              <w:t>94.7 ± 18.3</w:t>
            </w:r>
          </w:p>
        </w:tc>
        <w:tc>
          <w:tcPr>
            <w:tcW w:w="247" w:type="pct"/>
            <w:tcBorders>
              <w:top w:val="single" w:sz="4" w:space="0" w:color="auto"/>
              <w:left w:val="single" w:sz="4" w:space="0" w:color="auto"/>
              <w:bottom w:val="single" w:sz="4" w:space="0" w:color="auto"/>
              <w:right w:val="single" w:sz="4" w:space="0" w:color="auto"/>
            </w:tcBorders>
            <w:hideMark/>
          </w:tcPr>
          <w:p w14:paraId="51836C89" w14:textId="77777777" w:rsidR="00066A6C" w:rsidRDefault="00066A6C" w:rsidP="000A4AD3">
            <w:pPr>
              <w:pStyle w:val="Tabletext1"/>
            </w:pPr>
            <w:r>
              <w:t>0.006</w:t>
            </w:r>
          </w:p>
        </w:tc>
        <w:tc>
          <w:tcPr>
            <w:tcW w:w="526" w:type="pct"/>
            <w:tcBorders>
              <w:top w:val="single" w:sz="4" w:space="0" w:color="auto"/>
              <w:left w:val="single" w:sz="4" w:space="0" w:color="auto"/>
              <w:bottom w:val="single" w:sz="4" w:space="0" w:color="auto"/>
              <w:right w:val="single" w:sz="4" w:space="0" w:color="auto"/>
            </w:tcBorders>
            <w:hideMark/>
          </w:tcPr>
          <w:p w14:paraId="39E7930B" w14:textId="4EFB300B" w:rsidR="00066A6C" w:rsidRDefault="00066A6C" w:rsidP="000A4AD3">
            <w:pPr>
              <w:pStyle w:val="Tabletext1"/>
              <w:rPr>
                <w:iCs/>
              </w:rPr>
            </w:pPr>
            <w:r>
              <w:t>NA</w:t>
            </w:r>
          </w:p>
        </w:tc>
        <w:tc>
          <w:tcPr>
            <w:tcW w:w="599" w:type="pct"/>
            <w:tcBorders>
              <w:top w:val="single" w:sz="4" w:space="0" w:color="auto"/>
              <w:left w:val="single" w:sz="4" w:space="0" w:color="auto"/>
              <w:bottom w:val="single" w:sz="4" w:space="0" w:color="auto"/>
              <w:right w:val="single" w:sz="4" w:space="0" w:color="auto"/>
            </w:tcBorders>
            <w:hideMark/>
          </w:tcPr>
          <w:p w14:paraId="0400ED95" w14:textId="156EECC4" w:rsidR="00066A6C" w:rsidRDefault="00066A6C" w:rsidP="000A4AD3">
            <w:pPr>
              <w:pStyle w:val="Tabletext1"/>
              <w:rPr>
                <w:b/>
                <w:bCs/>
              </w:rPr>
            </w:pPr>
            <w:r w:rsidRPr="00ED4955">
              <w:t>Absolute difference (95% CI): 5.2 (1.5, 8.9)</w:t>
            </w:r>
          </w:p>
        </w:tc>
        <w:tc>
          <w:tcPr>
            <w:tcW w:w="580" w:type="pct"/>
            <w:tcBorders>
              <w:top w:val="single" w:sz="4" w:space="0" w:color="auto"/>
              <w:left w:val="single" w:sz="4" w:space="0" w:color="auto"/>
              <w:bottom w:val="single" w:sz="4" w:space="0" w:color="auto"/>
              <w:right w:val="single" w:sz="4" w:space="0" w:color="auto"/>
            </w:tcBorders>
          </w:tcPr>
          <w:p w14:paraId="32A725C7" w14:textId="52724AA2" w:rsidR="00066A6C" w:rsidRDefault="00510E7D" w:rsidP="000A4AD3">
            <w:pPr>
              <w:pStyle w:val="Tabletext1"/>
            </w:pPr>
            <w:r>
              <w:t>NA</w:t>
            </w:r>
          </w:p>
        </w:tc>
      </w:tr>
      <w:tr w:rsidR="004F1EB1" w14:paraId="07A58014"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vAlign w:val="center"/>
          </w:tcPr>
          <w:p w14:paraId="11BF2008" w14:textId="77777777" w:rsidR="00066A6C" w:rsidRDefault="00066A6C" w:rsidP="000A4AD3">
            <w:pPr>
              <w:pStyle w:val="Tabletext1"/>
            </w:pPr>
            <w:r>
              <w:t>Delayed wound healing</w:t>
            </w:r>
            <w:r>
              <w:rPr>
                <w:rStyle w:val="FootnoteReference"/>
              </w:rPr>
              <w:footnoteReference w:id="16"/>
            </w:r>
          </w:p>
        </w:tc>
        <w:tc>
          <w:tcPr>
            <w:tcW w:w="592" w:type="pct"/>
            <w:vMerge/>
            <w:tcBorders>
              <w:left w:val="single" w:sz="4" w:space="0" w:color="auto"/>
              <w:right w:val="single" w:sz="4" w:space="0" w:color="auto"/>
            </w:tcBorders>
            <w:vAlign w:val="center"/>
          </w:tcPr>
          <w:p w14:paraId="6C3C949E"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vAlign w:val="center"/>
          </w:tcPr>
          <w:p w14:paraId="6B1E56B3" w14:textId="77777777" w:rsidR="00066A6C" w:rsidRDefault="00066A6C" w:rsidP="000A4AD3">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0E68B7A5" w14:textId="7172C561" w:rsidR="000826B4" w:rsidRDefault="00066A6C" w:rsidP="000A4AD3">
            <w:pPr>
              <w:pStyle w:val="Tabletext1"/>
            </w:pPr>
            <w:r>
              <w:t>DAC</w:t>
            </w:r>
            <w:r w:rsidR="001762ED">
              <w:t>+abs</w:t>
            </w:r>
            <w:r>
              <w:t xml:space="preserve">: </w:t>
            </w:r>
            <w:r w:rsidRPr="00ED4661">
              <w:t>1.1%</w:t>
            </w:r>
            <w:r w:rsidR="00E325C6">
              <w:t xml:space="preserve"> </w:t>
            </w:r>
            <w:r w:rsidR="00E325C6" w:rsidRPr="00ED4661">
              <w:t>(2/189)</w:t>
            </w:r>
            <w:r>
              <w:t xml:space="preserve">; </w:t>
            </w:r>
          </w:p>
          <w:p w14:paraId="05F1010D" w14:textId="4D05A762" w:rsidR="00066A6C" w:rsidRDefault="000826B4" w:rsidP="000A4AD3">
            <w:pPr>
              <w:pStyle w:val="Tabletext1"/>
            </w:pPr>
            <w:r>
              <w:t>N</w:t>
            </w:r>
            <w:r w:rsidR="00066A6C">
              <w:t>o DAC</w:t>
            </w:r>
            <w:r w:rsidR="001762ED">
              <w:t>+abs</w:t>
            </w:r>
            <w:r w:rsidR="00066A6C">
              <w:t xml:space="preserve">: </w:t>
            </w:r>
            <w:r w:rsidR="00066A6C" w:rsidRPr="00ED4661">
              <w:t>3.8% (7/184)</w:t>
            </w:r>
          </w:p>
        </w:tc>
        <w:tc>
          <w:tcPr>
            <w:tcW w:w="247" w:type="pct"/>
            <w:tcBorders>
              <w:top w:val="single" w:sz="4" w:space="0" w:color="auto"/>
              <w:left w:val="single" w:sz="4" w:space="0" w:color="auto"/>
              <w:bottom w:val="single" w:sz="4" w:space="0" w:color="auto"/>
              <w:right w:val="single" w:sz="4" w:space="0" w:color="auto"/>
            </w:tcBorders>
          </w:tcPr>
          <w:p w14:paraId="09C1F21E" w14:textId="77777777" w:rsidR="00066A6C" w:rsidRDefault="00066A6C" w:rsidP="000A4AD3">
            <w:pPr>
              <w:pStyle w:val="Tabletext1"/>
              <w:rPr>
                <w:b/>
                <w:bCs/>
              </w:rPr>
            </w:pPr>
            <w:r w:rsidRPr="00C13999">
              <w:t>0.101</w:t>
            </w:r>
          </w:p>
        </w:tc>
        <w:tc>
          <w:tcPr>
            <w:tcW w:w="526" w:type="pct"/>
            <w:tcBorders>
              <w:top w:val="single" w:sz="4" w:space="0" w:color="auto"/>
              <w:left w:val="single" w:sz="4" w:space="0" w:color="auto"/>
              <w:bottom w:val="single" w:sz="4" w:space="0" w:color="auto"/>
              <w:right w:val="single" w:sz="4" w:space="0" w:color="auto"/>
            </w:tcBorders>
          </w:tcPr>
          <w:p w14:paraId="70722AAF" w14:textId="77777777" w:rsidR="00066A6C" w:rsidDel="001D45C1" w:rsidRDefault="00066A6C" w:rsidP="000A4AD3">
            <w:pPr>
              <w:pStyle w:val="Tabletext1"/>
              <w:rPr>
                <w:b/>
                <w:bCs/>
              </w:rPr>
            </w:pPr>
            <w:r w:rsidRPr="00044EA7">
              <w:t>0.28 (0.06, 1.32)</w:t>
            </w:r>
            <w:r>
              <w:t xml:space="preserve">, p= </w:t>
            </w:r>
            <w:r w:rsidRPr="00F5203E">
              <w:t>0.1075</w:t>
            </w:r>
          </w:p>
        </w:tc>
        <w:tc>
          <w:tcPr>
            <w:tcW w:w="599" w:type="pct"/>
            <w:tcBorders>
              <w:top w:val="single" w:sz="4" w:space="0" w:color="auto"/>
              <w:left w:val="single" w:sz="4" w:space="0" w:color="auto"/>
              <w:bottom w:val="single" w:sz="4" w:space="0" w:color="auto"/>
              <w:right w:val="single" w:sz="4" w:space="0" w:color="auto"/>
            </w:tcBorders>
          </w:tcPr>
          <w:p w14:paraId="66DC67D8" w14:textId="77777777" w:rsidR="00066A6C" w:rsidRDefault="00066A6C" w:rsidP="000A4AD3">
            <w:pPr>
              <w:pStyle w:val="Tabletext1"/>
            </w:pPr>
            <w:r w:rsidRPr="00CD0EF6">
              <w:t xml:space="preserve">−2.7% (−5.9%, 0.4%) </w:t>
            </w:r>
          </w:p>
        </w:tc>
        <w:tc>
          <w:tcPr>
            <w:tcW w:w="580" w:type="pct"/>
            <w:tcBorders>
              <w:top w:val="single" w:sz="4" w:space="0" w:color="auto"/>
              <w:left w:val="single" w:sz="4" w:space="0" w:color="auto"/>
              <w:bottom w:val="single" w:sz="4" w:space="0" w:color="auto"/>
              <w:right w:val="single" w:sz="4" w:space="0" w:color="auto"/>
            </w:tcBorders>
          </w:tcPr>
          <w:p w14:paraId="3088B571" w14:textId="3B4DF579" w:rsidR="00066A6C" w:rsidRDefault="00510E7D" w:rsidP="000A4AD3">
            <w:pPr>
              <w:pStyle w:val="Tabletext1"/>
            </w:pPr>
            <w:r>
              <w:t>36 (-281 to infinity to 17)</w:t>
            </w:r>
          </w:p>
        </w:tc>
      </w:tr>
      <w:tr w:rsidR="004F1EB1" w14:paraId="17E1D518"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vAlign w:val="center"/>
          </w:tcPr>
          <w:p w14:paraId="732F3270" w14:textId="77777777" w:rsidR="00066A6C" w:rsidRDefault="00066A6C" w:rsidP="000A4AD3">
            <w:pPr>
              <w:pStyle w:val="Tabletext1"/>
            </w:pPr>
            <w:r>
              <w:t>Other complications than SSI</w:t>
            </w:r>
          </w:p>
        </w:tc>
        <w:tc>
          <w:tcPr>
            <w:tcW w:w="592" w:type="pct"/>
            <w:vMerge/>
            <w:tcBorders>
              <w:left w:val="single" w:sz="4" w:space="0" w:color="auto"/>
              <w:right w:val="single" w:sz="4" w:space="0" w:color="auto"/>
            </w:tcBorders>
            <w:vAlign w:val="center"/>
          </w:tcPr>
          <w:p w14:paraId="74AEF536"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vAlign w:val="center"/>
          </w:tcPr>
          <w:p w14:paraId="770202A3" w14:textId="77777777" w:rsidR="00066A6C" w:rsidRDefault="00066A6C" w:rsidP="000A4AD3">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2AD7D5ED" w14:textId="77777777" w:rsidR="000826B4" w:rsidRDefault="00066A6C" w:rsidP="000A4AD3">
            <w:pPr>
              <w:pStyle w:val="Tabletext1"/>
            </w:pPr>
            <w:r>
              <w:t>DAC</w:t>
            </w:r>
            <w:r w:rsidR="001762ED">
              <w:t>+abs</w:t>
            </w:r>
            <w:r>
              <w:t xml:space="preserve">: </w:t>
            </w:r>
            <w:r w:rsidRPr="004A1F7C">
              <w:t>2.1% (4/189)</w:t>
            </w:r>
            <w:r>
              <w:t xml:space="preserve">; </w:t>
            </w:r>
          </w:p>
          <w:p w14:paraId="232C2852" w14:textId="6CF3363D" w:rsidR="00066A6C" w:rsidRDefault="001762ED" w:rsidP="000A4AD3">
            <w:pPr>
              <w:pStyle w:val="Tabletext1"/>
            </w:pPr>
            <w:r>
              <w:t>N</w:t>
            </w:r>
            <w:r w:rsidR="00066A6C">
              <w:t>o DAC</w:t>
            </w:r>
            <w:r>
              <w:t>+abs</w:t>
            </w:r>
            <w:r w:rsidR="00066A6C">
              <w:t>:</w:t>
            </w:r>
            <w:r>
              <w:t xml:space="preserve"> </w:t>
            </w:r>
            <w:r w:rsidR="00066A6C" w:rsidRPr="004A1F7C">
              <w:t>2.7% (5/184)</w:t>
            </w:r>
          </w:p>
        </w:tc>
        <w:tc>
          <w:tcPr>
            <w:tcW w:w="247" w:type="pct"/>
            <w:tcBorders>
              <w:top w:val="single" w:sz="4" w:space="0" w:color="auto"/>
              <w:left w:val="single" w:sz="4" w:space="0" w:color="auto"/>
              <w:bottom w:val="single" w:sz="4" w:space="0" w:color="auto"/>
              <w:right w:val="single" w:sz="4" w:space="0" w:color="auto"/>
            </w:tcBorders>
          </w:tcPr>
          <w:p w14:paraId="70138410" w14:textId="77777777" w:rsidR="00066A6C" w:rsidRDefault="00066A6C" w:rsidP="000A4AD3">
            <w:pPr>
              <w:pStyle w:val="Tabletext1"/>
              <w:rPr>
                <w:b/>
                <w:bCs/>
              </w:rPr>
            </w:pPr>
            <w:r w:rsidRPr="00C13999">
              <w:t>0.748</w:t>
            </w:r>
          </w:p>
        </w:tc>
        <w:tc>
          <w:tcPr>
            <w:tcW w:w="526" w:type="pct"/>
            <w:tcBorders>
              <w:top w:val="single" w:sz="4" w:space="0" w:color="auto"/>
              <w:left w:val="single" w:sz="4" w:space="0" w:color="auto"/>
              <w:bottom w:val="single" w:sz="4" w:space="0" w:color="auto"/>
              <w:right w:val="single" w:sz="4" w:space="0" w:color="auto"/>
            </w:tcBorders>
          </w:tcPr>
          <w:p w14:paraId="37BE5572" w14:textId="77777777" w:rsidR="00066A6C" w:rsidDel="001D45C1" w:rsidRDefault="00066A6C" w:rsidP="000A4AD3">
            <w:pPr>
              <w:pStyle w:val="Tabletext1"/>
              <w:rPr>
                <w:b/>
                <w:bCs/>
              </w:rPr>
            </w:pPr>
            <w:r w:rsidRPr="00044EA7">
              <w:t>0.78 (0.21, 2.86)</w:t>
            </w:r>
            <w:r>
              <w:t xml:space="preserve">; p= </w:t>
            </w:r>
            <w:r w:rsidRPr="00F5203E">
              <w:t>0.377</w:t>
            </w:r>
          </w:p>
        </w:tc>
        <w:tc>
          <w:tcPr>
            <w:tcW w:w="599" w:type="pct"/>
            <w:tcBorders>
              <w:top w:val="single" w:sz="4" w:space="0" w:color="auto"/>
              <w:left w:val="single" w:sz="4" w:space="0" w:color="auto"/>
              <w:bottom w:val="single" w:sz="4" w:space="0" w:color="auto"/>
              <w:right w:val="single" w:sz="4" w:space="0" w:color="auto"/>
            </w:tcBorders>
          </w:tcPr>
          <w:p w14:paraId="1BE0C52B" w14:textId="77777777" w:rsidR="00066A6C" w:rsidRDefault="00066A6C" w:rsidP="000A4AD3">
            <w:pPr>
              <w:pStyle w:val="Tabletext1"/>
            </w:pPr>
            <w:r w:rsidRPr="00CD0EF6">
              <w:t xml:space="preserve">−0.6% (−3.7%, 2.5%) </w:t>
            </w:r>
          </w:p>
        </w:tc>
        <w:tc>
          <w:tcPr>
            <w:tcW w:w="580" w:type="pct"/>
            <w:tcBorders>
              <w:top w:val="single" w:sz="4" w:space="0" w:color="auto"/>
              <w:left w:val="single" w:sz="4" w:space="0" w:color="auto"/>
              <w:bottom w:val="single" w:sz="4" w:space="0" w:color="auto"/>
              <w:right w:val="single" w:sz="4" w:space="0" w:color="auto"/>
            </w:tcBorders>
          </w:tcPr>
          <w:p w14:paraId="18F8B26E" w14:textId="2CDECE10" w:rsidR="00066A6C" w:rsidRDefault="00510E7D" w:rsidP="000A4AD3">
            <w:pPr>
              <w:pStyle w:val="Tabletext1"/>
            </w:pPr>
            <w:r>
              <w:t>166 (-40 to infinity to 27)</w:t>
            </w:r>
          </w:p>
        </w:tc>
      </w:tr>
      <w:tr w:rsidR="004F1EB1" w14:paraId="33248429"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vAlign w:val="center"/>
          </w:tcPr>
          <w:p w14:paraId="4DB8B6DC" w14:textId="77777777" w:rsidR="00066A6C" w:rsidRDefault="00066A6C" w:rsidP="000A4AD3">
            <w:pPr>
              <w:pStyle w:val="Tabletext1"/>
            </w:pPr>
            <w:r>
              <w:t>Unplanned antibiotic treatment during hospital stay, for reasons other than SSI (mainly urinary or respiratory tract infections)</w:t>
            </w:r>
          </w:p>
        </w:tc>
        <w:tc>
          <w:tcPr>
            <w:tcW w:w="592" w:type="pct"/>
            <w:vMerge/>
            <w:tcBorders>
              <w:left w:val="single" w:sz="4" w:space="0" w:color="auto"/>
              <w:right w:val="single" w:sz="4" w:space="0" w:color="auto"/>
            </w:tcBorders>
            <w:vAlign w:val="center"/>
          </w:tcPr>
          <w:p w14:paraId="424BF827"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vAlign w:val="center"/>
          </w:tcPr>
          <w:p w14:paraId="777BCF06" w14:textId="77777777" w:rsidR="00066A6C" w:rsidRDefault="00066A6C" w:rsidP="000A4AD3">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7E9B91A9" w14:textId="77777777" w:rsidR="000826B4" w:rsidRDefault="00066A6C" w:rsidP="000A4AD3">
            <w:pPr>
              <w:pStyle w:val="Tabletext1"/>
            </w:pPr>
            <w:r>
              <w:t>DAC</w:t>
            </w:r>
            <w:r w:rsidR="001762ED">
              <w:t>+abs</w:t>
            </w:r>
            <w:r>
              <w:t xml:space="preserve">: </w:t>
            </w:r>
            <w:r w:rsidRPr="004A1F7C">
              <w:t>4.8% (9/189)</w:t>
            </w:r>
            <w:r>
              <w:t xml:space="preserve">; </w:t>
            </w:r>
          </w:p>
          <w:p w14:paraId="63C217BB" w14:textId="4974A19E" w:rsidR="00066A6C" w:rsidRDefault="001762ED" w:rsidP="000A4AD3">
            <w:pPr>
              <w:pStyle w:val="Tabletext1"/>
            </w:pPr>
            <w:r>
              <w:t>N</w:t>
            </w:r>
            <w:r w:rsidR="00066A6C">
              <w:t>o DAC</w:t>
            </w:r>
            <w:r>
              <w:t>+abs</w:t>
            </w:r>
            <w:r w:rsidR="00066A6C">
              <w:t>:</w:t>
            </w:r>
            <w:r>
              <w:t xml:space="preserve"> </w:t>
            </w:r>
            <w:r w:rsidR="00066A6C" w:rsidRPr="004A1F7C">
              <w:t>4.3% (8/184)</w:t>
            </w:r>
          </w:p>
        </w:tc>
        <w:tc>
          <w:tcPr>
            <w:tcW w:w="247" w:type="pct"/>
            <w:tcBorders>
              <w:top w:val="single" w:sz="4" w:space="0" w:color="auto"/>
              <w:left w:val="single" w:sz="4" w:space="0" w:color="auto"/>
              <w:bottom w:val="single" w:sz="4" w:space="0" w:color="auto"/>
              <w:right w:val="single" w:sz="4" w:space="0" w:color="auto"/>
            </w:tcBorders>
          </w:tcPr>
          <w:p w14:paraId="28155932" w14:textId="77777777" w:rsidR="00066A6C" w:rsidRDefault="00066A6C" w:rsidP="000A4AD3">
            <w:pPr>
              <w:pStyle w:val="Tabletext1"/>
              <w:rPr>
                <w:b/>
                <w:bCs/>
              </w:rPr>
            </w:pPr>
            <w:r w:rsidRPr="00C13999">
              <w:t>1.000</w:t>
            </w:r>
          </w:p>
        </w:tc>
        <w:tc>
          <w:tcPr>
            <w:tcW w:w="526" w:type="pct"/>
            <w:tcBorders>
              <w:top w:val="single" w:sz="4" w:space="0" w:color="auto"/>
              <w:left w:val="single" w:sz="4" w:space="0" w:color="auto"/>
              <w:bottom w:val="single" w:sz="4" w:space="0" w:color="auto"/>
              <w:right w:val="single" w:sz="4" w:space="0" w:color="auto"/>
            </w:tcBorders>
          </w:tcPr>
          <w:p w14:paraId="560B9B18" w14:textId="77777777" w:rsidR="00066A6C" w:rsidDel="001D45C1" w:rsidRDefault="00066A6C" w:rsidP="000A4AD3">
            <w:pPr>
              <w:pStyle w:val="Tabletext1"/>
              <w:rPr>
                <w:b/>
                <w:bCs/>
              </w:rPr>
            </w:pPr>
            <w:r w:rsidRPr="00044EA7">
              <w:t>1.10 (0.43, 2.80)</w:t>
            </w:r>
            <w:r>
              <w:t xml:space="preserve">; p= </w:t>
            </w:r>
            <w:r w:rsidRPr="00F5203E">
              <w:t>0.8480</w:t>
            </w:r>
          </w:p>
        </w:tc>
        <w:tc>
          <w:tcPr>
            <w:tcW w:w="599" w:type="pct"/>
            <w:tcBorders>
              <w:top w:val="single" w:sz="4" w:space="0" w:color="auto"/>
              <w:left w:val="single" w:sz="4" w:space="0" w:color="auto"/>
              <w:bottom w:val="single" w:sz="4" w:space="0" w:color="auto"/>
              <w:right w:val="single" w:sz="4" w:space="0" w:color="auto"/>
            </w:tcBorders>
          </w:tcPr>
          <w:p w14:paraId="1649CFF2" w14:textId="77777777" w:rsidR="00066A6C" w:rsidRDefault="00066A6C" w:rsidP="000A4AD3">
            <w:pPr>
              <w:pStyle w:val="Tabletext1"/>
            </w:pPr>
            <w:r w:rsidRPr="00CD0EF6">
              <w:t>0.41% (−3.8%, 4.6%)</w:t>
            </w:r>
          </w:p>
        </w:tc>
        <w:tc>
          <w:tcPr>
            <w:tcW w:w="580" w:type="pct"/>
            <w:tcBorders>
              <w:top w:val="single" w:sz="4" w:space="0" w:color="auto"/>
              <w:left w:val="single" w:sz="4" w:space="0" w:color="auto"/>
              <w:bottom w:val="single" w:sz="4" w:space="0" w:color="auto"/>
              <w:right w:val="single" w:sz="4" w:space="0" w:color="auto"/>
            </w:tcBorders>
          </w:tcPr>
          <w:p w14:paraId="28BB43CB" w14:textId="4F2AA525" w:rsidR="00066A6C" w:rsidRDefault="00510E7D" w:rsidP="000A4AD3">
            <w:pPr>
              <w:pStyle w:val="Tabletext1"/>
            </w:pPr>
            <w:r>
              <w:t>241 (-22 to infinity to 26)</w:t>
            </w:r>
          </w:p>
        </w:tc>
      </w:tr>
      <w:tr w:rsidR="004F1EB1" w14:paraId="6242DE8F"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1AEEE254" w14:textId="77777777" w:rsidR="00066A6C" w:rsidRDefault="00066A6C" w:rsidP="000A4AD3">
            <w:pPr>
              <w:pStyle w:val="Tabletext1"/>
            </w:pPr>
            <w:r w:rsidRPr="00D53D82">
              <w:t>Harris Hip Score</w:t>
            </w:r>
          </w:p>
        </w:tc>
        <w:tc>
          <w:tcPr>
            <w:tcW w:w="592" w:type="pct"/>
            <w:vMerge/>
            <w:tcBorders>
              <w:left w:val="single" w:sz="4" w:space="0" w:color="auto"/>
              <w:right w:val="single" w:sz="4" w:space="0" w:color="auto"/>
            </w:tcBorders>
            <w:vAlign w:val="center"/>
          </w:tcPr>
          <w:p w14:paraId="596D644A"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tcPr>
          <w:p w14:paraId="54AD586D" w14:textId="4C35CE6A" w:rsidR="00066A6C" w:rsidRDefault="00F51A78" w:rsidP="000A4AD3">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19263CDE" w14:textId="77777777" w:rsidR="00066A6C" w:rsidRDefault="00066A6C" w:rsidP="000A4AD3">
            <w:pPr>
              <w:pStyle w:val="Tabletext1"/>
            </w:pPr>
            <w:r>
              <w:t>Mean</w:t>
            </w:r>
            <w:r w:rsidRPr="00ED4955">
              <w:t>±</w:t>
            </w:r>
            <w:r>
              <w:t>SD</w:t>
            </w:r>
          </w:p>
          <w:p w14:paraId="5D054802" w14:textId="77777777" w:rsidR="001762ED" w:rsidRDefault="00066A6C" w:rsidP="000A4AD3">
            <w:pPr>
              <w:pStyle w:val="Tabletext1"/>
            </w:pPr>
            <w:r>
              <w:t>DAC</w:t>
            </w:r>
            <w:r w:rsidR="001762ED">
              <w:t>+abs</w:t>
            </w:r>
            <w:r>
              <w:t xml:space="preserve">: </w:t>
            </w:r>
            <w:r w:rsidRPr="00ED4955">
              <w:t>86.4 ± 16</w:t>
            </w:r>
            <w:r>
              <w:t xml:space="preserve">; </w:t>
            </w:r>
          </w:p>
          <w:p w14:paraId="6AF9E05F" w14:textId="473C9A97" w:rsidR="00066A6C" w:rsidRDefault="001762ED" w:rsidP="000A4AD3">
            <w:pPr>
              <w:pStyle w:val="Tabletext1"/>
            </w:pPr>
            <w:r>
              <w:t>N</w:t>
            </w:r>
            <w:r w:rsidR="00066A6C">
              <w:t>o DAC</w:t>
            </w:r>
            <w:r>
              <w:t>+abs</w:t>
            </w:r>
            <w:r w:rsidR="00066A6C">
              <w:t xml:space="preserve">: </w:t>
            </w:r>
            <w:r w:rsidR="00066A6C" w:rsidRPr="00ED4955">
              <w:t>83.4 ± 16.7</w:t>
            </w:r>
          </w:p>
        </w:tc>
        <w:tc>
          <w:tcPr>
            <w:tcW w:w="247" w:type="pct"/>
            <w:tcBorders>
              <w:top w:val="single" w:sz="4" w:space="0" w:color="auto"/>
              <w:left w:val="single" w:sz="4" w:space="0" w:color="auto"/>
              <w:bottom w:val="single" w:sz="4" w:space="0" w:color="auto"/>
              <w:right w:val="single" w:sz="4" w:space="0" w:color="auto"/>
            </w:tcBorders>
          </w:tcPr>
          <w:p w14:paraId="0F21808B" w14:textId="77777777" w:rsidR="00066A6C" w:rsidRPr="00C13999" w:rsidRDefault="00066A6C" w:rsidP="000A4AD3">
            <w:pPr>
              <w:pStyle w:val="Tabletext1"/>
            </w:pPr>
            <w:r w:rsidRPr="00670EB5">
              <w:t>0.08</w:t>
            </w:r>
          </w:p>
        </w:tc>
        <w:tc>
          <w:tcPr>
            <w:tcW w:w="526" w:type="pct"/>
            <w:tcBorders>
              <w:top w:val="single" w:sz="4" w:space="0" w:color="auto"/>
              <w:left w:val="single" w:sz="4" w:space="0" w:color="auto"/>
              <w:bottom w:val="single" w:sz="4" w:space="0" w:color="auto"/>
              <w:right w:val="single" w:sz="4" w:space="0" w:color="auto"/>
            </w:tcBorders>
          </w:tcPr>
          <w:p w14:paraId="134D1ADB" w14:textId="77777777" w:rsidR="00066A6C" w:rsidRPr="00044EA7" w:rsidRDefault="00066A6C" w:rsidP="000A4AD3">
            <w:pPr>
              <w:pStyle w:val="Tabletext1"/>
            </w:pPr>
            <w:r>
              <w:t>NA</w:t>
            </w:r>
          </w:p>
        </w:tc>
        <w:tc>
          <w:tcPr>
            <w:tcW w:w="599" w:type="pct"/>
            <w:tcBorders>
              <w:top w:val="single" w:sz="4" w:space="0" w:color="auto"/>
              <w:left w:val="single" w:sz="4" w:space="0" w:color="auto"/>
              <w:bottom w:val="single" w:sz="4" w:space="0" w:color="auto"/>
              <w:right w:val="single" w:sz="4" w:space="0" w:color="auto"/>
            </w:tcBorders>
          </w:tcPr>
          <w:p w14:paraId="100C0C8B" w14:textId="77777777" w:rsidR="00066A6C" w:rsidRPr="00CD0EF6" w:rsidRDefault="00066A6C" w:rsidP="000A4AD3">
            <w:pPr>
              <w:pStyle w:val="Tabletext1"/>
            </w:pPr>
            <w:r w:rsidRPr="00ED4955">
              <w:t xml:space="preserve">Absolute difference (95% CI): </w:t>
            </w:r>
            <w:r w:rsidRPr="00DF551A">
              <w:t>3.0 (−0.3, 6.3)</w:t>
            </w:r>
          </w:p>
        </w:tc>
        <w:tc>
          <w:tcPr>
            <w:tcW w:w="580" w:type="pct"/>
            <w:tcBorders>
              <w:left w:val="single" w:sz="4" w:space="0" w:color="auto"/>
              <w:bottom w:val="single" w:sz="4" w:space="0" w:color="auto"/>
              <w:right w:val="single" w:sz="4" w:space="0" w:color="auto"/>
            </w:tcBorders>
          </w:tcPr>
          <w:p w14:paraId="3949E0D3" w14:textId="77777777" w:rsidR="00066A6C" w:rsidRDefault="00066A6C" w:rsidP="000A4AD3">
            <w:pPr>
              <w:pStyle w:val="Tabletext1"/>
            </w:pPr>
            <w:r>
              <w:t>NA</w:t>
            </w:r>
          </w:p>
        </w:tc>
      </w:tr>
      <w:tr w:rsidR="004F1EB1" w14:paraId="2B8A0196"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3A6100F8" w14:textId="77777777" w:rsidR="00066A6C" w:rsidRDefault="00066A6C" w:rsidP="000A4AD3">
            <w:pPr>
              <w:pStyle w:val="Tabletext1"/>
            </w:pPr>
            <w:r w:rsidRPr="00D53D82">
              <w:t>Knee Society Score</w:t>
            </w:r>
          </w:p>
        </w:tc>
        <w:tc>
          <w:tcPr>
            <w:tcW w:w="592" w:type="pct"/>
            <w:vMerge/>
            <w:tcBorders>
              <w:left w:val="single" w:sz="4" w:space="0" w:color="auto"/>
              <w:bottom w:val="single" w:sz="4" w:space="0" w:color="auto"/>
              <w:right w:val="single" w:sz="4" w:space="0" w:color="auto"/>
            </w:tcBorders>
            <w:vAlign w:val="center"/>
          </w:tcPr>
          <w:p w14:paraId="366F0EF3"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tcPr>
          <w:p w14:paraId="5D9D467C" w14:textId="7B0363C6" w:rsidR="00066A6C" w:rsidRDefault="00F51A78" w:rsidP="000A4AD3">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75A5E473" w14:textId="77777777" w:rsidR="00066A6C" w:rsidRDefault="00066A6C" w:rsidP="000A4AD3">
            <w:pPr>
              <w:pStyle w:val="Tabletext1"/>
            </w:pPr>
            <w:r>
              <w:t>Mean</w:t>
            </w:r>
            <w:r w:rsidRPr="00ED4955">
              <w:t>±</w:t>
            </w:r>
            <w:r>
              <w:t>SD</w:t>
            </w:r>
          </w:p>
          <w:p w14:paraId="76E4191D" w14:textId="77777777" w:rsidR="000826B4" w:rsidRDefault="00066A6C" w:rsidP="000A4AD3">
            <w:pPr>
              <w:pStyle w:val="Tabletext1"/>
            </w:pPr>
            <w:r>
              <w:t>DAC</w:t>
            </w:r>
            <w:r w:rsidR="001762ED">
              <w:t>+abs</w:t>
            </w:r>
            <w:r>
              <w:t xml:space="preserve">: </w:t>
            </w:r>
            <w:r w:rsidRPr="00ED4955">
              <w:t>75.8 ± 21.7</w:t>
            </w:r>
            <w:r>
              <w:t xml:space="preserve">; </w:t>
            </w:r>
          </w:p>
          <w:p w14:paraId="783A1512" w14:textId="4C17A9BA" w:rsidR="00066A6C" w:rsidRDefault="001762ED" w:rsidP="000A4AD3">
            <w:pPr>
              <w:pStyle w:val="Tabletext1"/>
            </w:pPr>
            <w:r>
              <w:t>N</w:t>
            </w:r>
            <w:r w:rsidR="00066A6C">
              <w:t>o DAC</w:t>
            </w:r>
            <w:r>
              <w:t>+abs</w:t>
            </w:r>
            <w:r w:rsidR="00066A6C">
              <w:t xml:space="preserve">: </w:t>
            </w:r>
            <w:r w:rsidR="00066A6C" w:rsidRPr="00ED4955">
              <w:t>79.4 ± 20.5</w:t>
            </w:r>
          </w:p>
        </w:tc>
        <w:tc>
          <w:tcPr>
            <w:tcW w:w="247" w:type="pct"/>
            <w:tcBorders>
              <w:top w:val="single" w:sz="4" w:space="0" w:color="auto"/>
              <w:left w:val="single" w:sz="4" w:space="0" w:color="auto"/>
              <w:bottom w:val="single" w:sz="4" w:space="0" w:color="auto"/>
              <w:right w:val="single" w:sz="4" w:space="0" w:color="auto"/>
            </w:tcBorders>
          </w:tcPr>
          <w:p w14:paraId="67475922" w14:textId="77777777" w:rsidR="00066A6C" w:rsidRPr="00C13999" w:rsidRDefault="00066A6C" w:rsidP="000A4AD3">
            <w:pPr>
              <w:pStyle w:val="Tabletext1"/>
            </w:pPr>
            <w:r w:rsidRPr="00670EB5">
              <w:t>0.10</w:t>
            </w:r>
          </w:p>
        </w:tc>
        <w:tc>
          <w:tcPr>
            <w:tcW w:w="526" w:type="pct"/>
            <w:tcBorders>
              <w:top w:val="single" w:sz="4" w:space="0" w:color="auto"/>
              <w:left w:val="single" w:sz="4" w:space="0" w:color="auto"/>
              <w:bottom w:val="single" w:sz="4" w:space="0" w:color="auto"/>
              <w:right w:val="single" w:sz="4" w:space="0" w:color="auto"/>
            </w:tcBorders>
          </w:tcPr>
          <w:p w14:paraId="37336876" w14:textId="77777777" w:rsidR="00066A6C" w:rsidRPr="00044EA7" w:rsidRDefault="00066A6C" w:rsidP="000A4AD3">
            <w:pPr>
              <w:pStyle w:val="Tabletext1"/>
            </w:pPr>
            <w:r>
              <w:t>NA</w:t>
            </w:r>
          </w:p>
        </w:tc>
        <w:tc>
          <w:tcPr>
            <w:tcW w:w="599" w:type="pct"/>
            <w:tcBorders>
              <w:top w:val="single" w:sz="4" w:space="0" w:color="auto"/>
              <w:left w:val="single" w:sz="4" w:space="0" w:color="auto"/>
              <w:bottom w:val="single" w:sz="4" w:space="0" w:color="auto"/>
              <w:right w:val="single" w:sz="4" w:space="0" w:color="auto"/>
            </w:tcBorders>
          </w:tcPr>
          <w:p w14:paraId="4A3B3B0D" w14:textId="77777777" w:rsidR="00066A6C" w:rsidRPr="00CD0EF6" w:rsidRDefault="00066A6C" w:rsidP="000A4AD3">
            <w:pPr>
              <w:pStyle w:val="Tabletext1"/>
            </w:pPr>
            <w:r w:rsidRPr="00ED4955">
              <w:t xml:space="preserve">Absolute difference (95% CI): </w:t>
            </w:r>
            <w:r w:rsidRPr="00DF551A">
              <w:t xml:space="preserve">−3.6 (−7.9, 0.7) </w:t>
            </w:r>
          </w:p>
        </w:tc>
        <w:tc>
          <w:tcPr>
            <w:tcW w:w="580" w:type="pct"/>
            <w:tcBorders>
              <w:top w:val="single" w:sz="4" w:space="0" w:color="auto"/>
              <w:left w:val="single" w:sz="4" w:space="0" w:color="auto"/>
              <w:bottom w:val="single" w:sz="4" w:space="0" w:color="auto"/>
              <w:right w:val="single" w:sz="4" w:space="0" w:color="auto"/>
            </w:tcBorders>
          </w:tcPr>
          <w:p w14:paraId="5D5546CD" w14:textId="6DD9B9C1" w:rsidR="00066A6C" w:rsidRDefault="00510E7D" w:rsidP="000A4AD3">
            <w:pPr>
              <w:pStyle w:val="Tabletext1"/>
            </w:pPr>
            <w:r>
              <w:t>NA</w:t>
            </w:r>
          </w:p>
        </w:tc>
      </w:tr>
      <w:tr w:rsidR="00066A6C" w14:paraId="05C6E3D5" w14:textId="77777777" w:rsidTr="00A32CC1">
        <w:tc>
          <w:tcPr>
            <w:tcW w:w="5000" w:type="pct"/>
            <w:gridSpan w:val="9"/>
            <w:tcBorders>
              <w:top w:val="single" w:sz="4" w:space="0" w:color="auto"/>
              <w:left w:val="single" w:sz="4" w:space="0" w:color="auto"/>
              <w:bottom w:val="single" w:sz="4" w:space="0" w:color="auto"/>
              <w:right w:val="single" w:sz="4" w:space="0" w:color="auto"/>
            </w:tcBorders>
            <w:hideMark/>
          </w:tcPr>
          <w:p w14:paraId="686BAC89" w14:textId="77777777" w:rsidR="00066A6C" w:rsidRDefault="00066A6C" w:rsidP="000A4AD3">
            <w:pPr>
              <w:pStyle w:val="Tabletext1"/>
            </w:pPr>
            <w:r>
              <w:lastRenderedPageBreak/>
              <w:t>Population 1</w:t>
            </w:r>
          </w:p>
        </w:tc>
      </w:tr>
      <w:tr w:rsidR="004F1EB1" w14:paraId="52EAD0CB" w14:textId="77777777" w:rsidTr="00F871EC">
        <w:trPr>
          <w:gridAfter w:val="1"/>
          <w:wAfter w:w="8" w:type="pct"/>
          <w:trHeight w:val="263"/>
        </w:trPr>
        <w:tc>
          <w:tcPr>
            <w:tcW w:w="1029" w:type="pct"/>
            <w:tcBorders>
              <w:top w:val="single" w:sz="4" w:space="0" w:color="auto"/>
              <w:left w:val="single" w:sz="4" w:space="0" w:color="auto"/>
              <w:bottom w:val="single" w:sz="4" w:space="0" w:color="auto"/>
              <w:right w:val="single" w:sz="4" w:space="0" w:color="auto"/>
            </w:tcBorders>
            <w:hideMark/>
          </w:tcPr>
          <w:p w14:paraId="3A1F109C" w14:textId="679DF6FF" w:rsidR="00066A6C" w:rsidRDefault="00066A6C" w:rsidP="000A4AD3">
            <w:pPr>
              <w:pStyle w:val="Tabletext1"/>
            </w:pPr>
            <w:r>
              <w:t>SSI</w:t>
            </w:r>
          </w:p>
          <w:p w14:paraId="54CD0D48" w14:textId="77777777" w:rsidR="00066A6C" w:rsidRDefault="00066A6C" w:rsidP="000A4AD3">
            <w:pPr>
              <w:pStyle w:val="Tabletext1"/>
            </w:pPr>
            <w:r>
              <w:t>Mean±SD follow-up</w:t>
            </w:r>
            <w:r>
              <w:rPr>
                <w:vertAlign w:val="superscript"/>
              </w:rPr>
              <w:t xml:space="preserve"> a</w:t>
            </w:r>
            <w:r>
              <w:t xml:space="preserve"> of 14.5 ± 5.5 months (range 6 to 24 months)</w:t>
            </w:r>
          </w:p>
        </w:tc>
        <w:tc>
          <w:tcPr>
            <w:tcW w:w="592" w:type="pct"/>
            <w:tcBorders>
              <w:top w:val="single" w:sz="4" w:space="0" w:color="auto"/>
              <w:left w:val="single" w:sz="4" w:space="0" w:color="auto"/>
              <w:bottom w:val="single" w:sz="4" w:space="0" w:color="auto"/>
              <w:right w:val="single" w:sz="4" w:space="0" w:color="auto"/>
            </w:tcBorders>
            <w:hideMark/>
          </w:tcPr>
          <w:p w14:paraId="5983707A" w14:textId="77777777" w:rsidR="00066A6C" w:rsidRDefault="00066A6C" w:rsidP="000A4AD3">
            <w:pPr>
              <w:pStyle w:val="Tabletext1"/>
            </w:pPr>
            <w:r>
              <w:t>267</w:t>
            </w:r>
          </w:p>
          <w:p w14:paraId="227ED2B0" w14:textId="5AFA653E" w:rsidR="00066A6C" w:rsidRDefault="00066A6C" w:rsidP="000A4AD3">
            <w:pPr>
              <w:pStyle w:val="Tabletext1"/>
            </w:pPr>
            <w:r>
              <w:t>(1 RCT,</w:t>
            </w:r>
            <w:r w:rsidR="00E416E6">
              <w:t xml:space="preserve"> subgroup analysis of primary joint replacement surgery with or without DAC+antibiotics,</w:t>
            </w:r>
            <w:r>
              <w:t xml:space="preserve"> Romanò 2016)</w:t>
            </w:r>
          </w:p>
        </w:tc>
        <w:tc>
          <w:tcPr>
            <w:tcW w:w="617" w:type="pct"/>
            <w:tcBorders>
              <w:top w:val="single" w:sz="4" w:space="0" w:color="auto"/>
              <w:left w:val="single" w:sz="4" w:space="0" w:color="auto"/>
              <w:bottom w:val="single" w:sz="4" w:space="0" w:color="auto"/>
              <w:right w:val="single" w:sz="4" w:space="0" w:color="auto"/>
            </w:tcBorders>
            <w:hideMark/>
          </w:tcPr>
          <w:p w14:paraId="76655FA8" w14:textId="0662E462" w:rsidR="00066A6C" w:rsidRDefault="00066A6C"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hideMark/>
          </w:tcPr>
          <w:p w14:paraId="7A0260E6" w14:textId="77777777" w:rsidR="000826B4" w:rsidRDefault="00066A6C" w:rsidP="000A4AD3">
            <w:pPr>
              <w:pStyle w:val="Tabletext1"/>
            </w:pPr>
            <w:r>
              <w:t>DAC</w:t>
            </w:r>
            <w:r w:rsidR="001762ED">
              <w:t>+abs</w:t>
            </w:r>
            <w:r>
              <w:t xml:space="preserve">: 0.7% (1/135); </w:t>
            </w:r>
          </w:p>
          <w:p w14:paraId="2A13B94D" w14:textId="32198422" w:rsidR="00066A6C" w:rsidRDefault="001762ED" w:rsidP="000A4AD3">
            <w:pPr>
              <w:pStyle w:val="Tabletext1"/>
            </w:pPr>
            <w:r>
              <w:t>N</w:t>
            </w:r>
            <w:r w:rsidR="00066A6C">
              <w:t>o DAC</w:t>
            </w:r>
            <w:r>
              <w:t>+abs</w:t>
            </w:r>
            <w:r w:rsidR="00066A6C">
              <w:t>: 3% (4/132)</w:t>
            </w:r>
          </w:p>
        </w:tc>
        <w:tc>
          <w:tcPr>
            <w:tcW w:w="247" w:type="pct"/>
            <w:tcBorders>
              <w:top w:val="single" w:sz="4" w:space="0" w:color="auto"/>
              <w:left w:val="single" w:sz="4" w:space="0" w:color="auto"/>
              <w:bottom w:val="single" w:sz="4" w:space="0" w:color="auto"/>
              <w:right w:val="single" w:sz="4" w:space="0" w:color="auto"/>
            </w:tcBorders>
            <w:hideMark/>
          </w:tcPr>
          <w:p w14:paraId="51B88FD2" w14:textId="77777777" w:rsidR="00066A6C" w:rsidRDefault="00066A6C" w:rsidP="000A4AD3">
            <w:pPr>
              <w:pStyle w:val="Tabletext1"/>
            </w:pPr>
            <w:r>
              <w:t>0.210</w:t>
            </w:r>
          </w:p>
        </w:tc>
        <w:tc>
          <w:tcPr>
            <w:tcW w:w="526" w:type="pct"/>
            <w:tcBorders>
              <w:top w:val="single" w:sz="4" w:space="0" w:color="auto"/>
              <w:left w:val="single" w:sz="4" w:space="0" w:color="auto"/>
              <w:bottom w:val="single" w:sz="4" w:space="0" w:color="auto"/>
              <w:right w:val="single" w:sz="4" w:space="0" w:color="auto"/>
            </w:tcBorders>
            <w:hideMark/>
          </w:tcPr>
          <w:p w14:paraId="307244C1" w14:textId="2862B848" w:rsidR="00066A6C" w:rsidRDefault="00066A6C" w:rsidP="000A4AD3">
            <w:pPr>
              <w:pStyle w:val="Tabletext1"/>
            </w:pPr>
            <w:r>
              <w:t>0.24 (0.0277, 2.16); p= 0.205</w:t>
            </w:r>
          </w:p>
        </w:tc>
        <w:tc>
          <w:tcPr>
            <w:tcW w:w="599" w:type="pct"/>
            <w:tcBorders>
              <w:top w:val="single" w:sz="4" w:space="0" w:color="auto"/>
              <w:left w:val="single" w:sz="4" w:space="0" w:color="auto"/>
              <w:bottom w:val="single" w:sz="4" w:space="0" w:color="auto"/>
              <w:right w:val="single" w:sz="4" w:space="0" w:color="auto"/>
            </w:tcBorders>
            <w:hideMark/>
          </w:tcPr>
          <w:p w14:paraId="2AC4754F" w14:textId="77777777" w:rsidR="00066A6C" w:rsidRDefault="00066A6C" w:rsidP="000A4AD3">
            <w:pPr>
              <w:pStyle w:val="Tabletext1"/>
            </w:pPr>
            <w:r>
              <w:t>-2.30%</w:t>
            </w:r>
          </w:p>
          <w:p w14:paraId="4DD51F55" w14:textId="6E446EF5" w:rsidR="00066A6C" w:rsidRDefault="00066A6C" w:rsidP="000A4AD3">
            <w:pPr>
              <w:pStyle w:val="Tabletext1"/>
            </w:pPr>
            <w:r>
              <w:t>(-5.60%, 1.00%)</w:t>
            </w:r>
          </w:p>
        </w:tc>
        <w:tc>
          <w:tcPr>
            <w:tcW w:w="580" w:type="pct"/>
            <w:tcBorders>
              <w:top w:val="single" w:sz="4" w:space="0" w:color="auto"/>
              <w:left w:val="single" w:sz="4" w:space="0" w:color="auto"/>
              <w:bottom w:val="single" w:sz="4" w:space="0" w:color="auto"/>
              <w:right w:val="single" w:sz="4" w:space="0" w:color="auto"/>
            </w:tcBorders>
          </w:tcPr>
          <w:p w14:paraId="041FCC3C" w14:textId="5B36C699" w:rsidR="00066A6C" w:rsidRDefault="00066A6C" w:rsidP="000A4AD3">
            <w:pPr>
              <w:pStyle w:val="Tabletext1"/>
            </w:pPr>
            <w:r>
              <w:t>44 (</w:t>
            </w:r>
            <w:r w:rsidR="00510E7D">
              <w:t>-105 to infinity to</w:t>
            </w:r>
            <w:r>
              <w:t xml:space="preserve"> </w:t>
            </w:r>
            <w:r w:rsidR="00510E7D">
              <w:t>18</w:t>
            </w:r>
            <w:r>
              <w:t>)</w:t>
            </w:r>
          </w:p>
        </w:tc>
      </w:tr>
      <w:tr w:rsidR="00066A6C" w14:paraId="0DE3D7B3" w14:textId="77777777" w:rsidTr="00A32CC1">
        <w:trPr>
          <w:trHeight w:val="25"/>
        </w:trPr>
        <w:tc>
          <w:tcPr>
            <w:tcW w:w="5000" w:type="pct"/>
            <w:gridSpan w:val="9"/>
            <w:tcBorders>
              <w:top w:val="single" w:sz="4" w:space="0" w:color="auto"/>
              <w:left w:val="single" w:sz="4" w:space="0" w:color="auto"/>
              <w:bottom w:val="single" w:sz="4" w:space="0" w:color="auto"/>
              <w:right w:val="single" w:sz="4" w:space="0" w:color="auto"/>
            </w:tcBorders>
            <w:hideMark/>
          </w:tcPr>
          <w:p w14:paraId="1558E207" w14:textId="77777777" w:rsidR="00066A6C" w:rsidRDefault="00066A6C" w:rsidP="000A4AD3">
            <w:pPr>
              <w:pStyle w:val="Tabletext1"/>
            </w:pPr>
            <w:r>
              <w:t>Population 2</w:t>
            </w:r>
          </w:p>
        </w:tc>
      </w:tr>
      <w:tr w:rsidR="004F1EB1" w14:paraId="67521A37" w14:textId="77777777" w:rsidTr="00F871EC">
        <w:trPr>
          <w:gridAfter w:val="1"/>
          <w:wAfter w:w="8" w:type="pct"/>
          <w:trHeight w:val="1046"/>
        </w:trPr>
        <w:tc>
          <w:tcPr>
            <w:tcW w:w="1029" w:type="pct"/>
            <w:tcBorders>
              <w:top w:val="single" w:sz="4" w:space="0" w:color="auto"/>
              <w:left w:val="single" w:sz="4" w:space="0" w:color="auto"/>
              <w:bottom w:val="single" w:sz="4" w:space="0" w:color="auto"/>
              <w:right w:val="single" w:sz="4" w:space="0" w:color="auto"/>
            </w:tcBorders>
            <w:hideMark/>
          </w:tcPr>
          <w:p w14:paraId="78D6A77F" w14:textId="5ADBA02A" w:rsidR="00066A6C" w:rsidRDefault="00066A6C" w:rsidP="000A4AD3">
            <w:pPr>
              <w:pStyle w:val="Tabletext1"/>
            </w:pPr>
            <w:r>
              <w:t>Onset of short-term PJI 12.4±5.7 months in treatment group, 34.3 ± 21.3 months control group (range 6 to 24 months) [revision]</w:t>
            </w:r>
          </w:p>
        </w:tc>
        <w:tc>
          <w:tcPr>
            <w:tcW w:w="592" w:type="pct"/>
            <w:vMerge w:val="restart"/>
            <w:tcBorders>
              <w:top w:val="single" w:sz="4" w:space="0" w:color="auto"/>
              <w:left w:val="single" w:sz="4" w:space="0" w:color="auto"/>
              <w:bottom w:val="single" w:sz="4" w:space="0" w:color="auto"/>
              <w:right w:val="single" w:sz="4" w:space="0" w:color="auto"/>
            </w:tcBorders>
            <w:hideMark/>
          </w:tcPr>
          <w:p w14:paraId="5DE49930" w14:textId="77777777" w:rsidR="00066A6C" w:rsidRDefault="00066A6C" w:rsidP="000A4AD3">
            <w:pPr>
              <w:pStyle w:val="Tabletext1"/>
            </w:pPr>
            <w:r>
              <w:t>34</w:t>
            </w:r>
          </w:p>
          <w:p w14:paraId="25D5AF90" w14:textId="77777777" w:rsidR="00066A6C" w:rsidRDefault="00066A6C" w:rsidP="000A4AD3">
            <w:pPr>
              <w:pStyle w:val="Tabletext1"/>
            </w:pPr>
            <w:r>
              <w:t>(1 case-control study, De Meo 2020)</w:t>
            </w:r>
          </w:p>
        </w:tc>
        <w:tc>
          <w:tcPr>
            <w:tcW w:w="617" w:type="pct"/>
            <w:tcBorders>
              <w:top w:val="single" w:sz="4" w:space="0" w:color="auto"/>
              <w:left w:val="single" w:sz="4" w:space="0" w:color="auto"/>
              <w:bottom w:val="single" w:sz="4" w:space="0" w:color="auto"/>
              <w:right w:val="single" w:sz="4" w:space="0" w:color="auto"/>
            </w:tcBorders>
            <w:hideMark/>
          </w:tcPr>
          <w:p w14:paraId="11BCFB16" w14:textId="038A321E" w:rsidR="00066A6C" w:rsidRDefault="00066A6C" w:rsidP="000A4AD3">
            <w:pPr>
              <w:pStyle w:val="Tabletext1"/>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hideMark/>
          </w:tcPr>
          <w:p w14:paraId="19F93151" w14:textId="46A2B88E" w:rsidR="00066A6C" w:rsidRDefault="00066A6C" w:rsidP="000A4AD3">
            <w:pPr>
              <w:pStyle w:val="Tabletext1"/>
            </w:pPr>
            <w:r>
              <w:t>DAC</w:t>
            </w:r>
            <w:r w:rsidR="001762ED">
              <w:t>+abs</w:t>
            </w:r>
            <w:r>
              <w:t>: 0.00% (0/17);</w:t>
            </w:r>
          </w:p>
          <w:p w14:paraId="07E5BE5B" w14:textId="1E08A5C6" w:rsidR="00066A6C" w:rsidRDefault="00066A6C" w:rsidP="000A4AD3">
            <w:pPr>
              <w:pStyle w:val="Tabletext1"/>
            </w:pPr>
            <w:r>
              <w:t>No DAC</w:t>
            </w:r>
            <w:r w:rsidR="001762ED">
              <w:t>+abs</w:t>
            </w:r>
            <w:r>
              <w:t>: 35.29% (6/17)</w:t>
            </w:r>
          </w:p>
        </w:tc>
        <w:tc>
          <w:tcPr>
            <w:tcW w:w="247" w:type="pct"/>
            <w:tcBorders>
              <w:top w:val="single" w:sz="4" w:space="0" w:color="auto"/>
              <w:left w:val="single" w:sz="4" w:space="0" w:color="auto"/>
              <w:bottom w:val="single" w:sz="4" w:space="0" w:color="auto"/>
              <w:right w:val="single" w:sz="4" w:space="0" w:color="auto"/>
            </w:tcBorders>
          </w:tcPr>
          <w:p w14:paraId="13C458F1" w14:textId="77777777" w:rsidR="00066A6C" w:rsidRDefault="00066A6C" w:rsidP="000A4AD3">
            <w:pPr>
              <w:pStyle w:val="Tabletext1"/>
            </w:pPr>
            <w:r>
              <w:t>0.018</w:t>
            </w:r>
          </w:p>
          <w:p w14:paraId="6E94CBA6" w14:textId="77777777" w:rsidR="00066A6C" w:rsidRDefault="00066A6C" w:rsidP="000A4AD3">
            <w:pPr>
              <w:pStyle w:val="Tabletext1"/>
            </w:pPr>
          </w:p>
        </w:tc>
        <w:tc>
          <w:tcPr>
            <w:tcW w:w="526" w:type="pct"/>
            <w:tcBorders>
              <w:top w:val="single" w:sz="4" w:space="0" w:color="auto"/>
              <w:left w:val="single" w:sz="4" w:space="0" w:color="auto"/>
              <w:bottom w:val="single" w:sz="4" w:space="0" w:color="auto"/>
              <w:right w:val="single" w:sz="4" w:space="0" w:color="auto"/>
            </w:tcBorders>
            <w:hideMark/>
          </w:tcPr>
          <w:p w14:paraId="5D557EB0" w14:textId="0EA28A5D" w:rsidR="00066A6C" w:rsidRDefault="00066A6C" w:rsidP="000A4AD3">
            <w:pPr>
              <w:pStyle w:val="Tabletext1"/>
            </w:pPr>
            <w:r>
              <w:t>0.08 (0.0047, 1.27); p= 0.073</w:t>
            </w:r>
          </w:p>
        </w:tc>
        <w:tc>
          <w:tcPr>
            <w:tcW w:w="599" w:type="pct"/>
            <w:tcBorders>
              <w:top w:val="single" w:sz="4" w:space="0" w:color="auto"/>
              <w:left w:val="single" w:sz="4" w:space="0" w:color="auto"/>
              <w:bottom w:val="single" w:sz="4" w:space="0" w:color="auto"/>
              <w:right w:val="single" w:sz="4" w:space="0" w:color="auto"/>
            </w:tcBorders>
            <w:hideMark/>
          </w:tcPr>
          <w:p w14:paraId="33EA089E" w14:textId="0CA2B947" w:rsidR="00066A6C" w:rsidRDefault="00066A6C" w:rsidP="000A4AD3">
            <w:pPr>
              <w:pStyle w:val="Tabletext1"/>
            </w:pPr>
            <w:r>
              <w:t>-35.29% (-58.00%, -12.60%)</w:t>
            </w:r>
          </w:p>
        </w:tc>
        <w:tc>
          <w:tcPr>
            <w:tcW w:w="580" w:type="pct"/>
            <w:tcBorders>
              <w:top w:val="single" w:sz="4" w:space="0" w:color="auto"/>
              <w:left w:val="single" w:sz="4" w:space="0" w:color="auto"/>
              <w:bottom w:val="single" w:sz="4" w:space="0" w:color="auto"/>
              <w:right w:val="single" w:sz="4" w:space="0" w:color="auto"/>
            </w:tcBorders>
          </w:tcPr>
          <w:p w14:paraId="345977B5" w14:textId="47D1C689" w:rsidR="00066A6C" w:rsidRPr="003143CF" w:rsidRDefault="00066A6C" w:rsidP="000A4AD3">
            <w:pPr>
              <w:pStyle w:val="Tabletext1"/>
            </w:pPr>
            <w:r w:rsidRPr="003143CF">
              <w:t xml:space="preserve">3 (2, </w:t>
            </w:r>
            <w:r w:rsidR="00510E7D">
              <w:t>10</w:t>
            </w:r>
            <w:r w:rsidRPr="003143CF">
              <w:t>)</w:t>
            </w:r>
          </w:p>
        </w:tc>
      </w:tr>
      <w:tr w:rsidR="004F1EB1" w14:paraId="40ECC32B" w14:textId="77777777" w:rsidTr="00F871EC">
        <w:trPr>
          <w:gridAfter w:val="1"/>
          <w:wAfter w:w="8" w:type="pct"/>
          <w:trHeight w:val="70"/>
        </w:trPr>
        <w:tc>
          <w:tcPr>
            <w:tcW w:w="1029" w:type="pct"/>
            <w:tcBorders>
              <w:top w:val="single" w:sz="4" w:space="0" w:color="auto"/>
              <w:left w:val="single" w:sz="4" w:space="0" w:color="auto"/>
              <w:bottom w:val="single" w:sz="4" w:space="0" w:color="auto"/>
              <w:right w:val="single" w:sz="4" w:space="0" w:color="auto"/>
            </w:tcBorders>
          </w:tcPr>
          <w:p w14:paraId="53C4AA6A" w14:textId="77777777" w:rsidR="00066A6C" w:rsidRDefault="00066A6C" w:rsidP="000A4AD3">
            <w:pPr>
              <w:pStyle w:val="Tabletext1"/>
            </w:pPr>
            <w:r>
              <w:t>Harris Hip Score -pre</w:t>
            </w:r>
          </w:p>
        </w:tc>
        <w:tc>
          <w:tcPr>
            <w:tcW w:w="592" w:type="pct"/>
            <w:vMerge/>
            <w:tcBorders>
              <w:top w:val="single" w:sz="4" w:space="0" w:color="auto"/>
              <w:left w:val="single" w:sz="4" w:space="0" w:color="auto"/>
              <w:bottom w:val="single" w:sz="4" w:space="0" w:color="auto"/>
              <w:right w:val="single" w:sz="4" w:space="0" w:color="auto"/>
            </w:tcBorders>
          </w:tcPr>
          <w:p w14:paraId="3ACA76B4" w14:textId="77777777" w:rsidR="00066A6C" w:rsidRDefault="00066A6C"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0438BB33" w14:textId="77777777" w:rsidR="00066A6C" w:rsidRDefault="00066A6C" w:rsidP="000A4AD3">
            <w:pPr>
              <w:pStyle w:val="Tabletext1"/>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tcPr>
          <w:p w14:paraId="0F7244E9" w14:textId="77777777" w:rsidR="00066A6C" w:rsidRDefault="00066A6C" w:rsidP="000A4AD3">
            <w:pPr>
              <w:pStyle w:val="Tabletext1"/>
            </w:pPr>
            <w:r>
              <w:t>Mean</w:t>
            </w:r>
            <w:r w:rsidRPr="00ED4955">
              <w:t>±</w:t>
            </w:r>
            <w:r>
              <w:t>SD</w:t>
            </w:r>
          </w:p>
          <w:p w14:paraId="50009B37" w14:textId="77777777" w:rsidR="000826B4" w:rsidRDefault="00066A6C" w:rsidP="000A4AD3">
            <w:pPr>
              <w:pStyle w:val="Tabletext1"/>
            </w:pPr>
            <w:r>
              <w:t>DAC</w:t>
            </w:r>
            <w:r w:rsidR="001762ED">
              <w:t>+abs</w:t>
            </w:r>
            <w:r>
              <w:t xml:space="preserve">: </w:t>
            </w:r>
            <w:r w:rsidRPr="00727DB6">
              <w:t>34.1 ± 29.8</w:t>
            </w:r>
            <w:r>
              <w:t xml:space="preserve">; </w:t>
            </w:r>
          </w:p>
          <w:p w14:paraId="2DCA46A8" w14:textId="17EECA9F" w:rsidR="00066A6C" w:rsidRDefault="001762ED" w:rsidP="000A4AD3">
            <w:pPr>
              <w:pStyle w:val="Tabletext1"/>
            </w:pPr>
            <w:r>
              <w:t>N</w:t>
            </w:r>
            <w:r w:rsidR="00066A6C">
              <w:t>o DAC</w:t>
            </w:r>
            <w:r>
              <w:t>+abs</w:t>
            </w:r>
            <w:r w:rsidR="00066A6C">
              <w:t xml:space="preserve">: </w:t>
            </w:r>
            <w:r w:rsidR="00066A6C" w:rsidRPr="00727DB6">
              <w:t>38.4 ± 13.7</w:t>
            </w:r>
          </w:p>
        </w:tc>
        <w:tc>
          <w:tcPr>
            <w:tcW w:w="247" w:type="pct"/>
            <w:tcBorders>
              <w:top w:val="single" w:sz="4" w:space="0" w:color="auto"/>
              <w:left w:val="single" w:sz="4" w:space="0" w:color="auto"/>
              <w:bottom w:val="single" w:sz="4" w:space="0" w:color="auto"/>
              <w:right w:val="single" w:sz="4" w:space="0" w:color="auto"/>
            </w:tcBorders>
          </w:tcPr>
          <w:p w14:paraId="440574B8" w14:textId="77777777" w:rsidR="00066A6C" w:rsidRPr="00E452CF" w:rsidRDefault="00066A6C" w:rsidP="000A4AD3">
            <w:pPr>
              <w:pStyle w:val="Tabletext1"/>
            </w:pPr>
            <w:r w:rsidRPr="00E452CF">
              <w:t>0.7291</w:t>
            </w:r>
          </w:p>
        </w:tc>
        <w:tc>
          <w:tcPr>
            <w:tcW w:w="526" w:type="pct"/>
            <w:tcBorders>
              <w:top w:val="single" w:sz="4" w:space="0" w:color="auto"/>
              <w:left w:val="single" w:sz="4" w:space="0" w:color="auto"/>
              <w:bottom w:val="single" w:sz="4" w:space="0" w:color="auto"/>
              <w:right w:val="single" w:sz="4" w:space="0" w:color="auto"/>
            </w:tcBorders>
          </w:tcPr>
          <w:p w14:paraId="205BA0F2" w14:textId="77777777" w:rsidR="00066A6C" w:rsidRDefault="00066A6C" w:rsidP="000A4AD3">
            <w:pPr>
              <w:pStyle w:val="Tabletext1"/>
            </w:pPr>
            <w:r>
              <w:t>NA</w:t>
            </w:r>
          </w:p>
        </w:tc>
        <w:tc>
          <w:tcPr>
            <w:tcW w:w="599" w:type="pct"/>
            <w:tcBorders>
              <w:top w:val="single" w:sz="4" w:space="0" w:color="auto"/>
              <w:left w:val="single" w:sz="4" w:space="0" w:color="auto"/>
              <w:bottom w:val="single" w:sz="4" w:space="0" w:color="auto"/>
              <w:right w:val="single" w:sz="4" w:space="0" w:color="auto"/>
            </w:tcBorders>
          </w:tcPr>
          <w:p w14:paraId="763A1F2E" w14:textId="77777777" w:rsidR="00066A6C" w:rsidRDefault="00066A6C" w:rsidP="000A4AD3">
            <w:pPr>
              <w:pStyle w:val="Tabletext1"/>
              <w:rPr>
                <w:b/>
                <w:bCs/>
              </w:rPr>
            </w:pPr>
            <w:r w:rsidRPr="00ED4955">
              <w:t>Absolute difference (95% CI):</w:t>
            </w:r>
            <w:r>
              <w:t xml:space="preserve"> </w:t>
            </w:r>
            <w:r w:rsidRPr="00727DB6">
              <w:t>−4.3 (−20.5, 11.9)</w:t>
            </w:r>
          </w:p>
        </w:tc>
        <w:tc>
          <w:tcPr>
            <w:tcW w:w="580" w:type="pct"/>
            <w:tcBorders>
              <w:top w:val="single" w:sz="4" w:space="0" w:color="auto"/>
              <w:left w:val="single" w:sz="4" w:space="0" w:color="auto"/>
              <w:bottom w:val="single" w:sz="4" w:space="0" w:color="auto"/>
              <w:right w:val="single" w:sz="4" w:space="0" w:color="auto"/>
            </w:tcBorders>
          </w:tcPr>
          <w:p w14:paraId="2ECB1B8D" w14:textId="77777777" w:rsidR="00066A6C" w:rsidRPr="003143CF" w:rsidRDefault="00066A6C" w:rsidP="000A4AD3">
            <w:pPr>
              <w:pStyle w:val="Tabletext1"/>
            </w:pPr>
            <w:r>
              <w:t>NA</w:t>
            </w:r>
          </w:p>
        </w:tc>
      </w:tr>
      <w:tr w:rsidR="004F1EB1" w14:paraId="149B5EFD" w14:textId="77777777" w:rsidTr="00F871EC">
        <w:trPr>
          <w:gridAfter w:val="1"/>
          <w:wAfter w:w="8" w:type="pct"/>
          <w:trHeight w:val="748"/>
        </w:trPr>
        <w:tc>
          <w:tcPr>
            <w:tcW w:w="1029" w:type="pct"/>
            <w:tcBorders>
              <w:top w:val="single" w:sz="4" w:space="0" w:color="auto"/>
              <w:left w:val="single" w:sz="4" w:space="0" w:color="auto"/>
              <w:bottom w:val="single" w:sz="4" w:space="0" w:color="auto"/>
              <w:right w:val="single" w:sz="4" w:space="0" w:color="auto"/>
            </w:tcBorders>
          </w:tcPr>
          <w:p w14:paraId="56082562" w14:textId="77777777" w:rsidR="00066A6C" w:rsidRDefault="00066A6C" w:rsidP="000A4AD3">
            <w:pPr>
              <w:pStyle w:val="Tabletext1"/>
            </w:pPr>
            <w:r>
              <w:t>Harris Hip Score -post</w:t>
            </w:r>
          </w:p>
        </w:tc>
        <w:tc>
          <w:tcPr>
            <w:tcW w:w="592" w:type="pct"/>
            <w:vMerge/>
            <w:tcBorders>
              <w:top w:val="single" w:sz="4" w:space="0" w:color="auto"/>
              <w:left w:val="single" w:sz="4" w:space="0" w:color="auto"/>
              <w:bottom w:val="single" w:sz="4" w:space="0" w:color="auto"/>
              <w:right w:val="single" w:sz="4" w:space="0" w:color="auto"/>
            </w:tcBorders>
          </w:tcPr>
          <w:p w14:paraId="118EF580" w14:textId="77777777" w:rsidR="00066A6C" w:rsidRDefault="00066A6C"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346CDB42" w14:textId="77777777" w:rsidR="00066A6C" w:rsidRDefault="00066A6C" w:rsidP="000A4AD3">
            <w:pPr>
              <w:pStyle w:val="Tabletext1"/>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tcPr>
          <w:p w14:paraId="4F244FD0" w14:textId="77777777" w:rsidR="00066A6C" w:rsidRDefault="00066A6C" w:rsidP="000A4AD3">
            <w:pPr>
              <w:pStyle w:val="Tabletext1"/>
            </w:pPr>
            <w:r>
              <w:t>Mean</w:t>
            </w:r>
            <w:r w:rsidRPr="00ED4955">
              <w:t>±</w:t>
            </w:r>
            <w:r>
              <w:t>SD</w:t>
            </w:r>
          </w:p>
          <w:p w14:paraId="60316638" w14:textId="77777777" w:rsidR="000826B4" w:rsidRDefault="00066A6C" w:rsidP="000A4AD3">
            <w:pPr>
              <w:pStyle w:val="Tabletext1"/>
            </w:pPr>
            <w:r>
              <w:t>DAC</w:t>
            </w:r>
            <w:r w:rsidR="001762ED">
              <w:t>+abs</w:t>
            </w:r>
            <w:r>
              <w:t xml:space="preserve">: </w:t>
            </w:r>
            <w:r w:rsidRPr="005C0BA3">
              <w:t>72.9 ± 12.9</w:t>
            </w:r>
            <w:r>
              <w:t xml:space="preserve">; </w:t>
            </w:r>
          </w:p>
          <w:p w14:paraId="3F16BA6D" w14:textId="3EDFE711" w:rsidR="00066A6C" w:rsidRDefault="001762ED" w:rsidP="000A4AD3">
            <w:pPr>
              <w:pStyle w:val="Tabletext1"/>
            </w:pPr>
            <w:r>
              <w:t>N</w:t>
            </w:r>
            <w:r w:rsidR="00066A6C">
              <w:t>o DAC</w:t>
            </w:r>
            <w:r>
              <w:t>+abs</w:t>
            </w:r>
            <w:r w:rsidR="00066A6C">
              <w:t xml:space="preserve">: </w:t>
            </w:r>
            <w:r w:rsidR="00066A6C" w:rsidRPr="005C0BA3">
              <w:t>57.6 ± 23.8</w:t>
            </w:r>
          </w:p>
        </w:tc>
        <w:tc>
          <w:tcPr>
            <w:tcW w:w="247" w:type="pct"/>
            <w:tcBorders>
              <w:top w:val="single" w:sz="4" w:space="0" w:color="auto"/>
              <w:left w:val="single" w:sz="4" w:space="0" w:color="auto"/>
              <w:bottom w:val="single" w:sz="4" w:space="0" w:color="auto"/>
              <w:right w:val="single" w:sz="4" w:space="0" w:color="auto"/>
            </w:tcBorders>
          </w:tcPr>
          <w:p w14:paraId="65FAB599" w14:textId="77777777" w:rsidR="00066A6C" w:rsidRPr="00E452CF" w:rsidRDefault="00066A6C" w:rsidP="000A4AD3">
            <w:pPr>
              <w:pStyle w:val="Tabletext1"/>
            </w:pPr>
            <w:r w:rsidRPr="00E452CF">
              <w:t>0.0687</w:t>
            </w:r>
          </w:p>
        </w:tc>
        <w:tc>
          <w:tcPr>
            <w:tcW w:w="526" w:type="pct"/>
            <w:tcBorders>
              <w:top w:val="single" w:sz="4" w:space="0" w:color="auto"/>
              <w:left w:val="single" w:sz="4" w:space="0" w:color="auto"/>
              <w:bottom w:val="single" w:sz="4" w:space="0" w:color="auto"/>
              <w:right w:val="single" w:sz="4" w:space="0" w:color="auto"/>
            </w:tcBorders>
          </w:tcPr>
          <w:p w14:paraId="5E158BCB" w14:textId="77777777" w:rsidR="00066A6C" w:rsidRDefault="00066A6C" w:rsidP="000A4AD3">
            <w:pPr>
              <w:pStyle w:val="Tabletext1"/>
            </w:pPr>
            <w:r>
              <w:t>NA</w:t>
            </w:r>
          </w:p>
        </w:tc>
        <w:tc>
          <w:tcPr>
            <w:tcW w:w="599" w:type="pct"/>
            <w:tcBorders>
              <w:top w:val="single" w:sz="4" w:space="0" w:color="auto"/>
              <w:left w:val="single" w:sz="4" w:space="0" w:color="auto"/>
              <w:bottom w:val="single" w:sz="4" w:space="0" w:color="auto"/>
              <w:right w:val="single" w:sz="4" w:space="0" w:color="auto"/>
            </w:tcBorders>
          </w:tcPr>
          <w:p w14:paraId="7BA0C315" w14:textId="77777777" w:rsidR="00066A6C" w:rsidRPr="00E452CF" w:rsidRDefault="00066A6C" w:rsidP="000A4AD3">
            <w:pPr>
              <w:pStyle w:val="Tabletext1"/>
            </w:pPr>
            <w:r w:rsidRPr="00ED4955">
              <w:t>Absolute difference (95% CI):</w:t>
            </w:r>
            <w:r>
              <w:t xml:space="preserve"> </w:t>
            </w:r>
            <w:r w:rsidRPr="00E452CF">
              <w:t>15.3 (1.9, 28.7)</w:t>
            </w:r>
          </w:p>
        </w:tc>
        <w:tc>
          <w:tcPr>
            <w:tcW w:w="580" w:type="pct"/>
            <w:tcBorders>
              <w:top w:val="single" w:sz="4" w:space="0" w:color="auto"/>
              <w:left w:val="single" w:sz="4" w:space="0" w:color="auto"/>
              <w:bottom w:val="single" w:sz="4" w:space="0" w:color="auto"/>
              <w:right w:val="single" w:sz="4" w:space="0" w:color="auto"/>
            </w:tcBorders>
          </w:tcPr>
          <w:p w14:paraId="616902C0" w14:textId="77777777" w:rsidR="00066A6C" w:rsidRPr="003143CF" w:rsidRDefault="00066A6C" w:rsidP="000A4AD3">
            <w:pPr>
              <w:pStyle w:val="Tabletext1"/>
            </w:pPr>
            <w:r>
              <w:t>NA</w:t>
            </w:r>
          </w:p>
        </w:tc>
      </w:tr>
      <w:tr w:rsidR="004F1EB1" w14:paraId="44A66535" w14:textId="77777777" w:rsidTr="00F871EC">
        <w:trPr>
          <w:gridAfter w:val="1"/>
          <w:wAfter w:w="8" w:type="pct"/>
          <w:trHeight w:val="560"/>
        </w:trPr>
        <w:tc>
          <w:tcPr>
            <w:tcW w:w="1029" w:type="pct"/>
            <w:tcBorders>
              <w:top w:val="single" w:sz="4" w:space="0" w:color="auto"/>
              <w:left w:val="single" w:sz="4" w:space="0" w:color="auto"/>
              <w:bottom w:val="single" w:sz="4" w:space="0" w:color="auto"/>
              <w:right w:val="single" w:sz="4" w:space="0" w:color="auto"/>
            </w:tcBorders>
          </w:tcPr>
          <w:p w14:paraId="2797BE38" w14:textId="77777777" w:rsidR="00066A6C" w:rsidRDefault="00066A6C" w:rsidP="000A4AD3">
            <w:pPr>
              <w:pStyle w:val="Tabletext1"/>
            </w:pPr>
            <w:r>
              <w:t>Deaths</w:t>
            </w:r>
          </w:p>
        </w:tc>
        <w:tc>
          <w:tcPr>
            <w:tcW w:w="592" w:type="pct"/>
            <w:vMerge/>
            <w:tcBorders>
              <w:top w:val="single" w:sz="4" w:space="0" w:color="auto"/>
              <w:left w:val="single" w:sz="4" w:space="0" w:color="auto"/>
              <w:bottom w:val="single" w:sz="4" w:space="0" w:color="auto"/>
              <w:right w:val="single" w:sz="4" w:space="0" w:color="auto"/>
            </w:tcBorders>
          </w:tcPr>
          <w:p w14:paraId="03692790" w14:textId="77777777" w:rsidR="00066A6C" w:rsidRDefault="00066A6C"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741F8225" w14:textId="77777777" w:rsidR="00066A6C" w:rsidRDefault="00066A6C" w:rsidP="000A4AD3">
            <w:pPr>
              <w:pStyle w:val="Tabletext1"/>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tcPr>
          <w:p w14:paraId="60014AF5" w14:textId="77777777" w:rsidR="000826B4" w:rsidRDefault="00066A6C" w:rsidP="000A4AD3">
            <w:pPr>
              <w:pStyle w:val="Tabletext1"/>
            </w:pPr>
            <w:r>
              <w:t>DAC</w:t>
            </w:r>
            <w:r w:rsidR="001762ED">
              <w:t>+abs</w:t>
            </w:r>
            <w:r>
              <w:t xml:space="preserve">: </w:t>
            </w:r>
            <w:r w:rsidRPr="001F59FD">
              <w:t>5.9</w:t>
            </w:r>
            <w:r>
              <w:t>%</w:t>
            </w:r>
            <w:r w:rsidRPr="001F59FD">
              <w:t xml:space="preserve"> (1</w:t>
            </w:r>
            <w:r>
              <w:t>/17</w:t>
            </w:r>
            <w:r w:rsidRPr="001F59FD">
              <w:t>)</w:t>
            </w:r>
            <w:r>
              <w:t xml:space="preserve">; </w:t>
            </w:r>
          </w:p>
          <w:p w14:paraId="77D0C68A" w14:textId="2EB03E95" w:rsidR="00066A6C" w:rsidRDefault="001762ED" w:rsidP="000A4AD3">
            <w:pPr>
              <w:pStyle w:val="Tabletext1"/>
            </w:pPr>
            <w:r>
              <w:t>N</w:t>
            </w:r>
            <w:r w:rsidR="00066A6C">
              <w:t>o DAC</w:t>
            </w:r>
            <w:r>
              <w:t>+abs</w:t>
            </w:r>
            <w:r w:rsidR="00066A6C">
              <w:t xml:space="preserve">: </w:t>
            </w:r>
            <w:r w:rsidR="00066A6C" w:rsidRPr="001F59FD">
              <w:t>23.5</w:t>
            </w:r>
            <w:r w:rsidR="00066A6C">
              <w:t>%</w:t>
            </w:r>
            <w:r w:rsidR="00066A6C" w:rsidRPr="001F59FD">
              <w:t xml:space="preserve"> (4</w:t>
            </w:r>
            <w:r w:rsidR="00066A6C">
              <w:t>/17</w:t>
            </w:r>
            <w:r w:rsidR="00066A6C" w:rsidRPr="001F59FD">
              <w:t>)</w:t>
            </w:r>
          </w:p>
        </w:tc>
        <w:tc>
          <w:tcPr>
            <w:tcW w:w="247" w:type="pct"/>
            <w:tcBorders>
              <w:top w:val="single" w:sz="4" w:space="0" w:color="auto"/>
              <w:left w:val="single" w:sz="4" w:space="0" w:color="auto"/>
              <w:bottom w:val="single" w:sz="4" w:space="0" w:color="auto"/>
              <w:right w:val="single" w:sz="4" w:space="0" w:color="auto"/>
            </w:tcBorders>
          </w:tcPr>
          <w:p w14:paraId="1F5D9B23" w14:textId="77777777" w:rsidR="00066A6C" w:rsidRPr="00E452CF" w:rsidRDefault="00066A6C" w:rsidP="000A4AD3">
            <w:pPr>
              <w:pStyle w:val="Tabletext1"/>
            </w:pPr>
            <w:r w:rsidRPr="00E452CF">
              <w:t>0.34</w:t>
            </w:r>
          </w:p>
        </w:tc>
        <w:tc>
          <w:tcPr>
            <w:tcW w:w="526" w:type="pct"/>
            <w:tcBorders>
              <w:top w:val="single" w:sz="4" w:space="0" w:color="auto"/>
              <w:left w:val="single" w:sz="4" w:space="0" w:color="auto"/>
              <w:bottom w:val="single" w:sz="4" w:space="0" w:color="auto"/>
              <w:right w:val="single" w:sz="4" w:space="0" w:color="auto"/>
            </w:tcBorders>
          </w:tcPr>
          <w:p w14:paraId="6515630E" w14:textId="77777777" w:rsidR="00066A6C" w:rsidRDefault="00066A6C" w:rsidP="000A4AD3">
            <w:pPr>
              <w:pStyle w:val="Tabletext1"/>
            </w:pPr>
            <w:r>
              <w:t>0.25 (0.03, 2.01), p= 0.193</w:t>
            </w:r>
          </w:p>
        </w:tc>
        <w:tc>
          <w:tcPr>
            <w:tcW w:w="599" w:type="pct"/>
            <w:tcBorders>
              <w:top w:val="single" w:sz="4" w:space="0" w:color="auto"/>
              <w:left w:val="single" w:sz="4" w:space="0" w:color="auto"/>
              <w:bottom w:val="single" w:sz="4" w:space="0" w:color="auto"/>
              <w:right w:val="single" w:sz="4" w:space="0" w:color="auto"/>
            </w:tcBorders>
          </w:tcPr>
          <w:p w14:paraId="00860C06" w14:textId="77777777" w:rsidR="00066A6C" w:rsidRPr="00E452CF" w:rsidRDefault="00066A6C" w:rsidP="000A4AD3">
            <w:pPr>
              <w:pStyle w:val="Tabletext1"/>
            </w:pPr>
            <w:r w:rsidRPr="00E452CF">
              <w:t>−17.6% (−40.7%, 5.4%)</w:t>
            </w:r>
          </w:p>
        </w:tc>
        <w:tc>
          <w:tcPr>
            <w:tcW w:w="580" w:type="pct"/>
            <w:tcBorders>
              <w:top w:val="single" w:sz="4" w:space="0" w:color="auto"/>
              <w:left w:val="single" w:sz="4" w:space="0" w:color="auto"/>
              <w:bottom w:val="single" w:sz="4" w:space="0" w:color="auto"/>
              <w:right w:val="single" w:sz="4" w:space="0" w:color="auto"/>
            </w:tcBorders>
          </w:tcPr>
          <w:p w14:paraId="3187DFED" w14:textId="05B4FB38" w:rsidR="00066A6C" w:rsidRPr="003143CF" w:rsidRDefault="00510E7D" w:rsidP="000A4AD3">
            <w:pPr>
              <w:pStyle w:val="Tabletext1"/>
            </w:pPr>
            <w:r>
              <w:t xml:space="preserve">6 (-19 to infinity to </w:t>
            </w:r>
            <w:r w:rsidR="007214CC">
              <w:t>2)</w:t>
            </w:r>
          </w:p>
        </w:tc>
      </w:tr>
      <w:tr w:rsidR="004F1EB1" w14:paraId="48693143" w14:textId="77777777" w:rsidTr="00F871EC">
        <w:trPr>
          <w:gridAfter w:val="1"/>
          <w:wAfter w:w="8" w:type="pct"/>
          <w:trHeight w:val="568"/>
        </w:trPr>
        <w:tc>
          <w:tcPr>
            <w:tcW w:w="1029" w:type="pct"/>
            <w:tcBorders>
              <w:top w:val="single" w:sz="4" w:space="0" w:color="auto"/>
              <w:left w:val="single" w:sz="4" w:space="0" w:color="auto"/>
              <w:bottom w:val="single" w:sz="4" w:space="0" w:color="auto"/>
              <w:right w:val="single" w:sz="4" w:space="0" w:color="auto"/>
            </w:tcBorders>
          </w:tcPr>
          <w:p w14:paraId="3E858CFD" w14:textId="77777777" w:rsidR="00066A6C" w:rsidRDefault="00066A6C" w:rsidP="000A4AD3">
            <w:pPr>
              <w:pStyle w:val="Tabletext1"/>
            </w:pPr>
            <w:r>
              <w:t>Total complications</w:t>
            </w:r>
          </w:p>
        </w:tc>
        <w:tc>
          <w:tcPr>
            <w:tcW w:w="592" w:type="pct"/>
            <w:vMerge/>
            <w:tcBorders>
              <w:top w:val="single" w:sz="4" w:space="0" w:color="auto"/>
              <w:left w:val="single" w:sz="4" w:space="0" w:color="auto"/>
              <w:bottom w:val="single" w:sz="4" w:space="0" w:color="auto"/>
              <w:right w:val="single" w:sz="4" w:space="0" w:color="auto"/>
            </w:tcBorders>
          </w:tcPr>
          <w:p w14:paraId="247EA944" w14:textId="77777777" w:rsidR="00066A6C" w:rsidRDefault="00066A6C"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2A306A00" w14:textId="77777777" w:rsidR="00066A6C" w:rsidRDefault="00066A6C" w:rsidP="000A4AD3">
            <w:pPr>
              <w:pStyle w:val="Tabletext1"/>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tcPr>
          <w:p w14:paraId="39497423" w14:textId="77777777" w:rsidR="000826B4" w:rsidRDefault="00066A6C" w:rsidP="000A4AD3">
            <w:pPr>
              <w:pStyle w:val="Tabletext1"/>
            </w:pPr>
            <w:r>
              <w:t>DAC</w:t>
            </w:r>
            <w:r w:rsidR="001762ED">
              <w:t>+abs</w:t>
            </w:r>
            <w:r>
              <w:t xml:space="preserve">: </w:t>
            </w:r>
            <w:r w:rsidRPr="002133E5">
              <w:t>17.6</w:t>
            </w:r>
            <w:r>
              <w:t xml:space="preserve">% </w:t>
            </w:r>
            <w:r w:rsidRPr="002133E5">
              <w:t>(3</w:t>
            </w:r>
            <w:r>
              <w:t>/17</w:t>
            </w:r>
            <w:r w:rsidRPr="002133E5">
              <w:t>)</w:t>
            </w:r>
            <w:r>
              <w:t xml:space="preserve">; </w:t>
            </w:r>
          </w:p>
          <w:p w14:paraId="1E5F42BE" w14:textId="3A5DB7F1" w:rsidR="00066A6C" w:rsidRDefault="001762ED" w:rsidP="000A4AD3">
            <w:pPr>
              <w:pStyle w:val="Tabletext1"/>
            </w:pPr>
            <w:r>
              <w:t>N</w:t>
            </w:r>
            <w:r w:rsidR="00066A6C">
              <w:t>o DAC</w:t>
            </w:r>
            <w:r>
              <w:t>+abs</w:t>
            </w:r>
            <w:r w:rsidR="00066A6C">
              <w:t xml:space="preserve">: </w:t>
            </w:r>
            <w:r w:rsidR="00066A6C" w:rsidRPr="002133E5">
              <w:t>4.7</w:t>
            </w:r>
            <w:r w:rsidR="00066A6C">
              <w:t>%</w:t>
            </w:r>
            <w:r w:rsidR="00066A6C" w:rsidRPr="002133E5">
              <w:t xml:space="preserve"> (11</w:t>
            </w:r>
            <w:r w:rsidR="00066A6C">
              <w:t>/17</w:t>
            </w:r>
            <w:r w:rsidR="00066A6C" w:rsidRPr="002133E5">
              <w:t>)</w:t>
            </w:r>
          </w:p>
        </w:tc>
        <w:tc>
          <w:tcPr>
            <w:tcW w:w="247" w:type="pct"/>
            <w:tcBorders>
              <w:top w:val="single" w:sz="4" w:space="0" w:color="auto"/>
              <w:left w:val="single" w:sz="4" w:space="0" w:color="auto"/>
              <w:bottom w:val="single" w:sz="4" w:space="0" w:color="auto"/>
              <w:right w:val="single" w:sz="4" w:space="0" w:color="auto"/>
            </w:tcBorders>
          </w:tcPr>
          <w:p w14:paraId="4790241A" w14:textId="77777777" w:rsidR="00066A6C" w:rsidRPr="00E452CF" w:rsidRDefault="00066A6C" w:rsidP="000A4AD3">
            <w:pPr>
              <w:pStyle w:val="Tabletext1"/>
            </w:pPr>
            <w:r w:rsidRPr="00E452CF">
              <w:t>0.0134</w:t>
            </w:r>
          </w:p>
        </w:tc>
        <w:tc>
          <w:tcPr>
            <w:tcW w:w="526" w:type="pct"/>
            <w:tcBorders>
              <w:top w:val="single" w:sz="4" w:space="0" w:color="auto"/>
              <w:left w:val="single" w:sz="4" w:space="0" w:color="auto"/>
              <w:bottom w:val="single" w:sz="4" w:space="0" w:color="auto"/>
              <w:right w:val="single" w:sz="4" w:space="0" w:color="auto"/>
            </w:tcBorders>
          </w:tcPr>
          <w:p w14:paraId="7FC5D24F" w14:textId="77777777" w:rsidR="00066A6C" w:rsidRDefault="00066A6C" w:rsidP="000A4AD3">
            <w:pPr>
              <w:pStyle w:val="Tabletext1"/>
            </w:pPr>
            <w:r w:rsidRPr="002133E5">
              <w:t>0.08 (0.0047, 1.27)</w:t>
            </w:r>
            <w:r>
              <w:t xml:space="preserve">; p= </w:t>
            </w:r>
            <w:r w:rsidRPr="00E452CF">
              <w:t>0.0727</w:t>
            </w:r>
          </w:p>
        </w:tc>
        <w:tc>
          <w:tcPr>
            <w:tcW w:w="599" w:type="pct"/>
            <w:tcBorders>
              <w:top w:val="single" w:sz="4" w:space="0" w:color="auto"/>
              <w:left w:val="single" w:sz="4" w:space="0" w:color="auto"/>
              <w:bottom w:val="single" w:sz="4" w:space="0" w:color="auto"/>
              <w:right w:val="single" w:sz="4" w:space="0" w:color="auto"/>
            </w:tcBorders>
          </w:tcPr>
          <w:p w14:paraId="63220ADF" w14:textId="77777777" w:rsidR="00066A6C" w:rsidRPr="005D732D" w:rsidRDefault="00066A6C" w:rsidP="000A4AD3">
            <w:pPr>
              <w:pStyle w:val="Tabletext1"/>
            </w:pPr>
            <w:r w:rsidRPr="002133E5">
              <w:t>−35.3 (−58.0, −12.6)</w:t>
            </w:r>
          </w:p>
        </w:tc>
        <w:tc>
          <w:tcPr>
            <w:tcW w:w="580" w:type="pct"/>
            <w:tcBorders>
              <w:top w:val="single" w:sz="4" w:space="0" w:color="auto"/>
              <w:left w:val="single" w:sz="4" w:space="0" w:color="auto"/>
              <w:bottom w:val="single" w:sz="4" w:space="0" w:color="auto"/>
              <w:right w:val="single" w:sz="4" w:space="0" w:color="auto"/>
            </w:tcBorders>
          </w:tcPr>
          <w:p w14:paraId="2C07F5B0" w14:textId="1BD4E73C" w:rsidR="00066A6C" w:rsidRDefault="00C3574F" w:rsidP="000A4AD3">
            <w:pPr>
              <w:pStyle w:val="Tabletext1"/>
            </w:pPr>
            <w:r>
              <w:t>2 (1, 6)</w:t>
            </w:r>
          </w:p>
        </w:tc>
      </w:tr>
      <w:tr w:rsidR="004F1EB1" w14:paraId="48D38FD2"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7169CAD9" w14:textId="52D01A31" w:rsidR="001F3859" w:rsidRDefault="00066A6C" w:rsidP="000A4AD3">
            <w:pPr>
              <w:pStyle w:val="Tabletext1"/>
            </w:pPr>
            <w:r>
              <w:t>PJI</w:t>
            </w:r>
          </w:p>
          <w:p w14:paraId="69631601" w14:textId="59AD88E6" w:rsidR="00066A6C" w:rsidRDefault="00066A6C" w:rsidP="000A4AD3">
            <w:pPr>
              <w:pStyle w:val="Tabletext1"/>
            </w:pPr>
            <w:r>
              <w:t>24.3 ± 11.7 months treatment group, 24.2 ± 11.5 months control group [megaprosthesis]</w:t>
            </w:r>
          </w:p>
        </w:tc>
        <w:tc>
          <w:tcPr>
            <w:tcW w:w="592" w:type="pct"/>
            <w:vMerge w:val="restart"/>
            <w:tcBorders>
              <w:top w:val="single" w:sz="4" w:space="0" w:color="auto"/>
              <w:left w:val="single" w:sz="4" w:space="0" w:color="auto"/>
              <w:bottom w:val="single" w:sz="4" w:space="0" w:color="auto"/>
              <w:right w:val="single" w:sz="4" w:space="0" w:color="auto"/>
            </w:tcBorders>
            <w:hideMark/>
          </w:tcPr>
          <w:p w14:paraId="19500FBD" w14:textId="77777777" w:rsidR="00066A6C" w:rsidRDefault="00066A6C" w:rsidP="000A4AD3">
            <w:pPr>
              <w:pStyle w:val="Tabletext1"/>
            </w:pPr>
            <w:r>
              <w:t>86</w:t>
            </w:r>
          </w:p>
          <w:p w14:paraId="2F78844D" w14:textId="77777777" w:rsidR="00066A6C" w:rsidRDefault="00066A6C" w:rsidP="000A4AD3">
            <w:pPr>
              <w:pStyle w:val="Tabletext1"/>
            </w:pPr>
            <w:r>
              <w:t>(1 case-control study, Zoccali 2021)</w:t>
            </w:r>
          </w:p>
        </w:tc>
        <w:tc>
          <w:tcPr>
            <w:tcW w:w="617" w:type="pct"/>
            <w:tcBorders>
              <w:top w:val="single" w:sz="4" w:space="0" w:color="auto"/>
              <w:left w:val="single" w:sz="4" w:space="0" w:color="auto"/>
              <w:bottom w:val="single" w:sz="4" w:space="0" w:color="auto"/>
              <w:right w:val="single" w:sz="4" w:space="0" w:color="auto"/>
            </w:tcBorders>
            <w:hideMark/>
          </w:tcPr>
          <w:p w14:paraId="3D78521E" w14:textId="7D3EB6F8" w:rsidR="00066A6C" w:rsidRDefault="00066A6C" w:rsidP="000A4AD3">
            <w:pPr>
              <w:pStyle w:val="Tabletext1"/>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hideMark/>
          </w:tcPr>
          <w:p w14:paraId="26FD3927" w14:textId="77777777" w:rsidR="001762ED" w:rsidRDefault="00066A6C" w:rsidP="000A4AD3">
            <w:pPr>
              <w:pStyle w:val="Tabletext1"/>
            </w:pPr>
            <w:r>
              <w:t>DAC</w:t>
            </w:r>
            <w:r w:rsidR="001762ED">
              <w:t>+abs</w:t>
            </w:r>
            <w:r>
              <w:t xml:space="preserve">: 0% (0/43); </w:t>
            </w:r>
          </w:p>
          <w:p w14:paraId="4BF32210" w14:textId="14899ABA" w:rsidR="00066A6C" w:rsidRDefault="001762ED" w:rsidP="000A4AD3">
            <w:pPr>
              <w:pStyle w:val="Tabletext1"/>
            </w:pPr>
            <w:r>
              <w:t>N</w:t>
            </w:r>
            <w:r w:rsidR="00066A6C">
              <w:t>o DAC</w:t>
            </w:r>
            <w:r>
              <w:t>+abs</w:t>
            </w:r>
            <w:r w:rsidR="00066A6C">
              <w:t xml:space="preserve">: 13.90% (6/43) </w:t>
            </w:r>
          </w:p>
        </w:tc>
        <w:tc>
          <w:tcPr>
            <w:tcW w:w="247" w:type="pct"/>
            <w:tcBorders>
              <w:top w:val="single" w:sz="4" w:space="0" w:color="auto"/>
              <w:left w:val="single" w:sz="4" w:space="0" w:color="auto"/>
              <w:bottom w:val="single" w:sz="4" w:space="0" w:color="auto"/>
              <w:right w:val="single" w:sz="4" w:space="0" w:color="auto"/>
            </w:tcBorders>
            <w:hideMark/>
          </w:tcPr>
          <w:p w14:paraId="496E9F7F" w14:textId="77777777" w:rsidR="00066A6C" w:rsidRDefault="00066A6C" w:rsidP="000A4AD3">
            <w:pPr>
              <w:pStyle w:val="Tabletext1"/>
            </w:pPr>
            <w:r>
              <w:t>0.026</w:t>
            </w:r>
          </w:p>
        </w:tc>
        <w:tc>
          <w:tcPr>
            <w:tcW w:w="526" w:type="pct"/>
            <w:tcBorders>
              <w:top w:val="single" w:sz="4" w:space="0" w:color="auto"/>
              <w:left w:val="single" w:sz="4" w:space="0" w:color="auto"/>
              <w:bottom w:val="single" w:sz="4" w:space="0" w:color="auto"/>
              <w:right w:val="single" w:sz="4" w:space="0" w:color="auto"/>
            </w:tcBorders>
            <w:hideMark/>
          </w:tcPr>
          <w:p w14:paraId="33E9A341" w14:textId="69FE4D77" w:rsidR="00066A6C" w:rsidRDefault="00066A6C" w:rsidP="000A4AD3">
            <w:pPr>
              <w:pStyle w:val="Tabletext1"/>
            </w:pPr>
            <w:r>
              <w:t>0.08 (0.0045, 1.32); p= 0.077</w:t>
            </w:r>
          </w:p>
        </w:tc>
        <w:tc>
          <w:tcPr>
            <w:tcW w:w="599" w:type="pct"/>
            <w:tcBorders>
              <w:top w:val="single" w:sz="4" w:space="0" w:color="auto"/>
              <w:left w:val="single" w:sz="4" w:space="0" w:color="auto"/>
              <w:bottom w:val="single" w:sz="4" w:space="0" w:color="auto"/>
              <w:right w:val="single" w:sz="4" w:space="0" w:color="auto"/>
            </w:tcBorders>
            <w:hideMark/>
          </w:tcPr>
          <w:p w14:paraId="2528BF78" w14:textId="5BEEB45B" w:rsidR="00066A6C" w:rsidRDefault="00066A6C" w:rsidP="000A4AD3">
            <w:pPr>
              <w:pStyle w:val="Tabletext1"/>
            </w:pPr>
            <w:r>
              <w:t>-13.90% (-24.32%, -3.60%)</w:t>
            </w:r>
          </w:p>
        </w:tc>
        <w:tc>
          <w:tcPr>
            <w:tcW w:w="580" w:type="pct"/>
            <w:tcBorders>
              <w:top w:val="single" w:sz="4" w:space="0" w:color="auto"/>
              <w:left w:val="single" w:sz="4" w:space="0" w:color="auto"/>
              <w:bottom w:val="single" w:sz="4" w:space="0" w:color="auto"/>
              <w:right w:val="single" w:sz="4" w:space="0" w:color="auto"/>
            </w:tcBorders>
          </w:tcPr>
          <w:p w14:paraId="274623AE" w14:textId="44A0E971" w:rsidR="00066A6C" w:rsidRPr="003143CF" w:rsidRDefault="00066A6C" w:rsidP="000A4AD3">
            <w:pPr>
              <w:pStyle w:val="Tabletext1"/>
            </w:pPr>
            <w:r>
              <w:t xml:space="preserve">7 (4, </w:t>
            </w:r>
            <w:r w:rsidR="00C3574F">
              <w:t>3</w:t>
            </w:r>
            <w:r>
              <w:t>7)</w:t>
            </w:r>
          </w:p>
        </w:tc>
      </w:tr>
      <w:tr w:rsidR="004F1EB1" w14:paraId="1BFD3DD6"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77413B4F" w14:textId="77777777" w:rsidR="00066A6C" w:rsidRDefault="00066A6C" w:rsidP="000A4AD3">
            <w:pPr>
              <w:pStyle w:val="Tabletext1"/>
            </w:pPr>
            <w:r>
              <w:t>Deaths</w:t>
            </w:r>
          </w:p>
        </w:tc>
        <w:tc>
          <w:tcPr>
            <w:tcW w:w="592" w:type="pct"/>
            <w:vMerge/>
            <w:tcBorders>
              <w:top w:val="single" w:sz="4" w:space="0" w:color="auto"/>
              <w:left w:val="single" w:sz="4" w:space="0" w:color="auto"/>
              <w:bottom w:val="single" w:sz="4" w:space="0" w:color="auto"/>
              <w:right w:val="single" w:sz="4" w:space="0" w:color="auto"/>
            </w:tcBorders>
          </w:tcPr>
          <w:p w14:paraId="1C8D459B" w14:textId="77777777" w:rsidR="00066A6C" w:rsidRDefault="00066A6C"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72B4012E" w14:textId="1C2376D2" w:rsidR="00066A6C" w:rsidRDefault="00210315" w:rsidP="000A4AD3">
            <w:pPr>
              <w:pStyle w:val="Tabletext1"/>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tcPr>
          <w:p w14:paraId="6BAA81CA" w14:textId="77777777" w:rsidR="000826B4" w:rsidRDefault="00066A6C" w:rsidP="000A4AD3">
            <w:pPr>
              <w:pStyle w:val="Tabletext1"/>
            </w:pPr>
            <w:r>
              <w:t>DAC</w:t>
            </w:r>
            <w:r w:rsidR="001762ED">
              <w:t>+abs</w:t>
            </w:r>
            <w:r>
              <w:t xml:space="preserve">: 2.33% (1/43); </w:t>
            </w:r>
          </w:p>
          <w:p w14:paraId="7E9E328D" w14:textId="7E018BA3" w:rsidR="00066A6C" w:rsidRDefault="001762ED" w:rsidP="000A4AD3">
            <w:pPr>
              <w:pStyle w:val="Tabletext1"/>
            </w:pPr>
            <w:r>
              <w:t>N</w:t>
            </w:r>
            <w:r w:rsidR="00066A6C">
              <w:t>o DAC</w:t>
            </w:r>
            <w:r>
              <w:t>+abs</w:t>
            </w:r>
            <w:r w:rsidR="00066A6C">
              <w:t>: 4.65% (2/43)</w:t>
            </w:r>
          </w:p>
        </w:tc>
        <w:tc>
          <w:tcPr>
            <w:tcW w:w="247" w:type="pct"/>
            <w:tcBorders>
              <w:top w:val="single" w:sz="4" w:space="0" w:color="auto"/>
              <w:left w:val="single" w:sz="4" w:space="0" w:color="auto"/>
              <w:bottom w:val="single" w:sz="4" w:space="0" w:color="auto"/>
              <w:right w:val="single" w:sz="4" w:space="0" w:color="auto"/>
            </w:tcBorders>
          </w:tcPr>
          <w:p w14:paraId="16063A58" w14:textId="77777777" w:rsidR="00066A6C" w:rsidRDefault="00066A6C" w:rsidP="000A4AD3">
            <w:pPr>
              <w:pStyle w:val="Tabletext1"/>
            </w:pPr>
          </w:p>
        </w:tc>
        <w:tc>
          <w:tcPr>
            <w:tcW w:w="526" w:type="pct"/>
            <w:tcBorders>
              <w:top w:val="single" w:sz="4" w:space="0" w:color="auto"/>
              <w:left w:val="single" w:sz="4" w:space="0" w:color="auto"/>
              <w:bottom w:val="single" w:sz="4" w:space="0" w:color="auto"/>
              <w:right w:val="single" w:sz="4" w:space="0" w:color="auto"/>
            </w:tcBorders>
          </w:tcPr>
          <w:p w14:paraId="07F903D6" w14:textId="77777777" w:rsidR="00066A6C" w:rsidRDefault="00066A6C" w:rsidP="000A4AD3">
            <w:pPr>
              <w:pStyle w:val="Tabletext1"/>
            </w:pPr>
            <w:r>
              <w:t>0.50 (0.047, 5.30), p= 0.565</w:t>
            </w:r>
          </w:p>
        </w:tc>
        <w:tc>
          <w:tcPr>
            <w:tcW w:w="599" w:type="pct"/>
            <w:tcBorders>
              <w:top w:val="single" w:sz="4" w:space="0" w:color="auto"/>
              <w:left w:val="single" w:sz="4" w:space="0" w:color="auto"/>
              <w:bottom w:val="single" w:sz="4" w:space="0" w:color="auto"/>
              <w:right w:val="single" w:sz="4" w:space="0" w:color="auto"/>
            </w:tcBorders>
          </w:tcPr>
          <w:p w14:paraId="7714CF41" w14:textId="77777777" w:rsidR="00066A6C" w:rsidRPr="00E452CF" w:rsidRDefault="00066A6C" w:rsidP="000A4AD3">
            <w:pPr>
              <w:pStyle w:val="Tabletext1"/>
            </w:pPr>
            <w:r w:rsidRPr="00E452CF">
              <w:t>-2.33% (-5.41%, 10.07%)</w:t>
            </w:r>
          </w:p>
        </w:tc>
        <w:tc>
          <w:tcPr>
            <w:tcW w:w="580" w:type="pct"/>
            <w:tcBorders>
              <w:top w:val="single" w:sz="4" w:space="0" w:color="auto"/>
              <w:left w:val="single" w:sz="4" w:space="0" w:color="auto"/>
              <w:bottom w:val="single" w:sz="4" w:space="0" w:color="auto"/>
              <w:right w:val="single" w:sz="4" w:space="0" w:color="auto"/>
            </w:tcBorders>
          </w:tcPr>
          <w:p w14:paraId="745FD863" w14:textId="0F366081" w:rsidR="00066A6C" w:rsidRDefault="007A519C" w:rsidP="000A4AD3">
            <w:pPr>
              <w:pStyle w:val="Tabletext1"/>
            </w:pPr>
            <w:r>
              <w:t>43 (-18 to</w:t>
            </w:r>
            <w:r w:rsidR="00C3574F">
              <w:t xml:space="preserve"> infinity</w:t>
            </w:r>
            <w:r w:rsidR="00C3574F" w:rsidRPr="00C3574F">
              <w:rPr>
                <w:vertAlign w:val="superscript"/>
              </w:rPr>
              <w:t>c</w:t>
            </w:r>
            <w:r w:rsidR="00C3574F">
              <w:t xml:space="preserve"> to</w:t>
            </w:r>
            <w:r>
              <w:t xml:space="preserve"> 10)</w:t>
            </w:r>
          </w:p>
        </w:tc>
      </w:tr>
      <w:tr w:rsidR="00066A6C" w14:paraId="138E5F58" w14:textId="77777777" w:rsidTr="00A32CC1">
        <w:tc>
          <w:tcPr>
            <w:tcW w:w="5000" w:type="pct"/>
            <w:gridSpan w:val="9"/>
            <w:tcBorders>
              <w:top w:val="single" w:sz="4" w:space="0" w:color="auto"/>
              <w:left w:val="single" w:sz="4" w:space="0" w:color="auto"/>
              <w:bottom w:val="single" w:sz="4" w:space="0" w:color="auto"/>
              <w:right w:val="single" w:sz="4" w:space="0" w:color="auto"/>
            </w:tcBorders>
            <w:hideMark/>
          </w:tcPr>
          <w:p w14:paraId="5D39F58F" w14:textId="77777777" w:rsidR="00066A6C" w:rsidRDefault="00066A6C" w:rsidP="000A4AD3">
            <w:pPr>
              <w:pStyle w:val="Tabletext1"/>
            </w:pPr>
            <w:r>
              <w:t>Population 3</w:t>
            </w:r>
          </w:p>
        </w:tc>
      </w:tr>
      <w:tr w:rsidR="004F1EB1" w14:paraId="3D5EEEB4"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57EC7820" w14:textId="4C6845D3" w:rsidR="00066A6C" w:rsidRDefault="00066A6C" w:rsidP="000A4AD3">
            <w:pPr>
              <w:pStyle w:val="Tabletext1"/>
            </w:pPr>
            <w:r>
              <w:lastRenderedPageBreak/>
              <w:t>SSI</w:t>
            </w:r>
          </w:p>
          <w:p w14:paraId="25C95691" w14:textId="77777777" w:rsidR="00066A6C" w:rsidRDefault="00066A6C" w:rsidP="000A4AD3">
            <w:pPr>
              <w:pStyle w:val="Tabletext1"/>
            </w:pPr>
            <w:r>
              <w:t>Mean±SD follow-up</w:t>
            </w:r>
            <w:r>
              <w:rPr>
                <w:vertAlign w:val="superscript"/>
              </w:rPr>
              <w:t>a</w:t>
            </w:r>
            <w:r>
              <w:t xml:space="preserve"> of 14.5 ± 5.5 months (range 6 to 24 months)</w:t>
            </w:r>
          </w:p>
        </w:tc>
        <w:tc>
          <w:tcPr>
            <w:tcW w:w="592" w:type="pct"/>
            <w:tcBorders>
              <w:top w:val="single" w:sz="4" w:space="0" w:color="auto"/>
              <w:left w:val="single" w:sz="4" w:space="0" w:color="auto"/>
              <w:bottom w:val="single" w:sz="4" w:space="0" w:color="auto"/>
              <w:right w:val="single" w:sz="4" w:space="0" w:color="auto"/>
            </w:tcBorders>
            <w:hideMark/>
          </w:tcPr>
          <w:p w14:paraId="380AC494" w14:textId="77777777" w:rsidR="00066A6C" w:rsidRDefault="00066A6C" w:rsidP="000A4AD3">
            <w:pPr>
              <w:pStyle w:val="Tabletext1"/>
            </w:pPr>
            <w:r>
              <w:t>106</w:t>
            </w:r>
          </w:p>
          <w:p w14:paraId="10243BAF" w14:textId="0BA52327" w:rsidR="00066A6C" w:rsidRDefault="00066A6C" w:rsidP="000A4AD3">
            <w:pPr>
              <w:pStyle w:val="Tabletext1"/>
            </w:pPr>
            <w:r>
              <w:t xml:space="preserve">(1 RCT, </w:t>
            </w:r>
            <w:r w:rsidR="00E416E6">
              <w:t>subgroup analysis of revision joint replacement surgery with or without DAC+antibiotics,</w:t>
            </w:r>
            <w:r w:rsidR="00F871EC">
              <w:t xml:space="preserve"> </w:t>
            </w:r>
            <w:r>
              <w:t>Romanò 2016)</w:t>
            </w:r>
          </w:p>
        </w:tc>
        <w:tc>
          <w:tcPr>
            <w:tcW w:w="617" w:type="pct"/>
            <w:tcBorders>
              <w:top w:val="single" w:sz="4" w:space="0" w:color="auto"/>
              <w:left w:val="single" w:sz="4" w:space="0" w:color="auto"/>
              <w:bottom w:val="single" w:sz="4" w:space="0" w:color="auto"/>
              <w:right w:val="single" w:sz="4" w:space="0" w:color="auto"/>
            </w:tcBorders>
            <w:hideMark/>
          </w:tcPr>
          <w:p w14:paraId="59125ADA" w14:textId="1AD5A314" w:rsidR="00066A6C" w:rsidRDefault="00066A6C"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hideMark/>
          </w:tcPr>
          <w:p w14:paraId="30343277" w14:textId="456C5CB0" w:rsidR="00066A6C" w:rsidRDefault="00066A6C" w:rsidP="000A4AD3">
            <w:pPr>
              <w:pStyle w:val="Tabletext1"/>
            </w:pPr>
            <w:r>
              <w:t>DAC</w:t>
            </w:r>
            <w:r w:rsidR="001762ED">
              <w:t>+abs</w:t>
            </w:r>
            <w:r>
              <w:t>: 0.00% (0/54)</w:t>
            </w:r>
          </w:p>
          <w:p w14:paraId="5D80CDD4" w14:textId="62A8FF5B" w:rsidR="00066A6C" w:rsidRDefault="00066A6C" w:rsidP="000A4AD3">
            <w:pPr>
              <w:pStyle w:val="Tabletext1"/>
              <w:rPr>
                <w:b/>
                <w:bCs/>
              </w:rPr>
            </w:pPr>
            <w:r>
              <w:t>No DAC</w:t>
            </w:r>
            <w:r w:rsidR="001762ED">
              <w:t>+abs</w:t>
            </w:r>
            <w:r>
              <w:t>: 13.4% (7/52)</w:t>
            </w:r>
          </w:p>
        </w:tc>
        <w:tc>
          <w:tcPr>
            <w:tcW w:w="247" w:type="pct"/>
            <w:tcBorders>
              <w:top w:val="single" w:sz="4" w:space="0" w:color="auto"/>
              <w:left w:val="single" w:sz="4" w:space="0" w:color="auto"/>
              <w:bottom w:val="single" w:sz="4" w:space="0" w:color="auto"/>
              <w:right w:val="single" w:sz="4" w:space="0" w:color="auto"/>
            </w:tcBorders>
            <w:hideMark/>
          </w:tcPr>
          <w:p w14:paraId="31652C9C" w14:textId="77777777" w:rsidR="00066A6C" w:rsidRDefault="00066A6C" w:rsidP="000A4AD3">
            <w:pPr>
              <w:pStyle w:val="Tabletext1"/>
            </w:pPr>
            <w:r>
              <w:t>0.006</w:t>
            </w:r>
          </w:p>
        </w:tc>
        <w:tc>
          <w:tcPr>
            <w:tcW w:w="526" w:type="pct"/>
            <w:tcBorders>
              <w:top w:val="single" w:sz="4" w:space="0" w:color="auto"/>
              <w:left w:val="single" w:sz="4" w:space="0" w:color="auto"/>
              <w:bottom w:val="single" w:sz="4" w:space="0" w:color="auto"/>
              <w:right w:val="single" w:sz="4" w:space="0" w:color="auto"/>
            </w:tcBorders>
            <w:hideMark/>
          </w:tcPr>
          <w:p w14:paraId="116D3A69" w14:textId="10DDF549" w:rsidR="00066A6C" w:rsidRDefault="00066A6C" w:rsidP="000A4AD3">
            <w:pPr>
              <w:pStyle w:val="Tabletext1"/>
            </w:pPr>
            <w:r>
              <w:t>0.064 (0.004, 1.097); p= 0.058</w:t>
            </w:r>
          </w:p>
        </w:tc>
        <w:tc>
          <w:tcPr>
            <w:tcW w:w="599" w:type="pct"/>
            <w:tcBorders>
              <w:top w:val="single" w:sz="4" w:space="0" w:color="auto"/>
              <w:left w:val="single" w:sz="4" w:space="0" w:color="auto"/>
              <w:bottom w:val="single" w:sz="4" w:space="0" w:color="auto"/>
              <w:right w:val="single" w:sz="4" w:space="0" w:color="auto"/>
            </w:tcBorders>
            <w:hideMark/>
          </w:tcPr>
          <w:p w14:paraId="26668A8A" w14:textId="2E179BC8" w:rsidR="00066A6C" w:rsidRDefault="00066A6C" w:rsidP="000A4AD3">
            <w:pPr>
              <w:pStyle w:val="Tabletext1"/>
            </w:pPr>
            <w:r>
              <w:t>-13.4% (-22.70%, -4.20%)</w:t>
            </w:r>
          </w:p>
        </w:tc>
        <w:tc>
          <w:tcPr>
            <w:tcW w:w="580" w:type="pct"/>
            <w:tcBorders>
              <w:top w:val="single" w:sz="4" w:space="0" w:color="auto"/>
              <w:left w:val="single" w:sz="4" w:space="0" w:color="auto"/>
              <w:bottom w:val="single" w:sz="4" w:space="0" w:color="auto"/>
              <w:right w:val="single" w:sz="4" w:space="0" w:color="auto"/>
            </w:tcBorders>
          </w:tcPr>
          <w:p w14:paraId="46DD930B" w14:textId="16482A5B" w:rsidR="00066A6C" w:rsidRPr="003143CF" w:rsidRDefault="00C3574F" w:rsidP="000A4AD3">
            <w:pPr>
              <w:pStyle w:val="Tabletext1"/>
            </w:pPr>
            <w:r>
              <w:t xml:space="preserve">8 </w:t>
            </w:r>
            <w:r w:rsidR="00066A6C">
              <w:t>(4, 2</w:t>
            </w:r>
            <w:r>
              <w:t>8</w:t>
            </w:r>
            <w:r w:rsidR="00066A6C">
              <w:t>)</w:t>
            </w:r>
          </w:p>
        </w:tc>
      </w:tr>
      <w:tr w:rsidR="004F1EB1" w14:paraId="46D1FC8C" w14:textId="77777777" w:rsidTr="00F871EC">
        <w:trPr>
          <w:gridAfter w:val="1"/>
          <w:wAfter w:w="8" w:type="pct"/>
          <w:trHeight w:val="522"/>
        </w:trPr>
        <w:tc>
          <w:tcPr>
            <w:tcW w:w="1029" w:type="pct"/>
            <w:tcBorders>
              <w:top w:val="single" w:sz="4" w:space="0" w:color="auto"/>
              <w:left w:val="single" w:sz="4" w:space="0" w:color="auto"/>
              <w:bottom w:val="single" w:sz="4" w:space="0" w:color="auto"/>
              <w:right w:val="single" w:sz="4" w:space="0" w:color="auto"/>
            </w:tcBorders>
            <w:hideMark/>
          </w:tcPr>
          <w:p w14:paraId="7DF843D5" w14:textId="574B866B" w:rsidR="00066A6C" w:rsidRDefault="00066A6C" w:rsidP="000A4AD3">
            <w:pPr>
              <w:pStyle w:val="Tabletext1"/>
            </w:pPr>
            <w:r>
              <w:t>Recurrence of PJI ()</w:t>
            </w:r>
          </w:p>
        </w:tc>
        <w:tc>
          <w:tcPr>
            <w:tcW w:w="592" w:type="pct"/>
            <w:vMerge w:val="restart"/>
            <w:tcBorders>
              <w:top w:val="single" w:sz="4" w:space="0" w:color="auto"/>
              <w:left w:val="single" w:sz="4" w:space="0" w:color="auto"/>
              <w:right w:val="single" w:sz="4" w:space="0" w:color="auto"/>
            </w:tcBorders>
            <w:hideMark/>
          </w:tcPr>
          <w:p w14:paraId="384F376B" w14:textId="77777777" w:rsidR="00066A6C" w:rsidRDefault="00066A6C" w:rsidP="000A4AD3">
            <w:pPr>
              <w:pStyle w:val="Tabletext1"/>
            </w:pPr>
            <w:r>
              <w:t>44</w:t>
            </w:r>
          </w:p>
          <w:p w14:paraId="2D503864" w14:textId="77777777" w:rsidR="00EB721D" w:rsidRDefault="00066A6C" w:rsidP="000A4AD3">
            <w:pPr>
              <w:pStyle w:val="Tabletext1"/>
            </w:pPr>
            <w:r>
              <w:t xml:space="preserve">(1 case-control study, </w:t>
            </w:r>
          </w:p>
          <w:p w14:paraId="68055A83" w14:textId="77777777" w:rsidR="00EB721D" w:rsidRDefault="00EB721D" w:rsidP="000A4AD3">
            <w:pPr>
              <w:pStyle w:val="Tabletext1"/>
            </w:pPr>
            <w:r>
              <w:t xml:space="preserve">one-stage-DAC+antibiotics </w:t>
            </w:r>
          </w:p>
          <w:p w14:paraId="68924E93" w14:textId="77777777" w:rsidR="00EB721D" w:rsidRDefault="00EB721D" w:rsidP="000A4AD3">
            <w:pPr>
              <w:pStyle w:val="Tabletext1"/>
            </w:pPr>
            <w:r>
              <w:t>vs</w:t>
            </w:r>
          </w:p>
          <w:p w14:paraId="520DD338" w14:textId="470F5FED" w:rsidR="00066A6C" w:rsidRDefault="00EB721D" w:rsidP="000A4AD3">
            <w:pPr>
              <w:pStyle w:val="Tabletext1"/>
            </w:pPr>
            <w:r w:rsidRPr="00EB721D">
              <w:t>two-stage-no</w:t>
            </w:r>
            <w:r>
              <w:t xml:space="preserve"> </w:t>
            </w:r>
          </w:p>
        </w:tc>
        <w:tc>
          <w:tcPr>
            <w:tcW w:w="617" w:type="pct"/>
            <w:tcBorders>
              <w:top w:val="single" w:sz="4" w:space="0" w:color="auto"/>
              <w:left w:val="single" w:sz="4" w:space="0" w:color="auto"/>
              <w:bottom w:val="single" w:sz="4" w:space="0" w:color="auto"/>
              <w:right w:val="single" w:sz="4" w:space="0" w:color="auto"/>
            </w:tcBorders>
            <w:vAlign w:val="center"/>
            <w:hideMark/>
          </w:tcPr>
          <w:p w14:paraId="3CEEE3D8" w14:textId="1D1D217F" w:rsidR="00066A6C" w:rsidRPr="000A4AD3" w:rsidRDefault="00066A6C" w:rsidP="000A4AD3">
            <w:pPr>
              <w:rPr>
                <w:color w:val="00B050"/>
                <w:sz w:val="20"/>
                <w:szCs w:val="20"/>
              </w:rPr>
            </w:pPr>
            <w:r w:rsidRPr="000A4AD3">
              <w:rPr>
                <w:rFonts w:ascii="Cambria Math" w:hAnsi="Cambria Math" w:cs="Cambria Math"/>
                <w:color w:val="00B050"/>
                <w:sz w:val="20"/>
                <w:szCs w:val="20"/>
              </w:rPr>
              <w:t>⨁</w:t>
            </w:r>
            <w:r w:rsidRPr="000A4AD3">
              <w:rPr>
                <w:rFonts w:ascii="Cambria Math" w:hAnsi="Cambria Math" w:cs="Cambria Math"/>
                <w:color w:val="FF0000"/>
                <w:sz w:val="20"/>
                <w:szCs w:val="20"/>
              </w:rPr>
              <w:t>⨀⨀⨀</w:t>
            </w:r>
          </w:p>
        </w:tc>
        <w:tc>
          <w:tcPr>
            <w:tcW w:w="802" w:type="pct"/>
            <w:tcBorders>
              <w:top w:val="single" w:sz="4" w:space="0" w:color="auto"/>
              <w:left w:val="single" w:sz="4" w:space="0" w:color="auto"/>
              <w:bottom w:val="single" w:sz="4" w:space="0" w:color="auto"/>
              <w:right w:val="single" w:sz="4" w:space="0" w:color="auto"/>
            </w:tcBorders>
            <w:hideMark/>
          </w:tcPr>
          <w:p w14:paraId="33A7A27F" w14:textId="35F31AF7" w:rsidR="00066A6C" w:rsidRDefault="00066A6C" w:rsidP="000A4AD3">
            <w:pPr>
              <w:pStyle w:val="Tabletext1"/>
              <w:rPr>
                <w:snapToGrid w:val="0"/>
                <w:lang w:eastAsia="en-US"/>
              </w:rPr>
            </w:pPr>
            <w:r>
              <w:rPr>
                <w:snapToGrid w:val="0"/>
                <w:lang w:eastAsia="en-US"/>
              </w:rPr>
              <w:t>DAC</w:t>
            </w:r>
            <w:r w:rsidR="001762ED">
              <w:t>+abs</w:t>
            </w:r>
            <w:r>
              <w:rPr>
                <w:snapToGrid w:val="0"/>
                <w:lang w:eastAsia="en-US"/>
              </w:rPr>
              <w:t>: 9.1% (2/22);</w:t>
            </w:r>
          </w:p>
          <w:p w14:paraId="4111B17C" w14:textId="7AC305E2" w:rsidR="00066A6C" w:rsidRDefault="00066A6C" w:rsidP="000A4AD3">
            <w:pPr>
              <w:pStyle w:val="Tabletext1"/>
              <w:rPr>
                <w:snapToGrid w:val="0"/>
                <w:lang w:eastAsia="en-US"/>
              </w:rPr>
            </w:pPr>
            <w:r>
              <w:rPr>
                <w:snapToGrid w:val="0"/>
                <w:lang w:eastAsia="en-US"/>
              </w:rPr>
              <w:t>No DAC</w:t>
            </w:r>
            <w:r w:rsidR="001762ED">
              <w:t>+abs</w:t>
            </w:r>
            <w:r>
              <w:rPr>
                <w:snapToGrid w:val="0"/>
                <w:lang w:eastAsia="en-US"/>
              </w:rPr>
              <w:t xml:space="preserve">: 13.5% (3/22) </w:t>
            </w:r>
          </w:p>
        </w:tc>
        <w:tc>
          <w:tcPr>
            <w:tcW w:w="247" w:type="pct"/>
            <w:tcBorders>
              <w:top w:val="single" w:sz="4" w:space="0" w:color="auto"/>
              <w:left w:val="single" w:sz="4" w:space="0" w:color="auto"/>
              <w:bottom w:val="single" w:sz="4" w:space="0" w:color="auto"/>
              <w:right w:val="single" w:sz="4" w:space="0" w:color="auto"/>
            </w:tcBorders>
            <w:hideMark/>
          </w:tcPr>
          <w:p w14:paraId="5ED2C999" w14:textId="77777777" w:rsidR="00066A6C" w:rsidRDefault="00066A6C" w:rsidP="000A4AD3">
            <w:pPr>
              <w:pStyle w:val="Tabletext1"/>
              <w:rPr>
                <w:snapToGrid w:val="0"/>
                <w:lang w:eastAsia="en-US"/>
              </w:rPr>
            </w:pPr>
            <w:r>
              <w:rPr>
                <w:snapToGrid w:val="0"/>
                <w:lang w:eastAsia="en-US"/>
              </w:rPr>
              <w:t>0.672</w:t>
            </w:r>
          </w:p>
        </w:tc>
        <w:tc>
          <w:tcPr>
            <w:tcW w:w="526" w:type="pct"/>
            <w:tcBorders>
              <w:top w:val="single" w:sz="4" w:space="0" w:color="auto"/>
              <w:left w:val="single" w:sz="4" w:space="0" w:color="auto"/>
              <w:bottom w:val="single" w:sz="4" w:space="0" w:color="auto"/>
              <w:right w:val="single" w:sz="4" w:space="0" w:color="auto"/>
            </w:tcBorders>
            <w:hideMark/>
          </w:tcPr>
          <w:p w14:paraId="578CCD78" w14:textId="33C351C9" w:rsidR="00066A6C" w:rsidRDefault="00066A6C" w:rsidP="000A4AD3">
            <w:pPr>
              <w:pStyle w:val="Tabletext1"/>
            </w:pPr>
            <w:r>
              <w:rPr>
                <w:snapToGrid w:val="0"/>
                <w:lang w:eastAsia="en-US"/>
              </w:rPr>
              <w:t>0.67 (0.12 to 3.60); p= 0.638</w:t>
            </w:r>
          </w:p>
        </w:tc>
        <w:tc>
          <w:tcPr>
            <w:tcW w:w="599" w:type="pct"/>
            <w:tcBorders>
              <w:top w:val="single" w:sz="4" w:space="0" w:color="auto"/>
              <w:left w:val="single" w:sz="4" w:space="0" w:color="auto"/>
              <w:bottom w:val="single" w:sz="4" w:space="0" w:color="auto"/>
              <w:right w:val="single" w:sz="4" w:space="0" w:color="auto"/>
            </w:tcBorders>
            <w:hideMark/>
          </w:tcPr>
          <w:p w14:paraId="4FB35B18" w14:textId="67255329" w:rsidR="00066A6C" w:rsidRDefault="00066A6C" w:rsidP="000A4AD3">
            <w:pPr>
              <w:pStyle w:val="Tabletext1"/>
            </w:pPr>
            <w:r>
              <w:rPr>
                <w:snapToGrid w:val="0"/>
                <w:lang w:eastAsia="en-US"/>
              </w:rPr>
              <w:t>-4.4% (-23.3%, 14.2%)</w:t>
            </w:r>
          </w:p>
        </w:tc>
        <w:tc>
          <w:tcPr>
            <w:tcW w:w="580" w:type="pct"/>
            <w:tcBorders>
              <w:top w:val="single" w:sz="4" w:space="0" w:color="auto"/>
              <w:left w:val="single" w:sz="4" w:space="0" w:color="auto"/>
              <w:bottom w:val="single" w:sz="4" w:space="0" w:color="auto"/>
              <w:right w:val="single" w:sz="4" w:space="0" w:color="auto"/>
            </w:tcBorders>
          </w:tcPr>
          <w:p w14:paraId="2EBA9424" w14:textId="7AC7F2EB" w:rsidR="00066A6C" w:rsidRPr="006A46A2" w:rsidRDefault="00066A6C" w:rsidP="000A4AD3">
            <w:pPr>
              <w:pStyle w:val="Tabletext1"/>
              <w:rPr>
                <w:snapToGrid w:val="0"/>
                <w:lang w:eastAsia="en-US"/>
              </w:rPr>
            </w:pPr>
            <w:r w:rsidRPr="006A46A2">
              <w:rPr>
                <w:snapToGrid w:val="0"/>
                <w:lang w:eastAsia="en-US"/>
              </w:rPr>
              <w:t>22 (</w:t>
            </w:r>
            <w:r w:rsidR="00C3574F">
              <w:rPr>
                <w:snapToGrid w:val="0"/>
                <w:lang w:eastAsia="en-US"/>
              </w:rPr>
              <w:t>-7 to infinity to 4)</w:t>
            </w:r>
          </w:p>
        </w:tc>
      </w:tr>
      <w:tr w:rsidR="004F1EB1" w14:paraId="4448845C"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00D26E0A" w14:textId="77777777" w:rsidR="00066A6C" w:rsidRDefault="00066A6C" w:rsidP="000A4AD3">
            <w:pPr>
              <w:pStyle w:val="Tabletext1"/>
            </w:pPr>
            <w:r>
              <w:t>Hospital length of stay, days</w:t>
            </w:r>
          </w:p>
        </w:tc>
        <w:tc>
          <w:tcPr>
            <w:tcW w:w="592" w:type="pct"/>
            <w:vMerge/>
            <w:tcBorders>
              <w:left w:val="single" w:sz="4" w:space="0" w:color="auto"/>
              <w:right w:val="single" w:sz="4" w:space="0" w:color="auto"/>
            </w:tcBorders>
            <w:vAlign w:val="center"/>
            <w:hideMark/>
          </w:tcPr>
          <w:p w14:paraId="23D42DAE"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vAlign w:val="center"/>
            <w:hideMark/>
          </w:tcPr>
          <w:p w14:paraId="1DE940F5" w14:textId="190B320D" w:rsidR="00066A6C" w:rsidRPr="00FC3571" w:rsidRDefault="0031272A" w:rsidP="000A4AD3">
            <w:pPr>
              <w:rPr>
                <w:color w:val="00B050"/>
                <w:sz w:val="20"/>
                <w:szCs w:val="20"/>
              </w:rPr>
            </w:pPr>
            <w:r w:rsidRPr="000A4AD3">
              <w:rPr>
                <w:rFonts w:ascii="Cambria Math" w:hAnsi="Cambria Math" w:cs="Cambria Math"/>
                <w:color w:val="00B050"/>
                <w:sz w:val="20"/>
                <w:szCs w:val="20"/>
              </w:rPr>
              <w:t>⨁</w:t>
            </w:r>
            <w:r w:rsidRPr="000A4AD3">
              <w:rPr>
                <w:rFonts w:ascii="Cambria Math" w:hAnsi="Cambria Math" w:cs="Cambria Math"/>
                <w:color w:val="FF0000"/>
                <w:sz w:val="20"/>
                <w:szCs w:val="20"/>
              </w:rPr>
              <w:t>⨀⨀⨀</w:t>
            </w:r>
          </w:p>
        </w:tc>
        <w:tc>
          <w:tcPr>
            <w:tcW w:w="802" w:type="pct"/>
            <w:tcBorders>
              <w:top w:val="single" w:sz="4" w:space="0" w:color="auto"/>
              <w:left w:val="single" w:sz="4" w:space="0" w:color="auto"/>
              <w:bottom w:val="single" w:sz="4" w:space="0" w:color="auto"/>
              <w:right w:val="single" w:sz="4" w:space="0" w:color="auto"/>
            </w:tcBorders>
            <w:hideMark/>
          </w:tcPr>
          <w:p w14:paraId="186DC6B1" w14:textId="77777777" w:rsidR="00066A6C" w:rsidRDefault="00066A6C" w:rsidP="000A4AD3">
            <w:pPr>
              <w:pStyle w:val="Tabletext1"/>
            </w:pPr>
            <w:r>
              <w:t>Mean</w:t>
            </w:r>
            <w:r w:rsidRPr="00ED4955">
              <w:t>±</w:t>
            </w:r>
            <w:r>
              <w:t>SD</w:t>
            </w:r>
          </w:p>
          <w:p w14:paraId="466C41AA" w14:textId="4AE8D69B" w:rsidR="00066A6C" w:rsidRDefault="00066A6C" w:rsidP="000A4AD3">
            <w:pPr>
              <w:pStyle w:val="Tabletext1"/>
            </w:pPr>
            <w:r>
              <w:rPr>
                <w:snapToGrid w:val="0"/>
                <w:lang w:eastAsia="en-US"/>
              </w:rPr>
              <w:t>DAC</w:t>
            </w:r>
            <w:r w:rsidR="001762ED">
              <w:t>+abs</w:t>
            </w:r>
            <w:r>
              <w:rPr>
                <w:snapToGrid w:val="0"/>
                <w:lang w:eastAsia="en-US"/>
              </w:rPr>
              <w:t xml:space="preserve">: </w:t>
            </w:r>
            <w:r>
              <w:t>18.9 ± 2.9</w:t>
            </w:r>
          </w:p>
          <w:p w14:paraId="421FF248" w14:textId="0A6ECD7A" w:rsidR="00066A6C" w:rsidRDefault="00066A6C" w:rsidP="000A4AD3">
            <w:pPr>
              <w:pStyle w:val="Tabletext1"/>
              <w:rPr>
                <w:snapToGrid w:val="0"/>
                <w:lang w:eastAsia="en-US"/>
              </w:rPr>
            </w:pPr>
            <w:r>
              <w:rPr>
                <w:snapToGrid w:val="0"/>
              </w:rPr>
              <w:t>No DAC</w:t>
            </w:r>
            <w:r w:rsidR="001762ED">
              <w:t>+abs</w:t>
            </w:r>
            <w:r>
              <w:rPr>
                <w:snapToGrid w:val="0"/>
              </w:rPr>
              <w:t xml:space="preserve">: </w:t>
            </w:r>
            <w:r>
              <w:t>35.8 ± 3.4</w:t>
            </w:r>
          </w:p>
        </w:tc>
        <w:tc>
          <w:tcPr>
            <w:tcW w:w="247" w:type="pct"/>
            <w:tcBorders>
              <w:top w:val="single" w:sz="4" w:space="0" w:color="auto"/>
              <w:left w:val="single" w:sz="4" w:space="0" w:color="auto"/>
              <w:bottom w:val="single" w:sz="4" w:space="0" w:color="auto"/>
              <w:right w:val="single" w:sz="4" w:space="0" w:color="auto"/>
            </w:tcBorders>
            <w:hideMark/>
          </w:tcPr>
          <w:p w14:paraId="5E9E9C4E" w14:textId="77777777" w:rsidR="00066A6C" w:rsidRDefault="00066A6C" w:rsidP="000A4AD3">
            <w:pPr>
              <w:pStyle w:val="Tabletext1"/>
              <w:rPr>
                <w:snapToGrid w:val="0"/>
                <w:lang w:eastAsia="en-US"/>
              </w:rPr>
            </w:pPr>
            <w:r>
              <w:rPr>
                <w:snapToGrid w:val="0"/>
                <w:lang w:eastAsia="en-US"/>
              </w:rPr>
              <w:t>0.0000</w:t>
            </w:r>
          </w:p>
        </w:tc>
        <w:tc>
          <w:tcPr>
            <w:tcW w:w="526" w:type="pct"/>
            <w:tcBorders>
              <w:top w:val="single" w:sz="4" w:space="0" w:color="auto"/>
              <w:left w:val="single" w:sz="4" w:space="0" w:color="auto"/>
              <w:bottom w:val="single" w:sz="4" w:space="0" w:color="auto"/>
              <w:right w:val="single" w:sz="4" w:space="0" w:color="auto"/>
            </w:tcBorders>
            <w:hideMark/>
          </w:tcPr>
          <w:p w14:paraId="05DF489C" w14:textId="77777777" w:rsidR="00066A6C" w:rsidRDefault="00066A6C"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hideMark/>
          </w:tcPr>
          <w:p w14:paraId="61F14E34" w14:textId="77777777" w:rsidR="00066A6C" w:rsidRPr="00A17FF7" w:rsidRDefault="00066A6C" w:rsidP="000A4AD3">
            <w:pPr>
              <w:pStyle w:val="Tabletext1"/>
              <w:rPr>
                <w:b/>
                <w:snapToGrid w:val="0"/>
                <w:lang w:eastAsia="en-US"/>
              </w:rPr>
            </w:pPr>
            <w:bookmarkStart w:id="61" w:name="_Hlk71126786"/>
            <w:r w:rsidRPr="00ED4955">
              <w:t>Absolute difference (95% CI):</w:t>
            </w:r>
            <w:r>
              <w:t xml:space="preserve"> </w:t>
            </w:r>
            <w:r w:rsidRPr="00E452CF">
              <w:rPr>
                <w:b/>
                <w:bCs/>
              </w:rPr>
              <w:t>−16.9 (−18.8, −15.0)</w:t>
            </w:r>
            <w:bookmarkEnd w:id="61"/>
          </w:p>
        </w:tc>
        <w:tc>
          <w:tcPr>
            <w:tcW w:w="580" w:type="pct"/>
            <w:tcBorders>
              <w:top w:val="single" w:sz="4" w:space="0" w:color="auto"/>
              <w:left w:val="single" w:sz="4" w:space="0" w:color="auto"/>
              <w:bottom w:val="single" w:sz="4" w:space="0" w:color="auto"/>
              <w:right w:val="single" w:sz="4" w:space="0" w:color="auto"/>
            </w:tcBorders>
          </w:tcPr>
          <w:p w14:paraId="01521050" w14:textId="36ABA9AA" w:rsidR="00066A6C" w:rsidRPr="006A46A2" w:rsidRDefault="00C3574F" w:rsidP="000A4AD3">
            <w:pPr>
              <w:pStyle w:val="Tabletext1"/>
            </w:pPr>
            <w:r>
              <w:t>NA</w:t>
            </w:r>
          </w:p>
        </w:tc>
      </w:tr>
      <w:tr w:rsidR="004F1EB1" w14:paraId="7032971A"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2D0A9936" w14:textId="77777777" w:rsidR="00066A6C" w:rsidRDefault="00066A6C" w:rsidP="000A4AD3">
            <w:pPr>
              <w:pStyle w:val="Tabletext1"/>
            </w:pPr>
            <w:r>
              <w:t>Duration of systemic antibiotic therapy, days</w:t>
            </w:r>
          </w:p>
        </w:tc>
        <w:tc>
          <w:tcPr>
            <w:tcW w:w="592" w:type="pct"/>
            <w:vMerge/>
            <w:tcBorders>
              <w:left w:val="single" w:sz="4" w:space="0" w:color="auto"/>
              <w:right w:val="single" w:sz="4" w:space="0" w:color="auto"/>
            </w:tcBorders>
            <w:vAlign w:val="center"/>
            <w:hideMark/>
          </w:tcPr>
          <w:p w14:paraId="0AA47F1E" w14:textId="77777777" w:rsidR="00066A6C" w:rsidRDefault="00066A6C" w:rsidP="000A4AD3"/>
        </w:tc>
        <w:tc>
          <w:tcPr>
            <w:tcW w:w="617" w:type="pct"/>
            <w:tcBorders>
              <w:top w:val="single" w:sz="4" w:space="0" w:color="auto"/>
              <w:left w:val="single" w:sz="4" w:space="0" w:color="auto"/>
              <w:bottom w:val="single" w:sz="4" w:space="0" w:color="auto"/>
              <w:right w:val="single" w:sz="4" w:space="0" w:color="auto"/>
            </w:tcBorders>
            <w:vAlign w:val="center"/>
            <w:hideMark/>
          </w:tcPr>
          <w:p w14:paraId="63AD54D9" w14:textId="5D8BD212" w:rsidR="00066A6C" w:rsidRPr="00FC3571" w:rsidRDefault="0031272A" w:rsidP="000A4AD3">
            <w:pPr>
              <w:rPr>
                <w:color w:val="00B050"/>
                <w:sz w:val="20"/>
                <w:szCs w:val="20"/>
              </w:rPr>
            </w:pPr>
            <w:r w:rsidRPr="000A4AD3">
              <w:rPr>
                <w:rFonts w:ascii="Cambria Math" w:hAnsi="Cambria Math" w:cs="Cambria Math"/>
                <w:color w:val="00B050"/>
                <w:sz w:val="20"/>
                <w:szCs w:val="20"/>
              </w:rPr>
              <w:t>⨁</w:t>
            </w:r>
            <w:r w:rsidRPr="000A4AD3">
              <w:rPr>
                <w:rFonts w:ascii="Cambria Math" w:hAnsi="Cambria Math" w:cs="Cambria Math"/>
                <w:color w:val="FF0000"/>
                <w:sz w:val="20"/>
                <w:szCs w:val="20"/>
              </w:rPr>
              <w:t>⨀⨀⨀</w:t>
            </w:r>
          </w:p>
        </w:tc>
        <w:tc>
          <w:tcPr>
            <w:tcW w:w="802" w:type="pct"/>
            <w:tcBorders>
              <w:top w:val="single" w:sz="4" w:space="0" w:color="auto"/>
              <w:left w:val="single" w:sz="4" w:space="0" w:color="auto"/>
              <w:bottom w:val="single" w:sz="4" w:space="0" w:color="auto"/>
              <w:right w:val="single" w:sz="4" w:space="0" w:color="auto"/>
            </w:tcBorders>
            <w:hideMark/>
          </w:tcPr>
          <w:p w14:paraId="0B9CF675" w14:textId="77777777" w:rsidR="00066A6C" w:rsidRDefault="00066A6C" w:rsidP="000A4AD3">
            <w:pPr>
              <w:pStyle w:val="Tabletext1"/>
            </w:pPr>
            <w:r>
              <w:t>Mean</w:t>
            </w:r>
            <w:r w:rsidRPr="00ED4955">
              <w:t>±</w:t>
            </w:r>
            <w:r>
              <w:t>SD</w:t>
            </w:r>
          </w:p>
          <w:p w14:paraId="1FA79004" w14:textId="38654BD9" w:rsidR="00066A6C" w:rsidRDefault="00066A6C" w:rsidP="000A4AD3">
            <w:pPr>
              <w:pStyle w:val="Tabletext1"/>
            </w:pPr>
            <w:r>
              <w:rPr>
                <w:snapToGrid w:val="0"/>
                <w:lang w:eastAsia="en-US"/>
              </w:rPr>
              <w:t>DAC</w:t>
            </w:r>
            <w:r w:rsidR="001762ED">
              <w:t>+abs</w:t>
            </w:r>
            <w:r>
              <w:rPr>
                <w:snapToGrid w:val="0"/>
                <w:lang w:eastAsia="en-US"/>
              </w:rPr>
              <w:t xml:space="preserve">: </w:t>
            </w:r>
            <w:r>
              <w:t>23.5 ± 3.3</w:t>
            </w:r>
          </w:p>
          <w:p w14:paraId="7A4CB50D" w14:textId="07989A25" w:rsidR="00066A6C" w:rsidRDefault="00066A6C" w:rsidP="000A4AD3">
            <w:pPr>
              <w:pStyle w:val="Tabletext1"/>
              <w:rPr>
                <w:snapToGrid w:val="0"/>
                <w:lang w:eastAsia="en-US"/>
              </w:rPr>
            </w:pPr>
            <w:r>
              <w:t>No DAC</w:t>
            </w:r>
            <w:r w:rsidR="001762ED">
              <w:t>+abs</w:t>
            </w:r>
            <w:r>
              <w:t>: 53.7 ± 5.6</w:t>
            </w:r>
          </w:p>
        </w:tc>
        <w:tc>
          <w:tcPr>
            <w:tcW w:w="247" w:type="pct"/>
            <w:tcBorders>
              <w:top w:val="single" w:sz="4" w:space="0" w:color="auto"/>
              <w:left w:val="single" w:sz="4" w:space="0" w:color="auto"/>
              <w:bottom w:val="single" w:sz="4" w:space="0" w:color="auto"/>
              <w:right w:val="single" w:sz="4" w:space="0" w:color="auto"/>
            </w:tcBorders>
            <w:hideMark/>
          </w:tcPr>
          <w:p w14:paraId="6BCABE7D" w14:textId="77777777" w:rsidR="00066A6C" w:rsidRDefault="00066A6C" w:rsidP="000A4AD3">
            <w:pPr>
              <w:pStyle w:val="Tabletext1"/>
              <w:rPr>
                <w:snapToGrid w:val="0"/>
                <w:lang w:eastAsia="en-US"/>
              </w:rPr>
            </w:pPr>
            <w:r>
              <w:rPr>
                <w:snapToGrid w:val="0"/>
                <w:lang w:eastAsia="en-US"/>
              </w:rPr>
              <w:t>0.0000</w:t>
            </w:r>
          </w:p>
        </w:tc>
        <w:tc>
          <w:tcPr>
            <w:tcW w:w="526" w:type="pct"/>
            <w:tcBorders>
              <w:top w:val="single" w:sz="4" w:space="0" w:color="auto"/>
              <w:left w:val="single" w:sz="4" w:space="0" w:color="auto"/>
              <w:bottom w:val="single" w:sz="4" w:space="0" w:color="auto"/>
              <w:right w:val="single" w:sz="4" w:space="0" w:color="auto"/>
            </w:tcBorders>
            <w:hideMark/>
          </w:tcPr>
          <w:p w14:paraId="5BFAAA88" w14:textId="77777777" w:rsidR="00066A6C" w:rsidRDefault="00066A6C"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hideMark/>
          </w:tcPr>
          <w:p w14:paraId="3A6D1D9D" w14:textId="77777777" w:rsidR="00066A6C" w:rsidRPr="00A17FF7" w:rsidRDefault="00066A6C" w:rsidP="000A4AD3">
            <w:pPr>
              <w:pStyle w:val="Tabletext1"/>
              <w:rPr>
                <w:b/>
                <w:snapToGrid w:val="0"/>
                <w:lang w:eastAsia="en-US"/>
              </w:rPr>
            </w:pPr>
            <w:bookmarkStart w:id="62" w:name="_Hlk71126876"/>
            <w:r w:rsidRPr="00ED4955">
              <w:t>Absolute difference (95% CI):</w:t>
            </w:r>
            <w:r>
              <w:t xml:space="preserve"> </w:t>
            </w:r>
            <w:r w:rsidRPr="00E452CF">
              <w:rPr>
                <w:b/>
                <w:bCs/>
              </w:rPr>
              <w:t>−30.2 (−33.0, −27.4)</w:t>
            </w:r>
            <w:bookmarkEnd w:id="62"/>
          </w:p>
        </w:tc>
        <w:tc>
          <w:tcPr>
            <w:tcW w:w="580" w:type="pct"/>
            <w:tcBorders>
              <w:top w:val="single" w:sz="4" w:space="0" w:color="auto"/>
              <w:left w:val="single" w:sz="4" w:space="0" w:color="auto"/>
              <w:bottom w:val="single" w:sz="4" w:space="0" w:color="auto"/>
              <w:right w:val="single" w:sz="4" w:space="0" w:color="auto"/>
            </w:tcBorders>
          </w:tcPr>
          <w:p w14:paraId="0715F3B2" w14:textId="64064442" w:rsidR="00066A6C" w:rsidRPr="00E452CF" w:rsidRDefault="00C3574F" w:rsidP="000A4AD3">
            <w:pPr>
              <w:pStyle w:val="Tabletext1"/>
            </w:pPr>
            <w:r w:rsidRPr="00E452CF">
              <w:t>NA</w:t>
            </w:r>
          </w:p>
        </w:tc>
      </w:tr>
      <w:tr w:rsidR="004F1EB1" w14:paraId="1BB1B8EA" w14:textId="77777777" w:rsidTr="00F871EC">
        <w:trPr>
          <w:gridAfter w:val="1"/>
          <w:wAfter w:w="8" w:type="pct"/>
          <w:trHeight w:val="19"/>
        </w:trPr>
        <w:tc>
          <w:tcPr>
            <w:tcW w:w="1029" w:type="pct"/>
            <w:tcBorders>
              <w:top w:val="single" w:sz="4" w:space="0" w:color="auto"/>
              <w:left w:val="single" w:sz="4" w:space="0" w:color="auto"/>
              <w:bottom w:val="single" w:sz="4" w:space="0" w:color="auto"/>
              <w:right w:val="single" w:sz="4" w:space="0" w:color="auto"/>
            </w:tcBorders>
          </w:tcPr>
          <w:p w14:paraId="1192ED19" w14:textId="5186A5FC" w:rsidR="0059056D" w:rsidRDefault="0059056D" w:rsidP="000A4AD3">
            <w:pPr>
              <w:pStyle w:val="Tabletext1"/>
            </w:pPr>
            <w:r>
              <w:t>SF-12 total score</w:t>
            </w:r>
          </w:p>
        </w:tc>
        <w:tc>
          <w:tcPr>
            <w:tcW w:w="592" w:type="pct"/>
            <w:vMerge w:val="restart"/>
            <w:tcBorders>
              <w:left w:val="single" w:sz="4" w:space="0" w:color="auto"/>
              <w:bottom w:val="single" w:sz="4" w:space="0" w:color="auto"/>
              <w:right w:val="single" w:sz="4" w:space="0" w:color="auto"/>
            </w:tcBorders>
          </w:tcPr>
          <w:p w14:paraId="4C9EA2C9" w14:textId="7FF9CAA3" w:rsidR="0059056D" w:rsidRDefault="00EB721D" w:rsidP="000A4AD3">
            <w:pPr>
              <w:pStyle w:val="Tabletext1"/>
            </w:pPr>
            <w:r w:rsidRPr="00EB721D">
              <w:t>DAC+antibiotics, Capuano 2018)</w:t>
            </w:r>
          </w:p>
        </w:tc>
        <w:tc>
          <w:tcPr>
            <w:tcW w:w="617" w:type="pct"/>
            <w:tcBorders>
              <w:top w:val="single" w:sz="4" w:space="0" w:color="auto"/>
              <w:left w:val="single" w:sz="4" w:space="0" w:color="auto"/>
              <w:bottom w:val="single" w:sz="4" w:space="0" w:color="auto"/>
              <w:right w:val="single" w:sz="4" w:space="0" w:color="auto"/>
            </w:tcBorders>
            <w:vAlign w:val="center"/>
          </w:tcPr>
          <w:p w14:paraId="7CD7D687" w14:textId="781954BD" w:rsidR="0059056D" w:rsidRPr="000A4AD3" w:rsidRDefault="0059056D" w:rsidP="000A4AD3">
            <w:pPr>
              <w:rPr>
                <w:color w:val="00B050"/>
                <w:sz w:val="20"/>
                <w:szCs w:val="20"/>
              </w:rPr>
            </w:pPr>
            <w:r w:rsidRPr="000A4AD3">
              <w:rPr>
                <w:rFonts w:ascii="Cambria Math" w:hAnsi="Cambria Math" w:cs="Cambria Math"/>
                <w:color w:val="00B050"/>
                <w:sz w:val="20"/>
                <w:szCs w:val="20"/>
              </w:rPr>
              <w:t>⨁</w:t>
            </w:r>
            <w:r w:rsidRPr="000A4AD3">
              <w:rPr>
                <w:rFonts w:ascii="Cambria Math" w:hAnsi="Cambria Math" w:cs="Cambria Math"/>
                <w:color w:val="FF0000"/>
                <w:sz w:val="20"/>
                <w:szCs w:val="20"/>
              </w:rPr>
              <w:t>⨀⨀⨀</w:t>
            </w:r>
          </w:p>
        </w:tc>
        <w:tc>
          <w:tcPr>
            <w:tcW w:w="802" w:type="pct"/>
            <w:tcBorders>
              <w:top w:val="single" w:sz="4" w:space="0" w:color="auto"/>
              <w:left w:val="single" w:sz="4" w:space="0" w:color="auto"/>
              <w:bottom w:val="single" w:sz="4" w:space="0" w:color="auto"/>
              <w:right w:val="single" w:sz="4" w:space="0" w:color="auto"/>
            </w:tcBorders>
          </w:tcPr>
          <w:p w14:paraId="2550B87C" w14:textId="77777777" w:rsidR="0059056D" w:rsidRDefault="0059056D" w:rsidP="000A4AD3">
            <w:pPr>
              <w:pStyle w:val="Tabletext1"/>
            </w:pPr>
            <w:r>
              <w:t>Mean</w:t>
            </w:r>
            <w:r w:rsidRPr="00ED4955">
              <w:t>±</w:t>
            </w:r>
            <w:r>
              <w:t>SD</w:t>
            </w:r>
          </w:p>
          <w:p w14:paraId="7313B838" w14:textId="77777777" w:rsidR="001762ED" w:rsidRDefault="0059056D" w:rsidP="000A4AD3">
            <w:pPr>
              <w:pStyle w:val="Tabletext1"/>
            </w:pPr>
            <w:r>
              <w:rPr>
                <w:snapToGrid w:val="0"/>
                <w:lang w:eastAsia="en-US"/>
              </w:rPr>
              <w:t>DAC</w:t>
            </w:r>
            <w:r w:rsidR="001762ED">
              <w:t>+abs</w:t>
            </w:r>
            <w:r>
              <w:rPr>
                <w:snapToGrid w:val="0"/>
                <w:lang w:eastAsia="en-US"/>
              </w:rPr>
              <w:t xml:space="preserve">: </w:t>
            </w:r>
            <w:r w:rsidRPr="00D840F5">
              <w:t>8</w:t>
            </w:r>
            <w:r>
              <w:t>4.4</w:t>
            </w:r>
            <w:r w:rsidRPr="00D840F5">
              <w:t xml:space="preserve"> ± </w:t>
            </w:r>
            <w:r>
              <w:t xml:space="preserve">7.4; </w:t>
            </w:r>
          </w:p>
          <w:p w14:paraId="7F4DED41" w14:textId="0660914A" w:rsidR="0059056D" w:rsidRDefault="001762ED" w:rsidP="000A4AD3">
            <w:pPr>
              <w:pStyle w:val="Tabletext1"/>
            </w:pPr>
            <w:r>
              <w:t>N</w:t>
            </w:r>
            <w:r w:rsidR="0059056D">
              <w:t>o DAC</w:t>
            </w:r>
            <w:r>
              <w:t>+abs</w:t>
            </w:r>
            <w:r w:rsidR="0059056D">
              <w:t>:</w:t>
            </w:r>
            <w:r w:rsidR="00E325C6">
              <w:t xml:space="preserve"> </w:t>
            </w:r>
            <w:r w:rsidR="0059056D" w:rsidRPr="0092789C">
              <w:t>8</w:t>
            </w:r>
            <w:r w:rsidR="0059056D">
              <w:t>4.3</w:t>
            </w:r>
            <w:r w:rsidR="0059056D" w:rsidRPr="0092789C">
              <w:t xml:space="preserve"> ± </w:t>
            </w:r>
            <w:r w:rsidR="0059056D">
              <w:t>7.4</w:t>
            </w:r>
          </w:p>
        </w:tc>
        <w:tc>
          <w:tcPr>
            <w:tcW w:w="247" w:type="pct"/>
            <w:tcBorders>
              <w:top w:val="single" w:sz="4" w:space="0" w:color="auto"/>
              <w:left w:val="single" w:sz="4" w:space="0" w:color="auto"/>
              <w:bottom w:val="single" w:sz="4" w:space="0" w:color="auto"/>
              <w:right w:val="single" w:sz="4" w:space="0" w:color="auto"/>
            </w:tcBorders>
          </w:tcPr>
          <w:p w14:paraId="6B93CC53" w14:textId="30F124A7" w:rsidR="0059056D" w:rsidRPr="00520806" w:rsidRDefault="0059056D" w:rsidP="000A4AD3">
            <w:pPr>
              <w:pStyle w:val="Tabletext1"/>
              <w:rPr>
                <w:snapToGrid w:val="0"/>
                <w:lang w:eastAsia="en-US"/>
              </w:rPr>
            </w:pPr>
            <w:r w:rsidRPr="00520806">
              <w:rPr>
                <w:snapToGrid w:val="0"/>
                <w:lang w:eastAsia="en-US"/>
              </w:rPr>
              <w:t>0.964</w:t>
            </w:r>
          </w:p>
        </w:tc>
        <w:tc>
          <w:tcPr>
            <w:tcW w:w="526" w:type="pct"/>
            <w:tcBorders>
              <w:top w:val="single" w:sz="4" w:space="0" w:color="auto"/>
              <w:left w:val="single" w:sz="4" w:space="0" w:color="auto"/>
              <w:bottom w:val="single" w:sz="4" w:space="0" w:color="auto"/>
              <w:right w:val="single" w:sz="4" w:space="0" w:color="auto"/>
            </w:tcBorders>
          </w:tcPr>
          <w:p w14:paraId="201273C8" w14:textId="2E17DC02" w:rsidR="0059056D" w:rsidRDefault="0059056D"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tcPr>
          <w:p w14:paraId="7EF07B39" w14:textId="645FFB30" w:rsidR="0059056D" w:rsidRPr="00520806" w:rsidRDefault="0059056D" w:rsidP="000A4AD3">
            <w:pPr>
              <w:pStyle w:val="Tabletext1"/>
            </w:pPr>
            <w:r w:rsidRPr="00520806">
              <w:t xml:space="preserve">Absolute difference (95% CI): </w:t>
            </w:r>
            <w:r w:rsidRPr="00E84C44">
              <w:t>0.1 (−4.3, 4.5)</w:t>
            </w:r>
          </w:p>
        </w:tc>
        <w:tc>
          <w:tcPr>
            <w:tcW w:w="580" w:type="pct"/>
            <w:tcBorders>
              <w:top w:val="single" w:sz="4" w:space="0" w:color="auto"/>
              <w:left w:val="single" w:sz="4" w:space="0" w:color="auto"/>
              <w:bottom w:val="single" w:sz="4" w:space="0" w:color="auto"/>
              <w:right w:val="single" w:sz="4" w:space="0" w:color="auto"/>
            </w:tcBorders>
          </w:tcPr>
          <w:p w14:paraId="6AB4230E" w14:textId="51343EB2" w:rsidR="0059056D" w:rsidRDefault="0059056D" w:rsidP="000A4AD3">
            <w:pPr>
              <w:pStyle w:val="Tabletext1"/>
            </w:pPr>
            <w:r>
              <w:t>NA</w:t>
            </w:r>
          </w:p>
        </w:tc>
      </w:tr>
      <w:tr w:rsidR="004F1EB1" w14:paraId="3E2B0222" w14:textId="77777777" w:rsidTr="00F871EC">
        <w:trPr>
          <w:gridAfter w:val="1"/>
          <w:wAfter w:w="8" w:type="pct"/>
          <w:trHeight w:val="187"/>
        </w:trPr>
        <w:tc>
          <w:tcPr>
            <w:tcW w:w="1029" w:type="pct"/>
            <w:tcBorders>
              <w:top w:val="single" w:sz="4" w:space="0" w:color="auto"/>
              <w:left w:val="single" w:sz="4" w:space="0" w:color="auto"/>
              <w:bottom w:val="single" w:sz="4" w:space="0" w:color="auto"/>
              <w:right w:val="single" w:sz="4" w:space="0" w:color="auto"/>
            </w:tcBorders>
          </w:tcPr>
          <w:p w14:paraId="4729D83A" w14:textId="3A8755F1" w:rsidR="0059056D" w:rsidRDefault="0059056D" w:rsidP="000A4AD3">
            <w:pPr>
              <w:pStyle w:val="Tabletext1"/>
            </w:pPr>
            <w:r>
              <w:t>Harris Hip Score</w:t>
            </w:r>
          </w:p>
        </w:tc>
        <w:tc>
          <w:tcPr>
            <w:tcW w:w="592" w:type="pct"/>
            <w:vMerge/>
            <w:tcBorders>
              <w:left w:val="single" w:sz="4" w:space="0" w:color="auto"/>
              <w:bottom w:val="single" w:sz="4" w:space="0" w:color="auto"/>
              <w:right w:val="single" w:sz="4" w:space="0" w:color="auto"/>
            </w:tcBorders>
            <w:vAlign w:val="center"/>
          </w:tcPr>
          <w:p w14:paraId="2B58FD71" w14:textId="77777777" w:rsidR="0059056D" w:rsidRDefault="0059056D" w:rsidP="000A4AD3"/>
        </w:tc>
        <w:tc>
          <w:tcPr>
            <w:tcW w:w="617" w:type="pct"/>
            <w:tcBorders>
              <w:top w:val="single" w:sz="4" w:space="0" w:color="auto"/>
              <w:left w:val="single" w:sz="4" w:space="0" w:color="auto"/>
              <w:bottom w:val="single" w:sz="4" w:space="0" w:color="auto"/>
              <w:right w:val="single" w:sz="4" w:space="0" w:color="auto"/>
            </w:tcBorders>
            <w:vAlign w:val="center"/>
          </w:tcPr>
          <w:p w14:paraId="0FFF9FC3" w14:textId="7ED4D5BC" w:rsidR="0059056D" w:rsidRPr="000A4AD3" w:rsidRDefault="0059056D" w:rsidP="000A4AD3">
            <w:pPr>
              <w:rPr>
                <w:color w:val="00B050"/>
                <w:sz w:val="20"/>
                <w:szCs w:val="20"/>
              </w:rPr>
            </w:pPr>
            <w:r w:rsidRPr="000A4AD3">
              <w:rPr>
                <w:rFonts w:ascii="Cambria Math" w:hAnsi="Cambria Math" w:cs="Cambria Math"/>
                <w:color w:val="00B050"/>
                <w:sz w:val="20"/>
                <w:szCs w:val="20"/>
              </w:rPr>
              <w:t>⨁</w:t>
            </w:r>
            <w:r w:rsidRPr="000A4AD3">
              <w:rPr>
                <w:rFonts w:ascii="Cambria Math" w:hAnsi="Cambria Math" w:cs="Cambria Math"/>
                <w:color w:val="FF0000"/>
                <w:sz w:val="20"/>
                <w:szCs w:val="20"/>
              </w:rPr>
              <w:t>⨀⨀⨀</w:t>
            </w:r>
          </w:p>
        </w:tc>
        <w:tc>
          <w:tcPr>
            <w:tcW w:w="802" w:type="pct"/>
            <w:tcBorders>
              <w:top w:val="single" w:sz="4" w:space="0" w:color="auto"/>
              <w:left w:val="single" w:sz="4" w:space="0" w:color="auto"/>
              <w:bottom w:val="single" w:sz="4" w:space="0" w:color="auto"/>
              <w:right w:val="single" w:sz="4" w:space="0" w:color="auto"/>
            </w:tcBorders>
          </w:tcPr>
          <w:p w14:paraId="3DB40D97" w14:textId="77777777" w:rsidR="0059056D" w:rsidRDefault="0059056D" w:rsidP="000A4AD3">
            <w:pPr>
              <w:pStyle w:val="Tabletext1"/>
            </w:pPr>
            <w:r>
              <w:t>Mean±SD</w:t>
            </w:r>
          </w:p>
          <w:p w14:paraId="32281F49" w14:textId="77777777" w:rsidR="001762ED" w:rsidRDefault="0059056D" w:rsidP="000A4AD3">
            <w:pPr>
              <w:pStyle w:val="Tabletext1"/>
            </w:pPr>
            <w:r>
              <w:t>DAC</w:t>
            </w:r>
            <w:r w:rsidR="001762ED">
              <w:t>+abs</w:t>
            </w:r>
            <w:r>
              <w:t xml:space="preserve">: </w:t>
            </w:r>
            <w:r w:rsidRPr="00BE72DD">
              <w:t>85.4 ± 3.6</w:t>
            </w:r>
            <w:r>
              <w:t xml:space="preserve">; </w:t>
            </w:r>
          </w:p>
          <w:p w14:paraId="5CA0A8CC" w14:textId="41B282BF" w:rsidR="0059056D" w:rsidRDefault="001762ED" w:rsidP="000A4AD3">
            <w:pPr>
              <w:pStyle w:val="Tabletext1"/>
            </w:pPr>
            <w:r>
              <w:t>N</w:t>
            </w:r>
            <w:r w:rsidR="0059056D">
              <w:t>o DAC</w:t>
            </w:r>
            <w:r>
              <w:t>+abs</w:t>
            </w:r>
            <w:r w:rsidR="0059056D">
              <w:t xml:space="preserve">: </w:t>
            </w:r>
            <w:r w:rsidR="0059056D" w:rsidRPr="00BE72DD">
              <w:t>83.6 ± 7.4</w:t>
            </w:r>
          </w:p>
        </w:tc>
        <w:tc>
          <w:tcPr>
            <w:tcW w:w="247" w:type="pct"/>
            <w:tcBorders>
              <w:top w:val="single" w:sz="4" w:space="0" w:color="auto"/>
              <w:left w:val="single" w:sz="4" w:space="0" w:color="auto"/>
              <w:bottom w:val="single" w:sz="4" w:space="0" w:color="auto"/>
              <w:right w:val="single" w:sz="4" w:space="0" w:color="auto"/>
            </w:tcBorders>
          </w:tcPr>
          <w:p w14:paraId="1A78735A" w14:textId="4BB6E103" w:rsidR="0059056D" w:rsidRDefault="0059056D" w:rsidP="000A4AD3">
            <w:pPr>
              <w:pStyle w:val="Tabletext1"/>
              <w:rPr>
                <w:b/>
                <w:bCs/>
                <w:snapToGrid w:val="0"/>
                <w:lang w:eastAsia="en-US"/>
              </w:rPr>
            </w:pPr>
            <w:r>
              <w:rPr>
                <w:snapToGrid w:val="0"/>
                <w:lang w:eastAsia="en-US"/>
              </w:rPr>
              <w:t>0.638</w:t>
            </w:r>
          </w:p>
        </w:tc>
        <w:tc>
          <w:tcPr>
            <w:tcW w:w="526" w:type="pct"/>
            <w:tcBorders>
              <w:top w:val="single" w:sz="4" w:space="0" w:color="auto"/>
              <w:left w:val="single" w:sz="4" w:space="0" w:color="auto"/>
              <w:bottom w:val="single" w:sz="4" w:space="0" w:color="auto"/>
              <w:right w:val="single" w:sz="4" w:space="0" w:color="auto"/>
            </w:tcBorders>
          </w:tcPr>
          <w:p w14:paraId="19EE03FD" w14:textId="41E30908" w:rsidR="0059056D" w:rsidRDefault="0059056D"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tcPr>
          <w:p w14:paraId="5B1BAE8A" w14:textId="3DDE42AF" w:rsidR="0059056D" w:rsidRPr="00ED4955" w:rsidRDefault="0059056D" w:rsidP="000A4AD3">
            <w:pPr>
              <w:pStyle w:val="Tabletext1"/>
            </w:pPr>
            <w:r w:rsidRPr="00520806">
              <w:t>Absolute difference (95% CI):</w:t>
            </w:r>
            <w:r>
              <w:t xml:space="preserve"> </w:t>
            </w:r>
            <w:r w:rsidRPr="00BE72DD">
              <w:t>1.8 (−6.7, 10.3)</w:t>
            </w:r>
          </w:p>
        </w:tc>
        <w:tc>
          <w:tcPr>
            <w:tcW w:w="580" w:type="pct"/>
            <w:tcBorders>
              <w:top w:val="single" w:sz="4" w:space="0" w:color="auto"/>
              <w:left w:val="single" w:sz="4" w:space="0" w:color="auto"/>
              <w:bottom w:val="single" w:sz="4" w:space="0" w:color="auto"/>
              <w:right w:val="single" w:sz="4" w:space="0" w:color="auto"/>
            </w:tcBorders>
          </w:tcPr>
          <w:p w14:paraId="5003D5B9" w14:textId="26379086" w:rsidR="0059056D" w:rsidRPr="00D847EA" w:rsidRDefault="0059056D" w:rsidP="000A4AD3">
            <w:pPr>
              <w:pStyle w:val="Tabletext1"/>
            </w:pPr>
            <w:r>
              <w:t>NA</w:t>
            </w:r>
          </w:p>
        </w:tc>
      </w:tr>
      <w:tr w:rsidR="004F1EB1" w14:paraId="432B8E10" w14:textId="77777777" w:rsidTr="00F871EC">
        <w:trPr>
          <w:gridAfter w:val="1"/>
          <w:wAfter w:w="8" w:type="pct"/>
          <w:trHeight w:val="724"/>
        </w:trPr>
        <w:tc>
          <w:tcPr>
            <w:tcW w:w="1029" w:type="pct"/>
            <w:tcBorders>
              <w:top w:val="single" w:sz="4" w:space="0" w:color="auto"/>
              <w:left w:val="single" w:sz="4" w:space="0" w:color="auto"/>
              <w:bottom w:val="single" w:sz="4" w:space="0" w:color="auto"/>
              <w:right w:val="single" w:sz="4" w:space="0" w:color="auto"/>
            </w:tcBorders>
          </w:tcPr>
          <w:p w14:paraId="5FDBBD6D" w14:textId="74F8C2BC" w:rsidR="0059056D" w:rsidRDefault="0059056D" w:rsidP="000A4AD3">
            <w:pPr>
              <w:pStyle w:val="Tabletext1"/>
            </w:pPr>
            <w:r>
              <w:t>Knee Society Score</w:t>
            </w:r>
          </w:p>
        </w:tc>
        <w:tc>
          <w:tcPr>
            <w:tcW w:w="592" w:type="pct"/>
            <w:vMerge/>
            <w:tcBorders>
              <w:left w:val="single" w:sz="4" w:space="0" w:color="auto"/>
              <w:bottom w:val="single" w:sz="4" w:space="0" w:color="auto"/>
              <w:right w:val="single" w:sz="4" w:space="0" w:color="auto"/>
            </w:tcBorders>
            <w:vAlign w:val="center"/>
          </w:tcPr>
          <w:p w14:paraId="0BFED78B" w14:textId="77777777" w:rsidR="0059056D" w:rsidRDefault="0059056D" w:rsidP="000A4AD3"/>
        </w:tc>
        <w:tc>
          <w:tcPr>
            <w:tcW w:w="617" w:type="pct"/>
            <w:tcBorders>
              <w:top w:val="single" w:sz="4" w:space="0" w:color="auto"/>
              <w:left w:val="single" w:sz="4" w:space="0" w:color="auto"/>
              <w:right w:val="single" w:sz="4" w:space="0" w:color="auto"/>
            </w:tcBorders>
            <w:vAlign w:val="center"/>
          </w:tcPr>
          <w:p w14:paraId="4A9F93E9" w14:textId="46188FE6" w:rsidR="0059056D" w:rsidRPr="000A4AD3" w:rsidRDefault="0059056D" w:rsidP="000A4AD3">
            <w:pPr>
              <w:rPr>
                <w:color w:val="00B050"/>
                <w:sz w:val="20"/>
                <w:szCs w:val="20"/>
              </w:rPr>
            </w:pPr>
            <w:r w:rsidRPr="000A4AD3">
              <w:rPr>
                <w:rFonts w:ascii="Cambria Math" w:hAnsi="Cambria Math" w:cs="Cambria Math"/>
                <w:color w:val="00B050"/>
                <w:sz w:val="20"/>
                <w:szCs w:val="20"/>
              </w:rPr>
              <w:t>⨁</w:t>
            </w:r>
            <w:r w:rsidRPr="000A4AD3">
              <w:rPr>
                <w:rFonts w:ascii="Cambria Math" w:hAnsi="Cambria Math" w:cs="Cambria Math"/>
                <w:color w:val="FF0000"/>
                <w:sz w:val="20"/>
                <w:szCs w:val="20"/>
              </w:rPr>
              <w:t>⨀⨀⨀</w:t>
            </w:r>
          </w:p>
        </w:tc>
        <w:tc>
          <w:tcPr>
            <w:tcW w:w="802" w:type="pct"/>
            <w:tcBorders>
              <w:top w:val="single" w:sz="4" w:space="0" w:color="auto"/>
              <w:left w:val="single" w:sz="4" w:space="0" w:color="auto"/>
              <w:bottom w:val="single" w:sz="4" w:space="0" w:color="auto"/>
              <w:right w:val="single" w:sz="4" w:space="0" w:color="auto"/>
            </w:tcBorders>
          </w:tcPr>
          <w:p w14:paraId="12B1180E" w14:textId="77777777" w:rsidR="0059056D" w:rsidRDefault="0059056D" w:rsidP="000A4AD3">
            <w:pPr>
              <w:pStyle w:val="Tabletext1"/>
            </w:pPr>
            <w:r>
              <w:t>Mean±SD</w:t>
            </w:r>
          </w:p>
          <w:p w14:paraId="5DC1FECC" w14:textId="77777777" w:rsidR="001762ED" w:rsidRDefault="0059056D" w:rsidP="000A4AD3">
            <w:pPr>
              <w:pStyle w:val="Tabletext1"/>
            </w:pPr>
            <w:r>
              <w:t>DAC</w:t>
            </w:r>
            <w:r w:rsidR="001762ED">
              <w:t>+abs</w:t>
            </w:r>
            <w:r>
              <w:t>: 78.0</w:t>
            </w:r>
            <w:r w:rsidRPr="00D840F5">
              <w:t xml:space="preserve"> ± </w:t>
            </w:r>
            <w:r>
              <w:t xml:space="preserve">6.1; </w:t>
            </w:r>
          </w:p>
          <w:p w14:paraId="6AEDF9B4" w14:textId="784EC26F" w:rsidR="0059056D" w:rsidRDefault="001762ED" w:rsidP="000A4AD3">
            <w:pPr>
              <w:pStyle w:val="Tabletext1"/>
              <w:rPr>
                <w:snapToGrid w:val="0"/>
                <w:lang w:eastAsia="en-US"/>
              </w:rPr>
            </w:pPr>
            <w:r>
              <w:t>N</w:t>
            </w:r>
            <w:r w:rsidR="0059056D">
              <w:t>o DAC</w:t>
            </w:r>
            <w:r>
              <w:t>+abs</w:t>
            </w:r>
            <w:r w:rsidR="0059056D">
              <w:t xml:space="preserve">: </w:t>
            </w:r>
            <w:r w:rsidR="0059056D" w:rsidRPr="0022582B">
              <w:t>77.3 ± 6.4</w:t>
            </w:r>
          </w:p>
        </w:tc>
        <w:tc>
          <w:tcPr>
            <w:tcW w:w="247" w:type="pct"/>
            <w:tcBorders>
              <w:top w:val="single" w:sz="4" w:space="0" w:color="auto"/>
              <w:left w:val="single" w:sz="4" w:space="0" w:color="auto"/>
              <w:bottom w:val="single" w:sz="4" w:space="0" w:color="auto"/>
              <w:right w:val="single" w:sz="4" w:space="0" w:color="auto"/>
            </w:tcBorders>
          </w:tcPr>
          <w:p w14:paraId="469171D1" w14:textId="78E41392" w:rsidR="0059056D" w:rsidRPr="00520806" w:rsidRDefault="0059056D" w:rsidP="000A4AD3">
            <w:pPr>
              <w:pStyle w:val="Tabletext1"/>
              <w:rPr>
                <w:snapToGrid w:val="0"/>
                <w:lang w:eastAsia="en-US"/>
              </w:rPr>
            </w:pPr>
            <w:r>
              <w:rPr>
                <w:snapToGrid w:val="0"/>
                <w:lang w:eastAsia="en-US"/>
              </w:rPr>
              <w:t>0.746</w:t>
            </w:r>
          </w:p>
        </w:tc>
        <w:tc>
          <w:tcPr>
            <w:tcW w:w="526" w:type="pct"/>
            <w:tcBorders>
              <w:top w:val="single" w:sz="4" w:space="0" w:color="auto"/>
              <w:left w:val="single" w:sz="4" w:space="0" w:color="auto"/>
              <w:bottom w:val="single" w:sz="4" w:space="0" w:color="auto"/>
              <w:right w:val="single" w:sz="4" w:space="0" w:color="auto"/>
            </w:tcBorders>
          </w:tcPr>
          <w:p w14:paraId="54C8297A" w14:textId="60CFCB76" w:rsidR="0059056D" w:rsidRDefault="0059056D"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tcPr>
          <w:p w14:paraId="1DEC2343" w14:textId="1EBD5EC9" w:rsidR="0059056D" w:rsidRPr="00520806" w:rsidRDefault="0059056D" w:rsidP="00607722">
            <w:pPr>
              <w:pStyle w:val="Tabletext1"/>
            </w:pPr>
            <w:r w:rsidRPr="00520806">
              <w:t>Absolute difference (95% CI):</w:t>
            </w:r>
            <w:r>
              <w:t xml:space="preserve"> </w:t>
            </w:r>
            <w:r w:rsidRPr="00E452CF">
              <w:t>0.7 (−3.7, 5.1)</w:t>
            </w:r>
          </w:p>
        </w:tc>
        <w:tc>
          <w:tcPr>
            <w:tcW w:w="580" w:type="pct"/>
            <w:tcBorders>
              <w:top w:val="single" w:sz="4" w:space="0" w:color="auto"/>
              <w:left w:val="single" w:sz="4" w:space="0" w:color="auto"/>
              <w:bottom w:val="single" w:sz="4" w:space="0" w:color="auto"/>
              <w:right w:val="single" w:sz="4" w:space="0" w:color="auto"/>
            </w:tcBorders>
          </w:tcPr>
          <w:p w14:paraId="07117113" w14:textId="78F8E707" w:rsidR="0059056D" w:rsidRPr="006A46A2" w:rsidRDefault="0059056D" w:rsidP="00607722">
            <w:r>
              <w:t>NA</w:t>
            </w:r>
          </w:p>
        </w:tc>
      </w:tr>
      <w:tr w:rsidR="004F1EB1" w14:paraId="73A2C612"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7B22E0B6" w14:textId="77777777" w:rsidR="00AA6E04" w:rsidRDefault="00AA6E04" w:rsidP="000A4AD3">
            <w:pPr>
              <w:pStyle w:val="Tabletext1"/>
            </w:pPr>
            <w:r>
              <w:t>Recurrence of PJI</w:t>
            </w:r>
          </w:p>
        </w:tc>
        <w:tc>
          <w:tcPr>
            <w:tcW w:w="592" w:type="pct"/>
            <w:vMerge w:val="restart"/>
            <w:tcBorders>
              <w:top w:val="single" w:sz="4" w:space="0" w:color="auto"/>
              <w:left w:val="single" w:sz="4" w:space="0" w:color="auto"/>
              <w:right w:val="single" w:sz="4" w:space="0" w:color="auto"/>
            </w:tcBorders>
            <w:hideMark/>
          </w:tcPr>
          <w:p w14:paraId="04139BAF" w14:textId="77777777" w:rsidR="00AA6E04" w:rsidRDefault="00AA6E04" w:rsidP="000A4AD3">
            <w:pPr>
              <w:pStyle w:val="Tabletext1"/>
            </w:pPr>
            <w:r>
              <w:t>54</w:t>
            </w:r>
          </w:p>
          <w:p w14:paraId="7F483BE6" w14:textId="77777777" w:rsidR="00AA6E04" w:rsidRDefault="00AA6E04" w:rsidP="000A4AD3">
            <w:pPr>
              <w:pStyle w:val="Tabletext1"/>
            </w:pPr>
            <w:r>
              <w:t>(1 case-control study, Zagra 2019)</w:t>
            </w:r>
          </w:p>
        </w:tc>
        <w:tc>
          <w:tcPr>
            <w:tcW w:w="617" w:type="pct"/>
            <w:tcBorders>
              <w:top w:val="single" w:sz="4" w:space="0" w:color="auto"/>
              <w:left w:val="single" w:sz="4" w:space="0" w:color="auto"/>
              <w:bottom w:val="single" w:sz="4" w:space="0" w:color="auto"/>
              <w:right w:val="single" w:sz="4" w:space="0" w:color="auto"/>
            </w:tcBorders>
            <w:vAlign w:val="center"/>
            <w:hideMark/>
          </w:tcPr>
          <w:p w14:paraId="4C07784D" w14:textId="5EF15E3E" w:rsidR="00AA6E04" w:rsidRPr="002B182F" w:rsidRDefault="00AA6E04" w:rsidP="000A4AD3">
            <w:pPr>
              <w:pStyle w:val="Tabletext1"/>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hideMark/>
          </w:tcPr>
          <w:p w14:paraId="559EEF73" w14:textId="21A40BDB" w:rsidR="00AA6E04" w:rsidRDefault="00AA6E04" w:rsidP="000A4AD3">
            <w:pPr>
              <w:pStyle w:val="Tabletext1"/>
              <w:rPr>
                <w:snapToGrid w:val="0"/>
                <w:lang w:eastAsia="en-US"/>
              </w:rPr>
            </w:pPr>
            <w:r>
              <w:rPr>
                <w:snapToGrid w:val="0"/>
                <w:lang w:eastAsia="en-US"/>
              </w:rPr>
              <w:t>DAC</w:t>
            </w:r>
            <w:r w:rsidR="001762ED">
              <w:t>+abs</w:t>
            </w:r>
            <w:r>
              <w:rPr>
                <w:snapToGrid w:val="0"/>
                <w:lang w:eastAsia="en-US"/>
              </w:rPr>
              <w:t>: 0% (0/27)</w:t>
            </w:r>
          </w:p>
          <w:p w14:paraId="4D54E193" w14:textId="7C3A2436" w:rsidR="00AA6E04" w:rsidRDefault="00AA6E04" w:rsidP="000A4AD3">
            <w:pPr>
              <w:pStyle w:val="Tabletext1"/>
              <w:rPr>
                <w:snapToGrid w:val="0"/>
                <w:lang w:eastAsia="en-US"/>
              </w:rPr>
            </w:pPr>
            <w:r>
              <w:rPr>
                <w:snapToGrid w:val="0"/>
                <w:lang w:eastAsia="en-US"/>
              </w:rPr>
              <w:t>No DAC</w:t>
            </w:r>
            <w:r w:rsidR="001762ED">
              <w:t>+abs</w:t>
            </w:r>
            <w:r>
              <w:rPr>
                <w:snapToGrid w:val="0"/>
                <w:lang w:eastAsia="en-US"/>
              </w:rPr>
              <w:t xml:space="preserve">: 14.8% (4/27) </w:t>
            </w:r>
          </w:p>
        </w:tc>
        <w:tc>
          <w:tcPr>
            <w:tcW w:w="247" w:type="pct"/>
            <w:tcBorders>
              <w:top w:val="single" w:sz="4" w:space="0" w:color="auto"/>
              <w:left w:val="single" w:sz="4" w:space="0" w:color="auto"/>
              <w:bottom w:val="single" w:sz="4" w:space="0" w:color="auto"/>
              <w:right w:val="single" w:sz="4" w:space="0" w:color="auto"/>
            </w:tcBorders>
            <w:hideMark/>
          </w:tcPr>
          <w:p w14:paraId="4C5E933A" w14:textId="77777777" w:rsidR="00AA6E04" w:rsidRDefault="00AA6E04" w:rsidP="000A4AD3">
            <w:pPr>
              <w:pStyle w:val="Tabletext1"/>
              <w:rPr>
                <w:snapToGrid w:val="0"/>
                <w:lang w:eastAsia="en-US"/>
              </w:rPr>
            </w:pPr>
            <w:r>
              <w:rPr>
                <w:snapToGrid w:val="0"/>
                <w:lang w:eastAsia="en-US"/>
              </w:rPr>
              <w:t>0.110</w:t>
            </w:r>
          </w:p>
        </w:tc>
        <w:tc>
          <w:tcPr>
            <w:tcW w:w="526" w:type="pct"/>
            <w:tcBorders>
              <w:top w:val="single" w:sz="4" w:space="0" w:color="auto"/>
              <w:left w:val="single" w:sz="4" w:space="0" w:color="auto"/>
              <w:bottom w:val="single" w:sz="4" w:space="0" w:color="auto"/>
              <w:right w:val="single" w:sz="4" w:space="0" w:color="auto"/>
            </w:tcBorders>
            <w:hideMark/>
          </w:tcPr>
          <w:p w14:paraId="6342F534" w14:textId="77777777" w:rsidR="00AA6E04" w:rsidRDefault="00AA6E04" w:rsidP="000A4AD3">
            <w:pPr>
              <w:pStyle w:val="Tabletext1"/>
            </w:pPr>
            <w:r>
              <w:rPr>
                <w:snapToGrid w:val="0"/>
                <w:lang w:eastAsia="en-US"/>
              </w:rPr>
              <w:t xml:space="preserve">0.11 (0.006 to 1.968); p= </w:t>
            </w:r>
            <w:r w:rsidRPr="0026214D">
              <w:rPr>
                <w:snapToGrid w:val="0"/>
                <w:lang w:eastAsia="en-US"/>
              </w:rPr>
              <w:t>0.134</w:t>
            </w:r>
          </w:p>
        </w:tc>
        <w:tc>
          <w:tcPr>
            <w:tcW w:w="599" w:type="pct"/>
            <w:tcBorders>
              <w:top w:val="single" w:sz="4" w:space="0" w:color="auto"/>
              <w:left w:val="single" w:sz="4" w:space="0" w:color="auto"/>
              <w:bottom w:val="single" w:sz="4" w:space="0" w:color="auto"/>
              <w:right w:val="single" w:sz="4" w:space="0" w:color="auto"/>
            </w:tcBorders>
            <w:hideMark/>
          </w:tcPr>
          <w:p w14:paraId="1AC5C3A1" w14:textId="6CB949B0" w:rsidR="00AA6E04" w:rsidRDefault="00AA6E04" w:rsidP="000A4AD3">
            <w:pPr>
              <w:pStyle w:val="Tabletext1"/>
              <w:rPr>
                <w:snapToGrid w:val="0"/>
                <w:lang w:eastAsia="en-US"/>
              </w:rPr>
            </w:pPr>
            <w:r>
              <w:rPr>
                <w:snapToGrid w:val="0"/>
                <w:lang w:eastAsia="en-US"/>
              </w:rPr>
              <w:t>-14.8% (-28.2%, -1.4%)</w:t>
            </w:r>
          </w:p>
        </w:tc>
        <w:tc>
          <w:tcPr>
            <w:tcW w:w="580" w:type="pct"/>
            <w:tcBorders>
              <w:top w:val="single" w:sz="4" w:space="0" w:color="auto"/>
              <w:left w:val="single" w:sz="4" w:space="0" w:color="auto"/>
              <w:bottom w:val="single" w:sz="4" w:space="0" w:color="auto"/>
              <w:right w:val="single" w:sz="4" w:space="0" w:color="auto"/>
            </w:tcBorders>
          </w:tcPr>
          <w:p w14:paraId="2FEEB501" w14:textId="63BF13A3" w:rsidR="00AA6E04" w:rsidRPr="006A46A2" w:rsidRDefault="00AA6E04" w:rsidP="000A4AD3">
            <w:pPr>
              <w:pStyle w:val="Tabletext1"/>
              <w:rPr>
                <w:snapToGrid w:val="0"/>
                <w:lang w:eastAsia="en-US"/>
              </w:rPr>
            </w:pPr>
            <w:r>
              <w:rPr>
                <w:snapToGrid w:val="0"/>
                <w:lang w:eastAsia="en-US"/>
              </w:rPr>
              <w:t>7 (-570 to infinity to 3)</w:t>
            </w:r>
          </w:p>
        </w:tc>
      </w:tr>
      <w:tr w:rsidR="004F1EB1" w14:paraId="7AA967CF" w14:textId="77777777" w:rsidTr="00F871EC">
        <w:trPr>
          <w:gridAfter w:val="1"/>
          <w:wAfter w:w="8" w:type="pct"/>
          <w:trHeight w:val="756"/>
        </w:trPr>
        <w:tc>
          <w:tcPr>
            <w:tcW w:w="1029" w:type="pct"/>
            <w:tcBorders>
              <w:top w:val="single" w:sz="4" w:space="0" w:color="auto"/>
              <w:left w:val="single" w:sz="4" w:space="0" w:color="auto"/>
              <w:bottom w:val="single" w:sz="4" w:space="0" w:color="auto"/>
              <w:right w:val="single" w:sz="4" w:space="0" w:color="auto"/>
            </w:tcBorders>
            <w:hideMark/>
          </w:tcPr>
          <w:p w14:paraId="46959128" w14:textId="77777777" w:rsidR="00AA6E04" w:rsidRDefault="00AA6E04" w:rsidP="000A4AD3">
            <w:pPr>
              <w:pStyle w:val="Tabletext1"/>
            </w:pPr>
            <w:r>
              <w:t>Hospital length of stay, days</w:t>
            </w:r>
          </w:p>
        </w:tc>
        <w:tc>
          <w:tcPr>
            <w:tcW w:w="592" w:type="pct"/>
            <w:vMerge/>
            <w:tcBorders>
              <w:left w:val="single" w:sz="4" w:space="0" w:color="auto"/>
              <w:right w:val="single" w:sz="4" w:space="0" w:color="auto"/>
            </w:tcBorders>
            <w:vAlign w:val="center"/>
            <w:hideMark/>
          </w:tcPr>
          <w:p w14:paraId="72EE85AB" w14:textId="77777777" w:rsidR="00AA6E04" w:rsidRDefault="00AA6E04" w:rsidP="000A4AD3"/>
        </w:tc>
        <w:tc>
          <w:tcPr>
            <w:tcW w:w="617" w:type="pct"/>
            <w:tcBorders>
              <w:top w:val="single" w:sz="4" w:space="0" w:color="auto"/>
              <w:left w:val="single" w:sz="4" w:space="0" w:color="auto"/>
              <w:bottom w:val="single" w:sz="4" w:space="0" w:color="auto"/>
              <w:right w:val="single" w:sz="4" w:space="0" w:color="auto"/>
            </w:tcBorders>
            <w:vAlign w:val="center"/>
            <w:hideMark/>
          </w:tcPr>
          <w:p w14:paraId="438ADEAB" w14:textId="3552E05C" w:rsidR="00AA6E04" w:rsidRDefault="00056DD9" w:rsidP="000A4AD3">
            <w:pPr>
              <w:rPr>
                <w:rFonts w:ascii="Arial Narrow" w:hAnsi="Arial Narrow"/>
                <w:sz w:val="20"/>
                <w:szCs w:val="2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hideMark/>
          </w:tcPr>
          <w:p w14:paraId="418D0F2D" w14:textId="77777777" w:rsidR="00AA6E04" w:rsidRDefault="00AA6E04" w:rsidP="000A4AD3">
            <w:pPr>
              <w:pStyle w:val="Tabletext1"/>
            </w:pPr>
            <w:r>
              <w:t>Mean</w:t>
            </w:r>
            <w:r w:rsidRPr="00ED4955">
              <w:t>±</w:t>
            </w:r>
            <w:r>
              <w:t>SD</w:t>
            </w:r>
          </w:p>
          <w:p w14:paraId="5B8C0F02" w14:textId="00230E62" w:rsidR="00AA6E04" w:rsidRDefault="00AA6E04" w:rsidP="000A4AD3">
            <w:pPr>
              <w:pStyle w:val="Tabletext1"/>
            </w:pPr>
            <w:r>
              <w:rPr>
                <w:snapToGrid w:val="0"/>
                <w:lang w:eastAsia="en-US"/>
              </w:rPr>
              <w:t>DAC</w:t>
            </w:r>
            <w:r w:rsidR="001762ED">
              <w:t>+abs</w:t>
            </w:r>
            <w:r>
              <w:rPr>
                <w:snapToGrid w:val="0"/>
                <w:lang w:eastAsia="en-US"/>
              </w:rPr>
              <w:t xml:space="preserve">: </w:t>
            </w:r>
            <w:r>
              <w:t>28.2 ± 3.9</w:t>
            </w:r>
          </w:p>
          <w:p w14:paraId="27289B84" w14:textId="512BAFBD" w:rsidR="00AA6E04" w:rsidRDefault="00AA6E04" w:rsidP="000A4AD3">
            <w:pPr>
              <w:pStyle w:val="Tabletext1"/>
              <w:rPr>
                <w:snapToGrid w:val="0"/>
                <w:lang w:eastAsia="en-US"/>
              </w:rPr>
            </w:pPr>
            <w:r>
              <w:rPr>
                <w:snapToGrid w:val="0"/>
              </w:rPr>
              <w:t>No DAC</w:t>
            </w:r>
            <w:r w:rsidR="001762ED">
              <w:t>+abs</w:t>
            </w:r>
            <w:r>
              <w:rPr>
                <w:snapToGrid w:val="0"/>
              </w:rPr>
              <w:t xml:space="preserve">: </w:t>
            </w:r>
            <w:r>
              <w:t>33.8 ± 5.4</w:t>
            </w:r>
          </w:p>
        </w:tc>
        <w:tc>
          <w:tcPr>
            <w:tcW w:w="247" w:type="pct"/>
            <w:tcBorders>
              <w:top w:val="single" w:sz="4" w:space="0" w:color="auto"/>
              <w:left w:val="single" w:sz="4" w:space="0" w:color="auto"/>
              <w:bottom w:val="single" w:sz="4" w:space="0" w:color="auto"/>
              <w:right w:val="single" w:sz="4" w:space="0" w:color="auto"/>
            </w:tcBorders>
            <w:hideMark/>
          </w:tcPr>
          <w:p w14:paraId="5BE2DDFC" w14:textId="77777777" w:rsidR="00AA6E04" w:rsidRDefault="00AA6E04" w:rsidP="000A4AD3">
            <w:pPr>
              <w:pStyle w:val="Tabletext1"/>
              <w:rPr>
                <w:snapToGrid w:val="0"/>
                <w:lang w:eastAsia="en-US"/>
              </w:rPr>
            </w:pPr>
            <w:r>
              <w:rPr>
                <w:snapToGrid w:val="0"/>
                <w:lang w:eastAsia="en-US"/>
              </w:rPr>
              <w:t>0.0001</w:t>
            </w:r>
          </w:p>
        </w:tc>
        <w:tc>
          <w:tcPr>
            <w:tcW w:w="526" w:type="pct"/>
            <w:tcBorders>
              <w:top w:val="single" w:sz="4" w:space="0" w:color="auto"/>
              <w:left w:val="single" w:sz="4" w:space="0" w:color="auto"/>
              <w:bottom w:val="single" w:sz="4" w:space="0" w:color="auto"/>
              <w:right w:val="single" w:sz="4" w:space="0" w:color="auto"/>
            </w:tcBorders>
            <w:hideMark/>
          </w:tcPr>
          <w:p w14:paraId="296AEDE1" w14:textId="77777777" w:rsidR="00AA6E04" w:rsidRDefault="00AA6E04"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hideMark/>
          </w:tcPr>
          <w:p w14:paraId="0634A8B5" w14:textId="77777777" w:rsidR="00AA6E04" w:rsidRDefault="00AA6E04" w:rsidP="00607722">
            <w:pPr>
              <w:pStyle w:val="Tabletext1"/>
              <w:rPr>
                <w:b/>
                <w:bCs/>
                <w:lang w:eastAsia="en-US"/>
              </w:rPr>
            </w:pPr>
            <w:r w:rsidRPr="00E452CF">
              <w:t>Absolute difference (95% CI):</w:t>
            </w:r>
            <w:r w:rsidRPr="00E84C44">
              <w:rPr>
                <w:b/>
                <w:bCs/>
              </w:rPr>
              <w:t xml:space="preserve"> </w:t>
            </w:r>
            <w:r>
              <w:rPr>
                <w:b/>
                <w:bCs/>
              </w:rPr>
              <w:t>−5.6 (−8.17, −3.03)</w:t>
            </w:r>
          </w:p>
        </w:tc>
        <w:tc>
          <w:tcPr>
            <w:tcW w:w="580" w:type="pct"/>
            <w:tcBorders>
              <w:top w:val="single" w:sz="4" w:space="0" w:color="auto"/>
              <w:left w:val="single" w:sz="4" w:space="0" w:color="auto"/>
              <w:bottom w:val="single" w:sz="4" w:space="0" w:color="auto"/>
              <w:right w:val="single" w:sz="4" w:space="0" w:color="auto"/>
            </w:tcBorders>
          </w:tcPr>
          <w:p w14:paraId="2D38E4AC" w14:textId="0F67ADA9" w:rsidR="00AA6E04" w:rsidRPr="006A46A2" w:rsidRDefault="00AA6E04" w:rsidP="00607722">
            <w:r>
              <w:t>NA</w:t>
            </w:r>
          </w:p>
        </w:tc>
      </w:tr>
      <w:tr w:rsidR="004F1EB1" w14:paraId="27A406BB" w14:textId="77777777" w:rsidTr="00F871EC">
        <w:trPr>
          <w:gridAfter w:val="1"/>
          <w:wAfter w:w="8" w:type="pct"/>
          <w:trHeight w:val="806"/>
        </w:trPr>
        <w:tc>
          <w:tcPr>
            <w:tcW w:w="1029" w:type="pct"/>
            <w:tcBorders>
              <w:top w:val="single" w:sz="4" w:space="0" w:color="auto"/>
              <w:left w:val="single" w:sz="4" w:space="0" w:color="auto"/>
              <w:bottom w:val="single" w:sz="4" w:space="0" w:color="auto"/>
              <w:right w:val="single" w:sz="4" w:space="0" w:color="auto"/>
            </w:tcBorders>
          </w:tcPr>
          <w:p w14:paraId="50005B6C" w14:textId="77777777" w:rsidR="00AA6E04" w:rsidRDefault="00AA6E04" w:rsidP="000A4AD3">
            <w:pPr>
              <w:pStyle w:val="Tabletext1"/>
            </w:pPr>
            <w:r>
              <w:lastRenderedPageBreak/>
              <w:t>Harris Hip score</w:t>
            </w:r>
          </w:p>
        </w:tc>
        <w:tc>
          <w:tcPr>
            <w:tcW w:w="592" w:type="pct"/>
            <w:vMerge/>
            <w:tcBorders>
              <w:left w:val="single" w:sz="4" w:space="0" w:color="auto"/>
              <w:bottom w:val="single" w:sz="4" w:space="0" w:color="auto"/>
              <w:right w:val="single" w:sz="4" w:space="0" w:color="auto"/>
            </w:tcBorders>
            <w:vAlign w:val="center"/>
          </w:tcPr>
          <w:p w14:paraId="38C01560" w14:textId="77777777" w:rsidR="00AA6E04" w:rsidRDefault="00AA6E04" w:rsidP="000A4AD3"/>
        </w:tc>
        <w:tc>
          <w:tcPr>
            <w:tcW w:w="617" w:type="pct"/>
            <w:tcBorders>
              <w:top w:val="single" w:sz="4" w:space="0" w:color="auto"/>
              <w:left w:val="single" w:sz="4" w:space="0" w:color="auto"/>
              <w:right w:val="single" w:sz="4" w:space="0" w:color="auto"/>
            </w:tcBorders>
            <w:vAlign w:val="center"/>
          </w:tcPr>
          <w:p w14:paraId="3C00E73B" w14:textId="7690A7E8" w:rsidR="00AA6E04" w:rsidRDefault="00056DD9" w:rsidP="000A4AD3">
            <w:pPr>
              <w:rPr>
                <w:color w:val="00B050"/>
              </w:rPr>
            </w:pPr>
            <w:r>
              <w:rPr>
                <w:rFonts w:ascii="Cambria Math" w:hAnsi="Cambria Math" w:cs="Cambria Math"/>
                <w:color w:val="00B050"/>
              </w:rPr>
              <w:t>⨁</w:t>
            </w:r>
            <w:r w:rsidRPr="000A4AD3">
              <w:rPr>
                <w:rFonts w:ascii="Cambria Math" w:hAnsi="Cambria Math" w:cs="Cambria Math"/>
                <w:color w:val="FF0000"/>
              </w:rPr>
              <w:t>⨀⨀⨀</w:t>
            </w:r>
          </w:p>
        </w:tc>
        <w:tc>
          <w:tcPr>
            <w:tcW w:w="802" w:type="pct"/>
            <w:tcBorders>
              <w:top w:val="single" w:sz="4" w:space="0" w:color="auto"/>
              <w:left w:val="single" w:sz="4" w:space="0" w:color="auto"/>
              <w:bottom w:val="single" w:sz="4" w:space="0" w:color="auto"/>
              <w:right w:val="single" w:sz="4" w:space="0" w:color="auto"/>
            </w:tcBorders>
          </w:tcPr>
          <w:p w14:paraId="09B396BB" w14:textId="77777777" w:rsidR="00AA6E04" w:rsidRDefault="00AA6E04" w:rsidP="000A4AD3">
            <w:pPr>
              <w:pStyle w:val="Tabletext1"/>
            </w:pPr>
            <w:r>
              <w:t>Mean±SD</w:t>
            </w:r>
          </w:p>
          <w:p w14:paraId="49AA44AC" w14:textId="6BEA82AF" w:rsidR="00AA6E04" w:rsidRDefault="00AA6E04" w:rsidP="000A4AD3">
            <w:pPr>
              <w:pStyle w:val="Tabletext1"/>
            </w:pPr>
            <w:r>
              <w:t>DAC</w:t>
            </w:r>
            <w:r w:rsidR="001762ED">
              <w:t>+abs</w:t>
            </w:r>
            <w:r>
              <w:t xml:space="preserve">: </w:t>
            </w:r>
            <w:r w:rsidRPr="0022582B">
              <w:t>84.6 ± 15.8</w:t>
            </w:r>
            <w:r>
              <w:t>;</w:t>
            </w:r>
          </w:p>
          <w:p w14:paraId="241951ED" w14:textId="00860F7E" w:rsidR="00AA6E04" w:rsidRDefault="00AA6E04" w:rsidP="000A4AD3">
            <w:pPr>
              <w:pStyle w:val="Tabletext1"/>
              <w:rPr>
                <w:snapToGrid w:val="0"/>
                <w:lang w:eastAsia="en-US"/>
              </w:rPr>
            </w:pPr>
            <w:r>
              <w:t xml:space="preserve"> </w:t>
            </w:r>
            <w:r w:rsidR="001762ED">
              <w:t>N</w:t>
            </w:r>
            <w:r>
              <w:t>o DAC</w:t>
            </w:r>
            <w:r w:rsidR="001762ED">
              <w:t>+abs</w:t>
            </w:r>
            <w:r>
              <w:t xml:space="preserve">: </w:t>
            </w:r>
            <w:r w:rsidRPr="0022582B">
              <w:t>81.6 ± 15.2</w:t>
            </w:r>
          </w:p>
        </w:tc>
        <w:tc>
          <w:tcPr>
            <w:tcW w:w="247" w:type="pct"/>
            <w:tcBorders>
              <w:top w:val="single" w:sz="4" w:space="0" w:color="auto"/>
              <w:left w:val="single" w:sz="4" w:space="0" w:color="auto"/>
              <w:bottom w:val="single" w:sz="4" w:space="0" w:color="auto"/>
              <w:right w:val="single" w:sz="4" w:space="0" w:color="auto"/>
            </w:tcBorders>
          </w:tcPr>
          <w:p w14:paraId="7A68C9F6" w14:textId="77777777" w:rsidR="00AA6E04" w:rsidRPr="00E452CF" w:rsidRDefault="00AA6E04" w:rsidP="000A4AD3">
            <w:pPr>
              <w:pStyle w:val="Tabletext1"/>
              <w:rPr>
                <w:snapToGrid w:val="0"/>
                <w:lang w:eastAsia="en-US"/>
              </w:rPr>
            </w:pPr>
            <w:r w:rsidRPr="00E452CF">
              <w:rPr>
                <w:snapToGrid w:val="0"/>
                <w:lang w:eastAsia="en-US"/>
              </w:rPr>
              <w:t>0.480</w:t>
            </w:r>
          </w:p>
        </w:tc>
        <w:tc>
          <w:tcPr>
            <w:tcW w:w="526" w:type="pct"/>
            <w:tcBorders>
              <w:top w:val="single" w:sz="4" w:space="0" w:color="auto"/>
              <w:left w:val="single" w:sz="4" w:space="0" w:color="auto"/>
              <w:bottom w:val="single" w:sz="4" w:space="0" w:color="auto"/>
              <w:right w:val="single" w:sz="4" w:space="0" w:color="auto"/>
            </w:tcBorders>
          </w:tcPr>
          <w:p w14:paraId="2118CC8B" w14:textId="77777777" w:rsidR="00AA6E04" w:rsidRDefault="00AA6E04" w:rsidP="000A4AD3">
            <w:pPr>
              <w:pStyle w:val="Tabletext1"/>
              <w:rPr>
                <w:snapToGrid w:val="0"/>
                <w:lang w:eastAsia="en-US"/>
              </w:rPr>
            </w:pPr>
            <w:r>
              <w:rPr>
                <w:snapToGrid w:val="0"/>
                <w:lang w:eastAsia="en-US"/>
              </w:rPr>
              <w:t>NA</w:t>
            </w:r>
          </w:p>
        </w:tc>
        <w:tc>
          <w:tcPr>
            <w:tcW w:w="599" w:type="pct"/>
            <w:tcBorders>
              <w:top w:val="single" w:sz="4" w:space="0" w:color="auto"/>
              <w:left w:val="single" w:sz="4" w:space="0" w:color="auto"/>
              <w:bottom w:val="single" w:sz="4" w:space="0" w:color="auto"/>
              <w:right w:val="single" w:sz="4" w:space="0" w:color="auto"/>
            </w:tcBorders>
          </w:tcPr>
          <w:p w14:paraId="4F6BB2CF" w14:textId="77777777" w:rsidR="00AA6E04" w:rsidRDefault="00AA6E04" w:rsidP="00607722">
            <w:pPr>
              <w:pStyle w:val="Tabletext1"/>
              <w:rPr>
                <w:b/>
                <w:bCs/>
              </w:rPr>
            </w:pPr>
            <w:r w:rsidRPr="00520806">
              <w:t xml:space="preserve">Absolute difference (95% </w:t>
            </w:r>
            <w:r w:rsidRPr="00E325C6">
              <w:t>CI</w:t>
            </w:r>
            <w:r w:rsidRPr="00520806">
              <w:t>):</w:t>
            </w:r>
            <w:r>
              <w:t xml:space="preserve"> </w:t>
            </w:r>
            <w:r w:rsidRPr="0022582B">
              <w:t>3.0 (−5.5, 11.5)</w:t>
            </w:r>
          </w:p>
        </w:tc>
        <w:tc>
          <w:tcPr>
            <w:tcW w:w="580" w:type="pct"/>
            <w:tcBorders>
              <w:left w:val="single" w:sz="4" w:space="0" w:color="auto"/>
              <w:bottom w:val="single" w:sz="4" w:space="0" w:color="auto"/>
              <w:right w:val="single" w:sz="4" w:space="0" w:color="auto"/>
            </w:tcBorders>
          </w:tcPr>
          <w:p w14:paraId="71B77F85" w14:textId="77777777" w:rsidR="00AA6E04" w:rsidRPr="006A46A2" w:rsidRDefault="00AA6E04" w:rsidP="00607722">
            <w:r>
              <w:t>NA</w:t>
            </w:r>
          </w:p>
        </w:tc>
      </w:tr>
      <w:tr w:rsidR="00066A6C" w14:paraId="3A37CEEA" w14:textId="77777777" w:rsidTr="00A32CC1">
        <w:tc>
          <w:tcPr>
            <w:tcW w:w="5000" w:type="pct"/>
            <w:gridSpan w:val="9"/>
            <w:tcBorders>
              <w:top w:val="single" w:sz="4" w:space="0" w:color="auto"/>
              <w:left w:val="single" w:sz="4" w:space="0" w:color="auto"/>
              <w:bottom w:val="single" w:sz="4" w:space="0" w:color="auto"/>
              <w:right w:val="single" w:sz="4" w:space="0" w:color="auto"/>
            </w:tcBorders>
            <w:hideMark/>
          </w:tcPr>
          <w:p w14:paraId="5AA2FFAF" w14:textId="77777777" w:rsidR="00066A6C" w:rsidRDefault="00066A6C" w:rsidP="000A4AD3">
            <w:pPr>
              <w:pStyle w:val="Tabletext1"/>
            </w:pPr>
            <w:r>
              <w:t>Population 4 (closed fractures only)</w:t>
            </w:r>
          </w:p>
        </w:tc>
      </w:tr>
      <w:tr w:rsidR="004F1EB1" w14:paraId="317859B1"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hideMark/>
          </w:tcPr>
          <w:p w14:paraId="0A09C7E5" w14:textId="3A1084C4" w:rsidR="00066A6C" w:rsidRDefault="00066A6C" w:rsidP="000A4AD3">
            <w:pPr>
              <w:pStyle w:val="Tabletext1"/>
            </w:pPr>
            <w:r>
              <w:t>SSI</w:t>
            </w:r>
          </w:p>
          <w:p w14:paraId="34464A59" w14:textId="77777777" w:rsidR="00066A6C" w:rsidRDefault="00066A6C" w:rsidP="000A4AD3">
            <w:pPr>
              <w:pStyle w:val="Tabletext1"/>
            </w:pPr>
            <w:r>
              <w:t>Mean±SD follow-up of 18.1 ± 4.5 months (range 12–30)</w:t>
            </w:r>
          </w:p>
        </w:tc>
        <w:tc>
          <w:tcPr>
            <w:tcW w:w="592" w:type="pct"/>
            <w:vMerge w:val="restart"/>
            <w:tcBorders>
              <w:top w:val="single" w:sz="4" w:space="0" w:color="auto"/>
              <w:left w:val="single" w:sz="4" w:space="0" w:color="auto"/>
              <w:bottom w:val="single" w:sz="4" w:space="0" w:color="auto"/>
              <w:right w:val="single" w:sz="4" w:space="0" w:color="auto"/>
            </w:tcBorders>
            <w:hideMark/>
          </w:tcPr>
          <w:p w14:paraId="079F0DFB" w14:textId="77777777" w:rsidR="00066A6C" w:rsidRDefault="00066A6C" w:rsidP="000A4AD3">
            <w:pPr>
              <w:pStyle w:val="Tabletext1"/>
            </w:pPr>
            <w:r>
              <w:t>253</w:t>
            </w:r>
          </w:p>
          <w:p w14:paraId="7BE7FAE5" w14:textId="77777777" w:rsidR="00066A6C" w:rsidRDefault="00066A6C" w:rsidP="000A4AD3">
            <w:pPr>
              <w:pStyle w:val="Tabletext1"/>
            </w:pPr>
            <w:r>
              <w:t>(1 RCT, Malizos 2017)</w:t>
            </w:r>
          </w:p>
        </w:tc>
        <w:tc>
          <w:tcPr>
            <w:tcW w:w="617" w:type="pct"/>
            <w:tcBorders>
              <w:top w:val="single" w:sz="4" w:space="0" w:color="auto"/>
              <w:left w:val="single" w:sz="4" w:space="0" w:color="auto"/>
              <w:bottom w:val="single" w:sz="4" w:space="0" w:color="auto"/>
              <w:right w:val="single" w:sz="4" w:space="0" w:color="auto"/>
            </w:tcBorders>
            <w:hideMark/>
          </w:tcPr>
          <w:p w14:paraId="0D91238C" w14:textId="6B1FDFF3" w:rsidR="00066A6C" w:rsidRDefault="00066A6C" w:rsidP="000A4AD3">
            <w:pPr>
              <w:pStyle w:val="Tabletext1"/>
            </w:pPr>
            <w:r w:rsidRPr="000A4AD3">
              <w:rPr>
                <w:rFonts w:ascii="Cambria Math" w:hAnsi="Cambria Math" w:cs="Cambria Math"/>
                <w:color w:val="00B050"/>
              </w:rPr>
              <w:t>⨁⨁</w:t>
            </w:r>
            <w:r w:rsidRPr="002B182F">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hideMark/>
          </w:tcPr>
          <w:p w14:paraId="140D6B2F" w14:textId="211B3506" w:rsidR="00066A6C" w:rsidRDefault="00066A6C" w:rsidP="000A4AD3">
            <w:pPr>
              <w:pStyle w:val="Tabletext1"/>
            </w:pPr>
            <w:r>
              <w:t>DAC</w:t>
            </w:r>
            <w:r w:rsidR="001762ED">
              <w:t>+abs</w:t>
            </w:r>
            <w:r>
              <w:t>: 0.0% (0/126)</w:t>
            </w:r>
          </w:p>
          <w:p w14:paraId="61D59BD3" w14:textId="70992A1F" w:rsidR="00066A6C" w:rsidRDefault="00066A6C" w:rsidP="000A4AD3">
            <w:pPr>
              <w:pStyle w:val="Tabletext1"/>
            </w:pPr>
            <w:r>
              <w:t>No DAC</w:t>
            </w:r>
            <w:r w:rsidR="001762ED">
              <w:t>+abs</w:t>
            </w:r>
            <w:r>
              <w:t>: 4.7% (6/127)</w:t>
            </w:r>
          </w:p>
        </w:tc>
        <w:tc>
          <w:tcPr>
            <w:tcW w:w="247" w:type="pct"/>
            <w:tcBorders>
              <w:top w:val="single" w:sz="4" w:space="0" w:color="auto"/>
              <w:left w:val="single" w:sz="4" w:space="0" w:color="auto"/>
              <w:bottom w:val="single" w:sz="4" w:space="0" w:color="auto"/>
              <w:right w:val="single" w:sz="4" w:space="0" w:color="auto"/>
            </w:tcBorders>
            <w:hideMark/>
          </w:tcPr>
          <w:p w14:paraId="5AC7DEDE" w14:textId="77777777" w:rsidR="00066A6C" w:rsidRDefault="00066A6C" w:rsidP="000A4AD3">
            <w:pPr>
              <w:pStyle w:val="Tabletext1"/>
            </w:pPr>
            <w:r>
              <w:t>0.029</w:t>
            </w:r>
          </w:p>
        </w:tc>
        <w:tc>
          <w:tcPr>
            <w:tcW w:w="526" w:type="pct"/>
            <w:tcBorders>
              <w:top w:val="single" w:sz="4" w:space="0" w:color="auto"/>
              <w:left w:val="single" w:sz="4" w:space="0" w:color="auto"/>
              <w:bottom w:val="single" w:sz="4" w:space="0" w:color="auto"/>
              <w:right w:val="single" w:sz="4" w:space="0" w:color="auto"/>
            </w:tcBorders>
            <w:hideMark/>
          </w:tcPr>
          <w:p w14:paraId="40BDD619" w14:textId="55444731" w:rsidR="00066A6C" w:rsidRDefault="00066A6C" w:rsidP="000A4AD3">
            <w:pPr>
              <w:pStyle w:val="Tabletext1"/>
            </w:pPr>
            <w:r>
              <w:t>0.08 (0.004 to 1.36); p= 0.080</w:t>
            </w:r>
          </w:p>
        </w:tc>
        <w:tc>
          <w:tcPr>
            <w:tcW w:w="599" w:type="pct"/>
            <w:tcBorders>
              <w:top w:val="single" w:sz="4" w:space="0" w:color="auto"/>
              <w:left w:val="single" w:sz="4" w:space="0" w:color="auto"/>
              <w:bottom w:val="single" w:sz="4" w:space="0" w:color="auto"/>
              <w:right w:val="single" w:sz="4" w:space="0" w:color="auto"/>
            </w:tcBorders>
            <w:hideMark/>
          </w:tcPr>
          <w:p w14:paraId="4DCB42B1" w14:textId="2B6F28A3" w:rsidR="00066A6C" w:rsidRDefault="00066A6C" w:rsidP="000A4AD3">
            <w:pPr>
              <w:pStyle w:val="Tabletext1"/>
              <w:rPr>
                <w:b/>
                <w:bCs/>
              </w:rPr>
            </w:pPr>
            <w:r>
              <w:rPr>
                <w:b/>
                <w:bCs/>
              </w:rPr>
              <w:t>-4.70% (-</w:t>
            </w:r>
            <w:r>
              <w:t>-8.40</w:t>
            </w:r>
            <w:r w:rsidRPr="00E452CF">
              <w:t>%, -</w:t>
            </w:r>
            <w:r>
              <w:t>-1.20</w:t>
            </w:r>
            <w:r>
              <w:rPr>
                <w:b/>
                <w:bCs/>
              </w:rPr>
              <w:t>%)</w:t>
            </w:r>
          </w:p>
        </w:tc>
        <w:tc>
          <w:tcPr>
            <w:tcW w:w="580" w:type="pct"/>
            <w:tcBorders>
              <w:top w:val="single" w:sz="4" w:space="0" w:color="auto"/>
              <w:left w:val="single" w:sz="4" w:space="0" w:color="auto"/>
              <w:bottom w:val="single" w:sz="4" w:space="0" w:color="auto"/>
              <w:right w:val="single" w:sz="4" w:space="0" w:color="auto"/>
            </w:tcBorders>
          </w:tcPr>
          <w:p w14:paraId="09CA5054" w14:textId="34612E34" w:rsidR="00066A6C" w:rsidRPr="003143CF" w:rsidRDefault="00066A6C" w:rsidP="000A4AD3">
            <w:pPr>
              <w:pStyle w:val="Tabletext1"/>
            </w:pPr>
            <w:r>
              <w:t xml:space="preserve">21 (12, </w:t>
            </w:r>
            <w:r w:rsidR="00C3574F">
              <w:t>140</w:t>
            </w:r>
            <w:r>
              <w:t>)</w:t>
            </w:r>
          </w:p>
        </w:tc>
      </w:tr>
      <w:tr w:rsidR="004F1EB1" w14:paraId="143AC5A1"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34A219F9" w14:textId="6D161C99" w:rsidR="00AA6E04" w:rsidRDefault="00AA6E04" w:rsidP="000A4AD3">
            <w:pPr>
              <w:pStyle w:val="Tabletext1"/>
            </w:pPr>
            <w:r>
              <w:t>SF-12 total score</w:t>
            </w:r>
          </w:p>
        </w:tc>
        <w:tc>
          <w:tcPr>
            <w:tcW w:w="592" w:type="pct"/>
            <w:vMerge/>
            <w:tcBorders>
              <w:top w:val="single" w:sz="4" w:space="0" w:color="auto"/>
              <w:left w:val="single" w:sz="4" w:space="0" w:color="auto"/>
              <w:bottom w:val="single" w:sz="4" w:space="0" w:color="auto"/>
              <w:right w:val="single" w:sz="4" w:space="0" w:color="auto"/>
            </w:tcBorders>
          </w:tcPr>
          <w:p w14:paraId="49CB436B" w14:textId="77777777" w:rsidR="00AA6E04" w:rsidRDefault="00AA6E04"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15E6312C" w14:textId="6E2A1E8B" w:rsidR="00AA6E04" w:rsidRDefault="00AA6E04"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12A8BB32" w14:textId="77777777" w:rsidR="00AA6E04" w:rsidRDefault="00AA6E04" w:rsidP="000A4AD3">
            <w:pPr>
              <w:pStyle w:val="Tabletext1"/>
            </w:pPr>
            <w:r>
              <w:t>Mean±SD</w:t>
            </w:r>
          </w:p>
          <w:p w14:paraId="7E33A8FF" w14:textId="77777777" w:rsidR="000826B4" w:rsidRDefault="00AA6E04" w:rsidP="000A4AD3">
            <w:pPr>
              <w:pStyle w:val="Tabletext1"/>
            </w:pPr>
            <w:r>
              <w:t>DAC</w:t>
            </w:r>
            <w:r w:rsidR="001762ED">
              <w:t>+abs</w:t>
            </w:r>
            <w:r>
              <w:t xml:space="preserve">: 100.5 ± 14.2; </w:t>
            </w:r>
          </w:p>
          <w:p w14:paraId="3AF91B88" w14:textId="26C23459" w:rsidR="00AA6E04" w:rsidRDefault="001762ED" w:rsidP="000A4AD3">
            <w:pPr>
              <w:pStyle w:val="Tabletext1"/>
            </w:pPr>
            <w:r>
              <w:t>N</w:t>
            </w:r>
            <w:r w:rsidR="00AA6E04">
              <w:t>o DAC</w:t>
            </w:r>
            <w:r>
              <w:t>+abs</w:t>
            </w:r>
            <w:r w:rsidR="00AA6E04">
              <w:t>: 101.7 ± 15.4</w:t>
            </w:r>
          </w:p>
        </w:tc>
        <w:tc>
          <w:tcPr>
            <w:tcW w:w="247" w:type="pct"/>
            <w:tcBorders>
              <w:top w:val="single" w:sz="4" w:space="0" w:color="auto"/>
              <w:left w:val="single" w:sz="4" w:space="0" w:color="auto"/>
              <w:bottom w:val="single" w:sz="4" w:space="0" w:color="auto"/>
              <w:right w:val="single" w:sz="4" w:space="0" w:color="auto"/>
            </w:tcBorders>
          </w:tcPr>
          <w:p w14:paraId="01A2133E" w14:textId="2CF7D483" w:rsidR="00AA6E04" w:rsidRDefault="00AA6E04" w:rsidP="000A4AD3">
            <w:pPr>
              <w:pStyle w:val="Tabletext1"/>
              <w:rPr>
                <w:b/>
                <w:bCs/>
              </w:rPr>
            </w:pPr>
            <w:r w:rsidRPr="005E78B5">
              <w:t>0.51</w:t>
            </w:r>
          </w:p>
        </w:tc>
        <w:tc>
          <w:tcPr>
            <w:tcW w:w="526" w:type="pct"/>
            <w:tcBorders>
              <w:top w:val="single" w:sz="4" w:space="0" w:color="auto"/>
              <w:left w:val="single" w:sz="4" w:space="0" w:color="auto"/>
              <w:bottom w:val="single" w:sz="4" w:space="0" w:color="auto"/>
              <w:right w:val="single" w:sz="4" w:space="0" w:color="auto"/>
            </w:tcBorders>
          </w:tcPr>
          <w:p w14:paraId="41C8D50A" w14:textId="3AA0728B" w:rsidR="00AA6E04" w:rsidRDefault="00AA6E04" w:rsidP="000A4AD3">
            <w:pPr>
              <w:pStyle w:val="Tabletext1"/>
            </w:pPr>
            <w:r>
              <w:t>NA</w:t>
            </w:r>
          </w:p>
        </w:tc>
        <w:tc>
          <w:tcPr>
            <w:tcW w:w="599" w:type="pct"/>
            <w:tcBorders>
              <w:top w:val="single" w:sz="4" w:space="0" w:color="auto"/>
              <w:left w:val="single" w:sz="4" w:space="0" w:color="auto"/>
              <w:bottom w:val="single" w:sz="4" w:space="0" w:color="auto"/>
              <w:right w:val="single" w:sz="4" w:space="0" w:color="auto"/>
            </w:tcBorders>
          </w:tcPr>
          <w:p w14:paraId="50A1BE38" w14:textId="385706E1" w:rsidR="00AA6E04" w:rsidRDefault="00AA6E04" w:rsidP="000A4AD3">
            <w:pPr>
              <w:pStyle w:val="Tabletext1"/>
              <w:rPr>
                <w:b/>
                <w:bCs/>
              </w:rPr>
            </w:pPr>
            <w:r w:rsidRPr="005E78B5">
              <w:t>−1.2 (−9.3, 6.9)</w:t>
            </w:r>
          </w:p>
        </w:tc>
        <w:tc>
          <w:tcPr>
            <w:tcW w:w="580" w:type="pct"/>
            <w:tcBorders>
              <w:top w:val="single" w:sz="4" w:space="0" w:color="auto"/>
              <w:left w:val="single" w:sz="4" w:space="0" w:color="auto"/>
              <w:bottom w:val="single" w:sz="4" w:space="0" w:color="auto"/>
              <w:right w:val="single" w:sz="4" w:space="0" w:color="auto"/>
            </w:tcBorders>
          </w:tcPr>
          <w:p w14:paraId="680B4AA0" w14:textId="559C7ED1" w:rsidR="00AA6E04" w:rsidRDefault="00AA6E04" w:rsidP="000A4AD3">
            <w:pPr>
              <w:pStyle w:val="Tabletext1"/>
            </w:pPr>
            <w:r>
              <w:t>NA</w:t>
            </w:r>
          </w:p>
        </w:tc>
      </w:tr>
      <w:tr w:rsidR="004F1EB1" w14:paraId="1B69FBDD"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40B9FC1A" w14:textId="04541930" w:rsidR="00AA6E04" w:rsidRDefault="00AA6E04" w:rsidP="000A4AD3">
            <w:pPr>
              <w:pStyle w:val="Tabletext1"/>
            </w:pPr>
            <w:r>
              <w:t>Delayed wound healing</w:t>
            </w:r>
          </w:p>
        </w:tc>
        <w:tc>
          <w:tcPr>
            <w:tcW w:w="592" w:type="pct"/>
            <w:vMerge/>
            <w:tcBorders>
              <w:top w:val="single" w:sz="4" w:space="0" w:color="auto"/>
              <w:left w:val="single" w:sz="4" w:space="0" w:color="auto"/>
              <w:bottom w:val="single" w:sz="4" w:space="0" w:color="auto"/>
              <w:right w:val="single" w:sz="4" w:space="0" w:color="auto"/>
            </w:tcBorders>
          </w:tcPr>
          <w:p w14:paraId="3A095780" w14:textId="77777777" w:rsidR="00AA6E04" w:rsidRDefault="00AA6E04"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136E8C1D" w14:textId="4A3DA803" w:rsidR="00AA6E04" w:rsidRDefault="00056DD9"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1964EE91" w14:textId="035F141A" w:rsidR="000826B4" w:rsidRDefault="00AA6E04" w:rsidP="000A4AD3">
            <w:pPr>
              <w:pStyle w:val="Tabletext1"/>
            </w:pPr>
            <w:r>
              <w:t>DAC</w:t>
            </w:r>
            <w:r w:rsidR="001762ED">
              <w:t>+abs</w:t>
            </w:r>
            <w:r>
              <w:t xml:space="preserve">: </w:t>
            </w:r>
            <w:r w:rsidRPr="00896CB1">
              <w:t>3.9</w:t>
            </w:r>
            <w:r>
              <w:t>%</w:t>
            </w:r>
            <w:r w:rsidRPr="00896CB1">
              <w:t xml:space="preserve"> (5</w:t>
            </w:r>
            <w:r>
              <w:t>/126</w:t>
            </w:r>
            <w:r w:rsidRPr="00896CB1">
              <w:t>)</w:t>
            </w:r>
            <w:r>
              <w:t xml:space="preserve">; </w:t>
            </w:r>
          </w:p>
          <w:p w14:paraId="1301FA5F" w14:textId="3EA34A44" w:rsidR="00AA6E04" w:rsidRDefault="001762ED" w:rsidP="000A4AD3">
            <w:pPr>
              <w:pStyle w:val="Tabletext1"/>
            </w:pPr>
            <w:r>
              <w:t>N</w:t>
            </w:r>
            <w:r w:rsidR="00AA6E04">
              <w:t>o DAC</w:t>
            </w:r>
            <w:r>
              <w:t>+abs</w:t>
            </w:r>
            <w:r w:rsidR="00AA6E04">
              <w:t xml:space="preserve">: </w:t>
            </w:r>
            <w:r w:rsidR="00AA6E04" w:rsidRPr="00896CB1">
              <w:t>5.5</w:t>
            </w:r>
            <w:r w:rsidR="00AA6E04">
              <w:t>%</w:t>
            </w:r>
            <w:r w:rsidR="00AA6E04" w:rsidRPr="00896CB1">
              <w:t xml:space="preserve"> (7</w:t>
            </w:r>
            <w:r w:rsidR="00AA6E04">
              <w:t>/127</w:t>
            </w:r>
            <w:r w:rsidR="00AA6E04" w:rsidRPr="00896CB1">
              <w:t>)</w:t>
            </w:r>
          </w:p>
        </w:tc>
        <w:tc>
          <w:tcPr>
            <w:tcW w:w="247" w:type="pct"/>
            <w:tcBorders>
              <w:top w:val="single" w:sz="4" w:space="0" w:color="auto"/>
              <w:left w:val="single" w:sz="4" w:space="0" w:color="auto"/>
              <w:bottom w:val="single" w:sz="4" w:space="0" w:color="auto"/>
              <w:right w:val="single" w:sz="4" w:space="0" w:color="auto"/>
            </w:tcBorders>
          </w:tcPr>
          <w:p w14:paraId="4DEECD14" w14:textId="5741C5DF" w:rsidR="00AA6E04" w:rsidRDefault="00AA6E04" w:rsidP="000A4AD3">
            <w:pPr>
              <w:pStyle w:val="Tabletext1"/>
              <w:rPr>
                <w:b/>
                <w:bCs/>
              </w:rPr>
            </w:pPr>
            <w:r>
              <w:t>0.76</w:t>
            </w:r>
          </w:p>
        </w:tc>
        <w:tc>
          <w:tcPr>
            <w:tcW w:w="526" w:type="pct"/>
            <w:tcBorders>
              <w:top w:val="single" w:sz="4" w:space="0" w:color="auto"/>
              <w:left w:val="single" w:sz="4" w:space="0" w:color="auto"/>
              <w:bottom w:val="single" w:sz="4" w:space="0" w:color="auto"/>
              <w:right w:val="single" w:sz="4" w:space="0" w:color="auto"/>
            </w:tcBorders>
          </w:tcPr>
          <w:p w14:paraId="5D3E4571" w14:textId="1150E60A" w:rsidR="00AA6E04" w:rsidRDefault="00AA6E04" w:rsidP="000A4AD3">
            <w:pPr>
              <w:pStyle w:val="Tabletext1"/>
            </w:pPr>
            <w:r w:rsidRPr="00896CB1">
              <w:t>0.72 (0.23, 2.21)</w:t>
            </w:r>
            <w:r>
              <w:t>, p= 0.5656</w:t>
            </w:r>
          </w:p>
        </w:tc>
        <w:tc>
          <w:tcPr>
            <w:tcW w:w="599" w:type="pct"/>
            <w:tcBorders>
              <w:top w:val="single" w:sz="4" w:space="0" w:color="auto"/>
              <w:left w:val="single" w:sz="4" w:space="0" w:color="auto"/>
              <w:bottom w:val="single" w:sz="4" w:space="0" w:color="auto"/>
              <w:right w:val="single" w:sz="4" w:space="0" w:color="auto"/>
            </w:tcBorders>
          </w:tcPr>
          <w:p w14:paraId="38FADD56" w14:textId="6795C1EE" w:rsidR="00AA6E04" w:rsidRDefault="00AA6E04" w:rsidP="000A4AD3">
            <w:pPr>
              <w:pStyle w:val="Tabletext1"/>
              <w:rPr>
                <w:b/>
                <w:bCs/>
              </w:rPr>
            </w:pPr>
            <w:r w:rsidRPr="005E78B5">
              <w:t>−1.5 (−6.8, 3.7)</w:t>
            </w:r>
          </w:p>
        </w:tc>
        <w:tc>
          <w:tcPr>
            <w:tcW w:w="580" w:type="pct"/>
            <w:tcBorders>
              <w:top w:val="single" w:sz="4" w:space="0" w:color="auto"/>
              <w:left w:val="single" w:sz="4" w:space="0" w:color="auto"/>
              <w:bottom w:val="single" w:sz="4" w:space="0" w:color="auto"/>
              <w:right w:val="single" w:sz="4" w:space="0" w:color="auto"/>
            </w:tcBorders>
          </w:tcPr>
          <w:p w14:paraId="0B0A0B8E" w14:textId="6FBA070B" w:rsidR="00AA6E04" w:rsidRDefault="00AA6E04" w:rsidP="000A4AD3">
            <w:pPr>
              <w:pStyle w:val="Tabletext1"/>
            </w:pPr>
            <w:r>
              <w:t>65 (-27 to infinity to 15)</w:t>
            </w:r>
          </w:p>
        </w:tc>
      </w:tr>
      <w:tr w:rsidR="004F1EB1" w14:paraId="0E6DFE45" w14:textId="77777777" w:rsidTr="00F871EC">
        <w:trPr>
          <w:gridAfter w:val="1"/>
          <w:wAfter w:w="8" w:type="pct"/>
          <w:trHeight w:val="522"/>
        </w:trPr>
        <w:tc>
          <w:tcPr>
            <w:tcW w:w="1029" w:type="pct"/>
            <w:tcBorders>
              <w:top w:val="single" w:sz="4" w:space="0" w:color="auto"/>
              <w:left w:val="single" w:sz="4" w:space="0" w:color="auto"/>
              <w:bottom w:val="single" w:sz="4" w:space="0" w:color="auto"/>
              <w:right w:val="single" w:sz="4" w:space="0" w:color="auto"/>
            </w:tcBorders>
          </w:tcPr>
          <w:p w14:paraId="55F9D218" w14:textId="295706CD" w:rsidR="00AA6E04" w:rsidRDefault="00AA6E04" w:rsidP="000A4AD3">
            <w:pPr>
              <w:pStyle w:val="Tabletext1"/>
            </w:pPr>
            <w:r>
              <w:t>Delayed union</w:t>
            </w:r>
          </w:p>
        </w:tc>
        <w:tc>
          <w:tcPr>
            <w:tcW w:w="592" w:type="pct"/>
            <w:vMerge/>
            <w:tcBorders>
              <w:top w:val="single" w:sz="4" w:space="0" w:color="auto"/>
              <w:left w:val="single" w:sz="4" w:space="0" w:color="auto"/>
              <w:bottom w:val="single" w:sz="4" w:space="0" w:color="auto"/>
              <w:right w:val="single" w:sz="4" w:space="0" w:color="auto"/>
            </w:tcBorders>
          </w:tcPr>
          <w:p w14:paraId="6BFDB98F" w14:textId="77777777" w:rsidR="00AA6E04" w:rsidRDefault="00AA6E04"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7FC490CA" w14:textId="3A635E5F" w:rsidR="00AA6E04" w:rsidRDefault="00056DD9"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1817A86F" w14:textId="7192CDC8" w:rsidR="000826B4" w:rsidRDefault="00AA6E04" w:rsidP="000A4AD3">
            <w:pPr>
              <w:pStyle w:val="Tabletext1"/>
            </w:pPr>
            <w:r>
              <w:t>DAC</w:t>
            </w:r>
            <w:r w:rsidR="001762ED">
              <w:t>+abs</w:t>
            </w:r>
            <w:r>
              <w:t xml:space="preserve">: </w:t>
            </w:r>
            <w:r w:rsidRPr="00B908AF">
              <w:t>1.6</w:t>
            </w:r>
            <w:r>
              <w:t>%</w:t>
            </w:r>
            <w:r w:rsidRPr="00B908AF">
              <w:t xml:space="preserve"> (2</w:t>
            </w:r>
            <w:r>
              <w:t>/126</w:t>
            </w:r>
            <w:r w:rsidRPr="00B908AF">
              <w:t>)</w:t>
            </w:r>
            <w:r>
              <w:t xml:space="preserve">; </w:t>
            </w:r>
          </w:p>
          <w:p w14:paraId="32F3A0AD" w14:textId="27ED7588" w:rsidR="00AA6E04" w:rsidRDefault="001762ED" w:rsidP="000A4AD3">
            <w:pPr>
              <w:pStyle w:val="Tabletext1"/>
            </w:pPr>
            <w:r>
              <w:t>N</w:t>
            </w:r>
            <w:r w:rsidR="00AA6E04">
              <w:t>o DAC</w:t>
            </w:r>
            <w:r>
              <w:t>+abs</w:t>
            </w:r>
            <w:r w:rsidR="00AA6E04">
              <w:t xml:space="preserve">: </w:t>
            </w:r>
            <w:r w:rsidR="00AA6E04" w:rsidRPr="00B908AF">
              <w:t>3.9</w:t>
            </w:r>
            <w:r w:rsidR="00AA6E04">
              <w:t>%</w:t>
            </w:r>
            <w:r w:rsidR="00AA6E04" w:rsidRPr="00B908AF">
              <w:t xml:space="preserve"> (5</w:t>
            </w:r>
            <w:r w:rsidR="00AA6E04">
              <w:t>/127</w:t>
            </w:r>
            <w:r w:rsidR="00AA6E04" w:rsidRPr="00B908AF">
              <w:t>)</w:t>
            </w:r>
          </w:p>
        </w:tc>
        <w:tc>
          <w:tcPr>
            <w:tcW w:w="247" w:type="pct"/>
            <w:tcBorders>
              <w:top w:val="single" w:sz="4" w:space="0" w:color="auto"/>
              <w:left w:val="single" w:sz="4" w:space="0" w:color="auto"/>
              <w:bottom w:val="single" w:sz="4" w:space="0" w:color="auto"/>
              <w:right w:val="single" w:sz="4" w:space="0" w:color="auto"/>
            </w:tcBorders>
          </w:tcPr>
          <w:p w14:paraId="4767DA19" w14:textId="16E564A9" w:rsidR="00AA6E04" w:rsidRDefault="00AA6E04" w:rsidP="000A4AD3">
            <w:pPr>
              <w:pStyle w:val="Tabletext1"/>
              <w:rPr>
                <w:b/>
                <w:bCs/>
              </w:rPr>
            </w:pPr>
            <w:r>
              <w:t>0.44</w:t>
            </w:r>
          </w:p>
        </w:tc>
        <w:tc>
          <w:tcPr>
            <w:tcW w:w="526" w:type="pct"/>
            <w:tcBorders>
              <w:top w:val="single" w:sz="4" w:space="0" w:color="auto"/>
              <w:left w:val="single" w:sz="4" w:space="0" w:color="auto"/>
              <w:bottom w:val="single" w:sz="4" w:space="0" w:color="auto"/>
              <w:right w:val="single" w:sz="4" w:space="0" w:color="auto"/>
            </w:tcBorders>
          </w:tcPr>
          <w:p w14:paraId="7626D555" w14:textId="79535360" w:rsidR="00AA6E04" w:rsidRDefault="00AA6E04" w:rsidP="000A4AD3">
            <w:pPr>
              <w:pStyle w:val="Tabletext1"/>
            </w:pPr>
            <w:r w:rsidRPr="00B908AF">
              <w:t>0.40 (0.08, 2.04)</w:t>
            </w:r>
            <w:r>
              <w:t>, p= 0.2721</w:t>
            </w:r>
          </w:p>
        </w:tc>
        <w:tc>
          <w:tcPr>
            <w:tcW w:w="599" w:type="pct"/>
            <w:tcBorders>
              <w:top w:val="single" w:sz="4" w:space="0" w:color="auto"/>
              <w:left w:val="single" w:sz="4" w:space="0" w:color="auto"/>
              <w:bottom w:val="single" w:sz="4" w:space="0" w:color="auto"/>
              <w:right w:val="single" w:sz="4" w:space="0" w:color="auto"/>
            </w:tcBorders>
          </w:tcPr>
          <w:p w14:paraId="4AD31F6E" w14:textId="0CB27B9F" w:rsidR="00AA6E04" w:rsidRDefault="00AA6E04" w:rsidP="000A4AD3">
            <w:pPr>
              <w:pStyle w:val="Tabletext1"/>
              <w:rPr>
                <w:b/>
                <w:bCs/>
              </w:rPr>
            </w:pPr>
            <w:r w:rsidRPr="00B908AF">
              <w:t>−2.3 (−6.4, 1.7)</w:t>
            </w:r>
          </w:p>
        </w:tc>
        <w:tc>
          <w:tcPr>
            <w:tcW w:w="580" w:type="pct"/>
            <w:tcBorders>
              <w:top w:val="single" w:sz="4" w:space="0" w:color="auto"/>
              <w:left w:val="single" w:sz="4" w:space="0" w:color="auto"/>
              <w:bottom w:val="single" w:sz="4" w:space="0" w:color="auto"/>
              <w:right w:val="single" w:sz="4" w:space="0" w:color="auto"/>
            </w:tcBorders>
          </w:tcPr>
          <w:p w14:paraId="20699B0D" w14:textId="4EAD1925" w:rsidR="00AA6E04" w:rsidRDefault="00AA6E04" w:rsidP="000A4AD3">
            <w:pPr>
              <w:pStyle w:val="Tabletext1"/>
            </w:pPr>
            <w:r>
              <w:t>43 (-59 to infinity to 16)</w:t>
            </w:r>
          </w:p>
        </w:tc>
      </w:tr>
      <w:tr w:rsidR="004F1EB1" w14:paraId="08DB0435" w14:textId="77777777" w:rsidTr="00F871EC">
        <w:trPr>
          <w:gridAfter w:val="1"/>
          <w:wAfter w:w="8" w:type="pct"/>
        </w:trPr>
        <w:tc>
          <w:tcPr>
            <w:tcW w:w="1029" w:type="pct"/>
            <w:tcBorders>
              <w:top w:val="single" w:sz="4" w:space="0" w:color="auto"/>
              <w:left w:val="single" w:sz="4" w:space="0" w:color="auto"/>
              <w:bottom w:val="single" w:sz="4" w:space="0" w:color="auto"/>
              <w:right w:val="single" w:sz="4" w:space="0" w:color="auto"/>
            </w:tcBorders>
          </w:tcPr>
          <w:p w14:paraId="0E333546" w14:textId="0AACC170" w:rsidR="00AA6E04" w:rsidRDefault="00AA6E04" w:rsidP="000A4AD3">
            <w:pPr>
              <w:pStyle w:val="Tabletext1"/>
            </w:pPr>
            <w:r>
              <w:t>Unplanned antibiotic treatment during hospital stay for other reasons than SSI</w:t>
            </w:r>
          </w:p>
        </w:tc>
        <w:tc>
          <w:tcPr>
            <w:tcW w:w="592" w:type="pct"/>
            <w:vMerge/>
            <w:tcBorders>
              <w:top w:val="single" w:sz="4" w:space="0" w:color="auto"/>
              <w:left w:val="single" w:sz="4" w:space="0" w:color="auto"/>
              <w:bottom w:val="single" w:sz="4" w:space="0" w:color="auto"/>
              <w:right w:val="single" w:sz="4" w:space="0" w:color="auto"/>
            </w:tcBorders>
          </w:tcPr>
          <w:p w14:paraId="5D8F6E3C" w14:textId="77777777" w:rsidR="00AA6E04" w:rsidRDefault="00AA6E04" w:rsidP="000A4AD3">
            <w:pPr>
              <w:pStyle w:val="Tabletext1"/>
            </w:pPr>
          </w:p>
        </w:tc>
        <w:tc>
          <w:tcPr>
            <w:tcW w:w="617" w:type="pct"/>
            <w:tcBorders>
              <w:top w:val="single" w:sz="4" w:space="0" w:color="auto"/>
              <w:left w:val="single" w:sz="4" w:space="0" w:color="auto"/>
              <w:bottom w:val="single" w:sz="4" w:space="0" w:color="auto"/>
              <w:right w:val="single" w:sz="4" w:space="0" w:color="auto"/>
            </w:tcBorders>
          </w:tcPr>
          <w:p w14:paraId="6284C94A" w14:textId="11282FD7" w:rsidR="00AA6E04" w:rsidRDefault="00056DD9" w:rsidP="000A4AD3">
            <w:pPr>
              <w:pStyle w:val="Tabletext1"/>
            </w:pPr>
            <w:r w:rsidRPr="000A4AD3">
              <w:rPr>
                <w:rFonts w:ascii="Cambria Math" w:hAnsi="Cambria Math" w:cs="Cambria Math"/>
                <w:color w:val="00B050"/>
              </w:rPr>
              <w:t>⨁⨁⨁</w:t>
            </w:r>
            <w:r>
              <w:rPr>
                <w:rFonts w:ascii="Cambria Math" w:hAnsi="Cambria Math" w:cs="Cambria Math"/>
                <w:color w:val="C00000"/>
              </w:rPr>
              <w:t>⨀</w:t>
            </w:r>
          </w:p>
        </w:tc>
        <w:tc>
          <w:tcPr>
            <w:tcW w:w="802" w:type="pct"/>
            <w:tcBorders>
              <w:top w:val="single" w:sz="4" w:space="0" w:color="auto"/>
              <w:left w:val="single" w:sz="4" w:space="0" w:color="auto"/>
              <w:bottom w:val="single" w:sz="4" w:space="0" w:color="auto"/>
              <w:right w:val="single" w:sz="4" w:space="0" w:color="auto"/>
            </w:tcBorders>
          </w:tcPr>
          <w:p w14:paraId="0F59D3E3" w14:textId="77777777" w:rsidR="001762ED" w:rsidRDefault="00AA6E04" w:rsidP="000A4AD3">
            <w:pPr>
              <w:pStyle w:val="Tabletext1"/>
            </w:pPr>
            <w:r>
              <w:t>DAC</w:t>
            </w:r>
            <w:r w:rsidR="001762ED">
              <w:t>+abs</w:t>
            </w:r>
            <w:r>
              <w:t xml:space="preserve">: </w:t>
            </w:r>
            <w:r w:rsidRPr="009E7497">
              <w:t>8% (10/126)</w:t>
            </w:r>
            <w:r>
              <w:t xml:space="preserve">; </w:t>
            </w:r>
          </w:p>
          <w:p w14:paraId="1B2AFF64" w14:textId="5BC2B041" w:rsidR="00AA6E04" w:rsidRDefault="001762ED" w:rsidP="000A4AD3">
            <w:pPr>
              <w:pStyle w:val="Tabletext1"/>
            </w:pPr>
            <w:r>
              <w:t>N</w:t>
            </w:r>
            <w:r w:rsidR="00AA6E04">
              <w:t>o DAC</w:t>
            </w:r>
            <w:r>
              <w:t>+abs</w:t>
            </w:r>
            <w:r w:rsidR="00AA6E04">
              <w:t xml:space="preserve">: </w:t>
            </w:r>
            <w:r w:rsidR="00AA6E04" w:rsidRPr="009E7497">
              <w:t>9.4% (12/127)</w:t>
            </w:r>
          </w:p>
        </w:tc>
        <w:tc>
          <w:tcPr>
            <w:tcW w:w="247" w:type="pct"/>
            <w:tcBorders>
              <w:top w:val="single" w:sz="4" w:space="0" w:color="auto"/>
              <w:left w:val="single" w:sz="4" w:space="0" w:color="auto"/>
              <w:bottom w:val="single" w:sz="4" w:space="0" w:color="auto"/>
              <w:right w:val="single" w:sz="4" w:space="0" w:color="auto"/>
            </w:tcBorders>
          </w:tcPr>
          <w:p w14:paraId="5B945B32" w14:textId="63CFA56B" w:rsidR="00AA6E04" w:rsidRDefault="00AA6E04" w:rsidP="000A4AD3">
            <w:pPr>
              <w:pStyle w:val="Tabletext1"/>
              <w:rPr>
                <w:b/>
                <w:bCs/>
              </w:rPr>
            </w:pPr>
            <w:r>
              <w:t>0.80</w:t>
            </w:r>
          </w:p>
        </w:tc>
        <w:tc>
          <w:tcPr>
            <w:tcW w:w="526" w:type="pct"/>
            <w:tcBorders>
              <w:top w:val="single" w:sz="4" w:space="0" w:color="auto"/>
              <w:left w:val="single" w:sz="4" w:space="0" w:color="auto"/>
              <w:bottom w:val="single" w:sz="4" w:space="0" w:color="auto"/>
              <w:right w:val="single" w:sz="4" w:space="0" w:color="auto"/>
            </w:tcBorders>
          </w:tcPr>
          <w:p w14:paraId="657B6C05" w14:textId="3009EAA4" w:rsidR="00AA6E04" w:rsidRDefault="00AA6E04" w:rsidP="000A4AD3">
            <w:pPr>
              <w:pStyle w:val="Tabletext1"/>
            </w:pPr>
            <w:r w:rsidRPr="009E7497">
              <w:t>0.84 (0.38, 1.87)</w:t>
            </w:r>
            <w:r>
              <w:t>, p=0.6700</w:t>
            </w:r>
          </w:p>
        </w:tc>
        <w:tc>
          <w:tcPr>
            <w:tcW w:w="599" w:type="pct"/>
            <w:tcBorders>
              <w:top w:val="single" w:sz="4" w:space="0" w:color="auto"/>
              <w:left w:val="single" w:sz="4" w:space="0" w:color="auto"/>
              <w:bottom w:val="single" w:sz="4" w:space="0" w:color="auto"/>
              <w:right w:val="single" w:sz="4" w:space="0" w:color="auto"/>
            </w:tcBorders>
          </w:tcPr>
          <w:p w14:paraId="4AEBFA5F" w14:textId="077B5738" w:rsidR="00AA6E04" w:rsidRDefault="00AA6E04" w:rsidP="000A4AD3">
            <w:pPr>
              <w:pStyle w:val="Tabletext1"/>
              <w:rPr>
                <w:b/>
                <w:bCs/>
              </w:rPr>
            </w:pPr>
            <w:r w:rsidRPr="005E78B5">
              <w:t>1.51 (-5.43, 8.45)</w:t>
            </w:r>
          </w:p>
        </w:tc>
        <w:tc>
          <w:tcPr>
            <w:tcW w:w="580" w:type="pct"/>
            <w:tcBorders>
              <w:top w:val="single" w:sz="4" w:space="0" w:color="auto"/>
              <w:left w:val="single" w:sz="4" w:space="0" w:color="auto"/>
              <w:bottom w:val="single" w:sz="4" w:space="0" w:color="auto"/>
              <w:right w:val="single" w:sz="4" w:space="0" w:color="auto"/>
            </w:tcBorders>
          </w:tcPr>
          <w:p w14:paraId="59F0E055" w14:textId="61AA8CDC" w:rsidR="00AA6E04" w:rsidRDefault="00AA6E04" w:rsidP="000A4AD3">
            <w:pPr>
              <w:pStyle w:val="Tabletext1"/>
            </w:pPr>
            <w:r>
              <w:t>66 (-18 to infinity to12)</w:t>
            </w:r>
          </w:p>
        </w:tc>
      </w:tr>
    </w:tbl>
    <w:bookmarkEnd w:id="60"/>
    <w:p w14:paraId="479E25F9" w14:textId="29F9238C" w:rsidR="00066A6C" w:rsidRDefault="00066A6C" w:rsidP="00607722">
      <w:pPr>
        <w:pStyle w:val="Tablenotes0"/>
      </w:pPr>
      <w:r>
        <w:t xml:space="preserve">Source: </w:t>
      </w:r>
      <w:r w:rsidR="00FC3571">
        <w:t xml:space="preserve">Table 2, pg 31 of MSAC 1629 DCAR; </w:t>
      </w:r>
      <w:r>
        <w:t xml:space="preserve">GRADE Working Group grades of evidence </w:t>
      </w:r>
      <w:r>
        <w:fldChar w:fldCharType="begin"/>
      </w:r>
      <w:r w:rsidR="001C62F2">
        <w:instrText xml:space="preserve"> ADDIN EN.CITE &lt;EndNote&gt;&lt;Cite&gt;&lt;Author&gt;Guyatt&lt;/Author&gt;&lt;Year&gt;2013&lt;/Year&gt;&lt;RecNum&gt;7346&lt;/RecNum&gt;&lt;DisplayText&gt;(Guyatt, Oxman 2013)&lt;/DisplayText&gt;&lt;record&gt;&lt;rec-number&gt;7346&lt;/rec-number&gt;&lt;foreign-keys&gt;&lt;key app="EN" db-id="xp00rr90ndp0vpepfz8pxrzn5z2eazxpfzz5" timestamp="1624423347" guid="699c5294-8954-4da6-a4b9-bb7b5dee1cb7"&gt;7346&lt;/key&gt;&lt;/foreign-keys&gt;&lt;ref-type name="Journal Article"&gt;17&lt;/ref-type&gt;&lt;contributors&gt;&lt;authors&gt;&lt;author&gt;Guyatt, Gordon&lt;/author&gt;&lt;author&gt;Oxman, Andrew D&lt;/author&gt;&lt;author&gt;Sultan, Shahnaz&lt;/author&gt;&lt;author&gt;Brozek, Jan&lt;/author&gt;&lt;author&gt;Glasziou, Paul&lt;/author&gt;&lt;author&gt;Alonso-Coello, Pablo&lt;/author&gt;&lt;author&gt;Atkins, David&lt;/author&gt;&lt;author&gt;Kunz, Regina&lt;/author&gt;&lt;author&gt;Montori, Victor&lt;/author&gt;&lt;author&gt;Jaeschke, Roman&lt;/author&gt;&lt;/authors&gt;&lt;/contributors&gt;&lt;titles&gt;&lt;title&gt;GRADE guidelines: 11. Making an overall rating of confidence in effect estimates for a single outcome and for all outcomes&lt;/title&gt;&lt;secondary-title&gt;Journal of clinical epidemiology&lt;/secondary-title&gt;&lt;/titles&gt;&lt;periodical&gt;&lt;full-title&gt;Journal of clinical epidemiology&lt;/full-title&gt;&lt;/periodical&gt;&lt;pages&gt;151-157&lt;/pages&gt;&lt;volume&gt;66&lt;/volume&gt;&lt;number&gt;2&lt;/number&gt;&lt;dates&gt;&lt;year&gt;2013&lt;/year&gt;&lt;/dates&gt;&lt;isbn&gt;0895-4356&lt;/isbn&gt;&lt;urls&gt;&lt;/urls&gt;&lt;/record&gt;&lt;/Cite&gt;&lt;/EndNote&gt;</w:instrText>
      </w:r>
      <w:r>
        <w:fldChar w:fldCharType="separate"/>
      </w:r>
      <w:r>
        <w:rPr>
          <w:noProof/>
        </w:rPr>
        <w:t>(</w:t>
      </w:r>
      <w:hyperlink w:anchor="_ENREF_1" w:tooltip="Guyatt, 2013 #7346" w:history="1">
        <w:r w:rsidR="00CD0194" w:rsidRPr="00D9335C">
          <w:rPr>
            <w:noProof/>
          </w:rPr>
          <w:t>Guyatt, Oxman 2013</w:t>
        </w:r>
      </w:hyperlink>
      <w:r>
        <w:rPr>
          <w:noProof/>
        </w:rPr>
        <w:t>)</w:t>
      </w:r>
      <w:r>
        <w:fldChar w:fldCharType="end"/>
      </w:r>
    </w:p>
    <w:p w14:paraId="1923A530" w14:textId="3BB42F09" w:rsidR="00066A6C" w:rsidRDefault="00066A6C" w:rsidP="00607722">
      <w:pPr>
        <w:pStyle w:val="Tablenotes0"/>
      </w:pPr>
      <w:r>
        <w:t xml:space="preserve">Abbreviations: CI= Confidence Interval; </w:t>
      </w:r>
      <w:r w:rsidR="001762ED">
        <w:t>DAC+abs=Defensive Antib</w:t>
      </w:r>
      <w:r w:rsidR="00E53AC6">
        <w:t>acter</w:t>
      </w:r>
      <w:r w:rsidR="001762ED">
        <w:t xml:space="preserve">ial Coating </w:t>
      </w:r>
      <w:r w:rsidR="006B1625">
        <w:t>loaded</w:t>
      </w:r>
      <w:r w:rsidR="001762ED">
        <w:t xml:space="preserve"> antibiotics; </w:t>
      </w:r>
      <w:r>
        <w:t>PJI= Periprosthetic Joint Infection; RCT= Randomised Controlled Trial; SD: Standard Deviation; SSI= Surgical Site Infection</w:t>
      </w:r>
      <w:r>
        <w:br/>
      </w:r>
      <w:r>
        <w:rPr>
          <w:rFonts w:ascii="Cambria Math" w:hAnsi="Cambria Math"/>
          <w:color w:val="00B050"/>
        </w:rPr>
        <w:t xml:space="preserve">⨁⨁⨁⨁ </w:t>
      </w:r>
      <w:r>
        <w:rPr>
          <w:b/>
          <w:bCs/>
        </w:rPr>
        <w:t>High quality:</w:t>
      </w:r>
      <w:r>
        <w:t xml:space="preserve"> We are very confident that the true effect lies close to that of the estimate of effect. </w:t>
      </w:r>
      <w:r>
        <w:br/>
      </w:r>
      <w:r>
        <w:rPr>
          <w:rFonts w:ascii="Cambria Math" w:hAnsi="Cambria Math"/>
          <w:color w:val="00B050"/>
        </w:rPr>
        <w:t>⨁⨁⨁</w:t>
      </w:r>
      <w:r>
        <w:rPr>
          <w:rFonts w:ascii="Cambria Math" w:hAnsi="Cambria Math" w:cs="Cambria Math"/>
          <w:color w:val="C00000"/>
        </w:rPr>
        <w:t xml:space="preserve">⨀ </w:t>
      </w:r>
      <w:r>
        <w:rPr>
          <w:b/>
          <w:bCs/>
        </w:rPr>
        <w:t>Moderate quality:</w:t>
      </w:r>
      <w:r>
        <w:t xml:space="preserve"> We are moderately confident in the effect estimate: The true effect is likely to be close to the estimate of the effect, but there is a possibility that it is substantially different. </w:t>
      </w:r>
      <w:r>
        <w:br/>
      </w:r>
      <w:r>
        <w:rPr>
          <w:rFonts w:ascii="Cambria Math" w:hAnsi="Cambria Math"/>
          <w:color w:val="00B050"/>
        </w:rPr>
        <w:t>⨁⨁</w:t>
      </w:r>
      <w:r>
        <w:rPr>
          <w:rFonts w:ascii="Cambria Math" w:hAnsi="Cambria Math" w:cs="Cambria Math"/>
          <w:color w:val="C00000"/>
        </w:rPr>
        <w:t xml:space="preserve">⨀⨀ </w:t>
      </w:r>
      <w:r>
        <w:rPr>
          <w:b/>
          <w:bCs/>
        </w:rPr>
        <w:t>Low quality:</w:t>
      </w:r>
      <w:r>
        <w:t xml:space="preserve"> Our confidence in the effect estimate is limited: The true effect may be substantially different from the estimate of the effect.</w:t>
      </w:r>
      <w:r>
        <w:br/>
      </w:r>
      <w:r>
        <w:rPr>
          <w:rFonts w:ascii="Cambria Math" w:hAnsi="Cambria Math"/>
          <w:color w:val="00B050"/>
        </w:rPr>
        <w:t>⨁</w:t>
      </w:r>
      <w:r>
        <w:rPr>
          <w:rFonts w:ascii="Cambria Math" w:hAnsi="Cambria Math" w:cs="Cambria Math"/>
          <w:color w:val="C00000"/>
        </w:rPr>
        <w:t xml:space="preserve">⨀⨀⨀ </w:t>
      </w:r>
      <w:r>
        <w:rPr>
          <w:b/>
          <w:bCs/>
        </w:rPr>
        <w:t>Very low quality:</w:t>
      </w:r>
      <w:r>
        <w:t xml:space="preserve"> We have very little confidence in the effect estimate: The true effect is likely to be substantially different from the estimate of effect.</w:t>
      </w:r>
    </w:p>
    <w:p w14:paraId="0784F337" w14:textId="77777777" w:rsidR="00066A6C" w:rsidRDefault="00066A6C" w:rsidP="00607722">
      <w:pPr>
        <w:pStyle w:val="Tablenotes0"/>
      </w:pPr>
      <w:r>
        <w:rPr>
          <w:vertAlign w:val="superscript"/>
        </w:rPr>
        <w:t>a</w:t>
      </w:r>
      <w:r>
        <w:t xml:space="preserve"> For both primary and revision populations, while Population 3 is solely concerned with revisions.</w:t>
      </w:r>
    </w:p>
    <w:p w14:paraId="1273311E" w14:textId="3420DFA6" w:rsidR="00066A6C" w:rsidRDefault="00066A6C" w:rsidP="00A94954">
      <w:pPr>
        <w:pStyle w:val="Tablenotes0"/>
      </w:pPr>
      <w:r>
        <w:rPr>
          <w:vertAlign w:val="superscript"/>
        </w:rPr>
        <w:t>b</w:t>
      </w:r>
      <w:r>
        <w:t xml:space="preserve"> P-values for categorical items were based on Fisher exact test.</w:t>
      </w:r>
    </w:p>
    <w:p w14:paraId="6C30B247" w14:textId="42FBDF1E" w:rsidR="00C3574F" w:rsidRPr="00C3574F" w:rsidRDefault="00C3574F" w:rsidP="00A94954">
      <w:pPr>
        <w:pStyle w:val="Tablenotes0"/>
      </w:pPr>
      <w:r w:rsidRPr="00C3574F">
        <w:rPr>
          <w:vertAlign w:val="superscript"/>
        </w:rPr>
        <w:t>c</w:t>
      </w:r>
      <w:r>
        <w:t xml:space="preserve"> A Number Needed to Treat (NNT) approaches infinity if </w:t>
      </w:r>
      <w:r w:rsidRPr="00C3574F">
        <w:t xml:space="preserve">there </w:t>
      </w:r>
      <w:r>
        <w:t>is</w:t>
      </w:r>
      <w:r w:rsidRPr="00C3574F">
        <w:t xml:space="preserve"> no treatment</w:t>
      </w:r>
      <w:r>
        <w:t>, resulting in zero</w:t>
      </w:r>
      <w:r w:rsidRPr="00C3574F">
        <w:t xml:space="preserve"> absolute risk difference</w:t>
      </w:r>
      <w:r>
        <w:t>.</w:t>
      </w:r>
    </w:p>
    <w:p w14:paraId="682FFED9" w14:textId="2A594AA2" w:rsidR="00066A6C" w:rsidRDefault="00066A6C" w:rsidP="00FC3571">
      <w:pPr>
        <w:pStyle w:val="Tablenotes0"/>
        <w:rPr>
          <w:rStyle w:val="Hyperlink"/>
          <w:szCs w:val="18"/>
        </w:rPr>
      </w:pPr>
      <w:r>
        <w:t xml:space="preserve">Note: Relative risk was estimated using an online calculator based on </w:t>
      </w:r>
      <w:hyperlink r:id="rId19" w:history="1">
        <w:r w:rsidRPr="0011079E">
          <w:rPr>
            <w:rStyle w:val="Hyperlink"/>
            <w:szCs w:val="18"/>
          </w:rPr>
          <w:t>https://www.medcalc.org/calc/relative_risk.php</w:t>
        </w:r>
      </w:hyperlink>
    </w:p>
    <w:p w14:paraId="1450B875" w14:textId="5A52725C" w:rsidR="00066A6C" w:rsidRPr="00360C54" w:rsidRDefault="00066A6C" w:rsidP="00761439">
      <w:pPr>
        <w:pStyle w:val="Tablenotes0"/>
      </w:pPr>
      <w:r w:rsidRPr="00360C54">
        <w:t xml:space="preserve">Note: </w:t>
      </w:r>
      <w:r w:rsidR="00DB4CD4">
        <w:t>The outcomes</w:t>
      </w:r>
      <w:r>
        <w:t xml:space="preserve"> based on</w:t>
      </w:r>
      <w:r w:rsidRPr="00360C54">
        <w:t xml:space="preserve"> RCTs were downgraded to ‘low quality’ because true treatment effect could be affected by several limitations observed in those studies, including a relatively short follow-up period, issues with the sample size calculation as the incidence of SSI was assumed to be 6% for the control group which was considered higher than the one in the Australian context, and non-fulfilment of the criteria of  ASA≥ 3 and BMI&gt; 30 (which is a requirement for Populations 1 and 4).</w:t>
      </w:r>
    </w:p>
    <w:p w14:paraId="77C10A03" w14:textId="6A83835E" w:rsidR="00066A6C" w:rsidRDefault="00E325C6" w:rsidP="00761439">
      <w:pPr>
        <w:pStyle w:val="Tablenotes0"/>
      </w:pPr>
      <w:r>
        <w:t>Number need to treat (</w:t>
      </w:r>
      <w:r w:rsidR="00066A6C">
        <w:t>NNT</w:t>
      </w:r>
      <w:r>
        <w:t>)</w:t>
      </w:r>
      <w:r w:rsidR="00066A6C">
        <w:t xml:space="preserve"> denote</w:t>
      </w:r>
      <w:r w:rsidR="00C3574F">
        <w:t>s</w:t>
      </w:r>
      <w:r w:rsidR="00066A6C">
        <w:t xml:space="preserve"> </w:t>
      </w:r>
      <w:r w:rsidR="00066A6C" w:rsidRPr="00073D64">
        <w:t xml:space="preserve">a sample size </w:t>
      </w:r>
      <w:r w:rsidR="00066A6C">
        <w:t>required</w:t>
      </w:r>
      <w:r w:rsidR="00066A6C" w:rsidRPr="00073D64">
        <w:t xml:space="preserve"> to show a significant difference between the treatment arms</w:t>
      </w:r>
      <w:r w:rsidR="00066A6C">
        <w:t>. In the table above, NNT</w:t>
      </w:r>
      <w:r w:rsidR="00066A6C" w:rsidRPr="00360C54">
        <w:t xml:space="preserve"> </w:t>
      </w:r>
      <w:r w:rsidR="00066A6C">
        <w:t>was estimated using an online calculator (</w:t>
      </w:r>
      <w:hyperlink r:id="rId20" w:history="1">
        <w:r w:rsidR="00066A6C" w:rsidRPr="00234DD7">
          <w:rPr>
            <w:rStyle w:val="Hyperlink"/>
          </w:rPr>
          <w:t>https://www.neoweb.org.uk/Additions/compare.htm</w:t>
        </w:r>
      </w:hyperlink>
      <w:r w:rsidR="00066A6C">
        <w:t xml:space="preserve">). </w:t>
      </w:r>
      <w:r w:rsidR="00DB4CD4">
        <w:t>The n</w:t>
      </w:r>
      <w:r w:rsidR="00066A6C">
        <w:t xml:space="preserve">egative </w:t>
      </w:r>
      <w:r w:rsidR="00DB4CD4">
        <w:t>NNT</w:t>
      </w:r>
      <w:r w:rsidR="00066A6C">
        <w:t xml:space="preserve"> denotes </w:t>
      </w:r>
      <w:r>
        <w:t>t</w:t>
      </w:r>
      <w:r w:rsidR="00DB4CD4">
        <w:t>he number needed to harm (i.e., denotes a scenario where surgery with DAC</w:t>
      </w:r>
      <w:r>
        <w:t>+a</w:t>
      </w:r>
      <w:r w:rsidR="00F871EC">
        <w:t>b</w:t>
      </w:r>
      <w:r>
        <w:t>s</w:t>
      </w:r>
      <w:r w:rsidR="00DB4CD4">
        <w:t xml:space="preserve"> is harmful than </w:t>
      </w:r>
      <w:r w:rsidR="00066A6C">
        <w:t>surgery without DAC</w:t>
      </w:r>
      <w:r>
        <w:t>+a</w:t>
      </w:r>
      <w:r w:rsidR="00F871EC">
        <w:t>b</w:t>
      </w:r>
      <w:r>
        <w:t>s</w:t>
      </w:r>
      <w:r w:rsidR="00066A6C">
        <w:t>).</w:t>
      </w:r>
    </w:p>
    <w:p w14:paraId="43AA070E" w14:textId="47F1CA90" w:rsidR="00066A6C" w:rsidRDefault="00066A6C" w:rsidP="000A4AD3">
      <w:pPr>
        <w:pStyle w:val="Tablenotes0"/>
      </w:pPr>
      <w:r>
        <w:t>Safety outcomes were not included in Table 2 as the frequency of reported safety outcomes was too low.</w:t>
      </w:r>
    </w:p>
    <w:p w14:paraId="09CCEC69" w14:textId="3A050563" w:rsidR="00066A6C" w:rsidRPr="00DB630F" w:rsidRDefault="00066A6C" w:rsidP="00E50C67">
      <w:pPr>
        <w:pStyle w:val="Tablenotes0"/>
      </w:pPr>
      <w:r>
        <w:t>None of the outcomes based on RCTs w</w:t>
      </w:r>
      <w:r w:rsidR="00DB4CD4">
        <w:t>as</w:t>
      </w:r>
      <w:r>
        <w:t xml:space="preserve"> rated to be of ‘high quality’ as they were deemed to be underpowered in the Australian context (based on the clinical expert’s opinion)</w:t>
      </w:r>
    </w:p>
    <w:p w14:paraId="1596216F" w14:textId="77777777" w:rsidR="00066A6C" w:rsidRDefault="00066A6C" w:rsidP="003207C6">
      <w:pPr>
        <w:sectPr w:rsidR="00066A6C">
          <w:pgSz w:w="16838" w:h="11906" w:orient="landscape"/>
          <w:pgMar w:top="1440" w:right="1440" w:bottom="1440" w:left="1440" w:header="709" w:footer="709" w:gutter="0"/>
          <w:cols w:space="720"/>
        </w:sectPr>
      </w:pPr>
    </w:p>
    <w:p w14:paraId="76207E47" w14:textId="77777777" w:rsidR="00C7533D" w:rsidDel="00BF41C6" w:rsidRDefault="00C7533D" w:rsidP="00607722">
      <w:pPr>
        <w:pStyle w:val="ExecSummHeading3"/>
      </w:pPr>
      <w:bookmarkStart w:id="63" w:name="_Toc112076488"/>
      <w:r w:rsidDel="00BF41C6">
        <w:lastRenderedPageBreak/>
        <w:t>Clinical Claim</w:t>
      </w:r>
      <w:bookmarkEnd w:id="63"/>
    </w:p>
    <w:p w14:paraId="57995769" w14:textId="56F0A340" w:rsidR="00C7533D" w:rsidDel="00BF41C6" w:rsidRDefault="00C7533D" w:rsidP="00607722">
      <w:pPr>
        <w:pStyle w:val="Execsummnormal"/>
      </w:pPr>
      <w:r w:rsidDel="00BF41C6">
        <w:t>The applicant claimed that the use of DAC</w:t>
      </w:r>
      <w:r w:rsidR="0063765F">
        <w:t>+antibiotics</w:t>
      </w:r>
      <w:r w:rsidDel="00BF41C6">
        <w:t xml:space="preserve"> to reduce peri-prosthetic deep SSI is likely to be superior compared with the current standard of care, i.e. standard surgery without DAC</w:t>
      </w:r>
      <w:r w:rsidR="0063765F">
        <w:t>+antibiotics</w:t>
      </w:r>
      <w:r w:rsidDel="00BF41C6">
        <w:t xml:space="preserve"> (p25, </w:t>
      </w:r>
      <w:hyperlink r:id="rId21" w:history="1">
        <w:r w:rsidR="0063765F" w:rsidRPr="00C76DE4">
          <w:rPr>
            <w:rStyle w:val="Hyperlink"/>
          </w:rPr>
          <w:t>MSAC 1629 PICO Confirmation</w:t>
        </w:r>
      </w:hyperlink>
      <w:r w:rsidDel="00BF41C6">
        <w:t>). No claim was made regarding comparative safety.</w:t>
      </w:r>
    </w:p>
    <w:p w14:paraId="3B8D5606" w14:textId="5253A8A1" w:rsidR="00066A6C" w:rsidRPr="00815A71" w:rsidRDefault="00066A6C" w:rsidP="00607722">
      <w:pPr>
        <w:pStyle w:val="Execsummnormal"/>
        <w:rPr>
          <w:b/>
        </w:rPr>
      </w:pPr>
      <w:r w:rsidRPr="00815A71">
        <w:t xml:space="preserve">Numerically, </w:t>
      </w:r>
      <w:r w:rsidR="00865672" w:rsidRPr="00815A71">
        <w:t xml:space="preserve">a </w:t>
      </w:r>
      <w:r w:rsidRPr="00815A71">
        <w:t>similar incidence of adverse events was observed in treatment (DAC</w:t>
      </w:r>
      <w:r w:rsidR="0063765F">
        <w:t>+antibiotics</w:t>
      </w:r>
      <w:r w:rsidRPr="00815A71">
        <w:t>) and control (no DAC</w:t>
      </w:r>
      <w:r w:rsidR="0063765F">
        <w:t>+antibiotics</w:t>
      </w:r>
      <w:r w:rsidRPr="00815A71">
        <w:t xml:space="preserve">) groups across all populations. </w:t>
      </w:r>
      <w:r w:rsidR="007A0068">
        <w:t>O</w:t>
      </w:r>
      <w:r w:rsidRPr="00815A71">
        <w:t>n the basis of the benefits reported in the evidence base (summarised in</w:t>
      </w:r>
      <w:r w:rsidR="007A0068">
        <w:t xml:space="preserve"> </w:t>
      </w:r>
      <w:r w:rsidR="007A0068">
        <w:fldChar w:fldCharType="begin"/>
      </w:r>
      <w:r w:rsidR="007A0068">
        <w:instrText xml:space="preserve"> REF _Ref71701365 \h </w:instrText>
      </w:r>
      <w:r w:rsidR="007A0068">
        <w:fldChar w:fldCharType="separate"/>
      </w:r>
      <w:r w:rsidR="00BB246A">
        <w:t xml:space="preserve">Table </w:t>
      </w:r>
      <w:r w:rsidR="00BB246A">
        <w:rPr>
          <w:noProof/>
        </w:rPr>
        <w:t>2</w:t>
      </w:r>
      <w:r w:rsidR="007A0068">
        <w:fldChar w:fldCharType="end"/>
      </w:r>
      <w:r w:rsidRPr="00815A71">
        <w:t xml:space="preserve">), </w:t>
      </w:r>
      <w:r w:rsidRPr="0098664B">
        <w:rPr>
          <w:bCs/>
        </w:rPr>
        <w:t>relative to surgery without DAC</w:t>
      </w:r>
      <w:r w:rsidR="0063765F">
        <w:rPr>
          <w:bCs/>
        </w:rPr>
        <w:t>+antibiotics</w:t>
      </w:r>
      <w:r w:rsidRPr="00503FB0">
        <w:rPr>
          <w:bCs/>
        </w:rPr>
        <w:t>:</w:t>
      </w:r>
    </w:p>
    <w:p w14:paraId="3829EE96" w14:textId="6E790F83" w:rsidR="00066A6C" w:rsidRPr="00815A71" w:rsidRDefault="00066A6C" w:rsidP="00A94954">
      <w:pPr>
        <w:pStyle w:val="Execsummnormal"/>
        <w:numPr>
          <w:ilvl w:val="0"/>
          <w:numId w:val="12"/>
        </w:numPr>
      </w:pPr>
      <w:r w:rsidRPr="00815A71">
        <w:t xml:space="preserve">there is </w:t>
      </w:r>
      <w:r w:rsidR="00B94815">
        <w:t>low-quality</w:t>
      </w:r>
      <w:r w:rsidR="00B94815" w:rsidRPr="00815A71">
        <w:t xml:space="preserve"> </w:t>
      </w:r>
      <w:r w:rsidRPr="00815A71">
        <w:t>evidence that surgery with DAC</w:t>
      </w:r>
      <w:r w:rsidR="0063765F">
        <w:t>+antibiotics</w:t>
      </w:r>
      <w:r w:rsidRPr="00815A71">
        <w:t xml:space="preserve"> has </w:t>
      </w:r>
      <w:r w:rsidR="00B94815">
        <w:t>uncertain</w:t>
      </w:r>
      <w:r w:rsidR="00B94815" w:rsidRPr="00815A71">
        <w:t xml:space="preserve"> </w:t>
      </w:r>
      <w:r w:rsidRPr="00815A71">
        <w:t>effectiveness for Population 1</w:t>
      </w:r>
    </w:p>
    <w:p w14:paraId="3BB2B221" w14:textId="1AA431BC" w:rsidR="00066A6C" w:rsidRPr="00815A71" w:rsidRDefault="00066A6C" w:rsidP="00A94954">
      <w:pPr>
        <w:pStyle w:val="Execsummnormal"/>
        <w:numPr>
          <w:ilvl w:val="0"/>
          <w:numId w:val="12"/>
        </w:numPr>
      </w:pPr>
      <w:r w:rsidRPr="00815A71">
        <w:t xml:space="preserve">there is very </w:t>
      </w:r>
      <w:r w:rsidR="00B94815">
        <w:t>low-quality</w:t>
      </w:r>
      <w:r w:rsidR="00B94815" w:rsidRPr="00815A71">
        <w:t xml:space="preserve"> </w:t>
      </w:r>
      <w:r w:rsidRPr="00815A71">
        <w:t>evidence that surgery with DAC</w:t>
      </w:r>
      <w:r w:rsidR="0063765F">
        <w:t>+antibiotics</w:t>
      </w:r>
      <w:r w:rsidRPr="00815A71">
        <w:t xml:space="preserve"> </w:t>
      </w:r>
      <w:r w:rsidR="00B94815">
        <w:t>may have</w:t>
      </w:r>
      <w:r w:rsidR="00B94815" w:rsidRPr="00815A71">
        <w:t xml:space="preserve"> </w:t>
      </w:r>
      <w:r w:rsidRPr="00815A71">
        <w:t>superior effectiveness for Population 2</w:t>
      </w:r>
    </w:p>
    <w:p w14:paraId="51687A52" w14:textId="40AFE600" w:rsidR="00066A6C" w:rsidRPr="00815A71" w:rsidRDefault="00066A6C" w:rsidP="00FC3571">
      <w:pPr>
        <w:pStyle w:val="Execsummnormal"/>
        <w:numPr>
          <w:ilvl w:val="0"/>
          <w:numId w:val="12"/>
        </w:numPr>
      </w:pPr>
      <w:r w:rsidRPr="00815A71">
        <w:t xml:space="preserve">there is </w:t>
      </w:r>
      <w:r w:rsidR="00B94815">
        <w:t>low to very low-quality</w:t>
      </w:r>
      <w:r w:rsidR="00B94815" w:rsidRPr="00815A71">
        <w:t xml:space="preserve"> </w:t>
      </w:r>
      <w:r w:rsidRPr="00815A71">
        <w:t>evidence that surgery with DAC</w:t>
      </w:r>
      <w:r w:rsidR="0063765F">
        <w:t>+antibiotics</w:t>
      </w:r>
      <w:r w:rsidRPr="00815A71">
        <w:t xml:space="preserve"> </w:t>
      </w:r>
      <w:r w:rsidR="00B94815">
        <w:t>may have</w:t>
      </w:r>
      <w:r w:rsidR="00B94815" w:rsidRPr="00815A71">
        <w:t xml:space="preserve"> </w:t>
      </w:r>
      <w:r w:rsidRPr="00815A71">
        <w:t>superior effectiveness for Population 3</w:t>
      </w:r>
    </w:p>
    <w:p w14:paraId="30298FEE" w14:textId="37176CB6" w:rsidR="00066A6C" w:rsidRPr="00815A71" w:rsidRDefault="00066A6C" w:rsidP="00761439">
      <w:pPr>
        <w:pStyle w:val="Execsummnormal"/>
        <w:numPr>
          <w:ilvl w:val="0"/>
          <w:numId w:val="12"/>
        </w:numPr>
      </w:pPr>
      <w:r w:rsidRPr="00815A71">
        <w:t xml:space="preserve">there is very </w:t>
      </w:r>
      <w:r w:rsidR="00133A4B">
        <w:t>low-quality</w:t>
      </w:r>
      <w:r w:rsidRPr="00815A71">
        <w:t xml:space="preserve"> evidence that surgery with DAC</w:t>
      </w:r>
      <w:r w:rsidR="0063765F">
        <w:t>+antibiotics</w:t>
      </w:r>
      <w:r w:rsidRPr="00815A71">
        <w:t xml:space="preserve"> </w:t>
      </w:r>
      <w:r w:rsidR="00133A4B">
        <w:t>may have</w:t>
      </w:r>
      <w:r w:rsidRPr="00815A71">
        <w:t xml:space="preserve"> superior effectiveness for Population 4</w:t>
      </w:r>
      <w:r w:rsidR="007A0068">
        <w:t>.</w:t>
      </w:r>
    </w:p>
    <w:p w14:paraId="1A3CB729" w14:textId="0BB37357" w:rsidR="00066A6C" w:rsidRPr="00815A71" w:rsidRDefault="0063765F" w:rsidP="000A4AD3">
      <w:pPr>
        <w:pStyle w:val="Execsummnormal"/>
      </w:pPr>
      <w:r>
        <w:t xml:space="preserve">However, </w:t>
      </w:r>
      <w:r w:rsidR="007A0068">
        <w:t xml:space="preserve">this should be interpreted with caution </w:t>
      </w:r>
      <w:r w:rsidR="00066A6C" w:rsidRPr="00815A71">
        <w:t>in the light of the following limitations</w:t>
      </w:r>
      <w:r w:rsidR="007A0068">
        <w:t xml:space="preserve"> in the evidence base</w:t>
      </w:r>
      <w:r w:rsidR="00066A6C" w:rsidRPr="00815A71">
        <w:t>:</w:t>
      </w:r>
    </w:p>
    <w:p w14:paraId="264B661B" w14:textId="6F7A5717" w:rsidR="00066A6C" w:rsidRPr="00815A71" w:rsidRDefault="00245071" w:rsidP="00E50C67">
      <w:pPr>
        <w:pStyle w:val="Execsummnormal"/>
        <w:numPr>
          <w:ilvl w:val="0"/>
          <w:numId w:val="13"/>
        </w:numPr>
      </w:pPr>
      <w:bookmarkStart w:id="64" w:name="_Hlk71540155"/>
      <w:r>
        <w:t>DAC+antibiotics hydrogel is bio-resorbed within 72 hours</w:t>
      </w:r>
      <w:r w:rsidRPr="00815A71">
        <w:t xml:space="preserve"> </w:t>
      </w:r>
      <w:r w:rsidR="005A42DD">
        <w:t xml:space="preserve">and </w:t>
      </w:r>
      <w:r w:rsidR="00471384" w:rsidRPr="00815A71">
        <w:t>there were no</w:t>
      </w:r>
      <w:r w:rsidR="003E1413">
        <w:t xml:space="preserve"> r</w:t>
      </w:r>
      <w:r w:rsidR="00E4633B">
        <w:t>eported</w:t>
      </w:r>
      <w:r w:rsidR="00471384" w:rsidRPr="00815A71">
        <w:t xml:space="preserve"> adverse events or side effects directly attributable to the DAC</w:t>
      </w:r>
      <w:r w:rsidR="00471384">
        <w:t>+antibiotic</w:t>
      </w:r>
      <w:r w:rsidR="000219BC">
        <w:t xml:space="preserve">s </w:t>
      </w:r>
      <w:r w:rsidR="00E11ED2">
        <w:t>reported across study follow up</w:t>
      </w:r>
      <w:r w:rsidR="006126DE">
        <w:t xml:space="preserve"> (trial </w:t>
      </w:r>
      <w:r w:rsidR="004D6C2F">
        <w:t xml:space="preserve">mean follow up: </w:t>
      </w:r>
      <w:r w:rsidR="004D6C2F" w:rsidRPr="00EA77DA">
        <w:rPr>
          <w:snapToGrid w:val="0"/>
        </w:rPr>
        <w:t xml:space="preserve">14.5 ± 5.5 </w:t>
      </w:r>
      <w:r w:rsidR="004D6C2F">
        <w:rPr>
          <w:snapToGrid w:val="0"/>
        </w:rPr>
        <w:t xml:space="preserve">to </w:t>
      </w:r>
      <w:r w:rsidR="004D6C2F" w:rsidRPr="007E3F2E">
        <w:rPr>
          <w:snapToGrid w:val="0"/>
        </w:rPr>
        <w:t>18.1 ± 4.5 months</w:t>
      </w:r>
      <w:r w:rsidR="004D6C2F">
        <w:t>)</w:t>
      </w:r>
      <w:r w:rsidR="00340D19">
        <w:t xml:space="preserve"> </w:t>
      </w:r>
      <w:r w:rsidR="00471384" w:rsidRPr="00815A71">
        <w:t>across all populations</w:t>
      </w:r>
      <w:r w:rsidR="004E076E">
        <w:t>.</w:t>
      </w:r>
      <w:r w:rsidR="00471384" w:rsidRPr="00815A71">
        <w:t xml:space="preserve"> </w:t>
      </w:r>
      <w:r w:rsidR="005E2C97">
        <w:t>However, t</w:t>
      </w:r>
      <w:r w:rsidR="00066A6C" w:rsidRPr="00815A71">
        <w:t>he evidence base does not allow an assessment of the long-term safety or effectiveness of DAC hydrogel due to the limited follow-up in the relevant studies, especially the RCTs (</w:t>
      </w:r>
      <w:r w:rsidR="00C969EB" w:rsidRPr="00815A71">
        <w:t xml:space="preserve">Romanò </w:t>
      </w:r>
      <w:r w:rsidR="00C969EB">
        <w:t xml:space="preserve">et al. </w:t>
      </w:r>
      <w:r w:rsidR="00C969EB" w:rsidRPr="00815A71">
        <w:t xml:space="preserve">2016 </w:t>
      </w:r>
      <w:r w:rsidR="00066A6C" w:rsidRPr="00815A71">
        <w:t xml:space="preserve">and Malizos </w:t>
      </w:r>
      <w:r w:rsidR="002B61F3">
        <w:t xml:space="preserve">et al. </w:t>
      </w:r>
      <w:r w:rsidR="00066A6C" w:rsidRPr="00815A71">
        <w:t>2017).</w:t>
      </w:r>
    </w:p>
    <w:p w14:paraId="3598D4DA" w14:textId="687BF933" w:rsidR="00066A6C" w:rsidRPr="00815A71" w:rsidRDefault="00066A6C" w:rsidP="00E50C67">
      <w:pPr>
        <w:pStyle w:val="Execsummnormal"/>
        <w:numPr>
          <w:ilvl w:val="0"/>
          <w:numId w:val="13"/>
        </w:numPr>
      </w:pPr>
      <w:r w:rsidRPr="00815A71">
        <w:t>There were potential biases in the studies. For example, case-control studies involved small sample sizes (n&lt;100, range 34 to 54) and adopted a retrospective study design prone to selection bias</w:t>
      </w:r>
      <w:r w:rsidR="00B16344" w:rsidRPr="00815A71">
        <w:t xml:space="preserve"> (Grade assessment for all outcomes: very low quality)</w:t>
      </w:r>
      <w:r w:rsidRPr="00815A71">
        <w:t xml:space="preserve">. Further, the RCTs (Romanò </w:t>
      </w:r>
      <w:r w:rsidR="002B61F3">
        <w:t xml:space="preserve">et al. </w:t>
      </w:r>
      <w:r w:rsidRPr="00815A71">
        <w:t>2016 and Malizos</w:t>
      </w:r>
      <w:r w:rsidR="002B61F3">
        <w:t xml:space="preserve"> et al.</w:t>
      </w:r>
      <w:r w:rsidRPr="00815A71">
        <w:t xml:space="preserve"> 2017) did not specify whether investigators and patients were blinded to treatment.</w:t>
      </w:r>
    </w:p>
    <w:p w14:paraId="432A8E21" w14:textId="43635958" w:rsidR="00066A6C" w:rsidRPr="00815A71" w:rsidRDefault="00066A6C" w:rsidP="00E50C67">
      <w:pPr>
        <w:pStyle w:val="Execsummnormal"/>
        <w:numPr>
          <w:ilvl w:val="0"/>
          <w:numId w:val="13"/>
        </w:numPr>
      </w:pPr>
      <w:bookmarkStart w:id="65" w:name="_Hlk71539509"/>
      <w:r w:rsidRPr="00815A71">
        <w:t xml:space="preserve">Both randomised studies had issues with the sample size calculation as the incidence of SSI assumed (i.e., 6%) for the control group was much higher than the </w:t>
      </w:r>
      <w:r w:rsidR="00C14A00">
        <w:t xml:space="preserve">estimated </w:t>
      </w:r>
      <w:r w:rsidR="00C969EB">
        <w:t>incidence of SSI</w:t>
      </w:r>
      <w:r w:rsidR="00C14A00">
        <w:t>, based on the rates of revision for infection</w:t>
      </w:r>
      <w:r w:rsidR="00C969EB" w:rsidRPr="00815A71">
        <w:t xml:space="preserve"> </w:t>
      </w:r>
      <w:r w:rsidRPr="00815A71">
        <w:t>in the Australian context</w:t>
      </w:r>
      <w:r w:rsidR="00B16344" w:rsidRPr="00815A71">
        <w:t xml:space="preserve"> (GRADE assessment for periprosthetic SSI: low quality)</w:t>
      </w:r>
      <w:r w:rsidRPr="00815A71">
        <w:t>.</w:t>
      </w:r>
      <w:r w:rsidR="00C55056">
        <w:t xml:space="preserve"> </w:t>
      </w:r>
    </w:p>
    <w:bookmarkEnd w:id="65"/>
    <w:p w14:paraId="529B6725" w14:textId="77777777" w:rsidR="00066A6C" w:rsidRPr="00815A71" w:rsidRDefault="00066A6C" w:rsidP="00E50C67">
      <w:pPr>
        <w:pStyle w:val="Execsummnormal"/>
        <w:numPr>
          <w:ilvl w:val="0"/>
          <w:numId w:val="13"/>
        </w:numPr>
      </w:pPr>
      <w:r w:rsidRPr="00815A71">
        <w:t>Neither randomised study fulfilled the criteria of ASA score ≥ 3 and BMI ≥ 30, which is a requirement for Populations 1 and 4.</w:t>
      </w:r>
    </w:p>
    <w:p w14:paraId="2ED0EA82" w14:textId="3D79243D" w:rsidR="00066A6C" w:rsidRPr="00815A71" w:rsidRDefault="00066A6C" w:rsidP="00E50C67">
      <w:pPr>
        <w:pStyle w:val="Execsummnormal"/>
        <w:numPr>
          <w:ilvl w:val="0"/>
          <w:numId w:val="13"/>
        </w:numPr>
      </w:pPr>
      <w:r w:rsidRPr="00815A71">
        <w:t>Randomisation had to be broken to estimate separate treatment effects for Population 1 and 3</w:t>
      </w:r>
      <w:r w:rsidR="001E1E8B">
        <w:t xml:space="preserve"> in the </w:t>
      </w:r>
      <w:r w:rsidR="001E1E8B" w:rsidRPr="00815A71">
        <w:t xml:space="preserve">Romanò </w:t>
      </w:r>
      <w:r w:rsidR="002B61F3">
        <w:t>et al. (</w:t>
      </w:r>
      <w:r w:rsidR="001E1E8B" w:rsidRPr="00815A71">
        <w:t>2016</w:t>
      </w:r>
      <w:r w:rsidR="002B61F3">
        <w:t>)</w:t>
      </w:r>
      <w:r w:rsidRPr="00815A71">
        <w:t>.</w:t>
      </w:r>
    </w:p>
    <w:p w14:paraId="1FC13E91" w14:textId="454F17D3" w:rsidR="00066A6C" w:rsidRPr="00815A71" w:rsidRDefault="00066A6C" w:rsidP="00E50C67">
      <w:pPr>
        <w:pStyle w:val="Execsummnormal"/>
        <w:numPr>
          <w:ilvl w:val="0"/>
          <w:numId w:val="13"/>
        </w:numPr>
      </w:pPr>
      <w:r w:rsidRPr="00815A71">
        <w:t>There was no safety or effectiveness evidence for Population 4</w:t>
      </w:r>
      <w:r w:rsidR="001E1E8B">
        <w:t>b</w:t>
      </w:r>
      <w:r w:rsidRPr="00815A71">
        <w:t xml:space="preserve"> </w:t>
      </w:r>
      <w:r w:rsidR="001E1E8B">
        <w:t>(</w:t>
      </w:r>
      <w:r w:rsidRPr="00815A71">
        <w:t>open fractures</w:t>
      </w:r>
      <w:r w:rsidR="001E1E8B">
        <w:t>)</w:t>
      </w:r>
      <w:r w:rsidRPr="00815A71">
        <w:t>.</w:t>
      </w:r>
    </w:p>
    <w:p w14:paraId="70A733F9" w14:textId="3C266ED7" w:rsidR="00066A6C" w:rsidRDefault="00066A6C" w:rsidP="00E50C67">
      <w:pPr>
        <w:pStyle w:val="Execsummnormal"/>
        <w:numPr>
          <w:ilvl w:val="0"/>
          <w:numId w:val="13"/>
        </w:numPr>
      </w:pPr>
      <w:r w:rsidRPr="00815A71">
        <w:t>Given the small sizes of the studies, it is not possible to rule out the possibility of important rare adverse events.</w:t>
      </w:r>
      <w:bookmarkEnd w:id="64"/>
    </w:p>
    <w:p w14:paraId="2976F1EB" w14:textId="22DB18B7" w:rsidR="007A0068" w:rsidRDefault="00326E84" w:rsidP="00E50C67">
      <w:pPr>
        <w:pStyle w:val="Execsummnormal"/>
        <w:numPr>
          <w:ilvl w:val="0"/>
          <w:numId w:val="13"/>
        </w:numPr>
      </w:pPr>
      <w:r>
        <w:lastRenderedPageBreak/>
        <w:t xml:space="preserve">The evidence does not allow for a comparison of DAC versus DAC+antibiotics, therefore the </w:t>
      </w:r>
      <w:r w:rsidR="007A0068">
        <w:t>role of DAC</w:t>
      </w:r>
      <w:r>
        <w:t>,</w:t>
      </w:r>
      <w:r w:rsidR="007A0068">
        <w:t xml:space="preserve"> </w:t>
      </w:r>
      <w:r>
        <w:t xml:space="preserve">as opposed to the antibiotics loaded with DAC, </w:t>
      </w:r>
      <w:r w:rsidR="007A0068">
        <w:t xml:space="preserve">in the </w:t>
      </w:r>
      <w:r w:rsidR="001E1E8B">
        <w:t>reported</w:t>
      </w:r>
      <w:r w:rsidR="007A0068">
        <w:t xml:space="preserve"> treatment effect</w:t>
      </w:r>
      <w:r w:rsidR="00963FC4">
        <w:t xml:space="preserve"> in clinical practice</w:t>
      </w:r>
      <w:r w:rsidR="007A0068">
        <w:t xml:space="preserve"> is unclear</w:t>
      </w:r>
      <w:r>
        <w:t>.</w:t>
      </w:r>
    </w:p>
    <w:p w14:paraId="768B9954" w14:textId="57284CDD" w:rsidR="00815A71" w:rsidRPr="00815A71" w:rsidRDefault="00815A71" w:rsidP="00E50C67">
      <w:pPr>
        <w:pStyle w:val="ESNumberedSectionHeading"/>
      </w:pPr>
      <w:bookmarkStart w:id="66" w:name="_Toc72335282"/>
      <w:bookmarkStart w:id="67" w:name="_Toc112076489"/>
      <w:bookmarkStart w:id="68" w:name="_Ref379404328"/>
      <w:bookmarkEnd w:id="37"/>
      <w:bookmarkEnd w:id="38"/>
      <w:bookmarkEnd w:id="39"/>
      <w:bookmarkEnd w:id="40"/>
      <w:r w:rsidRPr="00815A71">
        <w:t>1</w:t>
      </w:r>
      <w:r w:rsidR="00681B6B">
        <w:t>3</w:t>
      </w:r>
      <w:r w:rsidRPr="00815A71">
        <w:t>.</w:t>
      </w:r>
      <w:r w:rsidRPr="00815A71">
        <w:tab/>
        <w:t>Economic evaluation</w:t>
      </w:r>
      <w:bookmarkEnd w:id="66"/>
      <w:bookmarkEnd w:id="67"/>
    </w:p>
    <w:p w14:paraId="7EC70B61" w14:textId="42F423B8" w:rsidR="002B1E4F" w:rsidRPr="00815A71" w:rsidRDefault="00A46D63" w:rsidP="00E50C67">
      <w:pPr>
        <w:pStyle w:val="Execsummnormal"/>
      </w:pPr>
      <w:r>
        <w:t>In light of the clinical conclusions, based on low to very low</w:t>
      </w:r>
      <w:r w:rsidR="002B61F3">
        <w:t>-</w:t>
      </w:r>
      <w:r>
        <w:t>quality evidence with a number of serious limitations,</w:t>
      </w:r>
      <w:r w:rsidR="002B1E4F" w:rsidRPr="00815A71">
        <w:t xml:space="preserve"> </w:t>
      </w:r>
      <w:r w:rsidR="00405797">
        <w:t>and the paucity of data to inform the economic evaluation, in</w:t>
      </w:r>
      <w:r w:rsidR="002B1E4F" w:rsidRPr="00815A71">
        <w:t xml:space="preserve"> consultation with the Department of Health</w:t>
      </w:r>
      <w:r w:rsidR="008234E2">
        <w:t xml:space="preserve"> and Aged Care</w:t>
      </w:r>
      <w:r>
        <w:t>, the DCAR presented</w:t>
      </w:r>
      <w:r w:rsidR="002B1E4F" w:rsidRPr="00815A71">
        <w:t>:</w:t>
      </w:r>
    </w:p>
    <w:p w14:paraId="350C96D4" w14:textId="4E531E52" w:rsidR="002B1E4F" w:rsidRPr="00815A71" w:rsidRDefault="00155DA4" w:rsidP="00E50C67">
      <w:pPr>
        <w:pStyle w:val="Execsummnormal"/>
        <w:numPr>
          <w:ilvl w:val="0"/>
          <w:numId w:val="14"/>
        </w:numPr>
      </w:pPr>
      <w:r w:rsidRPr="00815A71">
        <w:t xml:space="preserve">exploratory </w:t>
      </w:r>
      <w:r w:rsidR="00033927" w:rsidRPr="00815A71">
        <w:t xml:space="preserve">adapted </w:t>
      </w:r>
      <w:r w:rsidR="009C1F74" w:rsidRPr="00815A71">
        <w:t xml:space="preserve">stepped </w:t>
      </w:r>
      <w:r w:rsidR="002B1E4F" w:rsidRPr="00815A71">
        <w:t>cost-utility analys</w:t>
      </w:r>
      <w:r w:rsidR="00992E5C">
        <w:t>e</w:t>
      </w:r>
      <w:r w:rsidR="002B1E4F" w:rsidRPr="00815A71">
        <w:t>s</w:t>
      </w:r>
      <w:r w:rsidR="00A6534D">
        <w:t xml:space="preserve"> </w:t>
      </w:r>
      <w:r w:rsidR="00992E5C">
        <w:t>for Populations 1 and 3</w:t>
      </w:r>
    </w:p>
    <w:p w14:paraId="6A774D9B" w14:textId="3F6602FF" w:rsidR="00992E5C" w:rsidRDefault="002B1E4F" w:rsidP="00E50C67">
      <w:pPr>
        <w:pStyle w:val="Execsummnormal"/>
        <w:numPr>
          <w:ilvl w:val="0"/>
          <w:numId w:val="14"/>
        </w:numPr>
      </w:pPr>
      <w:r w:rsidRPr="00815A71">
        <w:t>cost-consequence analys</w:t>
      </w:r>
      <w:r w:rsidR="00992E5C">
        <w:t>e</w:t>
      </w:r>
      <w:r w:rsidRPr="00815A71">
        <w:t>s</w:t>
      </w:r>
      <w:r w:rsidR="00992E5C">
        <w:t xml:space="preserve"> f</w:t>
      </w:r>
      <w:r w:rsidR="00992E5C" w:rsidRPr="00815A71">
        <w:t>or Populations 2 and 4</w:t>
      </w:r>
      <w:r w:rsidR="00992E5C">
        <w:t>b</w:t>
      </w:r>
      <w:r w:rsidR="00992E5C" w:rsidRPr="00815A71">
        <w:t xml:space="preserve"> (closed fracture subpopulation)</w:t>
      </w:r>
      <w:r w:rsidR="00A46D63">
        <w:t xml:space="preserve"> </w:t>
      </w:r>
      <w:r w:rsidR="00992E5C">
        <w:t xml:space="preserve"> </w:t>
      </w:r>
    </w:p>
    <w:p w14:paraId="3F030FF8" w14:textId="616D400A" w:rsidR="002B1E4F" w:rsidRPr="00815A71" w:rsidRDefault="00992E5C" w:rsidP="00E50C67">
      <w:pPr>
        <w:pStyle w:val="Execsummnormal"/>
        <w:numPr>
          <w:ilvl w:val="0"/>
          <w:numId w:val="14"/>
        </w:numPr>
      </w:pPr>
      <w:r>
        <w:t xml:space="preserve">cost-consequence analyses for Population 1 and 3 </w:t>
      </w:r>
      <w:r w:rsidR="00A46D63">
        <w:t>(</w:t>
      </w:r>
      <w:r>
        <w:t>presented in the main body of the DCAR</w:t>
      </w:r>
      <w:r w:rsidR="00A46D63">
        <w:t xml:space="preserve"> only)</w:t>
      </w:r>
      <w:r>
        <w:t xml:space="preserve">. </w:t>
      </w:r>
    </w:p>
    <w:p w14:paraId="5ADBA11C" w14:textId="5C35FD26" w:rsidR="00CD7A17" w:rsidRPr="00815A71" w:rsidRDefault="00CD7A17" w:rsidP="00E50C67">
      <w:pPr>
        <w:pStyle w:val="Execsummnormal"/>
      </w:pPr>
      <w:r w:rsidRPr="00815A71">
        <w:t>Costs directly associated with DAC included the following components: the acquisition cost of DAC; the cost of the antibiotics required to preload the DAC hydrogel; the cost of sterile water to reconstitute the DAC dry powder and to mix the antibiotics to the appropriate concentration if needed.</w:t>
      </w:r>
    </w:p>
    <w:p w14:paraId="60BA62A6" w14:textId="12235831" w:rsidR="00142E27" w:rsidRPr="00815A71" w:rsidRDefault="00CD7A17" w:rsidP="00E50C67">
      <w:pPr>
        <w:pStyle w:val="Execsummnormal"/>
      </w:pPr>
      <w:r w:rsidRPr="00815A71">
        <w:t xml:space="preserve">A key assumption in costing was the average number of DAC 5mL kits required per surgical procedure, estimated separately for each population by modelling the distribution function of the DAC volume across patients. </w:t>
      </w:r>
      <w:r w:rsidR="008827E8" w:rsidRPr="00450F52">
        <w:rPr>
          <w:b/>
          <w:bCs/>
        </w:rPr>
        <w:t>Redacted</w:t>
      </w:r>
      <w:r w:rsidRPr="00815A71">
        <w:t>.</w:t>
      </w:r>
    </w:p>
    <w:p w14:paraId="327F6A88" w14:textId="7F95F568" w:rsidR="002B1E4F" w:rsidRPr="00815A71" w:rsidRDefault="002B1E4F" w:rsidP="00E50C67">
      <w:pPr>
        <w:pStyle w:val="ExecSummHeading3"/>
      </w:pPr>
      <w:bookmarkStart w:id="69" w:name="_Toc112076490"/>
      <w:r w:rsidRPr="00815A71">
        <w:t>Cost-utility analyses (Populations 1 and 3)</w:t>
      </w:r>
      <w:bookmarkEnd w:id="69"/>
    </w:p>
    <w:p w14:paraId="5D26B96C" w14:textId="58ABCDAB" w:rsidR="002B1E4F" w:rsidRPr="00815A71" w:rsidRDefault="002B1E4F" w:rsidP="00E50C67">
      <w:pPr>
        <w:pStyle w:val="Execsummnormal"/>
        <w:rPr>
          <w:lang w:val="en-US"/>
        </w:rPr>
      </w:pPr>
      <w:r w:rsidRPr="00815A71">
        <w:t xml:space="preserve">Key characteristics of the decision-analytic model are presented in </w:t>
      </w:r>
      <w:r w:rsidRPr="00815A71">
        <w:fldChar w:fldCharType="begin"/>
      </w:r>
      <w:r w:rsidRPr="00815A71">
        <w:instrText xml:space="preserve"> REF _Ref379483368 \h  \* MERGEFORMAT </w:instrText>
      </w:r>
      <w:r w:rsidRPr="00815A71">
        <w:fldChar w:fldCharType="separate"/>
      </w:r>
      <w:r w:rsidR="00BB246A">
        <w:t xml:space="preserve">Table </w:t>
      </w:r>
      <w:r w:rsidR="00BB246A">
        <w:rPr>
          <w:noProof/>
        </w:rPr>
        <w:t>3</w:t>
      </w:r>
      <w:r w:rsidRPr="00815A71">
        <w:fldChar w:fldCharType="end"/>
      </w:r>
      <w:r w:rsidRPr="00815A71">
        <w:t>.</w:t>
      </w:r>
    </w:p>
    <w:p w14:paraId="31A45228" w14:textId="31F650F1" w:rsidR="002B1E4F" w:rsidRDefault="002B1E4F" w:rsidP="00E50C67">
      <w:pPr>
        <w:pStyle w:val="Caption"/>
      </w:pPr>
      <w:bookmarkStart w:id="70" w:name="_Ref379483368"/>
      <w:bookmarkStart w:id="71" w:name="_Ref394419656"/>
      <w:bookmarkStart w:id="72" w:name="_Toc74729091"/>
      <w:bookmarkStart w:id="73" w:name="_Toc112076620"/>
      <w:r>
        <w:t xml:space="preserve">Table </w:t>
      </w:r>
      <w:r>
        <w:fldChar w:fldCharType="begin"/>
      </w:r>
      <w:r>
        <w:instrText>SEQ Table \* ARABIC</w:instrText>
      </w:r>
      <w:r>
        <w:fldChar w:fldCharType="separate"/>
      </w:r>
      <w:r w:rsidR="00BB246A">
        <w:rPr>
          <w:noProof/>
        </w:rPr>
        <w:t>3</w:t>
      </w:r>
      <w:r>
        <w:fldChar w:fldCharType="end"/>
      </w:r>
      <w:bookmarkEnd w:id="68"/>
      <w:bookmarkEnd w:id="70"/>
      <w:r w:rsidR="00FC3571">
        <w:t xml:space="preserve"> </w:t>
      </w:r>
      <w:r>
        <w:t xml:space="preserve">Summary of the </w:t>
      </w:r>
      <w:bookmarkEnd w:id="71"/>
      <w:r>
        <w:t>cost-utility analysis for Populations 1 and 3</w:t>
      </w:r>
      <w:bookmarkEnd w:id="72"/>
      <w:bookmarkEnd w:id="73"/>
    </w:p>
    <w:tbl>
      <w:tblPr>
        <w:tblStyle w:val="TableGrid1"/>
        <w:tblW w:w="0" w:type="auto"/>
        <w:tblInd w:w="-5" w:type="dxa"/>
        <w:tblLook w:val="01E0" w:firstRow="1" w:lastRow="1" w:firstColumn="1" w:lastColumn="1" w:noHBand="0" w:noVBand="0"/>
        <w:tblCaption w:val="Summary of the cost-utility analysis for Populations 1 and 3"/>
        <w:tblDescription w:val="A description of perspective, comparator, type of economic evaluation, time horizon, outcomes, methods used to generate results, health states, cycle length, discount rate and software is provided."/>
      </w:tblPr>
      <w:tblGrid>
        <w:gridCol w:w="3184"/>
        <w:gridCol w:w="5837"/>
      </w:tblGrid>
      <w:tr w:rsidR="002B1E4F" w14:paraId="206E4051" w14:textId="77777777" w:rsidTr="00AC0442">
        <w:trPr>
          <w:cnfStyle w:val="100000000000" w:firstRow="1" w:lastRow="0" w:firstColumn="0" w:lastColumn="0" w:oddVBand="0" w:evenVBand="0" w:oddHBand="0" w:evenHBand="0" w:firstRowFirstColumn="0" w:firstRowLastColumn="0" w:lastRowFirstColumn="0" w:lastRowLastColumn="0"/>
          <w:trHeight w:val="20"/>
        </w:trPr>
        <w:tc>
          <w:tcPr>
            <w:tcW w:w="3184" w:type="dxa"/>
            <w:tcBorders>
              <w:top w:val="single" w:sz="4" w:space="0" w:color="auto"/>
              <w:left w:val="single" w:sz="4" w:space="0" w:color="auto"/>
              <w:bottom w:val="single" w:sz="4" w:space="0" w:color="auto"/>
              <w:right w:val="single" w:sz="4" w:space="0" w:color="auto"/>
            </w:tcBorders>
            <w:hideMark/>
          </w:tcPr>
          <w:p w14:paraId="07F08DEB" w14:textId="77777777" w:rsidR="002B1E4F" w:rsidRDefault="002B1E4F" w:rsidP="00607722">
            <w:pPr>
              <w:pStyle w:val="Tabletext1"/>
            </w:pPr>
            <w:r>
              <w:t>Perspective</w:t>
            </w:r>
          </w:p>
        </w:tc>
        <w:tc>
          <w:tcPr>
            <w:tcW w:w="5837" w:type="dxa"/>
            <w:tcBorders>
              <w:top w:val="single" w:sz="4" w:space="0" w:color="auto"/>
              <w:left w:val="single" w:sz="4" w:space="0" w:color="auto"/>
              <w:bottom w:val="single" w:sz="4" w:space="0" w:color="auto"/>
              <w:right w:val="single" w:sz="4" w:space="0" w:color="auto"/>
            </w:tcBorders>
            <w:hideMark/>
          </w:tcPr>
          <w:p w14:paraId="32812B7E" w14:textId="77777777" w:rsidR="002B1E4F" w:rsidRDefault="002B1E4F" w:rsidP="00607722">
            <w:pPr>
              <w:pStyle w:val="Tabletext1"/>
            </w:pPr>
            <w:r>
              <w:t>Australian health system</w:t>
            </w:r>
          </w:p>
        </w:tc>
      </w:tr>
      <w:tr w:rsidR="002B1E4F" w14:paraId="34E4B17F"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40A6181A" w14:textId="77777777" w:rsidR="002B1E4F" w:rsidRDefault="002B1E4F" w:rsidP="00607722">
            <w:pPr>
              <w:pStyle w:val="Tabletext1"/>
            </w:pPr>
            <w:r>
              <w:t>Comparator</w:t>
            </w:r>
          </w:p>
        </w:tc>
        <w:tc>
          <w:tcPr>
            <w:tcW w:w="5837" w:type="dxa"/>
            <w:tcBorders>
              <w:top w:val="single" w:sz="4" w:space="0" w:color="auto"/>
              <w:left w:val="single" w:sz="4" w:space="0" w:color="auto"/>
              <w:bottom w:val="single" w:sz="4" w:space="0" w:color="auto"/>
              <w:right w:val="single" w:sz="4" w:space="0" w:color="auto"/>
            </w:tcBorders>
            <w:hideMark/>
          </w:tcPr>
          <w:p w14:paraId="3EF76B85" w14:textId="523D5FE9" w:rsidR="002B1E4F" w:rsidRDefault="002B1E4F" w:rsidP="00607722">
            <w:pPr>
              <w:pStyle w:val="Tabletext1"/>
            </w:pPr>
            <w:r>
              <w:t>Standard surgery without DAC</w:t>
            </w:r>
            <w:r w:rsidR="006B1625">
              <w:t>+antibiotics</w:t>
            </w:r>
          </w:p>
        </w:tc>
      </w:tr>
      <w:tr w:rsidR="002B1E4F" w14:paraId="6E56FB5C"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447A295B" w14:textId="77777777" w:rsidR="002B1E4F" w:rsidRDefault="002B1E4F" w:rsidP="00607722">
            <w:pPr>
              <w:pStyle w:val="Tabletext1"/>
            </w:pPr>
            <w:r>
              <w:t>Type of economic evaluation</w:t>
            </w:r>
          </w:p>
        </w:tc>
        <w:tc>
          <w:tcPr>
            <w:tcW w:w="5837" w:type="dxa"/>
            <w:tcBorders>
              <w:top w:val="single" w:sz="4" w:space="0" w:color="auto"/>
              <w:left w:val="single" w:sz="4" w:space="0" w:color="auto"/>
              <w:bottom w:val="single" w:sz="4" w:space="0" w:color="auto"/>
              <w:right w:val="single" w:sz="4" w:space="0" w:color="auto"/>
            </w:tcBorders>
            <w:hideMark/>
          </w:tcPr>
          <w:p w14:paraId="1D916832" w14:textId="77777777" w:rsidR="002B1E4F" w:rsidRDefault="002B1E4F" w:rsidP="00607722">
            <w:pPr>
              <w:pStyle w:val="Tabletext1"/>
            </w:pPr>
            <w:r>
              <w:t>Cost-utility analysis</w:t>
            </w:r>
          </w:p>
        </w:tc>
      </w:tr>
      <w:tr w:rsidR="002B1E4F" w14:paraId="2EF25057"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19F5F747" w14:textId="77777777" w:rsidR="002B1E4F" w:rsidRDefault="002B1E4F" w:rsidP="00607722">
            <w:pPr>
              <w:pStyle w:val="Tabletext1"/>
            </w:pPr>
            <w:r>
              <w:t>Sources of evidence</w:t>
            </w:r>
          </w:p>
        </w:tc>
        <w:tc>
          <w:tcPr>
            <w:tcW w:w="5837" w:type="dxa"/>
            <w:tcBorders>
              <w:top w:val="single" w:sz="4" w:space="0" w:color="auto"/>
              <w:left w:val="single" w:sz="4" w:space="0" w:color="auto"/>
              <w:bottom w:val="single" w:sz="4" w:space="0" w:color="auto"/>
              <w:right w:val="single" w:sz="4" w:space="0" w:color="auto"/>
            </w:tcBorders>
            <w:hideMark/>
          </w:tcPr>
          <w:p w14:paraId="0C1C2634" w14:textId="2F4834A5" w:rsidR="002B1E4F" w:rsidRDefault="002B1E4F" w:rsidP="00607722">
            <w:pPr>
              <w:pStyle w:val="Tabletext1"/>
            </w:pPr>
            <w:r>
              <w:t>Systematic review, AOANJRR registry</w:t>
            </w:r>
            <w:r w:rsidR="00BF7802">
              <w:t>, AOANJRR data request</w:t>
            </w:r>
            <w:r>
              <w:t xml:space="preserve"> and clinical expert advice</w:t>
            </w:r>
          </w:p>
        </w:tc>
      </w:tr>
      <w:tr w:rsidR="002B1E4F" w14:paraId="14D8C430"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2100DCF8" w14:textId="77777777" w:rsidR="002B1E4F" w:rsidRDefault="002B1E4F" w:rsidP="00607722">
            <w:pPr>
              <w:pStyle w:val="Tabletext1"/>
            </w:pPr>
            <w:r>
              <w:t>Time horizon</w:t>
            </w:r>
          </w:p>
        </w:tc>
        <w:tc>
          <w:tcPr>
            <w:tcW w:w="5837" w:type="dxa"/>
            <w:tcBorders>
              <w:top w:val="single" w:sz="4" w:space="0" w:color="auto"/>
              <w:left w:val="single" w:sz="4" w:space="0" w:color="auto"/>
              <w:bottom w:val="single" w:sz="4" w:space="0" w:color="auto"/>
              <w:right w:val="single" w:sz="4" w:space="0" w:color="auto"/>
            </w:tcBorders>
            <w:hideMark/>
          </w:tcPr>
          <w:p w14:paraId="3929D4E2" w14:textId="36F4978C" w:rsidR="002B1E4F" w:rsidRDefault="00E00285" w:rsidP="00607722">
            <w:pPr>
              <w:pStyle w:val="Tabletext1"/>
            </w:pPr>
            <w:r>
              <w:t>2</w:t>
            </w:r>
            <w:r w:rsidR="002B1E4F">
              <w:t>0 years</w:t>
            </w:r>
          </w:p>
        </w:tc>
      </w:tr>
      <w:tr w:rsidR="002B1E4F" w14:paraId="2FAAA59D"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5AEB0FFF" w14:textId="77777777" w:rsidR="002B1E4F" w:rsidRDefault="002B1E4F" w:rsidP="00607722">
            <w:pPr>
              <w:pStyle w:val="Tabletext1"/>
            </w:pPr>
            <w:r>
              <w:t>Outcomes</w:t>
            </w:r>
          </w:p>
        </w:tc>
        <w:tc>
          <w:tcPr>
            <w:tcW w:w="5837" w:type="dxa"/>
            <w:tcBorders>
              <w:top w:val="single" w:sz="4" w:space="0" w:color="auto"/>
              <w:left w:val="single" w:sz="4" w:space="0" w:color="auto"/>
              <w:bottom w:val="single" w:sz="4" w:space="0" w:color="auto"/>
              <w:right w:val="single" w:sz="4" w:space="0" w:color="auto"/>
            </w:tcBorders>
            <w:hideMark/>
          </w:tcPr>
          <w:p w14:paraId="06D18A13" w14:textId="77777777" w:rsidR="002B1E4F" w:rsidRDefault="002B1E4F" w:rsidP="00607722">
            <w:pPr>
              <w:pStyle w:val="Tabletext1"/>
            </w:pPr>
            <w:r>
              <w:t>QALYs</w:t>
            </w:r>
          </w:p>
        </w:tc>
      </w:tr>
      <w:tr w:rsidR="002B1E4F" w14:paraId="60D0C3C5"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40A0400B" w14:textId="77777777" w:rsidR="002B1E4F" w:rsidRDefault="002B1E4F" w:rsidP="00607722">
            <w:pPr>
              <w:pStyle w:val="Tabletext1"/>
            </w:pPr>
            <w:r>
              <w:t>Methods used to generate results</w:t>
            </w:r>
          </w:p>
        </w:tc>
        <w:tc>
          <w:tcPr>
            <w:tcW w:w="5837" w:type="dxa"/>
            <w:tcBorders>
              <w:top w:val="single" w:sz="4" w:space="0" w:color="auto"/>
              <w:left w:val="single" w:sz="4" w:space="0" w:color="auto"/>
              <w:bottom w:val="single" w:sz="4" w:space="0" w:color="auto"/>
              <w:right w:val="single" w:sz="4" w:space="0" w:color="auto"/>
            </w:tcBorders>
            <w:hideMark/>
          </w:tcPr>
          <w:p w14:paraId="5EC5AED3" w14:textId="77777777" w:rsidR="002B1E4F" w:rsidRDefault="002B1E4F" w:rsidP="00607722">
            <w:pPr>
              <w:pStyle w:val="Tabletext1"/>
            </w:pPr>
            <w:r>
              <w:t>Markov model</w:t>
            </w:r>
          </w:p>
        </w:tc>
      </w:tr>
      <w:tr w:rsidR="002B1E4F" w14:paraId="25160DA6"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43F344B8" w14:textId="77777777" w:rsidR="002B1E4F" w:rsidRDefault="002B1E4F" w:rsidP="00607722">
            <w:pPr>
              <w:pStyle w:val="Tabletext1"/>
            </w:pPr>
            <w:r>
              <w:t>Health states</w:t>
            </w:r>
          </w:p>
        </w:tc>
        <w:tc>
          <w:tcPr>
            <w:tcW w:w="5837" w:type="dxa"/>
            <w:tcBorders>
              <w:top w:val="single" w:sz="4" w:space="0" w:color="auto"/>
              <w:left w:val="single" w:sz="4" w:space="0" w:color="auto"/>
              <w:bottom w:val="single" w:sz="4" w:space="0" w:color="auto"/>
              <w:right w:val="single" w:sz="4" w:space="0" w:color="auto"/>
            </w:tcBorders>
            <w:hideMark/>
          </w:tcPr>
          <w:p w14:paraId="66A00CC0" w14:textId="77777777" w:rsidR="002B1E4F" w:rsidRDefault="002B1E4F" w:rsidP="00607722">
            <w:pPr>
              <w:pStyle w:val="Tabletext1"/>
            </w:pPr>
            <w:r>
              <w:t>No periprosthetic deep SSI (only for Population 1), DAIR (only for Population 1), first revision for infection, post-treatment (DAIR or first revision), second revision for infection, post-treatment (second revision), permanent implant removal, death (all cause), death (periprosthetic deep SSI)</w:t>
            </w:r>
          </w:p>
        </w:tc>
      </w:tr>
      <w:tr w:rsidR="002B1E4F" w14:paraId="48759E6A"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5A16625C" w14:textId="77777777" w:rsidR="002B1E4F" w:rsidRDefault="002B1E4F" w:rsidP="00607722">
            <w:pPr>
              <w:pStyle w:val="Tabletext1"/>
            </w:pPr>
            <w:r>
              <w:t>Cycle length</w:t>
            </w:r>
          </w:p>
        </w:tc>
        <w:tc>
          <w:tcPr>
            <w:tcW w:w="5837" w:type="dxa"/>
            <w:tcBorders>
              <w:top w:val="single" w:sz="4" w:space="0" w:color="auto"/>
              <w:left w:val="single" w:sz="4" w:space="0" w:color="auto"/>
              <w:bottom w:val="single" w:sz="4" w:space="0" w:color="auto"/>
              <w:right w:val="single" w:sz="4" w:space="0" w:color="auto"/>
            </w:tcBorders>
            <w:hideMark/>
          </w:tcPr>
          <w:p w14:paraId="27C84116" w14:textId="77777777" w:rsidR="002B1E4F" w:rsidRDefault="002B1E4F" w:rsidP="00607722">
            <w:pPr>
              <w:pStyle w:val="Tabletext1"/>
            </w:pPr>
            <w:r>
              <w:t>One year</w:t>
            </w:r>
          </w:p>
        </w:tc>
      </w:tr>
      <w:tr w:rsidR="002B1E4F" w14:paraId="0F5F2F38"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634B35E7" w14:textId="77777777" w:rsidR="002B1E4F" w:rsidRDefault="002B1E4F" w:rsidP="00607722">
            <w:pPr>
              <w:pStyle w:val="Tabletext1"/>
            </w:pPr>
            <w:r>
              <w:t>Discount rate</w:t>
            </w:r>
          </w:p>
        </w:tc>
        <w:tc>
          <w:tcPr>
            <w:tcW w:w="5837" w:type="dxa"/>
            <w:tcBorders>
              <w:top w:val="single" w:sz="4" w:space="0" w:color="auto"/>
              <w:left w:val="single" w:sz="4" w:space="0" w:color="auto"/>
              <w:bottom w:val="single" w:sz="4" w:space="0" w:color="auto"/>
              <w:right w:val="single" w:sz="4" w:space="0" w:color="auto"/>
            </w:tcBorders>
            <w:hideMark/>
          </w:tcPr>
          <w:p w14:paraId="575FC040" w14:textId="77777777" w:rsidR="002B1E4F" w:rsidRDefault="002B1E4F" w:rsidP="00607722">
            <w:pPr>
              <w:pStyle w:val="Tabletext1"/>
            </w:pPr>
            <w:r>
              <w:t>An annual rate of 5% for costs and benefits</w:t>
            </w:r>
          </w:p>
        </w:tc>
      </w:tr>
      <w:tr w:rsidR="002B1E4F" w14:paraId="38E453FB" w14:textId="77777777" w:rsidTr="00AC0442">
        <w:trPr>
          <w:trHeight w:val="20"/>
        </w:trPr>
        <w:tc>
          <w:tcPr>
            <w:tcW w:w="3184" w:type="dxa"/>
            <w:tcBorders>
              <w:top w:val="single" w:sz="4" w:space="0" w:color="auto"/>
              <w:left w:val="single" w:sz="4" w:space="0" w:color="auto"/>
              <w:bottom w:val="single" w:sz="4" w:space="0" w:color="auto"/>
              <w:right w:val="single" w:sz="4" w:space="0" w:color="auto"/>
            </w:tcBorders>
            <w:hideMark/>
          </w:tcPr>
          <w:p w14:paraId="51A33442" w14:textId="77777777" w:rsidR="002B1E4F" w:rsidRDefault="002B1E4F" w:rsidP="00607722">
            <w:pPr>
              <w:pStyle w:val="Tabletext1"/>
            </w:pPr>
            <w:r>
              <w:t>Software packages used</w:t>
            </w:r>
          </w:p>
        </w:tc>
        <w:tc>
          <w:tcPr>
            <w:tcW w:w="5837" w:type="dxa"/>
            <w:tcBorders>
              <w:top w:val="single" w:sz="4" w:space="0" w:color="auto"/>
              <w:left w:val="single" w:sz="4" w:space="0" w:color="auto"/>
              <w:bottom w:val="single" w:sz="4" w:space="0" w:color="auto"/>
              <w:right w:val="single" w:sz="4" w:space="0" w:color="auto"/>
            </w:tcBorders>
            <w:hideMark/>
          </w:tcPr>
          <w:p w14:paraId="7D18BBAA" w14:textId="77777777" w:rsidR="002B1E4F" w:rsidRDefault="002B1E4F" w:rsidP="00607722">
            <w:pPr>
              <w:pStyle w:val="Tabletext1"/>
            </w:pPr>
            <w:r>
              <w:t>TreeAge Pro Healthcare 2021 R1.1</w:t>
            </w:r>
          </w:p>
        </w:tc>
      </w:tr>
    </w:tbl>
    <w:p w14:paraId="3399E935" w14:textId="77777777" w:rsidR="00FC3571" w:rsidRDefault="00FC3571" w:rsidP="00607722">
      <w:pPr>
        <w:pStyle w:val="Tablenotes0"/>
      </w:pPr>
      <w:r>
        <w:t>Source: Table 3, p36 of MSAC 1629 DCAR</w:t>
      </w:r>
    </w:p>
    <w:p w14:paraId="2A769B54" w14:textId="0B8CCCCF" w:rsidR="002B1E4F" w:rsidRDefault="002B1E4F" w:rsidP="00607722">
      <w:pPr>
        <w:pStyle w:val="Tablenotes0"/>
      </w:pPr>
      <w:r>
        <w:t>Abbreviations: AOANJRR=Australian Orthopaedic Association National Joint Replacement Registry; DAC=Defensive Antibacterial Coating; DAIR=debridement, antibiotics, and implant retention; QALY=quality-adjusted life-year; SSI=surgical site infection.</w:t>
      </w:r>
    </w:p>
    <w:p w14:paraId="2331A282" w14:textId="266EBA9C" w:rsidR="002B1E4F" w:rsidRPr="00815A71" w:rsidRDefault="002B1E4F" w:rsidP="00607722">
      <w:pPr>
        <w:pStyle w:val="Execsummnormal"/>
      </w:pPr>
      <w:r w:rsidRPr="00815A71">
        <w:t>The Markov model aim</w:t>
      </w:r>
      <w:r w:rsidR="002B61F3">
        <w:t>ed</w:t>
      </w:r>
      <w:r w:rsidRPr="00815A71">
        <w:t xml:space="preserve"> to represent the clinical algorithms in </w:t>
      </w:r>
      <w:r w:rsidR="00F10B1F">
        <w:t>MSAC 1629</w:t>
      </w:r>
      <w:r w:rsidRPr="00815A71">
        <w:t xml:space="preserve"> PICO</w:t>
      </w:r>
      <w:r w:rsidR="00F10B1F">
        <w:t xml:space="preserve"> Confirmation</w:t>
      </w:r>
      <w:r w:rsidRPr="00815A71">
        <w:t>, using the available evidence</w:t>
      </w:r>
      <w:r w:rsidR="002C5DAC" w:rsidRPr="00815A71">
        <w:t xml:space="preserve"> sourced from a systematic literature review</w:t>
      </w:r>
      <w:r w:rsidRPr="00815A71">
        <w:t xml:space="preserve">. For Population 1, if a patient suffers periprosthetic deep SSI after primary surgery, it can be treated with DAIR, revision </w:t>
      </w:r>
      <w:r w:rsidRPr="00815A71">
        <w:lastRenderedPageBreak/>
        <w:t>surgery, or permanent implant removal. If there is a recurrent infection, patients can have a second revision or permanent implant removal</w:t>
      </w:r>
      <w:r w:rsidR="006B1625">
        <w:t xml:space="preserve">. </w:t>
      </w:r>
      <w:r w:rsidRPr="00815A71">
        <w:t xml:space="preserve">For Population 3, the cohort starts in the </w:t>
      </w:r>
      <w:r w:rsidR="006B1625">
        <w:t>p</w:t>
      </w:r>
      <w:r w:rsidR="002C5DAC" w:rsidRPr="00815A71">
        <w:t>ost-treatment (DAIR or first revision)</w:t>
      </w:r>
      <w:r w:rsidRPr="00815A71">
        <w:t xml:space="preserve"> and then follows the same pathway as the model for Population</w:t>
      </w:r>
      <w:r w:rsidR="001E1E8B">
        <w:t> </w:t>
      </w:r>
      <w:r w:rsidRPr="00815A71">
        <w:t xml:space="preserve">1. </w:t>
      </w:r>
    </w:p>
    <w:p w14:paraId="2E0D90AE" w14:textId="6DC6AB7E" w:rsidR="0076792A" w:rsidRPr="00815A71" w:rsidRDefault="00330260" w:rsidP="00607722">
      <w:pPr>
        <w:pStyle w:val="Execsummnormal"/>
      </w:pPr>
      <w:r w:rsidRPr="00815A71">
        <w:t>Key structural assumptions of the model are:</w:t>
      </w:r>
    </w:p>
    <w:p w14:paraId="4F08D972" w14:textId="5AEBBE01" w:rsidR="00330260" w:rsidRPr="00815A71" w:rsidRDefault="002C5DAC" w:rsidP="00607722">
      <w:pPr>
        <w:pStyle w:val="Execsummnormal"/>
        <w:numPr>
          <w:ilvl w:val="0"/>
          <w:numId w:val="15"/>
        </w:numPr>
      </w:pPr>
      <w:r w:rsidRPr="00815A71">
        <w:t>A patient can have two revisions at most, reflecting data provided by the AOANJRR.</w:t>
      </w:r>
    </w:p>
    <w:p w14:paraId="102C9004" w14:textId="34644608" w:rsidR="002C5DAC" w:rsidRPr="00815A71" w:rsidRDefault="002C5DAC" w:rsidP="00A94954">
      <w:pPr>
        <w:pStyle w:val="Execsummnormal"/>
        <w:numPr>
          <w:ilvl w:val="0"/>
          <w:numId w:val="15"/>
        </w:numPr>
      </w:pPr>
      <w:r w:rsidRPr="00815A71">
        <w:t>Both hip and knee followed the same pathways, but modelled separately using different model inputs.</w:t>
      </w:r>
    </w:p>
    <w:p w14:paraId="05DF7594" w14:textId="23E090AE" w:rsidR="006B37B4" w:rsidRPr="00815A71" w:rsidRDefault="006B37B4" w:rsidP="00A94954">
      <w:pPr>
        <w:pStyle w:val="Execsummnormal"/>
        <w:numPr>
          <w:ilvl w:val="0"/>
          <w:numId w:val="15"/>
        </w:numPr>
      </w:pPr>
      <w:r w:rsidRPr="00815A71">
        <w:t>DAC</w:t>
      </w:r>
      <w:r w:rsidR="001E1E8B">
        <w:t>+antibiotic</w:t>
      </w:r>
      <w:r w:rsidRPr="00815A71">
        <w:t xml:space="preserve"> treatment effect was only considered over one </w:t>
      </w:r>
      <w:r w:rsidR="00B8172E" w:rsidRPr="00815A71">
        <w:t xml:space="preserve">year model </w:t>
      </w:r>
      <w:r w:rsidRPr="00815A71">
        <w:t xml:space="preserve">cycle in accordance with Romanò </w:t>
      </w:r>
      <w:r w:rsidR="002B61F3">
        <w:t>et al. (</w:t>
      </w:r>
      <w:r w:rsidRPr="00815A71">
        <w:t>2016</w:t>
      </w:r>
      <w:r w:rsidR="002B61F3">
        <w:t>)</w:t>
      </w:r>
      <w:r w:rsidRPr="00815A71">
        <w:t xml:space="preserve"> follow-up.</w:t>
      </w:r>
    </w:p>
    <w:p w14:paraId="27A894C9" w14:textId="0B8FB295" w:rsidR="006B37B4" w:rsidRPr="00815A71" w:rsidRDefault="006B37B4" w:rsidP="00FC3571">
      <w:pPr>
        <w:pStyle w:val="Execsummnormal"/>
        <w:numPr>
          <w:ilvl w:val="0"/>
          <w:numId w:val="15"/>
        </w:numPr>
      </w:pPr>
      <w:r w:rsidRPr="00815A71">
        <w:t>A time horizon of 20 years was chosen to reflect life expectancy of the Australian population.</w:t>
      </w:r>
    </w:p>
    <w:p w14:paraId="33B95471" w14:textId="1FA10B58" w:rsidR="002C5DAC" w:rsidRPr="00815A71" w:rsidRDefault="002C5DAC" w:rsidP="00761439">
      <w:pPr>
        <w:pStyle w:val="Execsummnormal"/>
        <w:numPr>
          <w:ilvl w:val="0"/>
          <w:numId w:val="15"/>
        </w:numPr>
      </w:pPr>
      <w:r w:rsidRPr="00815A71">
        <w:t>The preventive effect of DAC</w:t>
      </w:r>
      <w:r w:rsidR="006B1625">
        <w:t>+antibiotics</w:t>
      </w:r>
      <w:r w:rsidRPr="00815A71">
        <w:t xml:space="preserve"> for Population 1 was only considered after elective primary TJA (hip or knee), not in further revisions for infection as defined </w:t>
      </w:r>
      <w:r w:rsidR="00F10B1F">
        <w:t>in MSAC 1629</w:t>
      </w:r>
      <w:r w:rsidRPr="00815A71">
        <w:t xml:space="preserve"> PICO </w:t>
      </w:r>
      <w:r w:rsidR="00F10B1F">
        <w:t xml:space="preserve">Confirmation </w:t>
      </w:r>
      <w:r w:rsidRPr="00815A71">
        <w:t xml:space="preserve">(p2, Table 1 of </w:t>
      </w:r>
      <w:r w:rsidR="00BF41C6" w:rsidRPr="002B61F3">
        <w:t>MSAC 1629 PICO Confirmation</w:t>
      </w:r>
      <w:r w:rsidRPr="00815A71">
        <w:t>).</w:t>
      </w:r>
    </w:p>
    <w:p w14:paraId="220F71C4" w14:textId="27D7ACD9" w:rsidR="002C5DAC" w:rsidRPr="00815A71" w:rsidRDefault="002C5DAC" w:rsidP="000A4AD3">
      <w:pPr>
        <w:pStyle w:val="Execsummnormal"/>
        <w:numPr>
          <w:ilvl w:val="0"/>
          <w:numId w:val="15"/>
        </w:numPr>
      </w:pPr>
      <w:r w:rsidRPr="00815A71">
        <w:t>The model structure</w:t>
      </w:r>
      <w:r w:rsidR="00FD0107" w:rsidRPr="00815A71">
        <w:t>s</w:t>
      </w:r>
      <w:r w:rsidRPr="00815A71">
        <w:t xml:space="preserve"> of surgery with DAC</w:t>
      </w:r>
      <w:r w:rsidR="006B1625">
        <w:t>+antibiotics</w:t>
      </w:r>
      <w:r w:rsidRPr="00815A71">
        <w:t xml:space="preserve"> and surgery without DAC</w:t>
      </w:r>
      <w:r w:rsidR="006B1625">
        <w:t>+antibiotics</w:t>
      </w:r>
      <w:r w:rsidRPr="00815A71">
        <w:t xml:space="preserve"> were identical. The difference </w:t>
      </w:r>
      <w:r w:rsidR="00FD0107" w:rsidRPr="00815A71">
        <w:t>in parameterisation</w:t>
      </w:r>
      <w:r w:rsidRPr="00815A71">
        <w:t xml:space="preserve"> was given by using DAC</w:t>
      </w:r>
      <w:r w:rsidR="006B1625">
        <w:t>+antibiotics</w:t>
      </w:r>
      <w:r w:rsidRPr="00815A71">
        <w:t xml:space="preserve"> in terms of resource use (price and number of kits) and its effect in preventing periprosthetic deep SSI</w:t>
      </w:r>
      <w:r w:rsidR="006B37B4" w:rsidRPr="00815A71">
        <w:t>.</w:t>
      </w:r>
    </w:p>
    <w:p w14:paraId="5928FE35" w14:textId="080D7D2B" w:rsidR="006B37B4" w:rsidRPr="00815A71" w:rsidRDefault="006B37B4" w:rsidP="00E50C67">
      <w:pPr>
        <w:pStyle w:val="Execsummnormal"/>
        <w:numPr>
          <w:ilvl w:val="0"/>
          <w:numId w:val="15"/>
        </w:numPr>
      </w:pPr>
      <w:r w:rsidRPr="00815A71">
        <w:t>1-stage and 2-stage revisions were grouped in a health state “revision” according to the definition of the AOANJRR.</w:t>
      </w:r>
    </w:p>
    <w:p w14:paraId="088780EA" w14:textId="305D9234" w:rsidR="006B37B4" w:rsidRPr="00815A71" w:rsidRDefault="00B9047E" w:rsidP="00E50C67">
      <w:pPr>
        <w:pStyle w:val="Execsummnormal"/>
        <w:numPr>
          <w:ilvl w:val="0"/>
          <w:numId w:val="15"/>
        </w:numPr>
      </w:pPr>
      <w:r w:rsidRPr="00815A71">
        <w:t>R</w:t>
      </w:r>
      <w:r w:rsidR="006B37B4" w:rsidRPr="00815A71">
        <w:t>evisions different than infection were not modelled.</w:t>
      </w:r>
    </w:p>
    <w:p w14:paraId="4E974D61" w14:textId="463CE884" w:rsidR="006B37B4" w:rsidRPr="00815A71" w:rsidRDefault="006B37B4" w:rsidP="00E50C67">
      <w:pPr>
        <w:pStyle w:val="Execsummnormal"/>
        <w:numPr>
          <w:ilvl w:val="0"/>
          <w:numId w:val="15"/>
        </w:numPr>
      </w:pPr>
      <w:r w:rsidRPr="00815A71">
        <w:t>Patients with periprosthetic deep SSI were assumed always treated either by DAIR (only for Population 1), revision surgery or implant removal.</w:t>
      </w:r>
    </w:p>
    <w:p w14:paraId="29B0F615" w14:textId="60A4C1A9" w:rsidR="006B37B4" w:rsidRPr="00815A71" w:rsidRDefault="006B37B4" w:rsidP="00E50C67">
      <w:pPr>
        <w:pStyle w:val="Execsummnormal"/>
        <w:numPr>
          <w:ilvl w:val="0"/>
          <w:numId w:val="15"/>
        </w:numPr>
      </w:pPr>
      <w:r w:rsidRPr="00815A71">
        <w:t>SSI rates</w:t>
      </w:r>
      <w:r w:rsidR="00901AF0" w:rsidRPr="00815A71">
        <w:t xml:space="preserve"> after primary procedures</w:t>
      </w:r>
      <w:r w:rsidRPr="00815A71">
        <w:t xml:space="preserve"> for Population </w:t>
      </w:r>
      <w:r w:rsidR="00901AF0" w:rsidRPr="00815A71">
        <w:t>1</w:t>
      </w:r>
      <w:r w:rsidRPr="00815A71">
        <w:t xml:space="preserve"> were sourced from the AOANJRR 2020 report as this data was not available from the AOANJRR data request. The AOANJRR 2020 report does not present the results disaggregated by cementless or hybrid primary fixation, ASA score </w:t>
      </w:r>
      <w:r w:rsidRPr="00815A71">
        <w:rPr>
          <w:rFonts w:cs="Calibri"/>
        </w:rPr>
        <w:t>≥</w:t>
      </w:r>
      <w:r w:rsidRPr="00815A71">
        <w:t>3 or BMI &gt; 30 kg/m</w:t>
      </w:r>
      <w:r w:rsidRPr="00815A71">
        <w:rPr>
          <w:vertAlign w:val="superscript"/>
        </w:rPr>
        <w:t>2</w:t>
      </w:r>
      <w:r w:rsidRPr="00815A71">
        <w:t>.</w:t>
      </w:r>
    </w:p>
    <w:p w14:paraId="33945157" w14:textId="28E3C18E" w:rsidR="006B37B4" w:rsidRPr="00815A71" w:rsidRDefault="00901AF0" w:rsidP="00E50C67">
      <w:pPr>
        <w:pStyle w:val="Execsummnormal"/>
        <w:numPr>
          <w:ilvl w:val="0"/>
          <w:numId w:val="15"/>
        </w:numPr>
      </w:pPr>
      <w:r w:rsidRPr="00815A71">
        <w:t xml:space="preserve">The probability of receiving </w:t>
      </w:r>
      <w:r w:rsidR="006B37B4" w:rsidRPr="00815A71">
        <w:t>DAIR</w:t>
      </w:r>
      <w:r w:rsidRPr="00815A71">
        <w:t xml:space="preserve"> treatment after infection of a primary procedure</w:t>
      </w:r>
      <w:r w:rsidR="006B37B4" w:rsidRPr="00815A71">
        <w:t xml:space="preserve"> was not reported by the AOANJRR. Merollini </w:t>
      </w:r>
      <w:r w:rsidR="002B61F3">
        <w:t>et al. (</w:t>
      </w:r>
      <w:r w:rsidR="006B37B4" w:rsidRPr="00815A71">
        <w:t>2013</w:t>
      </w:r>
      <w:r w:rsidR="002B61F3">
        <w:t>)</w:t>
      </w:r>
      <w:r w:rsidR="002B61F3">
        <w:rPr>
          <w:rStyle w:val="FootnoteReference"/>
        </w:rPr>
        <w:footnoteReference w:id="17"/>
      </w:r>
      <w:r w:rsidR="006B37B4" w:rsidRPr="00815A71">
        <w:t xml:space="preserve"> values were used instead. It was assumed that this was the same between hip and knee.</w:t>
      </w:r>
    </w:p>
    <w:p w14:paraId="31AF7D3C" w14:textId="7D0BF70E" w:rsidR="006B37B4" w:rsidRPr="00815A71" w:rsidRDefault="006B37B4" w:rsidP="00E50C67">
      <w:pPr>
        <w:pStyle w:val="Execsummnormal"/>
        <w:numPr>
          <w:ilvl w:val="0"/>
          <w:numId w:val="15"/>
        </w:numPr>
      </w:pPr>
      <w:r w:rsidRPr="00815A71">
        <w:t xml:space="preserve">Health related quality of life was sourced from the literature as </w:t>
      </w:r>
      <w:r w:rsidR="00B33CFB" w:rsidRPr="00815A71">
        <w:t xml:space="preserve">studies </w:t>
      </w:r>
      <w:r w:rsidR="006B1625">
        <w:t>included in the DCAR</w:t>
      </w:r>
      <w:r w:rsidRPr="00815A71">
        <w:t xml:space="preserve"> did not present </w:t>
      </w:r>
      <w:r w:rsidR="00FD0107" w:rsidRPr="00815A71">
        <w:t xml:space="preserve">such </w:t>
      </w:r>
      <w:r w:rsidRPr="00815A71">
        <w:t>data specific to each health state or Population.</w:t>
      </w:r>
    </w:p>
    <w:p w14:paraId="27BEFE9A" w14:textId="359F6355" w:rsidR="00B33CFB" w:rsidRPr="00815A71" w:rsidRDefault="00B33CFB" w:rsidP="00E50C67">
      <w:pPr>
        <w:pStyle w:val="Execsummnormal"/>
        <w:numPr>
          <w:ilvl w:val="0"/>
          <w:numId w:val="15"/>
        </w:numPr>
      </w:pPr>
      <w:r w:rsidRPr="00815A71">
        <w:t xml:space="preserve">A cycle length of one year was chosen in accordance with the </w:t>
      </w:r>
      <w:r w:rsidR="00901AF0" w:rsidRPr="00815A71">
        <w:t xml:space="preserve">data presented from the </w:t>
      </w:r>
      <w:r w:rsidRPr="00815A71">
        <w:t>AOANJRR. A half-cycle correction was used.</w:t>
      </w:r>
    </w:p>
    <w:p w14:paraId="4AC8205B" w14:textId="7A128C50" w:rsidR="00B33CFB" w:rsidRPr="00815A71" w:rsidRDefault="00B33CFB" w:rsidP="00E50C67">
      <w:pPr>
        <w:pStyle w:val="Execsummnormal"/>
      </w:pPr>
      <w:r w:rsidRPr="00815A71">
        <w:lastRenderedPageBreak/>
        <w:t>An adapted stepped economic analysis is presented</w:t>
      </w:r>
      <w:r w:rsidR="00E53AC6">
        <w:t xml:space="preserve"> for Population 1 and 3</w:t>
      </w:r>
      <w:r w:rsidRPr="00815A71">
        <w:t xml:space="preserve">. </w:t>
      </w:r>
      <w:r w:rsidR="002E3458" w:rsidRPr="00815A71">
        <w:t>A</w:t>
      </w:r>
      <w:r w:rsidRPr="00815A71">
        <w:t xml:space="preserve">s there </w:t>
      </w:r>
      <w:r w:rsidR="00FD0107" w:rsidRPr="00815A71">
        <w:t>are</w:t>
      </w:r>
      <w:r w:rsidRPr="00815A71">
        <w:t xml:space="preserve"> no direct trial costs or utilities sourced from </w:t>
      </w:r>
      <w:r w:rsidR="006B1625">
        <w:t>the included studies</w:t>
      </w:r>
      <w:r w:rsidR="002E3458" w:rsidRPr="00815A71">
        <w:t>, the model was used to estimate costs and benefits. This was carried out in</w:t>
      </w:r>
      <w:r w:rsidRPr="00815A71">
        <w:t xml:space="preserve"> 3 steps:</w:t>
      </w:r>
    </w:p>
    <w:p w14:paraId="38F7753A" w14:textId="39C7362C" w:rsidR="00B33CFB" w:rsidRPr="00815A71" w:rsidRDefault="00B33CFB" w:rsidP="00E50C67">
      <w:pPr>
        <w:pStyle w:val="Execsummnormal"/>
        <w:numPr>
          <w:ilvl w:val="0"/>
          <w:numId w:val="16"/>
        </w:numPr>
      </w:pPr>
      <w:r w:rsidRPr="00815A71">
        <w:t xml:space="preserve">Step 1: Modelled results using </w:t>
      </w:r>
      <w:r w:rsidR="002E3458" w:rsidRPr="00815A71">
        <w:t xml:space="preserve">Romanò </w:t>
      </w:r>
      <w:r w:rsidR="002B61F3">
        <w:t>et al. (</w:t>
      </w:r>
      <w:r w:rsidRPr="00815A71">
        <w:t>2016</w:t>
      </w:r>
      <w:r w:rsidR="002B61F3">
        <w:t>)</w:t>
      </w:r>
      <w:r w:rsidRPr="00815A71">
        <w:t xml:space="preserve"> inputs (follow-up, SSI rates, DAC volume, and starting age). </w:t>
      </w:r>
      <w:r w:rsidR="002E3458" w:rsidRPr="00815A71">
        <w:t>A t</w:t>
      </w:r>
      <w:r w:rsidRPr="00815A71">
        <w:t xml:space="preserve">ime horizon </w:t>
      </w:r>
      <w:r w:rsidR="002E3458" w:rsidRPr="00815A71">
        <w:t>of one year was</w:t>
      </w:r>
      <w:r w:rsidRPr="00815A71">
        <w:t xml:space="preserve"> according to  follow-up</w:t>
      </w:r>
      <w:r w:rsidR="006B1625">
        <w:t xml:space="preserve"> from </w:t>
      </w:r>
      <w:r w:rsidR="006B1625" w:rsidRPr="00815A71">
        <w:t>Romanò 2016</w:t>
      </w:r>
      <w:r w:rsidRPr="00815A71">
        <w:t>.</w:t>
      </w:r>
    </w:p>
    <w:p w14:paraId="58474440" w14:textId="5CF10621" w:rsidR="00B33CFB" w:rsidRPr="00815A71" w:rsidRDefault="00B33CFB" w:rsidP="00E50C67">
      <w:pPr>
        <w:pStyle w:val="Execsummnormal"/>
        <w:numPr>
          <w:ilvl w:val="0"/>
          <w:numId w:val="16"/>
        </w:numPr>
      </w:pPr>
      <w:r w:rsidRPr="00815A71">
        <w:t xml:space="preserve">Step 2: </w:t>
      </w:r>
      <w:r w:rsidR="002E3458" w:rsidRPr="00815A71">
        <w:t>Same model as Step 1 but</w:t>
      </w:r>
      <w:r w:rsidRPr="00815A71">
        <w:t xml:space="preserve"> using Australian SSI rates with DAC</w:t>
      </w:r>
      <w:r w:rsidR="006B1625">
        <w:t>+antibiotics</w:t>
      </w:r>
      <w:r w:rsidRPr="00815A71">
        <w:t xml:space="preserve"> effect as relative risk</w:t>
      </w:r>
      <w:r w:rsidR="00240214">
        <w:t xml:space="preserve"> (</w:t>
      </w:r>
      <w:r w:rsidR="00154836">
        <w:fldChar w:fldCharType="begin"/>
      </w:r>
      <w:r w:rsidR="00154836">
        <w:instrText xml:space="preserve"> REF _Ref110613859 \h </w:instrText>
      </w:r>
      <w:r w:rsidR="00154836">
        <w:fldChar w:fldCharType="separate"/>
      </w:r>
      <w:r w:rsidR="00BB246A">
        <w:t xml:space="preserve">Table </w:t>
      </w:r>
      <w:r w:rsidR="00BB246A">
        <w:rPr>
          <w:noProof/>
        </w:rPr>
        <w:t>4</w:t>
      </w:r>
      <w:r w:rsidR="00154836">
        <w:fldChar w:fldCharType="end"/>
      </w:r>
      <w:r w:rsidR="00240214">
        <w:t>)</w:t>
      </w:r>
      <w:r w:rsidRPr="00815A71">
        <w:t>.</w:t>
      </w:r>
    </w:p>
    <w:p w14:paraId="0006936C" w14:textId="083214CD" w:rsidR="00B33CFB" w:rsidRPr="00815A71" w:rsidRDefault="00B33CFB" w:rsidP="00E50C67">
      <w:pPr>
        <w:pStyle w:val="Execsummnormal"/>
        <w:numPr>
          <w:ilvl w:val="0"/>
          <w:numId w:val="16"/>
        </w:numPr>
      </w:pPr>
      <w:r w:rsidRPr="00815A71">
        <w:t>Step 3: Modelled evaluation over 20 years.</w:t>
      </w:r>
    </w:p>
    <w:p w14:paraId="6DB199E9" w14:textId="3DD92F57" w:rsidR="00240214" w:rsidRDefault="00BF7802" w:rsidP="00E50C67">
      <w:pPr>
        <w:pStyle w:val="Execsummnormal"/>
      </w:pPr>
      <w:r w:rsidRPr="00815A71">
        <w:t xml:space="preserve">Costs, QALYs and incremental cost-effectiveness ratios (ICERs) </w:t>
      </w:r>
      <w:r w:rsidR="002E3458" w:rsidRPr="00815A71">
        <w:t>for Step</w:t>
      </w:r>
      <w:r w:rsidR="00FD0107" w:rsidRPr="00815A71">
        <w:t>s</w:t>
      </w:r>
      <w:r w:rsidR="002E3458" w:rsidRPr="00815A71">
        <w:t xml:space="preserve"> 1 and 2</w:t>
      </w:r>
      <w:r w:rsidRPr="00815A71">
        <w:t xml:space="preserve"> are shown in</w:t>
      </w:r>
      <w:r w:rsidR="00202400" w:rsidRPr="00815A71">
        <w:t xml:space="preserve"> </w:t>
      </w:r>
      <w:r w:rsidR="00202400" w:rsidRPr="00815A71">
        <w:fldChar w:fldCharType="begin"/>
      </w:r>
      <w:r w:rsidR="00202400" w:rsidRPr="00815A71">
        <w:instrText xml:space="preserve"> REF _Ref74729340 \h </w:instrText>
      </w:r>
      <w:r w:rsidR="00815A71">
        <w:instrText xml:space="preserve"> \* MERGEFORMAT </w:instrText>
      </w:r>
      <w:r w:rsidR="00202400" w:rsidRPr="00815A71">
        <w:fldChar w:fldCharType="separate"/>
      </w:r>
      <w:r w:rsidR="00BB246A" w:rsidRPr="00AF0A65">
        <w:t xml:space="preserve">Table </w:t>
      </w:r>
      <w:r w:rsidR="00BB246A">
        <w:rPr>
          <w:noProof/>
        </w:rPr>
        <w:t>5</w:t>
      </w:r>
      <w:r w:rsidR="00202400" w:rsidRPr="00815A71">
        <w:fldChar w:fldCharType="end"/>
      </w:r>
      <w:r w:rsidRPr="00815A71">
        <w:t>.</w:t>
      </w:r>
    </w:p>
    <w:p w14:paraId="698B366A" w14:textId="165E5267" w:rsidR="00240214" w:rsidRDefault="00240214" w:rsidP="00E50C67">
      <w:pPr>
        <w:pStyle w:val="Caption"/>
      </w:pPr>
      <w:bookmarkStart w:id="74" w:name="_Ref110613859"/>
      <w:bookmarkStart w:id="75" w:name="_Toc112076621"/>
      <w:r>
        <w:t xml:space="preserve">Table </w:t>
      </w:r>
      <w:r w:rsidR="00000000">
        <w:fldChar w:fldCharType="begin"/>
      </w:r>
      <w:r w:rsidR="00000000">
        <w:instrText xml:space="preserve"> SEQ Table \* ARABIC </w:instrText>
      </w:r>
      <w:r w:rsidR="00000000">
        <w:fldChar w:fldCharType="separate"/>
      </w:r>
      <w:r w:rsidR="00BB246A">
        <w:rPr>
          <w:noProof/>
        </w:rPr>
        <w:t>4</w:t>
      </w:r>
      <w:r w:rsidR="00000000">
        <w:rPr>
          <w:noProof/>
        </w:rPr>
        <w:fldChar w:fldCharType="end"/>
      </w:r>
      <w:bookmarkEnd w:id="74"/>
      <w:r w:rsidR="00154836">
        <w:rPr>
          <w:noProof/>
        </w:rPr>
        <w:t xml:space="preserve"> </w:t>
      </w:r>
      <w:r>
        <w:t>Step 1</w:t>
      </w:r>
      <w:r w:rsidR="00154836">
        <w:t xml:space="preserve"> and Step 2 SSI</w:t>
      </w:r>
      <w:r>
        <w:t xml:space="preserve"> inputs</w:t>
      </w:r>
      <w:bookmarkEnd w:id="75"/>
    </w:p>
    <w:tbl>
      <w:tblPr>
        <w:tblStyle w:val="TableGrid"/>
        <w:tblW w:w="9088" w:type="dxa"/>
        <w:tblLook w:val="04A0" w:firstRow="1" w:lastRow="0" w:firstColumn="1" w:lastColumn="0" w:noHBand="0" w:noVBand="1"/>
        <w:tblCaption w:val="Step 1 model inputs"/>
        <w:tblDescription w:val="This table presents model inputs unique to Step 1 of the economic evaluation for populations one and three. These include surgical site infection rates, starting age, DAC kits, and follow-up time."/>
      </w:tblPr>
      <w:tblGrid>
        <w:gridCol w:w="2689"/>
        <w:gridCol w:w="1559"/>
        <w:gridCol w:w="1518"/>
        <w:gridCol w:w="1603"/>
        <w:gridCol w:w="1719"/>
      </w:tblGrid>
      <w:tr w:rsidR="00FC3571" w14:paraId="727289AD" w14:textId="77777777" w:rsidTr="00D22060">
        <w:tc>
          <w:tcPr>
            <w:tcW w:w="2689" w:type="dxa"/>
            <w:vMerge w:val="restart"/>
          </w:tcPr>
          <w:p w14:paraId="602DF599" w14:textId="77777777" w:rsidR="00FC3571" w:rsidRPr="0089193D" w:rsidRDefault="00FC3571" w:rsidP="00D22060">
            <w:pPr>
              <w:keepNext/>
              <w:spacing w:before="40" w:after="40" w:line="240" w:lineRule="auto"/>
              <w:ind w:left="0"/>
              <w:rPr>
                <w:rFonts w:ascii="Arial Narrow" w:hAnsi="Arial Narrow"/>
                <w:b/>
                <w:bCs/>
                <w:sz w:val="20"/>
                <w:szCs w:val="20"/>
              </w:rPr>
            </w:pPr>
            <w:r>
              <w:rPr>
                <w:rFonts w:ascii="Arial Narrow" w:hAnsi="Arial Narrow"/>
                <w:b/>
                <w:bCs/>
                <w:sz w:val="20"/>
                <w:szCs w:val="20"/>
              </w:rPr>
              <w:t>SSI rate source</w:t>
            </w:r>
          </w:p>
        </w:tc>
        <w:tc>
          <w:tcPr>
            <w:tcW w:w="3077" w:type="dxa"/>
            <w:gridSpan w:val="2"/>
          </w:tcPr>
          <w:p w14:paraId="5E33DB9A" w14:textId="77777777" w:rsidR="00FC3571" w:rsidRPr="0089193D" w:rsidRDefault="00FC3571" w:rsidP="00D22060">
            <w:pPr>
              <w:keepNext/>
              <w:spacing w:before="40" w:after="40" w:line="240" w:lineRule="auto"/>
              <w:ind w:left="0"/>
              <w:jc w:val="center"/>
              <w:rPr>
                <w:rFonts w:ascii="Arial Narrow" w:hAnsi="Arial Narrow"/>
                <w:b/>
                <w:bCs/>
                <w:sz w:val="20"/>
                <w:szCs w:val="20"/>
              </w:rPr>
            </w:pPr>
            <w:r w:rsidRPr="0089193D">
              <w:rPr>
                <w:rFonts w:ascii="Arial Narrow" w:hAnsi="Arial Narrow"/>
                <w:b/>
                <w:bCs/>
                <w:sz w:val="20"/>
                <w:szCs w:val="20"/>
              </w:rPr>
              <w:t>Population 1</w:t>
            </w:r>
          </w:p>
        </w:tc>
        <w:tc>
          <w:tcPr>
            <w:tcW w:w="3322" w:type="dxa"/>
            <w:gridSpan w:val="2"/>
          </w:tcPr>
          <w:p w14:paraId="067C87CD" w14:textId="77777777" w:rsidR="00FC3571" w:rsidRPr="0089193D" w:rsidRDefault="00FC3571" w:rsidP="00D22060">
            <w:pPr>
              <w:keepNext/>
              <w:spacing w:before="40" w:after="40" w:line="240" w:lineRule="auto"/>
              <w:ind w:left="0"/>
              <w:jc w:val="center"/>
              <w:rPr>
                <w:rFonts w:ascii="Arial Narrow" w:hAnsi="Arial Narrow"/>
                <w:b/>
                <w:bCs/>
                <w:sz w:val="20"/>
                <w:szCs w:val="20"/>
              </w:rPr>
            </w:pPr>
            <w:r w:rsidRPr="0089193D">
              <w:rPr>
                <w:rFonts w:ascii="Arial Narrow" w:hAnsi="Arial Narrow"/>
                <w:b/>
                <w:bCs/>
                <w:sz w:val="20"/>
                <w:szCs w:val="20"/>
              </w:rPr>
              <w:t>Population 3</w:t>
            </w:r>
          </w:p>
        </w:tc>
      </w:tr>
      <w:tr w:rsidR="00FC3571" w14:paraId="7C28BC96" w14:textId="77777777" w:rsidTr="00D22060">
        <w:tc>
          <w:tcPr>
            <w:tcW w:w="2689" w:type="dxa"/>
            <w:vMerge/>
          </w:tcPr>
          <w:p w14:paraId="2F18B99E" w14:textId="77777777" w:rsidR="00FC3571" w:rsidRDefault="00FC3571" w:rsidP="00D22060">
            <w:pPr>
              <w:keepNext/>
              <w:spacing w:before="40" w:after="40" w:line="240" w:lineRule="auto"/>
              <w:rPr>
                <w:rFonts w:ascii="Arial Narrow" w:hAnsi="Arial Narrow"/>
                <w:b/>
                <w:bCs/>
                <w:sz w:val="20"/>
                <w:szCs w:val="20"/>
              </w:rPr>
            </w:pPr>
          </w:p>
        </w:tc>
        <w:tc>
          <w:tcPr>
            <w:tcW w:w="1559" w:type="dxa"/>
          </w:tcPr>
          <w:p w14:paraId="6295C155" w14:textId="77777777" w:rsidR="00FC3571" w:rsidRPr="0089193D" w:rsidRDefault="00FC3571" w:rsidP="00D22060">
            <w:pPr>
              <w:keepNext/>
              <w:spacing w:before="40" w:after="40" w:line="240" w:lineRule="auto"/>
              <w:ind w:left="0"/>
              <w:rPr>
                <w:rFonts w:ascii="Arial Narrow" w:hAnsi="Arial Narrow"/>
                <w:b/>
                <w:bCs/>
                <w:sz w:val="20"/>
                <w:szCs w:val="20"/>
              </w:rPr>
            </w:pPr>
            <w:r>
              <w:rPr>
                <w:rFonts w:ascii="Arial Narrow" w:hAnsi="Arial Narrow"/>
                <w:b/>
                <w:bCs/>
                <w:sz w:val="20"/>
                <w:szCs w:val="20"/>
              </w:rPr>
              <w:t>DAC+abs</w:t>
            </w:r>
          </w:p>
        </w:tc>
        <w:tc>
          <w:tcPr>
            <w:tcW w:w="1516" w:type="dxa"/>
          </w:tcPr>
          <w:p w14:paraId="2626B90A" w14:textId="77777777" w:rsidR="00FC3571" w:rsidRPr="0089193D" w:rsidRDefault="00FC3571" w:rsidP="00D22060">
            <w:pPr>
              <w:keepNext/>
              <w:spacing w:before="40" w:after="40" w:line="240" w:lineRule="auto"/>
              <w:ind w:left="0"/>
              <w:rPr>
                <w:rFonts w:ascii="Arial Narrow" w:hAnsi="Arial Narrow"/>
                <w:b/>
                <w:bCs/>
                <w:sz w:val="20"/>
                <w:szCs w:val="20"/>
              </w:rPr>
            </w:pPr>
            <w:r>
              <w:rPr>
                <w:rFonts w:ascii="Arial Narrow" w:hAnsi="Arial Narrow"/>
                <w:b/>
                <w:bCs/>
                <w:sz w:val="20"/>
                <w:szCs w:val="20"/>
              </w:rPr>
              <w:t>No DAC+abs</w:t>
            </w:r>
          </w:p>
        </w:tc>
        <w:tc>
          <w:tcPr>
            <w:tcW w:w="1603" w:type="dxa"/>
          </w:tcPr>
          <w:p w14:paraId="36958256" w14:textId="77777777" w:rsidR="00FC3571" w:rsidRPr="0089193D" w:rsidRDefault="00FC3571" w:rsidP="00D22060">
            <w:pPr>
              <w:keepNext/>
              <w:spacing w:before="40" w:after="40" w:line="240" w:lineRule="auto"/>
              <w:ind w:left="0"/>
              <w:rPr>
                <w:rFonts w:ascii="Arial Narrow" w:hAnsi="Arial Narrow"/>
                <w:b/>
                <w:bCs/>
                <w:sz w:val="20"/>
                <w:szCs w:val="20"/>
              </w:rPr>
            </w:pPr>
            <w:r>
              <w:rPr>
                <w:rFonts w:ascii="Arial Narrow" w:hAnsi="Arial Narrow"/>
                <w:b/>
                <w:bCs/>
                <w:sz w:val="20"/>
                <w:szCs w:val="20"/>
              </w:rPr>
              <w:t>DAC+abs</w:t>
            </w:r>
          </w:p>
        </w:tc>
        <w:tc>
          <w:tcPr>
            <w:tcW w:w="1719" w:type="dxa"/>
          </w:tcPr>
          <w:p w14:paraId="20B5DE95" w14:textId="77777777" w:rsidR="00FC3571" w:rsidRPr="0089193D" w:rsidRDefault="00FC3571" w:rsidP="00D22060">
            <w:pPr>
              <w:keepNext/>
              <w:spacing w:before="40" w:after="40" w:line="240" w:lineRule="auto"/>
              <w:ind w:left="0"/>
              <w:rPr>
                <w:rFonts w:ascii="Arial Narrow" w:hAnsi="Arial Narrow"/>
                <w:b/>
                <w:bCs/>
                <w:sz w:val="20"/>
                <w:szCs w:val="20"/>
              </w:rPr>
            </w:pPr>
            <w:r>
              <w:rPr>
                <w:rFonts w:ascii="Arial Narrow" w:hAnsi="Arial Narrow"/>
                <w:b/>
                <w:bCs/>
                <w:sz w:val="20"/>
                <w:szCs w:val="20"/>
              </w:rPr>
              <w:t>No DAC+abs</w:t>
            </w:r>
          </w:p>
        </w:tc>
      </w:tr>
      <w:tr w:rsidR="00FC3571" w14:paraId="664D7CDF" w14:textId="77777777" w:rsidTr="00D22060">
        <w:tc>
          <w:tcPr>
            <w:tcW w:w="2689" w:type="dxa"/>
          </w:tcPr>
          <w:p w14:paraId="41D7CB1E" w14:textId="77777777" w:rsidR="00FC3571" w:rsidRPr="0089193D"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 xml:space="preserve">Step 1 – </w:t>
            </w:r>
            <w:r w:rsidRPr="00154836">
              <w:rPr>
                <w:rFonts w:ascii="Arial Narrow" w:hAnsi="Arial Narrow"/>
                <w:sz w:val="20"/>
                <w:szCs w:val="20"/>
              </w:rPr>
              <w:t>Romanò</w:t>
            </w:r>
            <w:r>
              <w:rPr>
                <w:rFonts w:ascii="Arial Narrow" w:hAnsi="Arial Narrow"/>
                <w:sz w:val="20"/>
                <w:szCs w:val="20"/>
              </w:rPr>
              <w:t xml:space="preserve"> 2016</w:t>
            </w:r>
          </w:p>
        </w:tc>
        <w:tc>
          <w:tcPr>
            <w:tcW w:w="1559" w:type="dxa"/>
          </w:tcPr>
          <w:p w14:paraId="0E9804DC" w14:textId="77777777" w:rsidR="00FC3571" w:rsidRPr="0089193D"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0.7</w:t>
            </w:r>
            <w:r w:rsidRPr="0089193D">
              <w:rPr>
                <w:rFonts w:ascii="Arial Narrow" w:hAnsi="Arial Narrow"/>
                <w:sz w:val="20"/>
                <w:szCs w:val="20"/>
              </w:rPr>
              <w:t>%</w:t>
            </w:r>
          </w:p>
          <w:p w14:paraId="78FF1FEB" w14:textId="77777777" w:rsidR="00FC3571" w:rsidRPr="0089193D" w:rsidRDefault="00FC3571" w:rsidP="00D22060">
            <w:pPr>
              <w:keepNext/>
              <w:spacing w:before="40" w:after="40" w:line="240" w:lineRule="auto"/>
              <w:ind w:left="0"/>
              <w:rPr>
                <w:rFonts w:ascii="Arial Narrow" w:hAnsi="Arial Narrow"/>
                <w:sz w:val="20"/>
                <w:szCs w:val="20"/>
              </w:rPr>
            </w:pPr>
          </w:p>
        </w:tc>
        <w:tc>
          <w:tcPr>
            <w:tcW w:w="1516" w:type="dxa"/>
          </w:tcPr>
          <w:p w14:paraId="6E787CD2" w14:textId="77777777" w:rsidR="00FC3571" w:rsidRPr="0089193D"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3.0</w:t>
            </w:r>
            <w:r w:rsidRPr="0089193D">
              <w:rPr>
                <w:rFonts w:ascii="Arial Narrow" w:hAnsi="Arial Narrow"/>
                <w:sz w:val="20"/>
                <w:szCs w:val="20"/>
              </w:rPr>
              <w:t>%</w:t>
            </w:r>
          </w:p>
        </w:tc>
        <w:tc>
          <w:tcPr>
            <w:tcW w:w="1603" w:type="dxa"/>
          </w:tcPr>
          <w:p w14:paraId="1F596746" w14:textId="77777777" w:rsidR="00FC3571" w:rsidRPr="0089193D" w:rsidRDefault="00FC3571" w:rsidP="00D22060">
            <w:pPr>
              <w:keepNext/>
              <w:spacing w:before="40" w:after="40" w:line="240" w:lineRule="auto"/>
              <w:ind w:left="0"/>
              <w:rPr>
                <w:rFonts w:ascii="Arial Narrow" w:hAnsi="Arial Narrow"/>
                <w:sz w:val="20"/>
                <w:szCs w:val="20"/>
              </w:rPr>
            </w:pPr>
            <w:r w:rsidRPr="0089193D">
              <w:rPr>
                <w:rFonts w:ascii="Arial Narrow" w:hAnsi="Arial Narrow"/>
                <w:sz w:val="20"/>
                <w:szCs w:val="20"/>
              </w:rPr>
              <w:t>0%</w:t>
            </w:r>
          </w:p>
          <w:p w14:paraId="43DB99F5" w14:textId="77777777" w:rsidR="00FC3571" w:rsidRPr="0089193D" w:rsidRDefault="00FC3571" w:rsidP="00D22060">
            <w:pPr>
              <w:keepNext/>
              <w:spacing w:before="40" w:after="40" w:line="240" w:lineRule="auto"/>
              <w:ind w:left="0"/>
              <w:rPr>
                <w:rFonts w:ascii="Arial Narrow" w:hAnsi="Arial Narrow"/>
                <w:sz w:val="20"/>
                <w:szCs w:val="20"/>
              </w:rPr>
            </w:pPr>
          </w:p>
        </w:tc>
        <w:tc>
          <w:tcPr>
            <w:tcW w:w="1719" w:type="dxa"/>
          </w:tcPr>
          <w:p w14:paraId="5AAE2850" w14:textId="77777777" w:rsidR="00FC3571" w:rsidRPr="0089193D" w:rsidRDefault="00FC3571" w:rsidP="00D22060">
            <w:pPr>
              <w:keepNext/>
              <w:spacing w:before="40" w:after="40" w:line="240" w:lineRule="auto"/>
              <w:ind w:left="0"/>
              <w:rPr>
                <w:rFonts w:ascii="Arial Narrow" w:hAnsi="Arial Narrow"/>
                <w:sz w:val="20"/>
                <w:szCs w:val="20"/>
              </w:rPr>
            </w:pPr>
            <w:r w:rsidRPr="0089193D">
              <w:rPr>
                <w:rFonts w:ascii="Arial Narrow" w:hAnsi="Arial Narrow"/>
                <w:sz w:val="20"/>
                <w:szCs w:val="20"/>
              </w:rPr>
              <w:t>13.4%</w:t>
            </w:r>
          </w:p>
        </w:tc>
      </w:tr>
      <w:tr w:rsidR="00FC3571" w14:paraId="463DD1F2" w14:textId="77777777" w:rsidTr="00D22060">
        <w:tc>
          <w:tcPr>
            <w:tcW w:w="2689" w:type="dxa"/>
          </w:tcPr>
          <w:p w14:paraId="45BC61DC"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 xml:space="preserve">Step 2 – AOANJRR (SSI rate) and </w:t>
            </w:r>
            <w:r w:rsidRPr="00154836">
              <w:rPr>
                <w:rFonts w:ascii="Arial Narrow" w:hAnsi="Arial Narrow"/>
                <w:sz w:val="20"/>
                <w:szCs w:val="20"/>
              </w:rPr>
              <w:t>Romanò</w:t>
            </w:r>
            <w:r>
              <w:rPr>
                <w:rFonts w:ascii="Arial Narrow" w:hAnsi="Arial Narrow"/>
                <w:sz w:val="20"/>
                <w:szCs w:val="20"/>
              </w:rPr>
              <w:t xml:space="preserve"> 2016 (relative risk)</w:t>
            </w:r>
          </w:p>
        </w:tc>
        <w:tc>
          <w:tcPr>
            <w:tcW w:w="1559" w:type="dxa"/>
          </w:tcPr>
          <w:p w14:paraId="67030F82"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0.26% (hip)</w:t>
            </w:r>
          </w:p>
          <w:p w14:paraId="7B76DF37"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0.37% (knee)</w:t>
            </w:r>
          </w:p>
        </w:tc>
        <w:tc>
          <w:tcPr>
            <w:tcW w:w="1516" w:type="dxa"/>
          </w:tcPr>
          <w:p w14:paraId="1A5E3DE3"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1.08% (hip)</w:t>
            </w:r>
          </w:p>
          <w:p w14:paraId="2C78FF83"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1.58% (knee)</w:t>
            </w:r>
          </w:p>
        </w:tc>
        <w:tc>
          <w:tcPr>
            <w:tcW w:w="1603" w:type="dxa"/>
          </w:tcPr>
          <w:p w14:paraId="38EF1A75"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2.09% (hip)</w:t>
            </w:r>
          </w:p>
          <w:p w14:paraId="47D6DA7D" w14:textId="77777777" w:rsidR="00FC3571" w:rsidRPr="0089193D"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2.27% (knee)</w:t>
            </w:r>
          </w:p>
        </w:tc>
        <w:tc>
          <w:tcPr>
            <w:tcW w:w="1719" w:type="dxa"/>
          </w:tcPr>
          <w:p w14:paraId="1888BB0A" w14:textId="77777777" w:rsidR="00FC3571"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32.66% (hip)</w:t>
            </w:r>
          </w:p>
          <w:p w14:paraId="507C2900" w14:textId="77777777" w:rsidR="00FC3571" w:rsidRPr="0089193D" w:rsidRDefault="00FC3571" w:rsidP="00D22060">
            <w:pPr>
              <w:keepNext/>
              <w:spacing w:before="40" w:after="40" w:line="240" w:lineRule="auto"/>
              <w:ind w:left="0"/>
              <w:rPr>
                <w:rFonts w:ascii="Arial Narrow" w:hAnsi="Arial Narrow"/>
                <w:sz w:val="20"/>
                <w:szCs w:val="20"/>
              </w:rPr>
            </w:pPr>
            <w:r>
              <w:rPr>
                <w:rFonts w:ascii="Arial Narrow" w:hAnsi="Arial Narrow"/>
                <w:sz w:val="20"/>
                <w:szCs w:val="20"/>
              </w:rPr>
              <w:t>35.33% (knee)</w:t>
            </w:r>
          </w:p>
        </w:tc>
      </w:tr>
    </w:tbl>
    <w:p w14:paraId="251A0670" w14:textId="198AD3AA" w:rsidR="00240214" w:rsidRDefault="00240214" w:rsidP="00607722">
      <w:pPr>
        <w:pStyle w:val="Tablenotes0"/>
      </w:pPr>
      <w:r>
        <w:t>Source:</w:t>
      </w:r>
      <w:r w:rsidR="00FC3571">
        <w:t xml:space="preserve"> Table 4, p38 of MSAC 1629 DCAR;</w:t>
      </w:r>
      <w:r>
        <w:t xml:space="preserve"> Roman</w:t>
      </w:r>
      <w:r w:rsidRPr="00280B60">
        <w:t>ò</w:t>
      </w:r>
      <w:r>
        <w:t xml:space="preserve"> </w:t>
      </w:r>
      <w:r w:rsidR="002B61F3">
        <w:t xml:space="preserve">et al. </w:t>
      </w:r>
      <w:r>
        <w:t>2016</w:t>
      </w:r>
      <w:r w:rsidR="00154836">
        <w:t xml:space="preserve"> and AOANJRR data</w:t>
      </w:r>
    </w:p>
    <w:p w14:paraId="7275B15B" w14:textId="3D12BC19" w:rsidR="00240214" w:rsidRDefault="00154836" w:rsidP="00607722">
      <w:pPr>
        <w:pStyle w:val="Tablenotes0"/>
      </w:pPr>
      <w:r>
        <w:t xml:space="preserve">Abbreviations: </w:t>
      </w:r>
      <w:r w:rsidRPr="00C17DBC">
        <w:t>A</w:t>
      </w:r>
      <w:r w:rsidRPr="00076164">
        <w:rPr>
          <w:snapToGrid/>
        </w:rPr>
        <w:t>OANJRR=Australian Orthopaedic Association National Joint Replacement Registry</w:t>
      </w:r>
      <w:r>
        <w:rPr>
          <w:snapToGrid/>
        </w:rPr>
        <w:t>;</w:t>
      </w:r>
      <w:r>
        <w:t xml:space="preserve"> </w:t>
      </w:r>
      <w:r w:rsidR="00240214">
        <w:t>DAC</w:t>
      </w:r>
      <w:r>
        <w:t>+abs</w:t>
      </w:r>
      <w:r w:rsidR="00240214">
        <w:t>=</w:t>
      </w:r>
      <w:r>
        <w:t>D</w:t>
      </w:r>
      <w:r w:rsidR="00240214">
        <w:t xml:space="preserve">efensive </w:t>
      </w:r>
      <w:r>
        <w:t>A</w:t>
      </w:r>
      <w:r w:rsidR="00240214">
        <w:t xml:space="preserve">ntibacterial </w:t>
      </w:r>
      <w:r>
        <w:t>C</w:t>
      </w:r>
      <w:r w:rsidR="00240214">
        <w:t>oating</w:t>
      </w:r>
      <w:r>
        <w:t xml:space="preserve"> loaded with antibiotics</w:t>
      </w:r>
      <w:r w:rsidR="00240214">
        <w:t>; SSI=surgical site infection</w:t>
      </w:r>
    </w:p>
    <w:p w14:paraId="12C6D7A9" w14:textId="191D677C" w:rsidR="00154836" w:rsidRDefault="00154836" w:rsidP="00607722">
      <w:pPr>
        <w:pStyle w:val="Tablenotes0"/>
      </w:pPr>
      <w:r>
        <w:t>Note: in step 2 the SSI rate for the DAC+antibiotics arm was derived by applying the relative risk (0.24 f</w:t>
      </w:r>
      <w:r w:rsidR="00C2651F">
        <w:t>o</w:t>
      </w:r>
      <w:r>
        <w:t xml:space="preserve">r Population 1 and 0.064 for Population 3) from </w:t>
      </w:r>
      <w:r w:rsidR="002B61F3" w:rsidRPr="002B61F3">
        <w:t>Romanò</w:t>
      </w:r>
      <w:r>
        <w:t xml:space="preserve"> 2016 to the AOANJRR SSI rate.</w:t>
      </w:r>
    </w:p>
    <w:p w14:paraId="4B5327A4" w14:textId="1BF42DD7" w:rsidR="00240214" w:rsidRPr="00815A71" w:rsidRDefault="00240214" w:rsidP="00E50C67">
      <w:pPr>
        <w:pStyle w:val="Execsummnormal"/>
        <w:sectPr w:rsidR="00240214" w:rsidRPr="00815A71" w:rsidSect="00BF7802">
          <w:footerReference w:type="even" r:id="rId22"/>
          <w:type w:val="oddPage"/>
          <w:pgSz w:w="11906" w:h="16838"/>
          <w:pgMar w:top="1440" w:right="1440" w:bottom="1440" w:left="1440" w:header="720" w:footer="720" w:gutter="0"/>
          <w:paperSrc w:first="7" w:other="7"/>
          <w:cols w:space="720"/>
          <w:docGrid w:linePitch="360"/>
        </w:sectPr>
      </w:pPr>
    </w:p>
    <w:p w14:paraId="25A7C1AD" w14:textId="418758C3" w:rsidR="00BF7802" w:rsidRDefault="00BF7802" w:rsidP="000A4AD3">
      <w:pPr>
        <w:pStyle w:val="Caption"/>
      </w:pPr>
      <w:bookmarkStart w:id="76" w:name="_Ref74729340"/>
      <w:bookmarkStart w:id="77" w:name="_Toc74729092"/>
      <w:bookmarkStart w:id="78" w:name="_Toc112076622"/>
      <w:r w:rsidRPr="00AF0A65">
        <w:lastRenderedPageBreak/>
        <w:t xml:space="preserve">Table </w:t>
      </w:r>
      <w:r w:rsidR="00000000">
        <w:fldChar w:fldCharType="begin"/>
      </w:r>
      <w:r w:rsidR="00000000">
        <w:instrText xml:space="preserve"> SEQ Table \* ARABIC </w:instrText>
      </w:r>
      <w:r w:rsidR="00000000">
        <w:fldChar w:fldCharType="separate"/>
      </w:r>
      <w:r w:rsidR="00BB246A">
        <w:rPr>
          <w:noProof/>
        </w:rPr>
        <w:t>5</w:t>
      </w:r>
      <w:r w:rsidR="00000000">
        <w:rPr>
          <w:noProof/>
        </w:rPr>
        <w:fldChar w:fldCharType="end"/>
      </w:r>
      <w:bookmarkEnd w:id="76"/>
      <w:r w:rsidR="00FC3571">
        <w:rPr>
          <w:noProof/>
        </w:rPr>
        <w:t xml:space="preserve"> </w:t>
      </w:r>
      <w:r w:rsidRPr="00183E4D">
        <w:t>Implications for the base case economic evaluation of applying the results of the clinical evaluation (Step 1 then Step 2)</w:t>
      </w:r>
      <w:bookmarkEnd w:id="77"/>
      <w:bookmarkEnd w:id="78"/>
    </w:p>
    <w:tbl>
      <w:tblPr>
        <w:tblStyle w:val="TableGrid1"/>
        <w:tblW w:w="5247" w:type="pct"/>
        <w:tblInd w:w="-5" w:type="dxa"/>
        <w:tblLayout w:type="fixed"/>
        <w:tblCellMar>
          <w:left w:w="115" w:type="dxa"/>
          <w:right w:w="115" w:type="dxa"/>
        </w:tblCellMar>
        <w:tblLook w:val="01E0" w:firstRow="1" w:lastRow="1" w:firstColumn="1" w:lastColumn="1" w:noHBand="0" w:noVBand="0"/>
        <w:tblCaption w:val="Implications for the base case economic evaluation of applying the results of the clinical evaluation (Step 1 then Step 2)"/>
        <w:tblDescription w:val="This table provides information on the incremental costs and incremental effectiveness at each of Steps 1 and 2, when describing the stepped economic model."/>
      </w:tblPr>
      <w:tblGrid>
        <w:gridCol w:w="3477"/>
        <w:gridCol w:w="1395"/>
        <w:gridCol w:w="1395"/>
        <w:gridCol w:w="1395"/>
        <w:gridCol w:w="1395"/>
        <w:gridCol w:w="1395"/>
        <w:gridCol w:w="1395"/>
        <w:gridCol w:w="1395"/>
        <w:gridCol w:w="1395"/>
      </w:tblGrid>
      <w:tr w:rsidR="00BF7802" w:rsidRPr="00183E4D" w14:paraId="424FAB2E" w14:textId="77777777" w:rsidTr="005836F1">
        <w:trPr>
          <w:cnfStyle w:val="100000000000" w:firstRow="1" w:lastRow="0" w:firstColumn="0" w:lastColumn="0" w:oddVBand="0" w:evenVBand="0" w:oddHBand="0" w:evenHBand="0" w:firstRowFirstColumn="0" w:firstRowLastColumn="0" w:lastRowFirstColumn="0" w:lastRowLastColumn="0"/>
          <w:cantSplit/>
          <w:trHeight w:val="600"/>
          <w:tblHeader/>
        </w:trPr>
        <w:tc>
          <w:tcPr>
            <w:tcW w:w="3477" w:type="dxa"/>
            <w:vMerge w:val="restart"/>
            <w:tcBorders>
              <w:top w:val="single" w:sz="4" w:space="0" w:color="auto"/>
              <w:left w:val="single" w:sz="4" w:space="0" w:color="auto"/>
              <w:right w:val="single" w:sz="4" w:space="0" w:color="auto"/>
            </w:tcBorders>
            <w:vAlign w:val="center"/>
          </w:tcPr>
          <w:p w14:paraId="2FBDD2AE" w14:textId="77777777" w:rsidR="00BF7802" w:rsidRPr="00183E4D" w:rsidRDefault="00BF7802" w:rsidP="00607722">
            <w:pPr>
              <w:pStyle w:val="TableHeading"/>
            </w:pPr>
            <w:r w:rsidRPr="00183E4D">
              <w:t>Population and circumstances of use</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04825F8" w14:textId="77777777" w:rsidR="00BF7802" w:rsidRPr="00183E4D" w:rsidRDefault="00BF7802" w:rsidP="000A4AD3">
            <w:pPr>
              <w:pStyle w:val="TableHeading"/>
            </w:pPr>
            <w:r>
              <w:t>Population 1 (hip)</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0AE55CE2" w14:textId="77777777" w:rsidR="00BF7802" w:rsidRPr="00183E4D" w:rsidRDefault="00BF7802" w:rsidP="000A4AD3">
            <w:pPr>
              <w:pStyle w:val="TableHeading"/>
            </w:pPr>
            <w:r>
              <w:t>Population 1 (knee)</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1C291003" w14:textId="77777777" w:rsidR="00BF7802" w:rsidRPr="00183E4D" w:rsidRDefault="00BF7802" w:rsidP="000A4AD3">
            <w:pPr>
              <w:pStyle w:val="TableHeading"/>
            </w:pPr>
            <w:r>
              <w:t>Population 3 (hip)</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6E58089F" w14:textId="77777777" w:rsidR="00BF7802" w:rsidRPr="00183E4D" w:rsidRDefault="00BF7802" w:rsidP="000A4AD3">
            <w:pPr>
              <w:pStyle w:val="TableHeading"/>
            </w:pPr>
            <w:r>
              <w:t>Population 3 (knee)</w:t>
            </w:r>
          </w:p>
        </w:tc>
      </w:tr>
      <w:tr w:rsidR="00BF7802" w:rsidRPr="00183E4D" w14:paraId="3637CD8B" w14:textId="77777777" w:rsidTr="005836F1">
        <w:trPr>
          <w:cnfStyle w:val="100000000000" w:firstRow="1" w:lastRow="0" w:firstColumn="0" w:lastColumn="0" w:oddVBand="0" w:evenVBand="0" w:oddHBand="0" w:evenHBand="0" w:firstRowFirstColumn="0" w:firstRowLastColumn="0" w:lastRowFirstColumn="0" w:lastRowLastColumn="0"/>
          <w:cantSplit/>
          <w:trHeight w:val="586"/>
          <w:tblHeader/>
        </w:trPr>
        <w:tc>
          <w:tcPr>
            <w:tcW w:w="3477" w:type="dxa"/>
            <w:vMerge/>
            <w:tcBorders>
              <w:left w:val="single" w:sz="4" w:space="0" w:color="auto"/>
              <w:bottom w:val="single" w:sz="4" w:space="0" w:color="auto"/>
              <w:right w:val="single" w:sz="4" w:space="0" w:color="auto"/>
            </w:tcBorders>
            <w:vAlign w:val="bottom"/>
          </w:tcPr>
          <w:p w14:paraId="0566E173" w14:textId="77777777" w:rsidR="00BF7802" w:rsidRPr="00183E4D" w:rsidRDefault="00BF7802" w:rsidP="000A4AD3">
            <w:pPr>
              <w:pStyle w:val="TableHeading"/>
            </w:pPr>
          </w:p>
        </w:tc>
        <w:tc>
          <w:tcPr>
            <w:tcW w:w="1395" w:type="dxa"/>
            <w:tcBorders>
              <w:top w:val="single" w:sz="4" w:space="0" w:color="auto"/>
              <w:left w:val="single" w:sz="4" w:space="0" w:color="auto"/>
              <w:bottom w:val="single" w:sz="4" w:space="0" w:color="auto"/>
              <w:right w:val="single" w:sz="4" w:space="0" w:color="auto"/>
            </w:tcBorders>
          </w:tcPr>
          <w:p w14:paraId="56E3B52B" w14:textId="130D4B5E" w:rsidR="00BF7802" w:rsidRPr="00183E4D" w:rsidRDefault="00384C91" w:rsidP="000A4AD3">
            <w:pPr>
              <w:pStyle w:val="TableHeading"/>
            </w:pPr>
            <w:r>
              <w:t>Step 1</w:t>
            </w:r>
            <w:r w:rsidR="00BF7802" w:rsidRPr="00183E4D">
              <w:t xml:space="preserve"> </w:t>
            </w:r>
            <w:r w:rsidR="00BF7802" w:rsidRPr="00E27DDD">
              <w:t>Romanò 2016</w:t>
            </w:r>
          </w:p>
        </w:tc>
        <w:tc>
          <w:tcPr>
            <w:tcW w:w="1395" w:type="dxa"/>
            <w:tcBorders>
              <w:top w:val="single" w:sz="4" w:space="0" w:color="auto"/>
              <w:left w:val="single" w:sz="4" w:space="0" w:color="auto"/>
              <w:bottom w:val="single" w:sz="4" w:space="0" w:color="auto"/>
              <w:right w:val="single" w:sz="4" w:space="0" w:color="auto"/>
            </w:tcBorders>
          </w:tcPr>
          <w:p w14:paraId="78AA1BE4" w14:textId="6E353D51" w:rsidR="00BF7802" w:rsidRPr="00183E4D" w:rsidRDefault="00384C91" w:rsidP="000A4AD3">
            <w:pPr>
              <w:pStyle w:val="TableHeading"/>
            </w:pPr>
            <w:r>
              <w:t>Step 2 AOANJRR SSI</w:t>
            </w:r>
          </w:p>
        </w:tc>
        <w:tc>
          <w:tcPr>
            <w:tcW w:w="1395" w:type="dxa"/>
            <w:tcBorders>
              <w:top w:val="single" w:sz="4" w:space="0" w:color="auto"/>
              <w:left w:val="single" w:sz="4" w:space="0" w:color="auto"/>
              <w:bottom w:val="single" w:sz="4" w:space="0" w:color="auto"/>
              <w:right w:val="single" w:sz="4" w:space="0" w:color="auto"/>
            </w:tcBorders>
          </w:tcPr>
          <w:p w14:paraId="30FD01E6" w14:textId="2C224A28" w:rsidR="00BF7802" w:rsidRPr="00183E4D" w:rsidRDefault="00384C91" w:rsidP="000A4AD3">
            <w:pPr>
              <w:pStyle w:val="TableHeading"/>
            </w:pPr>
            <w:r>
              <w:t>Step 1</w:t>
            </w:r>
            <w:r w:rsidRPr="00183E4D">
              <w:t xml:space="preserve"> </w:t>
            </w:r>
            <w:r w:rsidR="00BF7802" w:rsidRPr="00E27DDD">
              <w:t>Romanò 2016</w:t>
            </w:r>
          </w:p>
        </w:tc>
        <w:tc>
          <w:tcPr>
            <w:tcW w:w="1395" w:type="dxa"/>
            <w:tcBorders>
              <w:top w:val="single" w:sz="4" w:space="0" w:color="auto"/>
              <w:left w:val="single" w:sz="4" w:space="0" w:color="auto"/>
              <w:bottom w:val="single" w:sz="4" w:space="0" w:color="auto"/>
              <w:right w:val="single" w:sz="4" w:space="0" w:color="auto"/>
            </w:tcBorders>
          </w:tcPr>
          <w:p w14:paraId="753EA8FF" w14:textId="671C55A7" w:rsidR="00BF7802" w:rsidRPr="00183E4D" w:rsidRDefault="00384C91" w:rsidP="000A4AD3">
            <w:pPr>
              <w:pStyle w:val="TableHeading"/>
            </w:pPr>
            <w:r>
              <w:t>Step 2 AOANJRR SSI</w:t>
            </w:r>
          </w:p>
        </w:tc>
        <w:tc>
          <w:tcPr>
            <w:tcW w:w="1395" w:type="dxa"/>
            <w:tcBorders>
              <w:top w:val="single" w:sz="4" w:space="0" w:color="auto"/>
              <w:left w:val="single" w:sz="4" w:space="0" w:color="auto"/>
              <w:bottom w:val="single" w:sz="4" w:space="0" w:color="auto"/>
              <w:right w:val="single" w:sz="4" w:space="0" w:color="auto"/>
            </w:tcBorders>
          </w:tcPr>
          <w:p w14:paraId="7FE633AC" w14:textId="450EC69A" w:rsidR="00BF7802" w:rsidRPr="00183E4D" w:rsidRDefault="00384C91" w:rsidP="000A4AD3">
            <w:pPr>
              <w:pStyle w:val="TableHeading"/>
            </w:pPr>
            <w:r>
              <w:t>Step 1</w:t>
            </w:r>
            <w:r w:rsidRPr="00183E4D">
              <w:t xml:space="preserve"> </w:t>
            </w:r>
            <w:r w:rsidR="00BF7802" w:rsidRPr="00E27DDD">
              <w:t>Romanò 2016</w:t>
            </w:r>
          </w:p>
        </w:tc>
        <w:tc>
          <w:tcPr>
            <w:tcW w:w="1395" w:type="dxa"/>
            <w:tcBorders>
              <w:top w:val="single" w:sz="4" w:space="0" w:color="auto"/>
              <w:left w:val="single" w:sz="4" w:space="0" w:color="auto"/>
              <w:bottom w:val="single" w:sz="4" w:space="0" w:color="auto"/>
              <w:right w:val="single" w:sz="4" w:space="0" w:color="auto"/>
            </w:tcBorders>
          </w:tcPr>
          <w:p w14:paraId="3D594332" w14:textId="0B7E3AA6" w:rsidR="00BF7802" w:rsidRPr="00183E4D" w:rsidRDefault="00384C91" w:rsidP="000A4AD3">
            <w:pPr>
              <w:pStyle w:val="TableHeading"/>
            </w:pPr>
            <w:r>
              <w:t xml:space="preserve">Step 2 AOANJRR SSI </w:t>
            </w:r>
          </w:p>
        </w:tc>
        <w:tc>
          <w:tcPr>
            <w:tcW w:w="1395" w:type="dxa"/>
            <w:tcBorders>
              <w:top w:val="single" w:sz="4" w:space="0" w:color="auto"/>
              <w:left w:val="single" w:sz="4" w:space="0" w:color="auto"/>
              <w:bottom w:val="single" w:sz="4" w:space="0" w:color="auto"/>
              <w:right w:val="single" w:sz="4" w:space="0" w:color="auto"/>
            </w:tcBorders>
          </w:tcPr>
          <w:p w14:paraId="2473BCCB" w14:textId="27F99683" w:rsidR="00BF7802" w:rsidRPr="00183E4D" w:rsidRDefault="00384C91" w:rsidP="000A4AD3">
            <w:pPr>
              <w:pStyle w:val="TableHeading"/>
            </w:pPr>
            <w:r>
              <w:t>Step 1</w:t>
            </w:r>
            <w:r w:rsidRPr="00183E4D">
              <w:t xml:space="preserve"> </w:t>
            </w:r>
            <w:r w:rsidR="00BF7802" w:rsidRPr="00E27DDD">
              <w:t>Romanò 2016</w:t>
            </w:r>
          </w:p>
        </w:tc>
        <w:tc>
          <w:tcPr>
            <w:tcW w:w="1395" w:type="dxa"/>
            <w:tcBorders>
              <w:top w:val="single" w:sz="4" w:space="0" w:color="auto"/>
              <w:left w:val="single" w:sz="4" w:space="0" w:color="auto"/>
              <w:bottom w:val="single" w:sz="4" w:space="0" w:color="auto"/>
              <w:right w:val="single" w:sz="4" w:space="0" w:color="auto"/>
            </w:tcBorders>
          </w:tcPr>
          <w:p w14:paraId="071E733E" w14:textId="049CAD47" w:rsidR="00BF7802" w:rsidRPr="00183E4D" w:rsidRDefault="00384C91" w:rsidP="000A4AD3">
            <w:pPr>
              <w:pStyle w:val="TableHeading"/>
            </w:pPr>
            <w:r>
              <w:t>Step 2 AOANJRR SSI</w:t>
            </w:r>
          </w:p>
        </w:tc>
      </w:tr>
      <w:tr w:rsidR="00384C91" w:rsidRPr="00183E4D" w14:paraId="52EF6E43" w14:textId="77777777" w:rsidTr="00154836">
        <w:trPr>
          <w:cantSplit/>
          <w:trHeight w:val="601"/>
        </w:trPr>
        <w:tc>
          <w:tcPr>
            <w:tcW w:w="14637" w:type="dxa"/>
            <w:gridSpan w:val="9"/>
            <w:tcBorders>
              <w:top w:val="single" w:sz="4" w:space="0" w:color="auto"/>
              <w:left w:val="single" w:sz="4" w:space="0" w:color="auto"/>
              <w:bottom w:val="single" w:sz="4" w:space="0" w:color="auto"/>
              <w:right w:val="single" w:sz="4" w:space="0" w:color="auto"/>
            </w:tcBorders>
            <w:vAlign w:val="center"/>
          </w:tcPr>
          <w:p w14:paraId="733853B0" w14:textId="04BF552B" w:rsidR="00384C91" w:rsidRPr="00183E4D" w:rsidRDefault="00384C91" w:rsidP="00607722">
            <w:pPr>
              <w:pStyle w:val="Tabletext1"/>
            </w:pPr>
            <w:r w:rsidRPr="00183E4D">
              <w:t>Costs</w:t>
            </w:r>
          </w:p>
        </w:tc>
      </w:tr>
      <w:tr w:rsidR="00BF7802" w:rsidRPr="00183E4D" w14:paraId="67FAEE30" w14:textId="77777777" w:rsidTr="005836F1">
        <w:trPr>
          <w:cantSplit/>
          <w:trHeight w:val="601"/>
        </w:trPr>
        <w:tc>
          <w:tcPr>
            <w:tcW w:w="3477" w:type="dxa"/>
            <w:tcBorders>
              <w:top w:val="single" w:sz="4" w:space="0" w:color="auto"/>
              <w:left w:val="single" w:sz="4" w:space="0" w:color="auto"/>
              <w:bottom w:val="single" w:sz="4" w:space="0" w:color="auto"/>
              <w:right w:val="single" w:sz="4" w:space="0" w:color="auto"/>
            </w:tcBorders>
            <w:vAlign w:val="center"/>
          </w:tcPr>
          <w:p w14:paraId="4665ECC3" w14:textId="0177C65A" w:rsidR="00BF7802" w:rsidRPr="00183E4D" w:rsidRDefault="00BF7802" w:rsidP="00607722">
            <w:pPr>
              <w:pStyle w:val="Tabletext1"/>
            </w:pPr>
            <w:r w:rsidRPr="00183E4D">
              <w:t xml:space="preserve">Costs of therapy involving </w:t>
            </w:r>
            <w:r>
              <w:t>DAC</w:t>
            </w:r>
            <w:r w:rsidR="006B1625">
              <w:t>+abs</w:t>
            </w:r>
          </w:p>
        </w:tc>
        <w:tc>
          <w:tcPr>
            <w:tcW w:w="1395" w:type="dxa"/>
            <w:tcBorders>
              <w:top w:val="single" w:sz="4" w:space="0" w:color="auto"/>
              <w:left w:val="single" w:sz="4" w:space="0" w:color="auto"/>
              <w:bottom w:val="single" w:sz="4" w:space="0" w:color="auto"/>
              <w:right w:val="single" w:sz="4" w:space="0" w:color="auto"/>
            </w:tcBorders>
            <w:vAlign w:val="center"/>
          </w:tcPr>
          <w:p w14:paraId="4F38C84F" w14:textId="77777777" w:rsidR="00BF7802" w:rsidRPr="00AF0A65" w:rsidRDefault="00BF7802" w:rsidP="000A4AD3">
            <w:pPr>
              <w:pStyle w:val="Tabletext1"/>
            </w:pPr>
            <w:r w:rsidRPr="00AF0A65">
              <w:t>$25,364</w:t>
            </w:r>
          </w:p>
        </w:tc>
        <w:tc>
          <w:tcPr>
            <w:tcW w:w="1395" w:type="dxa"/>
            <w:tcBorders>
              <w:top w:val="single" w:sz="4" w:space="0" w:color="auto"/>
              <w:left w:val="single" w:sz="4" w:space="0" w:color="auto"/>
              <w:bottom w:val="single" w:sz="4" w:space="0" w:color="auto"/>
              <w:right w:val="single" w:sz="4" w:space="0" w:color="auto"/>
            </w:tcBorders>
            <w:vAlign w:val="center"/>
          </w:tcPr>
          <w:p w14:paraId="506965E0" w14:textId="77777777" w:rsidR="00BF7802" w:rsidRPr="00AF0A65" w:rsidRDefault="00BF7802" w:rsidP="000A4AD3">
            <w:pPr>
              <w:pStyle w:val="Tabletext1"/>
            </w:pPr>
            <w:r w:rsidRPr="00AF0A65">
              <w:t>$25,323</w:t>
            </w:r>
          </w:p>
        </w:tc>
        <w:tc>
          <w:tcPr>
            <w:tcW w:w="1395" w:type="dxa"/>
            <w:tcBorders>
              <w:top w:val="single" w:sz="4" w:space="0" w:color="auto"/>
              <w:left w:val="single" w:sz="4" w:space="0" w:color="auto"/>
              <w:bottom w:val="single" w:sz="4" w:space="0" w:color="auto"/>
              <w:right w:val="single" w:sz="4" w:space="0" w:color="auto"/>
            </w:tcBorders>
            <w:vAlign w:val="center"/>
          </w:tcPr>
          <w:p w14:paraId="767620C8" w14:textId="77777777" w:rsidR="00BF7802" w:rsidRPr="00AF0A65" w:rsidRDefault="00BF7802" w:rsidP="000A4AD3">
            <w:pPr>
              <w:pStyle w:val="Tabletext1"/>
            </w:pPr>
            <w:r w:rsidRPr="00AF0A65">
              <w:t>$24,511</w:t>
            </w:r>
          </w:p>
        </w:tc>
        <w:tc>
          <w:tcPr>
            <w:tcW w:w="1395" w:type="dxa"/>
            <w:tcBorders>
              <w:top w:val="single" w:sz="4" w:space="0" w:color="auto"/>
              <w:left w:val="single" w:sz="4" w:space="0" w:color="auto"/>
              <w:bottom w:val="single" w:sz="4" w:space="0" w:color="auto"/>
              <w:right w:val="single" w:sz="4" w:space="0" w:color="auto"/>
            </w:tcBorders>
            <w:vAlign w:val="center"/>
          </w:tcPr>
          <w:p w14:paraId="2CD493C4" w14:textId="77777777" w:rsidR="00BF7802" w:rsidRPr="00AF0A65" w:rsidRDefault="00BF7802" w:rsidP="000A4AD3">
            <w:pPr>
              <w:pStyle w:val="Tabletext1"/>
            </w:pPr>
            <w:r w:rsidRPr="00AF0A65">
              <w:t>$24,528</w:t>
            </w:r>
          </w:p>
        </w:tc>
        <w:tc>
          <w:tcPr>
            <w:tcW w:w="1395" w:type="dxa"/>
            <w:tcBorders>
              <w:top w:val="single" w:sz="4" w:space="0" w:color="auto"/>
              <w:left w:val="single" w:sz="4" w:space="0" w:color="auto"/>
              <w:bottom w:val="single" w:sz="4" w:space="0" w:color="auto"/>
              <w:right w:val="single" w:sz="4" w:space="0" w:color="auto"/>
            </w:tcBorders>
            <w:vAlign w:val="center"/>
          </w:tcPr>
          <w:p w14:paraId="72358A76" w14:textId="77777777" w:rsidR="00BF7802" w:rsidRPr="00AF0A65" w:rsidRDefault="00BF7802" w:rsidP="000A4AD3">
            <w:pPr>
              <w:pStyle w:val="Tabletext1"/>
            </w:pPr>
            <w:r w:rsidRPr="00AF0A65">
              <w:t>$33,178</w:t>
            </w:r>
          </w:p>
        </w:tc>
        <w:tc>
          <w:tcPr>
            <w:tcW w:w="1395" w:type="dxa"/>
            <w:tcBorders>
              <w:top w:val="single" w:sz="4" w:space="0" w:color="auto"/>
              <w:left w:val="single" w:sz="4" w:space="0" w:color="auto"/>
              <w:bottom w:val="single" w:sz="4" w:space="0" w:color="auto"/>
              <w:right w:val="single" w:sz="4" w:space="0" w:color="auto"/>
            </w:tcBorders>
            <w:vAlign w:val="center"/>
          </w:tcPr>
          <w:p w14:paraId="0B0DBCEB" w14:textId="77777777" w:rsidR="00BF7802" w:rsidRPr="00AF0A65" w:rsidRDefault="00BF7802" w:rsidP="000A4AD3">
            <w:pPr>
              <w:pStyle w:val="Tabletext1"/>
            </w:pPr>
            <w:r w:rsidRPr="00AF0A65">
              <w:t>$33,507</w:t>
            </w:r>
          </w:p>
        </w:tc>
        <w:tc>
          <w:tcPr>
            <w:tcW w:w="1395" w:type="dxa"/>
            <w:tcBorders>
              <w:top w:val="single" w:sz="4" w:space="0" w:color="auto"/>
              <w:left w:val="single" w:sz="4" w:space="0" w:color="auto"/>
              <w:bottom w:val="single" w:sz="4" w:space="0" w:color="auto"/>
              <w:right w:val="single" w:sz="4" w:space="0" w:color="auto"/>
            </w:tcBorders>
            <w:vAlign w:val="center"/>
          </w:tcPr>
          <w:p w14:paraId="29153427" w14:textId="77777777" w:rsidR="00BF7802" w:rsidRPr="00AF0A65" w:rsidRDefault="00BF7802" w:rsidP="000A4AD3">
            <w:pPr>
              <w:pStyle w:val="Tabletext1"/>
            </w:pPr>
            <w:r w:rsidRPr="00AF0A65">
              <w:t>$25,073</w:t>
            </w:r>
          </w:p>
        </w:tc>
        <w:tc>
          <w:tcPr>
            <w:tcW w:w="1395" w:type="dxa"/>
            <w:tcBorders>
              <w:top w:val="single" w:sz="4" w:space="0" w:color="auto"/>
              <w:left w:val="single" w:sz="4" w:space="0" w:color="auto"/>
              <w:bottom w:val="single" w:sz="4" w:space="0" w:color="auto"/>
              <w:right w:val="single" w:sz="4" w:space="0" w:color="auto"/>
            </w:tcBorders>
            <w:vAlign w:val="center"/>
          </w:tcPr>
          <w:p w14:paraId="2D7E7929" w14:textId="5B1FFB58" w:rsidR="00BF7802" w:rsidRPr="00AF0A65" w:rsidRDefault="00BF7802" w:rsidP="000A4AD3">
            <w:pPr>
              <w:pStyle w:val="Tabletext1"/>
            </w:pPr>
            <w:r w:rsidRPr="00AF0A65">
              <w:t>$25,343</w:t>
            </w:r>
          </w:p>
        </w:tc>
      </w:tr>
      <w:tr w:rsidR="00BF7802" w:rsidRPr="00183E4D" w14:paraId="7EB4FC7D" w14:textId="77777777" w:rsidTr="005836F1">
        <w:trPr>
          <w:cantSplit/>
          <w:trHeight w:val="601"/>
        </w:trPr>
        <w:tc>
          <w:tcPr>
            <w:tcW w:w="3477" w:type="dxa"/>
            <w:tcBorders>
              <w:top w:val="single" w:sz="4" w:space="0" w:color="auto"/>
              <w:left w:val="single" w:sz="4" w:space="0" w:color="auto"/>
              <w:bottom w:val="single" w:sz="4" w:space="0" w:color="auto"/>
              <w:right w:val="single" w:sz="4" w:space="0" w:color="auto"/>
            </w:tcBorders>
            <w:vAlign w:val="center"/>
          </w:tcPr>
          <w:p w14:paraId="20908E8B" w14:textId="57E36C78" w:rsidR="00BF7802" w:rsidRPr="00183E4D" w:rsidRDefault="00BF7802" w:rsidP="00607722">
            <w:pPr>
              <w:pStyle w:val="Tabletext1"/>
            </w:pPr>
            <w:r w:rsidRPr="00183E4D">
              <w:t xml:space="preserve">Costs of therapy involving </w:t>
            </w:r>
            <w:r>
              <w:t>no DAC</w:t>
            </w:r>
            <w:r w:rsidR="006B1625">
              <w:t>+abs</w:t>
            </w:r>
          </w:p>
        </w:tc>
        <w:tc>
          <w:tcPr>
            <w:tcW w:w="1395" w:type="dxa"/>
            <w:tcBorders>
              <w:top w:val="single" w:sz="4" w:space="0" w:color="auto"/>
              <w:left w:val="single" w:sz="4" w:space="0" w:color="auto"/>
              <w:bottom w:val="single" w:sz="4" w:space="0" w:color="auto"/>
              <w:right w:val="single" w:sz="4" w:space="0" w:color="auto"/>
            </w:tcBorders>
            <w:vAlign w:val="center"/>
          </w:tcPr>
          <w:p w14:paraId="64B91B92" w14:textId="77777777" w:rsidR="00BF7802" w:rsidRPr="00AF0A65" w:rsidRDefault="00BF7802" w:rsidP="000A4AD3">
            <w:pPr>
              <w:pStyle w:val="Tabletext1"/>
            </w:pPr>
            <w:r w:rsidRPr="00AF0A65">
              <w:t>$21,880</w:t>
            </w:r>
          </w:p>
        </w:tc>
        <w:tc>
          <w:tcPr>
            <w:tcW w:w="1395" w:type="dxa"/>
            <w:tcBorders>
              <w:top w:val="single" w:sz="4" w:space="0" w:color="auto"/>
              <w:left w:val="single" w:sz="4" w:space="0" w:color="auto"/>
              <w:bottom w:val="single" w:sz="4" w:space="0" w:color="auto"/>
              <w:right w:val="single" w:sz="4" w:space="0" w:color="auto"/>
            </w:tcBorders>
            <w:vAlign w:val="center"/>
          </w:tcPr>
          <w:p w14:paraId="2C63AF45" w14:textId="77777777" w:rsidR="00BF7802" w:rsidRPr="00AF0A65" w:rsidRDefault="00BF7802" w:rsidP="000A4AD3">
            <w:pPr>
              <w:pStyle w:val="Tabletext1"/>
            </w:pPr>
            <w:r w:rsidRPr="00AF0A65">
              <w:t>$21,703</w:t>
            </w:r>
          </w:p>
        </w:tc>
        <w:tc>
          <w:tcPr>
            <w:tcW w:w="1395" w:type="dxa"/>
            <w:tcBorders>
              <w:top w:val="single" w:sz="4" w:space="0" w:color="auto"/>
              <w:left w:val="single" w:sz="4" w:space="0" w:color="auto"/>
              <w:bottom w:val="single" w:sz="4" w:space="0" w:color="auto"/>
              <w:right w:val="single" w:sz="4" w:space="0" w:color="auto"/>
            </w:tcBorders>
            <w:vAlign w:val="center"/>
          </w:tcPr>
          <w:p w14:paraId="0747ADE1" w14:textId="77777777" w:rsidR="00BF7802" w:rsidRPr="00AF0A65" w:rsidRDefault="00BF7802" w:rsidP="000A4AD3">
            <w:pPr>
              <w:pStyle w:val="Tabletext1"/>
            </w:pPr>
            <w:r w:rsidRPr="00AF0A65">
              <w:t>$21,027</w:t>
            </w:r>
          </w:p>
        </w:tc>
        <w:tc>
          <w:tcPr>
            <w:tcW w:w="1395" w:type="dxa"/>
            <w:tcBorders>
              <w:top w:val="single" w:sz="4" w:space="0" w:color="auto"/>
              <w:left w:val="single" w:sz="4" w:space="0" w:color="auto"/>
              <w:bottom w:val="single" w:sz="4" w:space="0" w:color="auto"/>
              <w:right w:val="single" w:sz="4" w:space="0" w:color="auto"/>
            </w:tcBorders>
            <w:vAlign w:val="center"/>
          </w:tcPr>
          <w:p w14:paraId="63E652F9" w14:textId="77777777" w:rsidR="00BF7802" w:rsidRPr="00AF0A65" w:rsidRDefault="00BF7802" w:rsidP="000A4AD3">
            <w:pPr>
              <w:pStyle w:val="Tabletext1"/>
            </w:pPr>
            <w:r w:rsidRPr="00AF0A65">
              <w:t>$20,921</w:t>
            </w:r>
          </w:p>
        </w:tc>
        <w:tc>
          <w:tcPr>
            <w:tcW w:w="1395" w:type="dxa"/>
            <w:tcBorders>
              <w:top w:val="single" w:sz="4" w:space="0" w:color="auto"/>
              <w:left w:val="single" w:sz="4" w:space="0" w:color="auto"/>
              <w:bottom w:val="single" w:sz="4" w:space="0" w:color="auto"/>
              <w:right w:val="single" w:sz="4" w:space="0" w:color="auto"/>
            </w:tcBorders>
            <w:vAlign w:val="center"/>
          </w:tcPr>
          <w:p w14:paraId="160A0A2E" w14:textId="77777777" w:rsidR="00BF7802" w:rsidRPr="00AF0A65" w:rsidRDefault="00BF7802" w:rsidP="000A4AD3">
            <w:pPr>
              <w:pStyle w:val="Tabletext1"/>
            </w:pPr>
            <w:r w:rsidRPr="00AF0A65">
              <w:t>$31,349</w:t>
            </w:r>
          </w:p>
        </w:tc>
        <w:tc>
          <w:tcPr>
            <w:tcW w:w="1395" w:type="dxa"/>
            <w:tcBorders>
              <w:top w:val="single" w:sz="4" w:space="0" w:color="auto"/>
              <w:left w:val="single" w:sz="4" w:space="0" w:color="auto"/>
              <w:bottom w:val="single" w:sz="4" w:space="0" w:color="auto"/>
              <w:right w:val="single" w:sz="4" w:space="0" w:color="auto"/>
            </w:tcBorders>
            <w:vAlign w:val="center"/>
          </w:tcPr>
          <w:p w14:paraId="1A353385" w14:textId="77777777" w:rsidR="00BF7802" w:rsidRPr="00AF0A65" w:rsidRDefault="00BF7802" w:rsidP="000A4AD3">
            <w:pPr>
              <w:pStyle w:val="Tabletext1"/>
            </w:pPr>
            <w:r w:rsidRPr="00AF0A65">
              <w:t>$34,044</w:t>
            </w:r>
          </w:p>
        </w:tc>
        <w:tc>
          <w:tcPr>
            <w:tcW w:w="1395" w:type="dxa"/>
            <w:tcBorders>
              <w:top w:val="single" w:sz="4" w:space="0" w:color="auto"/>
              <w:left w:val="single" w:sz="4" w:space="0" w:color="auto"/>
              <w:bottom w:val="single" w:sz="4" w:space="0" w:color="auto"/>
              <w:right w:val="single" w:sz="4" w:space="0" w:color="auto"/>
            </w:tcBorders>
            <w:vAlign w:val="center"/>
          </w:tcPr>
          <w:p w14:paraId="060640A0" w14:textId="77777777" w:rsidR="00BF7802" w:rsidRPr="00AF0A65" w:rsidRDefault="00BF7802" w:rsidP="000A4AD3">
            <w:pPr>
              <w:pStyle w:val="Tabletext1"/>
            </w:pPr>
            <w:r w:rsidRPr="00AF0A65">
              <w:t>$22,732</w:t>
            </w:r>
          </w:p>
        </w:tc>
        <w:tc>
          <w:tcPr>
            <w:tcW w:w="1395" w:type="dxa"/>
            <w:tcBorders>
              <w:top w:val="single" w:sz="4" w:space="0" w:color="auto"/>
              <w:left w:val="single" w:sz="4" w:space="0" w:color="auto"/>
              <w:bottom w:val="single" w:sz="4" w:space="0" w:color="auto"/>
              <w:right w:val="single" w:sz="4" w:space="0" w:color="auto"/>
            </w:tcBorders>
            <w:vAlign w:val="center"/>
          </w:tcPr>
          <w:p w14:paraId="38E9DC4B" w14:textId="77777777" w:rsidR="00BF7802" w:rsidRPr="00AF0A65" w:rsidRDefault="00BF7802" w:rsidP="000A4AD3">
            <w:pPr>
              <w:pStyle w:val="Tabletext1"/>
            </w:pPr>
            <w:r w:rsidRPr="00AF0A65">
              <w:t>$24,963</w:t>
            </w:r>
          </w:p>
        </w:tc>
      </w:tr>
      <w:tr w:rsidR="00BF7802" w:rsidRPr="00183E4D" w14:paraId="3FCF11C6" w14:textId="77777777" w:rsidTr="005836F1">
        <w:trPr>
          <w:cantSplit/>
          <w:trHeight w:val="631"/>
        </w:trPr>
        <w:tc>
          <w:tcPr>
            <w:tcW w:w="3477" w:type="dxa"/>
            <w:tcBorders>
              <w:top w:val="single" w:sz="4" w:space="0" w:color="auto"/>
              <w:left w:val="single" w:sz="4" w:space="0" w:color="auto"/>
              <w:bottom w:val="single" w:sz="4" w:space="0" w:color="auto"/>
              <w:right w:val="single" w:sz="4" w:space="0" w:color="auto"/>
            </w:tcBorders>
            <w:vAlign w:val="center"/>
          </w:tcPr>
          <w:p w14:paraId="0047400D" w14:textId="77777777" w:rsidR="00BF7802" w:rsidRPr="00183E4D" w:rsidRDefault="00BF7802" w:rsidP="00607722">
            <w:pPr>
              <w:pStyle w:val="Tabletext1"/>
            </w:pPr>
            <w:r w:rsidRPr="00183E4D">
              <w:t>Incremental costs</w:t>
            </w:r>
          </w:p>
        </w:tc>
        <w:tc>
          <w:tcPr>
            <w:tcW w:w="1395" w:type="dxa"/>
            <w:tcBorders>
              <w:top w:val="single" w:sz="4" w:space="0" w:color="auto"/>
              <w:left w:val="single" w:sz="4" w:space="0" w:color="auto"/>
              <w:bottom w:val="single" w:sz="4" w:space="0" w:color="auto"/>
              <w:right w:val="single" w:sz="4" w:space="0" w:color="auto"/>
            </w:tcBorders>
            <w:vAlign w:val="center"/>
          </w:tcPr>
          <w:p w14:paraId="4870D0EB" w14:textId="77777777" w:rsidR="00BF7802" w:rsidRPr="00AF0A65" w:rsidRDefault="00BF7802" w:rsidP="000A4AD3">
            <w:pPr>
              <w:pStyle w:val="Tabletext1"/>
            </w:pPr>
            <w:r w:rsidRPr="00AF0A65">
              <w:t>$3,483</w:t>
            </w:r>
          </w:p>
        </w:tc>
        <w:tc>
          <w:tcPr>
            <w:tcW w:w="1395" w:type="dxa"/>
            <w:tcBorders>
              <w:top w:val="single" w:sz="4" w:space="0" w:color="auto"/>
              <w:left w:val="single" w:sz="4" w:space="0" w:color="auto"/>
              <w:bottom w:val="single" w:sz="4" w:space="0" w:color="auto"/>
              <w:right w:val="single" w:sz="4" w:space="0" w:color="auto"/>
            </w:tcBorders>
            <w:vAlign w:val="center"/>
          </w:tcPr>
          <w:p w14:paraId="2B0BA8EE" w14:textId="77777777" w:rsidR="00BF7802" w:rsidRPr="00AF0A65" w:rsidRDefault="00BF7802" w:rsidP="000A4AD3">
            <w:pPr>
              <w:pStyle w:val="Tabletext1"/>
            </w:pPr>
            <w:r w:rsidRPr="00AF0A65">
              <w:t>$3,620</w:t>
            </w:r>
          </w:p>
        </w:tc>
        <w:tc>
          <w:tcPr>
            <w:tcW w:w="1395" w:type="dxa"/>
            <w:tcBorders>
              <w:top w:val="single" w:sz="4" w:space="0" w:color="auto"/>
              <w:left w:val="single" w:sz="4" w:space="0" w:color="auto"/>
              <w:bottom w:val="single" w:sz="4" w:space="0" w:color="auto"/>
              <w:right w:val="single" w:sz="4" w:space="0" w:color="auto"/>
            </w:tcBorders>
            <w:vAlign w:val="center"/>
          </w:tcPr>
          <w:p w14:paraId="795C875A" w14:textId="77777777" w:rsidR="00BF7802" w:rsidRPr="00AF0A65" w:rsidRDefault="00BF7802" w:rsidP="000A4AD3">
            <w:pPr>
              <w:pStyle w:val="Tabletext1"/>
            </w:pPr>
            <w:r w:rsidRPr="00AF0A65">
              <w:t>$3,525</w:t>
            </w:r>
          </w:p>
        </w:tc>
        <w:tc>
          <w:tcPr>
            <w:tcW w:w="1395" w:type="dxa"/>
            <w:tcBorders>
              <w:top w:val="single" w:sz="4" w:space="0" w:color="auto"/>
              <w:left w:val="single" w:sz="4" w:space="0" w:color="auto"/>
              <w:bottom w:val="single" w:sz="4" w:space="0" w:color="auto"/>
              <w:right w:val="single" w:sz="4" w:space="0" w:color="auto"/>
            </w:tcBorders>
            <w:vAlign w:val="center"/>
          </w:tcPr>
          <w:p w14:paraId="6DC1802D" w14:textId="77777777" w:rsidR="00BF7802" w:rsidRPr="00AF0A65" w:rsidRDefault="00BF7802" w:rsidP="000A4AD3">
            <w:pPr>
              <w:pStyle w:val="Tabletext1"/>
            </w:pPr>
            <w:r w:rsidRPr="00AF0A65">
              <w:t>$3,606</w:t>
            </w:r>
          </w:p>
        </w:tc>
        <w:tc>
          <w:tcPr>
            <w:tcW w:w="1395" w:type="dxa"/>
            <w:tcBorders>
              <w:top w:val="single" w:sz="4" w:space="0" w:color="auto"/>
              <w:left w:val="single" w:sz="4" w:space="0" w:color="auto"/>
              <w:bottom w:val="single" w:sz="4" w:space="0" w:color="auto"/>
              <w:right w:val="single" w:sz="4" w:space="0" w:color="auto"/>
            </w:tcBorders>
            <w:vAlign w:val="center"/>
          </w:tcPr>
          <w:p w14:paraId="335F418C" w14:textId="77777777" w:rsidR="00BF7802" w:rsidRPr="00AF0A65" w:rsidRDefault="00BF7802" w:rsidP="000A4AD3">
            <w:pPr>
              <w:pStyle w:val="Tabletext1"/>
            </w:pPr>
            <w:r w:rsidRPr="00AF0A65">
              <w:t>$1,829</w:t>
            </w:r>
          </w:p>
        </w:tc>
        <w:tc>
          <w:tcPr>
            <w:tcW w:w="1395" w:type="dxa"/>
            <w:tcBorders>
              <w:top w:val="single" w:sz="4" w:space="0" w:color="auto"/>
              <w:left w:val="single" w:sz="4" w:space="0" w:color="auto"/>
              <w:bottom w:val="single" w:sz="4" w:space="0" w:color="auto"/>
              <w:right w:val="single" w:sz="4" w:space="0" w:color="auto"/>
            </w:tcBorders>
            <w:vAlign w:val="center"/>
          </w:tcPr>
          <w:p w14:paraId="686273CB" w14:textId="77777777" w:rsidR="00BF7802" w:rsidRPr="00AF0A65" w:rsidRDefault="00BF7802" w:rsidP="000A4AD3">
            <w:pPr>
              <w:pStyle w:val="Tabletext1"/>
            </w:pPr>
            <w:r w:rsidRPr="00AF0A65">
              <w:t>$-537</w:t>
            </w:r>
          </w:p>
        </w:tc>
        <w:tc>
          <w:tcPr>
            <w:tcW w:w="1395" w:type="dxa"/>
            <w:tcBorders>
              <w:top w:val="single" w:sz="4" w:space="0" w:color="auto"/>
              <w:left w:val="single" w:sz="4" w:space="0" w:color="auto"/>
              <w:bottom w:val="single" w:sz="4" w:space="0" w:color="auto"/>
              <w:right w:val="single" w:sz="4" w:space="0" w:color="auto"/>
            </w:tcBorders>
            <w:vAlign w:val="center"/>
          </w:tcPr>
          <w:p w14:paraId="24012E15" w14:textId="77777777" w:rsidR="00BF7802" w:rsidRPr="00AF0A65" w:rsidRDefault="00BF7802" w:rsidP="000A4AD3">
            <w:pPr>
              <w:pStyle w:val="Tabletext1"/>
            </w:pPr>
            <w:r w:rsidRPr="00AF0A65">
              <w:t>$2,341</w:t>
            </w:r>
          </w:p>
        </w:tc>
        <w:tc>
          <w:tcPr>
            <w:tcW w:w="1395" w:type="dxa"/>
            <w:tcBorders>
              <w:top w:val="single" w:sz="4" w:space="0" w:color="auto"/>
              <w:left w:val="single" w:sz="4" w:space="0" w:color="auto"/>
              <w:bottom w:val="single" w:sz="4" w:space="0" w:color="auto"/>
              <w:right w:val="single" w:sz="4" w:space="0" w:color="auto"/>
            </w:tcBorders>
            <w:vAlign w:val="center"/>
          </w:tcPr>
          <w:p w14:paraId="5C518E5B" w14:textId="77777777" w:rsidR="00BF7802" w:rsidRPr="00AF0A65" w:rsidRDefault="00BF7802" w:rsidP="000A4AD3">
            <w:pPr>
              <w:pStyle w:val="Tabletext1"/>
            </w:pPr>
            <w:r w:rsidRPr="00AF0A65">
              <w:t>$379</w:t>
            </w:r>
          </w:p>
        </w:tc>
      </w:tr>
      <w:tr w:rsidR="006B1625" w:rsidRPr="00183E4D" w14:paraId="15DC4C90" w14:textId="77777777" w:rsidTr="005836F1">
        <w:trPr>
          <w:cantSplit/>
          <w:trHeight w:val="601"/>
        </w:trPr>
        <w:tc>
          <w:tcPr>
            <w:tcW w:w="14637" w:type="dxa"/>
            <w:gridSpan w:val="9"/>
            <w:tcBorders>
              <w:top w:val="single" w:sz="4" w:space="0" w:color="auto"/>
              <w:left w:val="single" w:sz="4" w:space="0" w:color="auto"/>
              <w:bottom w:val="single" w:sz="4" w:space="0" w:color="auto"/>
              <w:right w:val="single" w:sz="4" w:space="0" w:color="auto"/>
            </w:tcBorders>
            <w:vAlign w:val="center"/>
          </w:tcPr>
          <w:p w14:paraId="2DCFBEED" w14:textId="398A9872" w:rsidR="006B1625" w:rsidRPr="00980A42" w:rsidRDefault="006B1625" w:rsidP="00607722">
            <w:pPr>
              <w:pStyle w:val="Tabletext1"/>
            </w:pPr>
            <w:r>
              <w:t>QALYs</w:t>
            </w:r>
            <w:r w:rsidRPr="00183E4D">
              <w:t xml:space="preserve"> </w:t>
            </w:r>
            <w:r w:rsidR="00240214">
              <w:t>based on inputs</w:t>
            </w:r>
            <w:r w:rsidRPr="00183E4D">
              <w:t xml:space="preserve"> before any extrapolation and/or transformation</w:t>
            </w:r>
          </w:p>
        </w:tc>
      </w:tr>
      <w:tr w:rsidR="00BF7802" w:rsidRPr="00183E4D" w14:paraId="26D09E5C" w14:textId="77777777" w:rsidTr="005836F1">
        <w:trPr>
          <w:cantSplit/>
          <w:trHeight w:val="601"/>
        </w:trPr>
        <w:tc>
          <w:tcPr>
            <w:tcW w:w="3477" w:type="dxa"/>
            <w:tcBorders>
              <w:top w:val="single" w:sz="4" w:space="0" w:color="auto"/>
              <w:left w:val="single" w:sz="4" w:space="0" w:color="auto"/>
              <w:bottom w:val="single" w:sz="4" w:space="0" w:color="auto"/>
              <w:right w:val="single" w:sz="4" w:space="0" w:color="auto"/>
            </w:tcBorders>
            <w:vAlign w:val="center"/>
          </w:tcPr>
          <w:p w14:paraId="3F71E836" w14:textId="41B43B9A" w:rsidR="00BF7802" w:rsidRPr="00183E4D" w:rsidRDefault="00BF7802" w:rsidP="00607722">
            <w:pPr>
              <w:pStyle w:val="Tabletext1"/>
            </w:pPr>
            <w:r>
              <w:t>QALYs</w:t>
            </w:r>
            <w:r w:rsidRPr="00183E4D">
              <w:t xml:space="preserve"> with </w:t>
            </w:r>
            <w:r>
              <w:t>DAC</w:t>
            </w:r>
            <w:r w:rsidR="006B1625">
              <w:t>+abs</w:t>
            </w:r>
          </w:p>
        </w:tc>
        <w:tc>
          <w:tcPr>
            <w:tcW w:w="1395" w:type="dxa"/>
            <w:tcBorders>
              <w:top w:val="single" w:sz="4" w:space="0" w:color="auto"/>
              <w:left w:val="single" w:sz="4" w:space="0" w:color="auto"/>
              <w:bottom w:val="single" w:sz="4" w:space="0" w:color="auto"/>
              <w:right w:val="single" w:sz="4" w:space="0" w:color="auto"/>
            </w:tcBorders>
            <w:vAlign w:val="center"/>
          </w:tcPr>
          <w:p w14:paraId="0FE6266D" w14:textId="77777777" w:rsidR="00BF7802" w:rsidRPr="00980A42" w:rsidRDefault="00BF7802" w:rsidP="000A4AD3">
            <w:pPr>
              <w:pStyle w:val="Tabletext1"/>
            </w:pPr>
            <w:r w:rsidRPr="00980A42">
              <w:t>0.85</w:t>
            </w:r>
          </w:p>
        </w:tc>
        <w:tc>
          <w:tcPr>
            <w:tcW w:w="1395" w:type="dxa"/>
            <w:tcBorders>
              <w:top w:val="single" w:sz="4" w:space="0" w:color="auto"/>
              <w:left w:val="single" w:sz="4" w:space="0" w:color="auto"/>
              <w:bottom w:val="single" w:sz="4" w:space="0" w:color="auto"/>
              <w:right w:val="single" w:sz="4" w:space="0" w:color="auto"/>
            </w:tcBorders>
            <w:vAlign w:val="center"/>
          </w:tcPr>
          <w:p w14:paraId="0B5CF007" w14:textId="77777777" w:rsidR="00BF7802" w:rsidRPr="00980A42" w:rsidRDefault="00BF7802" w:rsidP="000A4AD3">
            <w:pPr>
              <w:pStyle w:val="Tabletext1"/>
            </w:pPr>
            <w:r w:rsidRPr="00980A42">
              <w:t>0.854</w:t>
            </w:r>
          </w:p>
        </w:tc>
        <w:tc>
          <w:tcPr>
            <w:tcW w:w="1395" w:type="dxa"/>
            <w:tcBorders>
              <w:top w:val="single" w:sz="4" w:space="0" w:color="auto"/>
              <w:left w:val="single" w:sz="4" w:space="0" w:color="auto"/>
              <w:bottom w:val="single" w:sz="4" w:space="0" w:color="auto"/>
              <w:right w:val="single" w:sz="4" w:space="0" w:color="auto"/>
            </w:tcBorders>
            <w:vAlign w:val="center"/>
          </w:tcPr>
          <w:p w14:paraId="0770FA83" w14:textId="77777777" w:rsidR="00BF7802" w:rsidRPr="00980A42" w:rsidRDefault="00BF7802" w:rsidP="000A4AD3">
            <w:pPr>
              <w:pStyle w:val="Tabletext1"/>
            </w:pPr>
            <w:r w:rsidRPr="00980A42">
              <w:t>0.814</w:t>
            </w:r>
          </w:p>
        </w:tc>
        <w:tc>
          <w:tcPr>
            <w:tcW w:w="1395" w:type="dxa"/>
            <w:tcBorders>
              <w:top w:val="single" w:sz="4" w:space="0" w:color="auto"/>
              <w:left w:val="single" w:sz="4" w:space="0" w:color="auto"/>
              <w:bottom w:val="single" w:sz="4" w:space="0" w:color="auto"/>
              <w:right w:val="single" w:sz="4" w:space="0" w:color="auto"/>
            </w:tcBorders>
            <w:vAlign w:val="center"/>
          </w:tcPr>
          <w:p w14:paraId="14472F63" w14:textId="77777777" w:rsidR="00BF7802" w:rsidRPr="00980A42" w:rsidRDefault="00BF7802" w:rsidP="000A4AD3">
            <w:pPr>
              <w:pStyle w:val="Tabletext1"/>
            </w:pPr>
            <w:r w:rsidRPr="00980A42">
              <w:t>0.81</w:t>
            </w:r>
            <w:r>
              <w:t>5</w:t>
            </w:r>
          </w:p>
        </w:tc>
        <w:tc>
          <w:tcPr>
            <w:tcW w:w="1395" w:type="dxa"/>
            <w:tcBorders>
              <w:top w:val="single" w:sz="4" w:space="0" w:color="auto"/>
              <w:left w:val="single" w:sz="4" w:space="0" w:color="auto"/>
              <w:bottom w:val="single" w:sz="4" w:space="0" w:color="auto"/>
              <w:right w:val="single" w:sz="4" w:space="0" w:color="auto"/>
            </w:tcBorders>
            <w:vAlign w:val="center"/>
          </w:tcPr>
          <w:p w14:paraId="09F19A7F" w14:textId="77777777" w:rsidR="00BF7802" w:rsidRPr="00980A42" w:rsidRDefault="00BF7802" w:rsidP="000A4AD3">
            <w:pPr>
              <w:pStyle w:val="Tabletext1"/>
            </w:pPr>
            <w:r w:rsidRPr="00980A42">
              <w:t>0.694</w:t>
            </w:r>
          </w:p>
        </w:tc>
        <w:tc>
          <w:tcPr>
            <w:tcW w:w="1395" w:type="dxa"/>
            <w:tcBorders>
              <w:top w:val="single" w:sz="4" w:space="0" w:color="auto"/>
              <w:left w:val="single" w:sz="4" w:space="0" w:color="auto"/>
              <w:bottom w:val="single" w:sz="4" w:space="0" w:color="auto"/>
              <w:right w:val="single" w:sz="4" w:space="0" w:color="auto"/>
            </w:tcBorders>
            <w:vAlign w:val="center"/>
          </w:tcPr>
          <w:p w14:paraId="14C0B017" w14:textId="77777777" w:rsidR="00BF7802" w:rsidRPr="00980A42" w:rsidRDefault="00BF7802" w:rsidP="000A4AD3">
            <w:pPr>
              <w:pStyle w:val="Tabletext1"/>
            </w:pPr>
            <w:r w:rsidRPr="00980A42">
              <w:t>0.69</w:t>
            </w:r>
          </w:p>
        </w:tc>
        <w:tc>
          <w:tcPr>
            <w:tcW w:w="1395" w:type="dxa"/>
            <w:tcBorders>
              <w:top w:val="single" w:sz="4" w:space="0" w:color="auto"/>
              <w:left w:val="single" w:sz="4" w:space="0" w:color="auto"/>
              <w:bottom w:val="single" w:sz="4" w:space="0" w:color="auto"/>
              <w:right w:val="single" w:sz="4" w:space="0" w:color="auto"/>
            </w:tcBorders>
            <w:vAlign w:val="center"/>
          </w:tcPr>
          <w:p w14:paraId="3F300D71" w14:textId="77777777" w:rsidR="00BF7802" w:rsidRPr="00980A42" w:rsidRDefault="00BF7802" w:rsidP="000A4AD3">
            <w:pPr>
              <w:pStyle w:val="Tabletext1"/>
            </w:pPr>
            <w:r w:rsidRPr="00980A42">
              <w:t>0.68</w:t>
            </w:r>
          </w:p>
        </w:tc>
        <w:tc>
          <w:tcPr>
            <w:tcW w:w="1395" w:type="dxa"/>
            <w:tcBorders>
              <w:top w:val="single" w:sz="4" w:space="0" w:color="auto"/>
              <w:left w:val="single" w:sz="4" w:space="0" w:color="auto"/>
              <w:bottom w:val="single" w:sz="4" w:space="0" w:color="auto"/>
              <w:right w:val="single" w:sz="4" w:space="0" w:color="auto"/>
            </w:tcBorders>
            <w:vAlign w:val="center"/>
          </w:tcPr>
          <w:p w14:paraId="31806C89" w14:textId="77777777" w:rsidR="00BF7802" w:rsidRPr="00980A42" w:rsidRDefault="00BF7802" w:rsidP="000A4AD3">
            <w:pPr>
              <w:pStyle w:val="Tabletext1"/>
            </w:pPr>
            <w:r w:rsidRPr="00980A42">
              <w:t>0.68</w:t>
            </w:r>
          </w:p>
        </w:tc>
      </w:tr>
      <w:tr w:rsidR="00BF7802" w:rsidRPr="00183E4D" w14:paraId="251D2AAF" w14:textId="77777777" w:rsidTr="005836F1">
        <w:trPr>
          <w:cantSplit/>
          <w:trHeight w:val="631"/>
        </w:trPr>
        <w:tc>
          <w:tcPr>
            <w:tcW w:w="3477" w:type="dxa"/>
            <w:tcBorders>
              <w:top w:val="single" w:sz="4" w:space="0" w:color="auto"/>
              <w:left w:val="single" w:sz="4" w:space="0" w:color="auto"/>
              <w:bottom w:val="single" w:sz="4" w:space="0" w:color="auto"/>
              <w:right w:val="single" w:sz="4" w:space="0" w:color="auto"/>
            </w:tcBorders>
            <w:vAlign w:val="center"/>
          </w:tcPr>
          <w:p w14:paraId="2C57FA0D" w14:textId="55AA8871" w:rsidR="00BF7802" w:rsidRPr="00183E4D" w:rsidRDefault="00BF7802" w:rsidP="00607722">
            <w:pPr>
              <w:pStyle w:val="Tabletext1"/>
            </w:pPr>
            <w:r>
              <w:t>QALYs</w:t>
            </w:r>
            <w:r w:rsidRPr="00183E4D">
              <w:t xml:space="preserve"> with</w:t>
            </w:r>
            <w:r>
              <w:t>out DAC</w:t>
            </w:r>
            <w:r w:rsidR="006B1625">
              <w:t>+abs</w:t>
            </w:r>
          </w:p>
        </w:tc>
        <w:tc>
          <w:tcPr>
            <w:tcW w:w="1395" w:type="dxa"/>
            <w:tcBorders>
              <w:top w:val="single" w:sz="4" w:space="0" w:color="auto"/>
              <w:left w:val="single" w:sz="4" w:space="0" w:color="auto"/>
              <w:bottom w:val="single" w:sz="4" w:space="0" w:color="auto"/>
              <w:right w:val="single" w:sz="4" w:space="0" w:color="auto"/>
            </w:tcBorders>
            <w:vAlign w:val="center"/>
          </w:tcPr>
          <w:p w14:paraId="46209B44" w14:textId="77777777" w:rsidR="00BF7802" w:rsidRPr="00980A42" w:rsidRDefault="00BF7802" w:rsidP="000A4AD3">
            <w:pPr>
              <w:pStyle w:val="Tabletext1"/>
            </w:pPr>
            <w:r w:rsidRPr="00980A42">
              <w:t>0.84</w:t>
            </w:r>
          </w:p>
        </w:tc>
        <w:tc>
          <w:tcPr>
            <w:tcW w:w="1395" w:type="dxa"/>
            <w:tcBorders>
              <w:top w:val="single" w:sz="4" w:space="0" w:color="auto"/>
              <w:left w:val="single" w:sz="4" w:space="0" w:color="auto"/>
              <w:bottom w:val="single" w:sz="4" w:space="0" w:color="auto"/>
              <w:right w:val="single" w:sz="4" w:space="0" w:color="auto"/>
            </w:tcBorders>
            <w:vAlign w:val="center"/>
          </w:tcPr>
          <w:p w14:paraId="6BF151AC" w14:textId="77777777" w:rsidR="00BF7802" w:rsidRPr="00980A42" w:rsidRDefault="00BF7802" w:rsidP="000A4AD3">
            <w:pPr>
              <w:pStyle w:val="Tabletext1"/>
            </w:pPr>
            <w:r w:rsidRPr="00980A42">
              <w:t>0.852</w:t>
            </w:r>
          </w:p>
        </w:tc>
        <w:tc>
          <w:tcPr>
            <w:tcW w:w="1395" w:type="dxa"/>
            <w:tcBorders>
              <w:top w:val="single" w:sz="4" w:space="0" w:color="auto"/>
              <w:left w:val="single" w:sz="4" w:space="0" w:color="auto"/>
              <w:bottom w:val="single" w:sz="4" w:space="0" w:color="auto"/>
              <w:right w:val="single" w:sz="4" w:space="0" w:color="auto"/>
            </w:tcBorders>
            <w:vAlign w:val="center"/>
          </w:tcPr>
          <w:p w14:paraId="23D728C0" w14:textId="77777777" w:rsidR="00BF7802" w:rsidRPr="00980A42" w:rsidRDefault="00BF7802" w:rsidP="000A4AD3">
            <w:pPr>
              <w:pStyle w:val="Tabletext1"/>
            </w:pPr>
            <w:r w:rsidRPr="00980A42">
              <w:t>0.809</w:t>
            </w:r>
          </w:p>
        </w:tc>
        <w:tc>
          <w:tcPr>
            <w:tcW w:w="1395" w:type="dxa"/>
            <w:tcBorders>
              <w:top w:val="single" w:sz="4" w:space="0" w:color="auto"/>
              <w:left w:val="single" w:sz="4" w:space="0" w:color="auto"/>
              <w:bottom w:val="single" w:sz="4" w:space="0" w:color="auto"/>
              <w:right w:val="single" w:sz="4" w:space="0" w:color="auto"/>
            </w:tcBorders>
            <w:vAlign w:val="center"/>
          </w:tcPr>
          <w:p w14:paraId="10430B92" w14:textId="77777777" w:rsidR="00BF7802" w:rsidRPr="00980A42" w:rsidRDefault="00BF7802" w:rsidP="000A4AD3">
            <w:pPr>
              <w:pStyle w:val="Tabletext1"/>
            </w:pPr>
            <w:r w:rsidRPr="00980A42">
              <w:t>0.81</w:t>
            </w:r>
            <w:r>
              <w:t>2</w:t>
            </w:r>
          </w:p>
        </w:tc>
        <w:tc>
          <w:tcPr>
            <w:tcW w:w="1395" w:type="dxa"/>
            <w:tcBorders>
              <w:top w:val="single" w:sz="4" w:space="0" w:color="auto"/>
              <w:left w:val="single" w:sz="4" w:space="0" w:color="auto"/>
              <w:bottom w:val="single" w:sz="4" w:space="0" w:color="auto"/>
              <w:right w:val="single" w:sz="4" w:space="0" w:color="auto"/>
            </w:tcBorders>
            <w:vAlign w:val="center"/>
          </w:tcPr>
          <w:p w14:paraId="771F8DE4" w14:textId="77777777" w:rsidR="00BF7802" w:rsidRPr="00980A42" w:rsidRDefault="00BF7802" w:rsidP="000A4AD3">
            <w:pPr>
              <w:pStyle w:val="Tabletext1"/>
            </w:pPr>
            <w:r w:rsidRPr="00980A42">
              <w:t>0.685</w:t>
            </w:r>
          </w:p>
        </w:tc>
        <w:tc>
          <w:tcPr>
            <w:tcW w:w="1395" w:type="dxa"/>
            <w:tcBorders>
              <w:top w:val="single" w:sz="4" w:space="0" w:color="auto"/>
              <w:left w:val="single" w:sz="4" w:space="0" w:color="auto"/>
              <w:bottom w:val="single" w:sz="4" w:space="0" w:color="auto"/>
              <w:right w:val="single" w:sz="4" w:space="0" w:color="auto"/>
            </w:tcBorders>
            <w:vAlign w:val="center"/>
          </w:tcPr>
          <w:p w14:paraId="10936A54" w14:textId="77777777" w:rsidR="00BF7802" w:rsidRPr="00980A42" w:rsidRDefault="00BF7802" w:rsidP="000A4AD3">
            <w:pPr>
              <w:pStyle w:val="Tabletext1"/>
            </w:pPr>
            <w:r w:rsidRPr="00980A42">
              <w:t>0.67</w:t>
            </w:r>
          </w:p>
        </w:tc>
        <w:tc>
          <w:tcPr>
            <w:tcW w:w="1395" w:type="dxa"/>
            <w:tcBorders>
              <w:top w:val="single" w:sz="4" w:space="0" w:color="auto"/>
              <w:left w:val="single" w:sz="4" w:space="0" w:color="auto"/>
              <w:bottom w:val="single" w:sz="4" w:space="0" w:color="auto"/>
              <w:right w:val="single" w:sz="4" w:space="0" w:color="auto"/>
            </w:tcBorders>
            <w:vAlign w:val="center"/>
          </w:tcPr>
          <w:p w14:paraId="0262CDCB" w14:textId="77777777" w:rsidR="00BF7802" w:rsidRPr="00980A42" w:rsidRDefault="00BF7802" w:rsidP="000A4AD3">
            <w:pPr>
              <w:pStyle w:val="Tabletext1"/>
            </w:pPr>
            <w:r w:rsidRPr="00980A42">
              <w:t>0.67</w:t>
            </w:r>
          </w:p>
        </w:tc>
        <w:tc>
          <w:tcPr>
            <w:tcW w:w="1395" w:type="dxa"/>
            <w:tcBorders>
              <w:top w:val="single" w:sz="4" w:space="0" w:color="auto"/>
              <w:left w:val="single" w:sz="4" w:space="0" w:color="auto"/>
              <w:bottom w:val="single" w:sz="4" w:space="0" w:color="auto"/>
              <w:right w:val="single" w:sz="4" w:space="0" w:color="auto"/>
            </w:tcBorders>
            <w:vAlign w:val="center"/>
          </w:tcPr>
          <w:p w14:paraId="237D9DD8" w14:textId="77777777" w:rsidR="00BF7802" w:rsidRPr="00980A42" w:rsidRDefault="00BF7802" w:rsidP="000A4AD3">
            <w:pPr>
              <w:pStyle w:val="Tabletext1"/>
            </w:pPr>
            <w:r w:rsidRPr="00980A42">
              <w:t>0.65</w:t>
            </w:r>
          </w:p>
        </w:tc>
      </w:tr>
      <w:tr w:rsidR="00BF7802" w:rsidRPr="00183E4D" w14:paraId="72ABA12E" w14:textId="77777777" w:rsidTr="005836F1">
        <w:trPr>
          <w:cantSplit/>
          <w:trHeight w:val="601"/>
        </w:trPr>
        <w:tc>
          <w:tcPr>
            <w:tcW w:w="3477" w:type="dxa"/>
            <w:tcBorders>
              <w:top w:val="single" w:sz="4" w:space="0" w:color="auto"/>
              <w:left w:val="single" w:sz="4" w:space="0" w:color="auto"/>
              <w:bottom w:val="single" w:sz="4" w:space="0" w:color="auto"/>
              <w:right w:val="single" w:sz="4" w:space="0" w:color="auto"/>
            </w:tcBorders>
            <w:vAlign w:val="center"/>
          </w:tcPr>
          <w:p w14:paraId="6AFB436E" w14:textId="77777777" w:rsidR="00BF7802" w:rsidRPr="00183E4D" w:rsidRDefault="00BF7802" w:rsidP="00607722">
            <w:pPr>
              <w:pStyle w:val="Tabletext1"/>
            </w:pPr>
            <w:r w:rsidRPr="00183E4D">
              <w:t>Incremental effectiveness</w:t>
            </w:r>
          </w:p>
        </w:tc>
        <w:tc>
          <w:tcPr>
            <w:tcW w:w="1395" w:type="dxa"/>
            <w:tcBorders>
              <w:top w:val="single" w:sz="4" w:space="0" w:color="auto"/>
              <w:left w:val="single" w:sz="4" w:space="0" w:color="auto"/>
              <w:bottom w:val="single" w:sz="4" w:space="0" w:color="auto"/>
              <w:right w:val="single" w:sz="4" w:space="0" w:color="auto"/>
            </w:tcBorders>
            <w:vAlign w:val="center"/>
          </w:tcPr>
          <w:p w14:paraId="4456B438" w14:textId="77777777" w:rsidR="00BF7802" w:rsidRPr="00AF0A65" w:rsidRDefault="00BF7802" w:rsidP="000A4AD3">
            <w:pPr>
              <w:pStyle w:val="Tabletext1"/>
            </w:pPr>
            <w:r w:rsidRPr="00AF0A65">
              <w:t>0.0043</w:t>
            </w:r>
          </w:p>
        </w:tc>
        <w:tc>
          <w:tcPr>
            <w:tcW w:w="1395" w:type="dxa"/>
            <w:tcBorders>
              <w:top w:val="single" w:sz="4" w:space="0" w:color="auto"/>
              <w:left w:val="single" w:sz="4" w:space="0" w:color="auto"/>
              <w:bottom w:val="single" w:sz="4" w:space="0" w:color="auto"/>
              <w:right w:val="single" w:sz="4" w:space="0" w:color="auto"/>
            </w:tcBorders>
            <w:vAlign w:val="center"/>
          </w:tcPr>
          <w:p w14:paraId="4D4C997E" w14:textId="77777777" w:rsidR="00BF7802" w:rsidRPr="00AF0A65" w:rsidRDefault="00BF7802" w:rsidP="000A4AD3">
            <w:pPr>
              <w:pStyle w:val="Tabletext1"/>
            </w:pPr>
            <w:r w:rsidRPr="00AF0A65">
              <w:t>0.0022</w:t>
            </w:r>
          </w:p>
        </w:tc>
        <w:tc>
          <w:tcPr>
            <w:tcW w:w="1395" w:type="dxa"/>
            <w:tcBorders>
              <w:top w:val="single" w:sz="4" w:space="0" w:color="auto"/>
              <w:left w:val="single" w:sz="4" w:space="0" w:color="auto"/>
              <w:bottom w:val="single" w:sz="4" w:space="0" w:color="auto"/>
              <w:right w:val="single" w:sz="4" w:space="0" w:color="auto"/>
            </w:tcBorders>
            <w:vAlign w:val="center"/>
          </w:tcPr>
          <w:p w14:paraId="0EA945C0" w14:textId="77777777" w:rsidR="00BF7802" w:rsidRPr="00AF0A65" w:rsidRDefault="00BF7802" w:rsidP="000A4AD3">
            <w:pPr>
              <w:pStyle w:val="Tabletext1"/>
            </w:pPr>
            <w:r w:rsidRPr="00AF0A65">
              <w:t>0.0047</w:t>
            </w:r>
          </w:p>
        </w:tc>
        <w:tc>
          <w:tcPr>
            <w:tcW w:w="1395" w:type="dxa"/>
            <w:tcBorders>
              <w:top w:val="single" w:sz="4" w:space="0" w:color="auto"/>
              <w:left w:val="single" w:sz="4" w:space="0" w:color="auto"/>
              <w:bottom w:val="single" w:sz="4" w:space="0" w:color="auto"/>
              <w:right w:val="single" w:sz="4" w:space="0" w:color="auto"/>
            </w:tcBorders>
            <w:vAlign w:val="center"/>
          </w:tcPr>
          <w:p w14:paraId="0EE59B76" w14:textId="77777777" w:rsidR="00BF7802" w:rsidRPr="00AF0A65" w:rsidRDefault="00BF7802" w:rsidP="000A4AD3">
            <w:pPr>
              <w:pStyle w:val="Tabletext1"/>
            </w:pPr>
            <w:r w:rsidRPr="00AF0A65">
              <w:t>0.0029</w:t>
            </w:r>
          </w:p>
        </w:tc>
        <w:tc>
          <w:tcPr>
            <w:tcW w:w="1395" w:type="dxa"/>
            <w:tcBorders>
              <w:top w:val="single" w:sz="4" w:space="0" w:color="auto"/>
              <w:left w:val="single" w:sz="4" w:space="0" w:color="auto"/>
              <w:bottom w:val="single" w:sz="4" w:space="0" w:color="auto"/>
              <w:right w:val="single" w:sz="4" w:space="0" w:color="auto"/>
            </w:tcBorders>
            <w:vAlign w:val="center"/>
          </w:tcPr>
          <w:p w14:paraId="1989C700" w14:textId="77777777" w:rsidR="00BF7802" w:rsidRPr="00AF0A65" w:rsidRDefault="00BF7802" w:rsidP="000A4AD3">
            <w:pPr>
              <w:pStyle w:val="Tabletext1"/>
            </w:pPr>
            <w:r w:rsidRPr="00AF0A65">
              <w:t>0.010</w:t>
            </w:r>
          </w:p>
        </w:tc>
        <w:tc>
          <w:tcPr>
            <w:tcW w:w="1395" w:type="dxa"/>
            <w:tcBorders>
              <w:top w:val="single" w:sz="4" w:space="0" w:color="auto"/>
              <w:left w:val="single" w:sz="4" w:space="0" w:color="auto"/>
              <w:bottom w:val="single" w:sz="4" w:space="0" w:color="auto"/>
              <w:right w:val="single" w:sz="4" w:space="0" w:color="auto"/>
            </w:tcBorders>
            <w:vAlign w:val="center"/>
          </w:tcPr>
          <w:p w14:paraId="55A40944" w14:textId="77777777" w:rsidR="00BF7802" w:rsidRPr="00AF0A65" w:rsidRDefault="00BF7802" w:rsidP="000A4AD3">
            <w:pPr>
              <w:pStyle w:val="Tabletext1"/>
            </w:pPr>
            <w:r w:rsidRPr="00AF0A65">
              <w:t>0.021</w:t>
            </w:r>
          </w:p>
        </w:tc>
        <w:tc>
          <w:tcPr>
            <w:tcW w:w="1395" w:type="dxa"/>
            <w:tcBorders>
              <w:top w:val="single" w:sz="4" w:space="0" w:color="auto"/>
              <w:left w:val="single" w:sz="4" w:space="0" w:color="auto"/>
              <w:bottom w:val="single" w:sz="4" w:space="0" w:color="auto"/>
              <w:right w:val="single" w:sz="4" w:space="0" w:color="auto"/>
            </w:tcBorders>
            <w:vAlign w:val="center"/>
          </w:tcPr>
          <w:p w14:paraId="11044D5F" w14:textId="77777777" w:rsidR="00BF7802" w:rsidRPr="00AF0A65" w:rsidRDefault="00BF7802" w:rsidP="000A4AD3">
            <w:pPr>
              <w:pStyle w:val="Tabletext1"/>
            </w:pPr>
            <w:r w:rsidRPr="00AF0A65">
              <w:t>0.014</w:t>
            </w:r>
          </w:p>
        </w:tc>
        <w:tc>
          <w:tcPr>
            <w:tcW w:w="1395" w:type="dxa"/>
            <w:tcBorders>
              <w:top w:val="single" w:sz="4" w:space="0" w:color="auto"/>
              <w:left w:val="single" w:sz="4" w:space="0" w:color="auto"/>
              <w:bottom w:val="single" w:sz="4" w:space="0" w:color="auto"/>
              <w:right w:val="single" w:sz="4" w:space="0" w:color="auto"/>
            </w:tcBorders>
            <w:vAlign w:val="center"/>
          </w:tcPr>
          <w:p w14:paraId="6D18FCEA" w14:textId="77777777" w:rsidR="00BF7802" w:rsidRPr="00AF0A65" w:rsidRDefault="00BF7802" w:rsidP="000A4AD3">
            <w:pPr>
              <w:pStyle w:val="Tabletext1"/>
            </w:pPr>
            <w:r w:rsidRPr="00AF0A65">
              <w:t>0.034</w:t>
            </w:r>
          </w:p>
        </w:tc>
      </w:tr>
      <w:tr w:rsidR="00BF7802" w:rsidRPr="00183E4D" w14:paraId="140AFE87" w14:textId="77777777" w:rsidTr="005836F1">
        <w:trPr>
          <w:cantSplit/>
          <w:trHeight w:val="748"/>
        </w:trPr>
        <w:tc>
          <w:tcPr>
            <w:tcW w:w="3477" w:type="dxa"/>
            <w:tcBorders>
              <w:top w:val="single" w:sz="4" w:space="0" w:color="auto"/>
              <w:left w:val="single" w:sz="4" w:space="0" w:color="auto"/>
              <w:bottom w:val="single" w:sz="4" w:space="0" w:color="auto"/>
              <w:right w:val="single" w:sz="4" w:space="0" w:color="auto"/>
            </w:tcBorders>
            <w:vAlign w:val="center"/>
          </w:tcPr>
          <w:p w14:paraId="3D534B6F" w14:textId="77777777" w:rsidR="00BF7802" w:rsidRPr="00183E4D" w:rsidRDefault="00BF7802" w:rsidP="00607722">
            <w:pPr>
              <w:pStyle w:val="Tabletext1"/>
              <w:rPr>
                <w:b/>
              </w:rPr>
            </w:pPr>
            <w:r w:rsidRPr="00183E4D">
              <w:rPr>
                <w:b/>
              </w:rPr>
              <w:t xml:space="preserve">ICER </w:t>
            </w:r>
            <w:r w:rsidRPr="00183E4D">
              <w:t>(cost/</w:t>
            </w:r>
            <w:r>
              <w:t>QALY</w:t>
            </w:r>
            <w:r w:rsidRPr="00183E4D">
              <w:t>)</w:t>
            </w:r>
          </w:p>
        </w:tc>
        <w:tc>
          <w:tcPr>
            <w:tcW w:w="1395" w:type="dxa"/>
            <w:tcBorders>
              <w:top w:val="single" w:sz="4" w:space="0" w:color="auto"/>
              <w:left w:val="single" w:sz="4" w:space="0" w:color="auto"/>
              <w:bottom w:val="single" w:sz="4" w:space="0" w:color="auto"/>
              <w:right w:val="single" w:sz="4" w:space="0" w:color="auto"/>
            </w:tcBorders>
            <w:vAlign w:val="center"/>
          </w:tcPr>
          <w:p w14:paraId="70AAF845" w14:textId="4C77316F" w:rsidR="00BF7802" w:rsidRPr="00980A42" w:rsidRDefault="00BF7802" w:rsidP="000A4AD3">
            <w:pPr>
              <w:pStyle w:val="Tabletext1"/>
            </w:pPr>
            <w:r w:rsidRPr="00980A42">
              <w:t>$812,454</w:t>
            </w:r>
          </w:p>
        </w:tc>
        <w:tc>
          <w:tcPr>
            <w:tcW w:w="1395" w:type="dxa"/>
            <w:tcBorders>
              <w:top w:val="single" w:sz="4" w:space="0" w:color="auto"/>
              <w:left w:val="single" w:sz="4" w:space="0" w:color="auto"/>
              <w:bottom w:val="single" w:sz="4" w:space="0" w:color="auto"/>
              <w:right w:val="single" w:sz="4" w:space="0" w:color="auto"/>
            </w:tcBorders>
            <w:vAlign w:val="center"/>
          </w:tcPr>
          <w:p w14:paraId="6A03623B" w14:textId="13B0517C" w:rsidR="00BF7802" w:rsidRPr="00AF0A65" w:rsidRDefault="00BF7802" w:rsidP="000A4AD3">
            <w:pPr>
              <w:pStyle w:val="Tabletext1"/>
            </w:pPr>
            <w:r w:rsidRPr="00AF0A65">
              <w:t>$1,662,778</w:t>
            </w:r>
          </w:p>
        </w:tc>
        <w:tc>
          <w:tcPr>
            <w:tcW w:w="1395" w:type="dxa"/>
            <w:tcBorders>
              <w:top w:val="single" w:sz="4" w:space="0" w:color="auto"/>
              <w:left w:val="single" w:sz="4" w:space="0" w:color="auto"/>
              <w:bottom w:val="single" w:sz="4" w:space="0" w:color="auto"/>
              <w:right w:val="single" w:sz="4" w:space="0" w:color="auto"/>
            </w:tcBorders>
            <w:vAlign w:val="center"/>
          </w:tcPr>
          <w:p w14:paraId="054EC1F3" w14:textId="2A1FEAB7" w:rsidR="00BF7802" w:rsidRPr="00980A42" w:rsidRDefault="00BF7802" w:rsidP="000A4AD3">
            <w:pPr>
              <w:pStyle w:val="Tabletext1"/>
              <w:rPr>
                <w:highlight w:val="cyan"/>
              </w:rPr>
            </w:pPr>
            <w:r w:rsidRPr="00980A42">
              <w:t>$754,451</w:t>
            </w:r>
          </w:p>
        </w:tc>
        <w:tc>
          <w:tcPr>
            <w:tcW w:w="1395" w:type="dxa"/>
            <w:tcBorders>
              <w:top w:val="single" w:sz="4" w:space="0" w:color="auto"/>
              <w:left w:val="single" w:sz="4" w:space="0" w:color="auto"/>
              <w:bottom w:val="single" w:sz="4" w:space="0" w:color="auto"/>
              <w:right w:val="single" w:sz="4" w:space="0" w:color="auto"/>
            </w:tcBorders>
            <w:vAlign w:val="center"/>
          </w:tcPr>
          <w:p w14:paraId="1400D708" w14:textId="2AAD51F2" w:rsidR="00BF7802" w:rsidRPr="00980A42" w:rsidRDefault="00BF7802" w:rsidP="000A4AD3">
            <w:pPr>
              <w:pStyle w:val="Tabletext1"/>
              <w:rPr>
                <w:highlight w:val="cyan"/>
              </w:rPr>
            </w:pPr>
            <w:r w:rsidRPr="00AF0A65">
              <w:rPr>
                <w:vanish/>
              </w:rPr>
              <w:t>$</w:t>
            </w:r>
            <w:r w:rsidRPr="00980A42">
              <w:t>1,243,016</w:t>
            </w:r>
          </w:p>
        </w:tc>
        <w:tc>
          <w:tcPr>
            <w:tcW w:w="1395" w:type="dxa"/>
            <w:tcBorders>
              <w:top w:val="single" w:sz="4" w:space="0" w:color="auto"/>
              <w:left w:val="single" w:sz="4" w:space="0" w:color="auto"/>
              <w:bottom w:val="single" w:sz="4" w:space="0" w:color="auto"/>
              <w:right w:val="single" w:sz="4" w:space="0" w:color="auto"/>
            </w:tcBorders>
            <w:vAlign w:val="center"/>
          </w:tcPr>
          <w:p w14:paraId="3BB59E04" w14:textId="2C4D9E7E" w:rsidR="00BF7802" w:rsidRPr="00980A42" w:rsidRDefault="00BF7802" w:rsidP="000A4AD3">
            <w:pPr>
              <w:pStyle w:val="Tabletext1"/>
              <w:rPr>
                <w:highlight w:val="cyan"/>
              </w:rPr>
            </w:pPr>
            <w:r w:rsidRPr="00980A42">
              <w:t>$188,380</w:t>
            </w:r>
          </w:p>
        </w:tc>
        <w:tc>
          <w:tcPr>
            <w:tcW w:w="1395" w:type="dxa"/>
            <w:tcBorders>
              <w:top w:val="single" w:sz="4" w:space="0" w:color="auto"/>
              <w:left w:val="single" w:sz="4" w:space="0" w:color="auto"/>
              <w:bottom w:val="single" w:sz="4" w:space="0" w:color="auto"/>
              <w:right w:val="single" w:sz="4" w:space="0" w:color="auto"/>
            </w:tcBorders>
            <w:vAlign w:val="center"/>
          </w:tcPr>
          <w:p w14:paraId="45FE72EB" w14:textId="2385DB66" w:rsidR="00BF7802" w:rsidRPr="00980A42" w:rsidRDefault="00BF7802" w:rsidP="000A4AD3">
            <w:pPr>
              <w:pStyle w:val="Tabletext1"/>
              <w:rPr>
                <w:highlight w:val="cyan"/>
              </w:rPr>
            </w:pPr>
            <w:r w:rsidRPr="00AF0A65">
              <w:t>DAC</w:t>
            </w:r>
            <w:r w:rsidR="00384C91">
              <w:t>+abs</w:t>
            </w:r>
            <w:r w:rsidRPr="00AF0A65">
              <w:t xml:space="preserve"> is dominant</w:t>
            </w:r>
          </w:p>
        </w:tc>
        <w:tc>
          <w:tcPr>
            <w:tcW w:w="1395" w:type="dxa"/>
            <w:tcBorders>
              <w:top w:val="single" w:sz="4" w:space="0" w:color="auto"/>
              <w:left w:val="single" w:sz="4" w:space="0" w:color="auto"/>
              <w:bottom w:val="single" w:sz="4" w:space="0" w:color="auto"/>
              <w:right w:val="single" w:sz="4" w:space="0" w:color="auto"/>
            </w:tcBorders>
            <w:vAlign w:val="center"/>
          </w:tcPr>
          <w:p w14:paraId="7D97BA8A" w14:textId="3B97C2BF" w:rsidR="00BF7802" w:rsidRPr="00980A42" w:rsidRDefault="00BF7802" w:rsidP="000A4AD3">
            <w:pPr>
              <w:pStyle w:val="Tabletext1"/>
              <w:rPr>
                <w:highlight w:val="cyan"/>
              </w:rPr>
            </w:pPr>
            <w:r w:rsidRPr="00980A42">
              <w:t>$164,710</w:t>
            </w:r>
          </w:p>
        </w:tc>
        <w:tc>
          <w:tcPr>
            <w:tcW w:w="1395" w:type="dxa"/>
            <w:tcBorders>
              <w:top w:val="single" w:sz="4" w:space="0" w:color="auto"/>
              <w:left w:val="single" w:sz="4" w:space="0" w:color="auto"/>
              <w:bottom w:val="single" w:sz="4" w:space="0" w:color="auto"/>
              <w:right w:val="single" w:sz="4" w:space="0" w:color="auto"/>
            </w:tcBorders>
            <w:vAlign w:val="center"/>
          </w:tcPr>
          <w:p w14:paraId="5E3AE25D" w14:textId="1D7BD9C9" w:rsidR="00BF7802" w:rsidRPr="00980A42" w:rsidRDefault="00BF7802" w:rsidP="000A4AD3">
            <w:pPr>
              <w:pStyle w:val="Tabletext1"/>
              <w:rPr>
                <w:highlight w:val="cyan"/>
              </w:rPr>
            </w:pPr>
            <w:r w:rsidRPr="00AF0A65">
              <w:t>$11,194</w:t>
            </w:r>
          </w:p>
        </w:tc>
      </w:tr>
    </w:tbl>
    <w:p w14:paraId="1E3FAA88" w14:textId="77777777" w:rsidR="00FC3571" w:rsidRDefault="00FC3571" w:rsidP="00607722">
      <w:pPr>
        <w:pStyle w:val="Tablenotes0"/>
      </w:pPr>
      <w:r>
        <w:t xml:space="preserve">Source: Table 5, pg 39 of MSAC 1629 DCAR </w:t>
      </w:r>
    </w:p>
    <w:p w14:paraId="04D3345F" w14:textId="32811CEE" w:rsidR="00BF7802" w:rsidRPr="00183E4D" w:rsidRDefault="00384C91" w:rsidP="00607722">
      <w:pPr>
        <w:pStyle w:val="Tablenotes0"/>
      </w:pPr>
      <w:r>
        <w:t xml:space="preserve">Abbreviations: </w:t>
      </w:r>
      <w:r w:rsidR="00985971">
        <w:t>AOANJRR=</w:t>
      </w:r>
      <w:r w:rsidR="00985971" w:rsidRPr="00985971">
        <w:t xml:space="preserve"> Australian Orthopaedic Association National Joint Replacement Registry</w:t>
      </w:r>
      <w:r w:rsidR="00985971">
        <w:t xml:space="preserve">; </w:t>
      </w:r>
      <w:r>
        <w:t>DAC+abs=Defensive Antib</w:t>
      </w:r>
      <w:r w:rsidR="00E53AC6">
        <w:t>acter</w:t>
      </w:r>
      <w:r>
        <w:t xml:space="preserve">ial Coating loaded with antibiotics; </w:t>
      </w:r>
      <w:r w:rsidR="00BF7802" w:rsidRPr="00183E4D">
        <w:t>ICER=incremental cost-effectiveness ratio</w:t>
      </w:r>
      <w:r w:rsidR="005836F1">
        <w:t xml:space="preserve">; </w:t>
      </w:r>
      <w:r w:rsidR="00985971">
        <w:t xml:space="preserve">SSI=surgical site infection; </w:t>
      </w:r>
      <w:r w:rsidR="005836F1">
        <w:t>QALYs=quality adjusted life years</w:t>
      </w:r>
    </w:p>
    <w:p w14:paraId="358CE43F" w14:textId="77777777" w:rsidR="00BF7802" w:rsidRDefault="00BF7802" w:rsidP="00E50C67">
      <w:pPr>
        <w:sectPr w:rsidR="00BF7802" w:rsidSect="00AF0A65">
          <w:pgSz w:w="16838" w:h="11906" w:orient="landscape"/>
          <w:pgMar w:top="1440" w:right="1440" w:bottom="1440" w:left="1440" w:header="720" w:footer="720" w:gutter="0"/>
          <w:paperSrc w:first="7" w:other="7"/>
          <w:cols w:space="720"/>
          <w:docGrid w:linePitch="360"/>
        </w:sectPr>
      </w:pPr>
    </w:p>
    <w:p w14:paraId="5D86DB74" w14:textId="4833ED0A" w:rsidR="002E3458" w:rsidRPr="00815A71" w:rsidRDefault="002E3458" w:rsidP="00E50C67">
      <w:pPr>
        <w:pStyle w:val="Execsummnormal"/>
      </w:pPr>
      <w:r w:rsidRPr="00815A71">
        <w:rPr>
          <w:lang w:val="en-US"/>
        </w:rPr>
        <w:lastRenderedPageBreak/>
        <w:t xml:space="preserve">In Step 1 and 2 for </w:t>
      </w:r>
      <w:r w:rsidR="00BF7802" w:rsidRPr="00815A71">
        <w:rPr>
          <w:lang w:val="en-US"/>
        </w:rPr>
        <w:t>Population 1</w:t>
      </w:r>
      <w:r w:rsidR="006F450E" w:rsidRPr="00815A71">
        <w:rPr>
          <w:lang w:val="en-US"/>
        </w:rPr>
        <w:t>,</w:t>
      </w:r>
      <w:r w:rsidR="00BF7802" w:rsidRPr="00815A71">
        <w:rPr>
          <w:lang w:val="en-US"/>
        </w:rPr>
        <w:t xml:space="preserve"> DAC is more costly but more effective for hip and knee. </w:t>
      </w:r>
      <w:r w:rsidR="001E1E8B">
        <w:rPr>
          <w:lang w:val="en-US"/>
        </w:rPr>
        <w:t>When the AOANJRR SSI rates</w:t>
      </w:r>
      <w:r w:rsidR="00096EC1">
        <w:rPr>
          <w:lang w:val="en-US"/>
        </w:rPr>
        <w:t xml:space="preserve"> (estimated based on rates for revision for infection)</w:t>
      </w:r>
      <w:r w:rsidR="001E1E8B">
        <w:rPr>
          <w:lang w:val="en-US"/>
        </w:rPr>
        <w:t xml:space="preserve"> are applied, the</w:t>
      </w:r>
      <w:r w:rsidR="00BF7802" w:rsidRPr="00815A71">
        <w:rPr>
          <w:lang w:val="en-US"/>
        </w:rPr>
        <w:t xml:space="preserve"> ICER increases from Step 1 to Step 2. </w:t>
      </w:r>
      <w:r w:rsidR="00BF7802" w:rsidRPr="00815A71">
        <w:t xml:space="preserve">In Population 3 (hip), </w:t>
      </w:r>
      <w:r w:rsidR="001E1E8B">
        <w:t>the application of AOANJRR SSI rates results in a</w:t>
      </w:r>
      <w:r w:rsidR="00BF7802" w:rsidRPr="00815A71">
        <w:t xml:space="preserve"> shift </w:t>
      </w:r>
      <w:r w:rsidR="001E1E8B">
        <w:t>from</w:t>
      </w:r>
      <w:r w:rsidR="00C4268C" w:rsidRPr="00815A71">
        <w:t xml:space="preserve"> an ICER of $188,380 per QALY in Step 1, to DAC</w:t>
      </w:r>
      <w:r w:rsidR="001E1E8B">
        <w:t>+antibiotics</w:t>
      </w:r>
      <w:r w:rsidR="00C4268C" w:rsidRPr="00815A71">
        <w:t xml:space="preserve"> being dominant compared to no DAC</w:t>
      </w:r>
      <w:r w:rsidR="001E1E8B">
        <w:t>+antibiotics in Step 2</w:t>
      </w:r>
      <w:r w:rsidR="00C4268C" w:rsidRPr="00815A71">
        <w:t>.</w:t>
      </w:r>
      <w:r w:rsidRPr="00815A71">
        <w:t xml:space="preserve"> </w:t>
      </w:r>
      <w:r w:rsidR="00BF7802" w:rsidRPr="00815A71">
        <w:t xml:space="preserve">For Population 3 (knee), </w:t>
      </w:r>
      <w:r w:rsidR="001E1E8B">
        <w:t xml:space="preserve">in </w:t>
      </w:r>
      <w:r w:rsidR="00BF7802" w:rsidRPr="00815A71">
        <w:t xml:space="preserve">Step 1 </w:t>
      </w:r>
      <w:r w:rsidR="001E1E8B">
        <w:t>the</w:t>
      </w:r>
      <w:r w:rsidR="00BF7802" w:rsidRPr="00815A71">
        <w:t xml:space="preserve"> ICER </w:t>
      </w:r>
      <w:r w:rsidR="001E1E8B">
        <w:t xml:space="preserve">is </w:t>
      </w:r>
      <w:r w:rsidR="00BF7802" w:rsidRPr="00815A71">
        <w:t>$164,710</w:t>
      </w:r>
      <w:r w:rsidR="00FF6797" w:rsidRPr="00815A71">
        <w:t xml:space="preserve"> per QALY</w:t>
      </w:r>
      <w:r w:rsidR="00BF7802" w:rsidRPr="00815A71">
        <w:t xml:space="preserve">, </w:t>
      </w:r>
      <w:r w:rsidR="00304D76">
        <w:t>which</w:t>
      </w:r>
      <w:r w:rsidR="00BF7802" w:rsidRPr="00815A71">
        <w:t xml:space="preserve"> lower</w:t>
      </w:r>
      <w:r w:rsidR="00304D76">
        <w:t>s to an</w:t>
      </w:r>
      <w:r w:rsidR="00BF7802" w:rsidRPr="00815A71">
        <w:t xml:space="preserve"> ICER of $11,194</w:t>
      </w:r>
      <w:r w:rsidR="00304D76">
        <w:t xml:space="preserve"> in Step 2</w:t>
      </w:r>
      <w:r w:rsidR="00BF7802" w:rsidRPr="00815A71">
        <w:t>. Both changes are driven by incremental costs</w:t>
      </w:r>
      <w:r w:rsidRPr="00815A71">
        <w:t>.</w:t>
      </w:r>
    </w:p>
    <w:p w14:paraId="29E00DD8" w14:textId="2D0B7A6C" w:rsidR="00384C91" w:rsidRDefault="002E3458" w:rsidP="00E50C67">
      <w:pPr>
        <w:pStyle w:val="Execsummnormal"/>
      </w:pPr>
      <w:r w:rsidRPr="00815A71">
        <w:t>Costs, QALYs and ICERs for Step</w:t>
      </w:r>
      <w:r w:rsidR="005C35B8" w:rsidRPr="00815A71">
        <w:t>s</w:t>
      </w:r>
      <w:r w:rsidRPr="00815A71">
        <w:t xml:space="preserve"> 2 and 3 are shown in </w:t>
      </w:r>
      <w:r w:rsidRPr="00815A71">
        <w:fldChar w:fldCharType="begin"/>
      </w:r>
      <w:r w:rsidRPr="00815A71">
        <w:instrText xml:space="preserve"> REF _Ref74728494 \h </w:instrText>
      </w:r>
      <w:r w:rsidR="00815A71">
        <w:instrText xml:space="preserve"> \* MERGEFORMAT </w:instrText>
      </w:r>
      <w:r w:rsidRPr="00815A71">
        <w:fldChar w:fldCharType="separate"/>
      </w:r>
      <w:r w:rsidR="00BB246A" w:rsidRPr="00522000">
        <w:t xml:space="preserve">Table </w:t>
      </w:r>
      <w:r w:rsidR="00BB246A">
        <w:rPr>
          <w:noProof/>
        </w:rPr>
        <w:t>6</w:t>
      </w:r>
      <w:r w:rsidRPr="00815A71">
        <w:fldChar w:fldCharType="end"/>
      </w:r>
      <w:r w:rsidRPr="00183E4D">
        <w:t>.</w:t>
      </w:r>
    </w:p>
    <w:p w14:paraId="6A9E6C93" w14:textId="42B7486D" w:rsidR="00BF7802" w:rsidRDefault="00BF7802" w:rsidP="000A4AD3">
      <w:pPr>
        <w:pStyle w:val="Caption"/>
      </w:pPr>
      <w:bookmarkStart w:id="79" w:name="_Ref74728494"/>
      <w:bookmarkStart w:id="80" w:name="_Toc74729093"/>
      <w:bookmarkStart w:id="81" w:name="_Toc112076623"/>
      <w:r w:rsidRPr="00522000">
        <w:t xml:space="preserve">Table </w:t>
      </w:r>
      <w:r>
        <w:fldChar w:fldCharType="begin"/>
      </w:r>
      <w:r>
        <w:instrText>SEQ Table \* ARABIC</w:instrText>
      </w:r>
      <w:r>
        <w:fldChar w:fldCharType="separate"/>
      </w:r>
      <w:r w:rsidR="00BB246A">
        <w:rPr>
          <w:noProof/>
        </w:rPr>
        <w:t>6</w:t>
      </w:r>
      <w:r>
        <w:fldChar w:fldCharType="end"/>
      </w:r>
      <w:bookmarkEnd w:id="79"/>
      <w:r w:rsidRPr="00522000">
        <w:t xml:space="preserve"> </w:t>
      </w:r>
      <w:r w:rsidR="006F450E">
        <w:t>B</w:t>
      </w:r>
      <w:r w:rsidRPr="00183E4D">
        <w:t>ase case economic evaluation</w:t>
      </w:r>
      <w:r w:rsidR="006F450E">
        <w:t xml:space="preserve"> results given</w:t>
      </w:r>
      <w:r w:rsidRPr="00183E4D">
        <w:t xml:space="preserve"> extrapolati</w:t>
      </w:r>
      <w:r w:rsidR="006F450E">
        <w:t>o</w:t>
      </w:r>
      <w:r w:rsidRPr="00183E4D">
        <w:t>n and transform</w:t>
      </w:r>
      <w:r w:rsidR="006F450E">
        <w:t>ation of</w:t>
      </w:r>
      <w:r w:rsidRPr="00183E4D">
        <w:t xml:space="preserve"> the results of the clinical </w:t>
      </w:r>
      <w:r w:rsidR="006F450E">
        <w:t>studies</w:t>
      </w:r>
      <w:r w:rsidRPr="00183E4D">
        <w:t xml:space="preserve"> (Step 3)</w:t>
      </w:r>
      <w:bookmarkEnd w:id="80"/>
      <w:bookmarkEnd w:id="81"/>
    </w:p>
    <w:tbl>
      <w:tblPr>
        <w:tblStyle w:val="TableGrid1"/>
        <w:tblW w:w="4835" w:type="pct"/>
        <w:tblInd w:w="-5" w:type="dxa"/>
        <w:tblLayout w:type="fixed"/>
        <w:tblCellMar>
          <w:left w:w="115" w:type="dxa"/>
          <w:right w:w="115" w:type="dxa"/>
        </w:tblCellMar>
        <w:tblLook w:val="01E0" w:firstRow="1" w:lastRow="1" w:firstColumn="1" w:lastColumn="1" w:noHBand="0" w:noVBand="0"/>
        <w:tblCaption w:val="Base case economic evaluation results given extrapolation and transformation of the results of the clinical studies (Step 3)"/>
        <w:tblDescription w:val="This table provides information on the impact on the model results (incremental costs, effectiveness, and cost-effectiveness) of stepping through different stages (stages 2 and 3) of model development. "/>
      </w:tblPr>
      <w:tblGrid>
        <w:gridCol w:w="2350"/>
        <w:gridCol w:w="1641"/>
        <w:gridCol w:w="1387"/>
        <w:gridCol w:w="1670"/>
        <w:gridCol w:w="1670"/>
      </w:tblGrid>
      <w:tr w:rsidR="00BF7802" w:rsidRPr="00183E4D" w14:paraId="4AD52B47" w14:textId="77777777" w:rsidTr="00985971">
        <w:trPr>
          <w:cnfStyle w:val="100000000000" w:firstRow="1" w:lastRow="0" w:firstColumn="0" w:lastColumn="0" w:oddVBand="0" w:evenVBand="0" w:oddHBand="0" w:evenHBand="0" w:firstRowFirstColumn="0" w:firstRowLastColumn="0" w:lastRowFirstColumn="0" w:lastRowLastColumn="0"/>
          <w:cantSplit/>
          <w:trHeight w:val="547"/>
          <w:tblHeader/>
        </w:trPr>
        <w:tc>
          <w:tcPr>
            <w:tcW w:w="2350" w:type="dxa"/>
            <w:tcBorders>
              <w:top w:val="single" w:sz="4" w:space="0" w:color="auto"/>
              <w:left w:val="single" w:sz="4" w:space="0" w:color="auto"/>
              <w:bottom w:val="single" w:sz="4" w:space="0" w:color="auto"/>
              <w:right w:val="single" w:sz="4" w:space="0" w:color="auto"/>
            </w:tcBorders>
            <w:vAlign w:val="center"/>
          </w:tcPr>
          <w:p w14:paraId="5AB837C4" w14:textId="77777777" w:rsidR="00BF7802" w:rsidRPr="00183E4D" w:rsidRDefault="00BF7802" w:rsidP="00607722">
            <w:pPr>
              <w:pStyle w:val="TableHeading"/>
            </w:pPr>
          </w:p>
        </w:tc>
        <w:tc>
          <w:tcPr>
            <w:tcW w:w="1641" w:type="dxa"/>
            <w:tcBorders>
              <w:top w:val="single" w:sz="4" w:space="0" w:color="auto"/>
              <w:left w:val="single" w:sz="4" w:space="0" w:color="auto"/>
              <w:bottom w:val="single" w:sz="4" w:space="0" w:color="auto"/>
              <w:right w:val="single" w:sz="4" w:space="0" w:color="auto"/>
            </w:tcBorders>
            <w:vAlign w:val="center"/>
          </w:tcPr>
          <w:p w14:paraId="68403769" w14:textId="77777777" w:rsidR="00BF7802" w:rsidRPr="00183E4D" w:rsidRDefault="00BF7802" w:rsidP="00607722">
            <w:pPr>
              <w:pStyle w:val="TableHeading"/>
            </w:pPr>
            <w:r>
              <w:t>Population (joint)</w:t>
            </w:r>
          </w:p>
        </w:tc>
        <w:tc>
          <w:tcPr>
            <w:tcW w:w="1387" w:type="dxa"/>
            <w:tcBorders>
              <w:top w:val="single" w:sz="4" w:space="0" w:color="auto"/>
              <w:left w:val="single" w:sz="4" w:space="0" w:color="auto"/>
              <w:bottom w:val="single" w:sz="4" w:space="0" w:color="auto"/>
              <w:right w:val="single" w:sz="4" w:space="0" w:color="auto"/>
            </w:tcBorders>
            <w:vAlign w:val="bottom"/>
          </w:tcPr>
          <w:p w14:paraId="029AB5DA" w14:textId="77777777" w:rsidR="00BF7802" w:rsidRPr="00183E4D" w:rsidRDefault="00BF7802" w:rsidP="00607722">
            <w:pPr>
              <w:pStyle w:val="TableHeading"/>
            </w:pPr>
            <w:r w:rsidRPr="00183E4D">
              <w:t>Incremental costs</w:t>
            </w:r>
          </w:p>
        </w:tc>
        <w:tc>
          <w:tcPr>
            <w:tcW w:w="1670" w:type="dxa"/>
            <w:tcBorders>
              <w:top w:val="single" w:sz="4" w:space="0" w:color="auto"/>
              <w:left w:val="single" w:sz="4" w:space="0" w:color="auto"/>
              <w:bottom w:val="single" w:sz="4" w:space="0" w:color="auto"/>
              <w:right w:val="single" w:sz="4" w:space="0" w:color="auto"/>
            </w:tcBorders>
            <w:vAlign w:val="bottom"/>
          </w:tcPr>
          <w:p w14:paraId="043F2598" w14:textId="77777777" w:rsidR="00BF7802" w:rsidRPr="00183E4D" w:rsidRDefault="00BF7802" w:rsidP="00A94954">
            <w:pPr>
              <w:pStyle w:val="TableHeading"/>
            </w:pPr>
            <w:r w:rsidRPr="00183E4D">
              <w:t>Incremental effectiveness</w:t>
            </w:r>
            <w:r>
              <w:t xml:space="preserve"> (QALY)</w:t>
            </w:r>
          </w:p>
        </w:tc>
        <w:tc>
          <w:tcPr>
            <w:tcW w:w="1670" w:type="dxa"/>
            <w:tcBorders>
              <w:top w:val="single" w:sz="4" w:space="0" w:color="auto"/>
              <w:left w:val="single" w:sz="4" w:space="0" w:color="auto"/>
              <w:bottom w:val="single" w:sz="4" w:space="0" w:color="auto"/>
              <w:right w:val="single" w:sz="4" w:space="0" w:color="auto"/>
            </w:tcBorders>
            <w:vAlign w:val="bottom"/>
          </w:tcPr>
          <w:p w14:paraId="0591F0F2" w14:textId="77777777" w:rsidR="00BF7802" w:rsidRPr="00183E4D" w:rsidRDefault="00BF7802" w:rsidP="00A94954">
            <w:pPr>
              <w:pStyle w:val="TableHeading"/>
            </w:pPr>
            <w:r w:rsidRPr="00183E4D">
              <w:t>Incremental cost-effectiveness</w:t>
            </w:r>
          </w:p>
        </w:tc>
      </w:tr>
      <w:tr w:rsidR="00BF7802" w:rsidRPr="00183E4D" w14:paraId="6971173A" w14:textId="77777777" w:rsidTr="00985971">
        <w:trPr>
          <w:cantSplit/>
          <w:trHeight w:val="789"/>
        </w:trPr>
        <w:tc>
          <w:tcPr>
            <w:tcW w:w="2350" w:type="dxa"/>
            <w:vMerge w:val="restart"/>
            <w:tcBorders>
              <w:top w:val="single" w:sz="4" w:space="0" w:color="auto"/>
              <w:left w:val="single" w:sz="4" w:space="0" w:color="auto"/>
              <w:right w:val="single" w:sz="4" w:space="0" w:color="auto"/>
            </w:tcBorders>
            <w:vAlign w:val="center"/>
          </w:tcPr>
          <w:p w14:paraId="55EFE968" w14:textId="36D85C75" w:rsidR="006F450E" w:rsidRDefault="006F450E" w:rsidP="00607722">
            <w:pPr>
              <w:pStyle w:val="Tabletext1"/>
            </w:pPr>
            <w:r>
              <w:t>Step 2:</w:t>
            </w:r>
          </w:p>
          <w:p w14:paraId="6EEA164A" w14:textId="1E467943" w:rsidR="00BF7802" w:rsidRPr="00183E4D" w:rsidRDefault="00384C91" w:rsidP="00607722">
            <w:pPr>
              <w:pStyle w:val="Tabletext1"/>
            </w:pPr>
            <w:r w:rsidRPr="00384C91">
              <w:t>Same model as Step 1 but using Australian SSI rates with DAC+antibiotics effect as relative risk.</w:t>
            </w:r>
          </w:p>
        </w:tc>
        <w:tc>
          <w:tcPr>
            <w:tcW w:w="1641" w:type="dxa"/>
            <w:tcBorders>
              <w:top w:val="single" w:sz="4" w:space="0" w:color="auto"/>
              <w:left w:val="single" w:sz="4" w:space="0" w:color="auto"/>
              <w:bottom w:val="single" w:sz="4" w:space="0" w:color="auto"/>
              <w:right w:val="single" w:sz="4" w:space="0" w:color="auto"/>
            </w:tcBorders>
            <w:vAlign w:val="center"/>
          </w:tcPr>
          <w:p w14:paraId="2566037B" w14:textId="77777777" w:rsidR="00BF7802" w:rsidRPr="00183E4D" w:rsidRDefault="00BF7802" w:rsidP="00607722">
            <w:pPr>
              <w:pStyle w:val="Tabletext1"/>
              <w:rPr>
                <w:vanish/>
                <w:color w:val="C00000"/>
              </w:rPr>
            </w:pPr>
            <w:r w:rsidRPr="002E7204">
              <w:t>Population 1 (hip)</w:t>
            </w:r>
          </w:p>
        </w:tc>
        <w:tc>
          <w:tcPr>
            <w:tcW w:w="1387" w:type="dxa"/>
            <w:tcBorders>
              <w:top w:val="single" w:sz="4" w:space="0" w:color="auto"/>
              <w:left w:val="single" w:sz="4" w:space="0" w:color="auto"/>
              <w:bottom w:val="single" w:sz="4" w:space="0" w:color="auto"/>
              <w:right w:val="single" w:sz="4" w:space="0" w:color="auto"/>
            </w:tcBorders>
            <w:vAlign w:val="center"/>
          </w:tcPr>
          <w:p w14:paraId="55A03D0E" w14:textId="77777777" w:rsidR="00BF7802" w:rsidRPr="00AF0A65" w:rsidRDefault="00BF7802" w:rsidP="000A4AD3">
            <w:pPr>
              <w:pStyle w:val="Tabletext1"/>
            </w:pPr>
            <w:r w:rsidRPr="00AF0A65">
              <w:t>$3,620</w:t>
            </w:r>
          </w:p>
        </w:tc>
        <w:tc>
          <w:tcPr>
            <w:tcW w:w="1670" w:type="dxa"/>
            <w:tcBorders>
              <w:top w:val="single" w:sz="4" w:space="0" w:color="auto"/>
              <w:left w:val="single" w:sz="4" w:space="0" w:color="auto"/>
              <w:bottom w:val="single" w:sz="4" w:space="0" w:color="auto"/>
              <w:right w:val="single" w:sz="4" w:space="0" w:color="auto"/>
            </w:tcBorders>
            <w:vAlign w:val="center"/>
          </w:tcPr>
          <w:p w14:paraId="7F5324D6" w14:textId="77777777" w:rsidR="00BF7802" w:rsidRPr="00AF0A65" w:rsidRDefault="00BF7802" w:rsidP="000A4AD3">
            <w:pPr>
              <w:pStyle w:val="Tabletext1"/>
            </w:pPr>
            <w:r w:rsidRPr="00AF0A65">
              <w:t>0.0022</w:t>
            </w:r>
          </w:p>
        </w:tc>
        <w:tc>
          <w:tcPr>
            <w:tcW w:w="1670" w:type="dxa"/>
            <w:tcBorders>
              <w:top w:val="single" w:sz="4" w:space="0" w:color="auto"/>
              <w:left w:val="single" w:sz="4" w:space="0" w:color="auto"/>
              <w:bottom w:val="single" w:sz="4" w:space="0" w:color="auto"/>
              <w:right w:val="single" w:sz="4" w:space="0" w:color="auto"/>
            </w:tcBorders>
            <w:vAlign w:val="center"/>
          </w:tcPr>
          <w:p w14:paraId="6341AC05" w14:textId="67EA194B" w:rsidR="00BF7802" w:rsidRPr="00AF0A65" w:rsidRDefault="00BF7802" w:rsidP="000A4AD3">
            <w:pPr>
              <w:pStyle w:val="Tabletext1"/>
            </w:pPr>
            <w:r w:rsidRPr="00AF0A65">
              <w:t>$1,662,778</w:t>
            </w:r>
          </w:p>
        </w:tc>
      </w:tr>
      <w:tr w:rsidR="00BF7802" w:rsidRPr="00183E4D" w14:paraId="4A2EFB92" w14:textId="77777777" w:rsidTr="00985971">
        <w:trPr>
          <w:cantSplit/>
          <w:trHeight w:val="318"/>
        </w:trPr>
        <w:tc>
          <w:tcPr>
            <w:tcW w:w="2350" w:type="dxa"/>
            <w:vMerge/>
            <w:tcBorders>
              <w:left w:val="single" w:sz="4" w:space="0" w:color="auto"/>
              <w:right w:val="single" w:sz="4" w:space="0" w:color="auto"/>
            </w:tcBorders>
            <w:vAlign w:val="center"/>
          </w:tcPr>
          <w:p w14:paraId="3294FCFD" w14:textId="77777777" w:rsidR="00BF7802" w:rsidRPr="00183E4D" w:rsidRDefault="00BF7802" w:rsidP="000A4AD3">
            <w:pPr>
              <w:pStyle w:val="Tabletext1"/>
            </w:pPr>
          </w:p>
        </w:tc>
        <w:tc>
          <w:tcPr>
            <w:tcW w:w="1641" w:type="dxa"/>
            <w:tcBorders>
              <w:top w:val="single" w:sz="4" w:space="0" w:color="auto"/>
              <w:left w:val="single" w:sz="4" w:space="0" w:color="auto"/>
              <w:bottom w:val="single" w:sz="4" w:space="0" w:color="auto"/>
              <w:right w:val="single" w:sz="4" w:space="0" w:color="auto"/>
            </w:tcBorders>
            <w:vAlign w:val="center"/>
          </w:tcPr>
          <w:p w14:paraId="18BA457D" w14:textId="77777777" w:rsidR="00BF7802" w:rsidRPr="00183E4D" w:rsidRDefault="00BF7802" w:rsidP="000A4AD3">
            <w:pPr>
              <w:pStyle w:val="Tabletext1"/>
              <w:rPr>
                <w:vanish/>
                <w:color w:val="C00000"/>
              </w:rPr>
            </w:pPr>
            <w:r w:rsidRPr="002E7204">
              <w:t>Population 1 (knee)</w:t>
            </w:r>
          </w:p>
        </w:tc>
        <w:tc>
          <w:tcPr>
            <w:tcW w:w="1387" w:type="dxa"/>
            <w:tcBorders>
              <w:top w:val="single" w:sz="4" w:space="0" w:color="auto"/>
              <w:left w:val="single" w:sz="4" w:space="0" w:color="auto"/>
              <w:bottom w:val="single" w:sz="4" w:space="0" w:color="auto"/>
              <w:right w:val="single" w:sz="4" w:space="0" w:color="auto"/>
            </w:tcBorders>
            <w:vAlign w:val="center"/>
          </w:tcPr>
          <w:p w14:paraId="3D087C24" w14:textId="77777777" w:rsidR="00BF7802" w:rsidRPr="00AF0A65" w:rsidRDefault="00BF7802" w:rsidP="000A4AD3">
            <w:pPr>
              <w:pStyle w:val="Tabletext1"/>
            </w:pPr>
            <w:r w:rsidRPr="00AF0A65">
              <w:t>$3,606</w:t>
            </w:r>
          </w:p>
        </w:tc>
        <w:tc>
          <w:tcPr>
            <w:tcW w:w="1670" w:type="dxa"/>
            <w:tcBorders>
              <w:top w:val="single" w:sz="4" w:space="0" w:color="auto"/>
              <w:left w:val="single" w:sz="4" w:space="0" w:color="auto"/>
              <w:bottom w:val="single" w:sz="4" w:space="0" w:color="auto"/>
              <w:right w:val="single" w:sz="4" w:space="0" w:color="auto"/>
            </w:tcBorders>
            <w:vAlign w:val="center"/>
          </w:tcPr>
          <w:p w14:paraId="098F3F9B" w14:textId="77777777" w:rsidR="00BF7802" w:rsidRPr="00AF0A65" w:rsidRDefault="00BF7802" w:rsidP="000A4AD3">
            <w:pPr>
              <w:pStyle w:val="Tabletext1"/>
            </w:pPr>
            <w:r w:rsidRPr="00AF0A65">
              <w:t>0.0029</w:t>
            </w:r>
          </w:p>
        </w:tc>
        <w:tc>
          <w:tcPr>
            <w:tcW w:w="1670" w:type="dxa"/>
            <w:tcBorders>
              <w:top w:val="single" w:sz="4" w:space="0" w:color="auto"/>
              <w:left w:val="single" w:sz="4" w:space="0" w:color="auto"/>
              <w:bottom w:val="single" w:sz="4" w:space="0" w:color="auto"/>
              <w:right w:val="single" w:sz="4" w:space="0" w:color="auto"/>
            </w:tcBorders>
            <w:vAlign w:val="center"/>
          </w:tcPr>
          <w:p w14:paraId="127268E6" w14:textId="1AD930CF" w:rsidR="00BF7802" w:rsidRPr="00AF0A65" w:rsidRDefault="00BF7802" w:rsidP="000A4AD3">
            <w:pPr>
              <w:pStyle w:val="Tabletext1"/>
            </w:pPr>
            <w:r w:rsidRPr="00AF0A65">
              <w:t>$</w:t>
            </w:r>
            <w:r w:rsidRPr="00BD626F">
              <w:t>1,243,016</w:t>
            </w:r>
          </w:p>
        </w:tc>
      </w:tr>
      <w:tr w:rsidR="00BF7802" w:rsidRPr="00183E4D" w14:paraId="25C4965F" w14:textId="77777777" w:rsidTr="00985971">
        <w:trPr>
          <w:cantSplit/>
          <w:trHeight w:val="328"/>
        </w:trPr>
        <w:tc>
          <w:tcPr>
            <w:tcW w:w="2350" w:type="dxa"/>
            <w:vMerge/>
            <w:tcBorders>
              <w:left w:val="single" w:sz="4" w:space="0" w:color="auto"/>
              <w:right w:val="single" w:sz="4" w:space="0" w:color="auto"/>
            </w:tcBorders>
            <w:vAlign w:val="center"/>
          </w:tcPr>
          <w:p w14:paraId="0775FCD7" w14:textId="77777777" w:rsidR="00BF7802" w:rsidRPr="00183E4D" w:rsidRDefault="00BF7802" w:rsidP="000A4AD3">
            <w:pPr>
              <w:pStyle w:val="Tabletext1"/>
            </w:pPr>
          </w:p>
        </w:tc>
        <w:tc>
          <w:tcPr>
            <w:tcW w:w="1641" w:type="dxa"/>
            <w:tcBorders>
              <w:top w:val="single" w:sz="4" w:space="0" w:color="auto"/>
              <w:left w:val="single" w:sz="4" w:space="0" w:color="auto"/>
              <w:bottom w:val="single" w:sz="4" w:space="0" w:color="auto"/>
              <w:right w:val="single" w:sz="4" w:space="0" w:color="auto"/>
            </w:tcBorders>
            <w:vAlign w:val="center"/>
          </w:tcPr>
          <w:p w14:paraId="54716DB1" w14:textId="77777777" w:rsidR="00BF7802" w:rsidRPr="00183E4D" w:rsidRDefault="00BF7802" w:rsidP="000A4AD3">
            <w:pPr>
              <w:pStyle w:val="Tabletext1"/>
              <w:rPr>
                <w:vanish/>
                <w:color w:val="C00000"/>
              </w:rPr>
            </w:pPr>
            <w:r w:rsidRPr="002E7204">
              <w:t>Population 3 (hip)</w:t>
            </w:r>
          </w:p>
        </w:tc>
        <w:tc>
          <w:tcPr>
            <w:tcW w:w="1387" w:type="dxa"/>
            <w:tcBorders>
              <w:top w:val="single" w:sz="4" w:space="0" w:color="auto"/>
              <w:left w:val="single" w:sz="4" w:space="0" w:color="auto"/>
              <w:bottom w:val="single" w:sz="4" w:space="0" w:color="auto"/>
              <w:right w:val="single" w:sz="4" w:space="0" w:color="auto"/>
            </w:tcBorders>
            <w:vAlign w:val="center"/>
          </w:tcPr>
          <w:p w14:paraId="1E89F1E0" w14:textId="77777777" w:rsidR="00BF7802" w:rsidRPr="00AF0A65" w:rsidRDefault="00BF7802" w:rsidP="000A4AD3">
            <w:pPr>
              <w:pStyle w:val="Tabletext1"/>
            </w:pPr>
            <w:r w:rsidRPr="00AF0A65">
              <w:t>$-537</w:t>
            </w:r>
          </w:p>
        </w:tc>
        <w:tc>
          <w:tcPr>
            <w:tcW w:w="1670" w:type="dxa"/>
            <w:tcBorders>
              <w:top w:val="single" w:sz="4" w:space="0" w:color="auto"/>
              <w:left w:val="single" w:sz="4" w:space="0" w:color="auto"/>
              <w:bottom w:val="single" w:sz="4" w:space="0" w:color="auto"/>
              <w:right w:val="single" w:sz="4" w:space="0" w:color="auto"/>
            </w:tcBorders>
            <w:vAlign w:val="center"/>
          </w:tcPr>
          <w:p w14:paraId="2D10D84C" w14:textId="77777777" w:rsidR="00BF7802" w:rsidRPr="00AF0A65" w:rsidRDefault="00BF7802" w:rsidP="000A4AD3">
            <w:pPr>
              <w:pStyle w:val="Tabletext1"/>
            </w:pPr>
            <w:r w:rsidRPr="00AF0A65">
              <w:t>0.021</w:t>
            </w:r>
          </w:p>
        </w:tc>
        <w:tc>
          <w:tcPr>
            <w:tcW w:w="1670" w:type="dxa"/>
            <w:tcBorders>
              <w:top w:val="single" w:sz="4" w:space="0" w:color="auto"/>
              <w:left w:val="single" w:sz="4" w:space="0" w:color="auto"/>
              <w:bottom w:val="single" w:sz="4" w:space="0" w:color="auto"/>
              <w:right w:val="single" w:sz="4" w:space="0" w:color="auto"/>
            </w:tcBorders>
            <w:vAlign w:val="center"/>
          </w:tcPr>
          <w:p w14:paraId="0244D5A4" w14:textId="19323185" w:rsidR="00BF7802" w:rsidRPr="00AF0A65" w:rsidRDefault="00BF7802" w:rsidP="000A4AD3">
            <w:pPr>
              <w:pStyle w:val="Tabletext1"/>
            </w:pPr>
            <w:r w:rsidRPr="00AF0A65">
              <w:t>DAC</w:t>
            </w:r>
            <w:r w:rsidR="00384C91">
              <w:t>+abs</w:t>
            </w:r>
            <w:r w:rsidRPr="00AF0A65">
              <w:t xml:space="preserve"> is dominant</w:t>
            </w:r>
          </w:p>
        </w:tc>
      </w:tr>
      <w:tr w:rsidR="00BF7802" w:rsidRPr="00183E4D" w14:paraId="7CA1493A" w14:textId="77777777" w:rsidTr="00985971">
        <w:trPr>
          <w:cantSplit/>
          <w:trHeight w:val="328"/>
        </w:trPr>
        <w:tc>
          <w:tcPr>
            <w:tcW w:w="2350" w:type="dxa"/>
            <w:vMerge/>
            <w:tcBorders>
              <w:left w:val="single" w:sz="4" w:space="0" w:color="auto"/>
              <w:bottom w:val="single" w:sz="4" w:space="0" w:color="auto"/>
              <w:right w:val="single" w:sz="4" w:space="0" w:color="auto"/>
            </w:tcBorders>
            <w:vAlign w:val="center"/>
          </w:tcPr>
          <w:p w14:paraId="01C99149" w14:textId="77777777" w:rsidR="00BF7802" w:rsidRPr="00183E4D" w:rsidRDefault="00BF7802" w:rsidP="000A4AD3">
            <w:pPr>
              <w:pStyle w:val="Tabletext1"/>
            </w:pPr>
          </w:p>
        </w:tc>
        <w:tc>
          <w:tcPr>
            <w:tcW w:w="1641" w:type="dxa"/>
            <w:tcBorders>
              <w:top w:val="single" w:sz="4" w:space="0" w:color="auto"/>
              <w:left w:val="single" w:sz="4" w:space="0" w:color="auto"/>
              <w:bottom w:val="single" w:sz="4" w:space="0" w:color="auto"/>
              <w:right w:val="single" w:sz="4" w:space="0" w:color="auto"/>
            </w:tcBorders>
            <w:vAlign w:val="center"/>
          </w:tcPr>
          <w:p w14:paraId="2CD74EAD" w14:textId="77777777" w:rsidR="00BF7802" w:rsidRPr="00183E4D" w:rsidRDefault="00BF7802" w:rsidP="000A4AD3">
            <w:pPr>
              <w:pStyle w:val="Tabletext1"/>
              <w:rPr>
                <w:vanish/>
                <w:color w:val="C00000"/>
              </w:rPr>
            </w:pPr>
            <w:r w:rsidRPr="002E7204">
              <w:t>Population 3 (knee)</w:t>
            </w:r>
          </w:p>
        </w:tc>
        <w:tc>
          <w:tcPr>
            <w:tcW w:w="1387" w:type="dxa"/>
            <w:tcBorders>
              <w:top w:val="single" w:sz="4" w:space="0" w:color="auto"/>
              <w:left w:val="single" w:sz="4" w:space="0" w:color="auto"/>
              <w:bottom w:val="single" w:sz="4" w:space="0" w:color="auto"/>
              <w:right w:val="single" w:sz="4" w:space="0" w:color="auto"/>
            </w:tcBorders>
            <w:vAlign w:val="center"/>
          </w:tcPr>
          <w:p w14:paraId="5AF1FC52" w14:textId="77777777" w:rsidR="00BF7802" w:rsidRPr="00AF0A65" w:rsidRDefault="00BF7802" w:rsidP="000A4AD3">
            <w:pPr>
              <w:pStyle w:val="Tabletext1"/>
            </w:pPr>
            <w:r w:rsidRPr="00AF0A65">
              <w:t>$379</w:t>
            </w:r>
          </w:p>
        </w:tc>
        <w:tc>
          <w:tcPr>
            <w:tcW w:w="1670" w:type="dxa"/>
            <w:tcBorders>
              <w:top w:val="single" w:sz="4" w:space="0" w:color="auto"/>
              <w:left w:val="single" w:sz="4" w:space="0" w:color="auto"/>
              <w:bottom w:val="single" w:sz="4" w:space="0" w:color="auto"/>
              <w:right w:val="single" w:sz="4" w:space="0" w:color="auto"/>
            </w:tcBorders>
            <w:vAlign w:val="center"/>
          </w:tcPr>
          <w:p w14:paraId="1069AC7C" w14:textId="77777777" w:rsidR="00BF7802" w:rsidRPr="00AF0A65" w:rsidRDefault="00BF7802" w:rsidP="000A4AD3">
            <w:pPr>
              <w:pStyle w:val="Tabletext1"/>
            </w:pPr>
            <w:r w:rsidRPr="00AF0A65">
              <w:t>0.034</w:t>
            </w:r>
          </w:p>
        </w:tc>
        <w:tc>
          <w:tcPr>
            <w:tcW w:w="1670" w:type="dxa"/>
            <w:tcBorders>
              <w:top w:val="single" w:sz="4" w:space="0" w:color="auto"/>
              <w:left w:val="single" w:sz="4" w:space="0" w:color="auto"/>
              <w:bottom w:val="single" w:sz="4" w:space="0" w:color="auto"/>
              <w:right w:val="single" w:sz="4" w:space="0" w:color="auto"/>
            </w:tcBorders>
            <w:vAlign w:val="center"/>
          </w:tcPr>
          <w:p w14:paraId="560AEFE0" w14:textId="34C604CE" w:rsidR="00BF7802" w:rsidRPr="00AF0A65" w:rsidRDefault="00BF7802" w:rsidP="000A4AD3">
            <w:pPr>
              <w:pStyle w:val="Tabletext1"/>
            </w:pPr>
            <w:r w:rsidRPr="00AF0A65">
              <w:t>$11,194</w:t>
            </w:r>
          </w:p>
        </w:tc>
      </w:tr>
      <w:tr w:rsidR="00BF7802" w:rsidRPr="00183E4D" w14:paraId="108A3990" w14:textId="77777777" w:rsidTr="00985971">
        <w:trPr>
          <w:cantSplit/>
          <w:trHeight w:val="519"/>
        </w:trPr>
        <w:tc>
          <w:tcPr>
            <w:tcW w:w="2350" w:type="dxa"/>
            <w:vMerge w:val="restart"/>
            <w:tcBorders>
              <w:top w:val="single" w:sz="4" w:space="0" w:color="auto"/>
              <w:left w:val="single" w:sz="4" w:space="0" w:color="auto"/>
              <w:right w:val="single" w:sz="4" w:space="0" w:color="auto"/>
            </w:tcBorders>
            <w:vAlign w:val="center"/>
          </w:tcPr>
          <w:p w14:paraId="5261364E" w14:textId="2DE6674F" w:rsidR="006F450E" w:rsidRDefault="006F450E" w:rsidP="00607722">
            <w:pPr>
              <w:pStyle w:val="Tabletext1"/>
            </w:pPr>
            <w:r>
              <w:t xml:space="preserve">Base case results (Step 3): </w:t>
            </w:r>
          </w:p>
          <w:p w14:paraId="528322A4" w14:textId="46E3E936" w:rsidR="00BF7802" w:rsidRPr="00183E4D" w:rsidRDefault="00384C91" w:rsidP="00607722">
            <w:pPr>
              <w:pStyle w:val="Tabletext1"/>
            </w:pPr>
            <w:r w:rsidRPr="00815A71">
              <w:t>Modelled evaluation over 20 years</w:t>
            </w:r>
          </w:p>
        </w:tc>
        <w:tc>
          <w:tcPr>
            <w:tcW w:w="1641" w:type="dxa"/>
            <w:tcBorders>
              <w:top w:val="single" w:sz="4" w:space="0" w:color="auto"/>
              <w:left w:val="single" w:sz="4" w:space="0" w:color="auto"/>
              <w:bottom w:val="single" w:sz="4" w:space="0" w:color="auto"/>
              <w:right w:val="single" w:sz="4" w:space="0" w:color="auto"/>
            </w:tcBorders>
            <w:vAlign w:val="center"/>
          </w:tcPr>
          <w:p w14:paraId="0BD4CF10" w14:textId="77777777" w:rsidR="00BF7802" w:rsidRPr="00183E4D" w:rsidRDefault="00BF7802" w:rsidP="00607722">
            <w:pPr>
              <w:pStyle w:val="Tabletext1"/>
            </w:pPr>
            <w:r w:rsidRPr="002E7204">
              <w:t>Population 1 (hip)</w:t>
            </w:r>
          </w:p>
        </w:tc>
        <w:tc>
          <w:tcPr>
            <w:tcW w:w="1387" w:type="dxa"/>
            <w:tcBorders>
              <w:top w:val="single" w:sz="4" w:space="0" w:color="auto"/>
              <w:left w:val="single" w:sz="4" w:space="0" w:color="auto"/>
              <w:bottom w:val="single" w:sz="4" w:space="0" w:color="auto"/>
              <w:right w:val="single" w:sz="4" w:space="0" w:color="auto"/>
            </w:tcBorders>
            <w:vAlign w:val="center"/>
          </w:tcPr>
          <w:p w14:paraId="7E185859" w14:textId="77777777" w:rsidR="00BF7802" w:rsidRPr="00183E4D" w:rsidRDefault="00BF7802" w:rsidP="000A4AD3">
            <w:pPr>
              <w:pStyle w:val="Tabletext1"/>
            </w:pPr>
            <w:r>
              <w:t>$3,484</w:t>
            </w:r>
          </w:p>
        </w:tc>
        <w:tc>
          <w:tcPr>
            <w:tcW w:w="1670" w:type="dxa"/>
            <w:tcBorders>
              <w:top w:val="single" w:sz="4" w:space="0" w:color="auto"/>
              <w:left w:val="single" w:sz="4" w:space="0" w:color="auto"/>
              <w:bottom w:val="single" w:sz="4" w:space="0" w:color="auto"/>
              <w:right w:val="single" w:sz="4" w:space="0" w:color="auto"/>
            </w:tcBorders>
            <w:vAlign w:val="center"/>
          </w:tcPr>
          <w:p w14:paraId="07024FBD" w14:textId="77777777" w:rsidR="00BF7802" w:rsidRPr="002D1387" w:rsidRDefault="00BF7802" w:rsidP="000A4AD3">
            <w:pPr>
              <w:pStyle w:val="Tabletext1"/>
            </w:pPr>
            <w:r w:rsidRPr="002D1387">
              <w:t>0.018</w:t>
            </w:r>
          </w:p>
        </w:tc>
        <w:tc>
          <w:tcPr>
            <w:tcW w:w="1670" w:type="dxa"/>
            <w:tcBorders>
              <w:top w:val="single" w:sz="4" w:space="0" w:color="auto"/>
              <w:left w:val="single" w:sz="4" w:space="0" w:color="auto"/>
              <w:bottom w:val="single" w:sz="4" w:space="0" w:color="auto"/>
              <w:right w:val="single" w:sz="4" w:space="0" w:color="auto"/>
            </w:tcBorders>
            <w:vAlign w:val="center"/>
          </w:tcPr>
          <w:p w14:paraId="343FD990" w14:textId="30768992" w:rsidR="00BF7802" w:rsidRPr="00BD626F" w:rsidRDefault="00BF7802" w:rsidP="000A4AD3">
            <w:pPr>
              <w:pStyle w:val="Tabletext1"/>
            </w:pPr>
            <w:r>
              <w:t>$189,025</w:t>
            </w:r>
          </w:p>
        </w:tc>
      </w:tr>
      <w:tr w:rsidR="00BF7802" w:rsidRPr="00183E4D" w14:paraId="2AAA4273" w14:textId="77777777" w:rsidTr="00985971">
        <w:trPr>
          <w:cantSplit/>
          <w:trHeight w:val="328"/>
        </w:trPr>
        <w:tc>
          <w:tcPr>
            <w:tcW w:w="2350" w:type="dxa"/>
            <w:vMerge/>
            <w:tcBorders>
              <w:left w:val="single" w:sz="4" w:space="0" w:color="auto"/>
              <w:right w:val="single" w:sz="4" w:space="0" w:color="auto"/>
            </w:tcBorders>
            <w:vAlign w:val="center"/>
          </w:tcPr>
          <w:p w14:paraId="21CF1165" w14:textId="77777777" w:rsidR="00BF7802" w:rsidRPr="00183E4D" w:rsidRDefault="00BF7802" w:rsidP="000A4AD3">
            <w:pPr>
              <w:pStyle w:val="Tabletext1"/>
            </w:pPr>
          </w:p>
        </w:tc>
        <w:tc>
          <w:tcPr>
            <w:tcW w:w="1641" w:type="dxa"/>
            <w:tcBorders>
              <w:top w:val="single" w:sz="4" w:space="0" w:color="auto"/>
              <w:left w:val="single" w:sz="4" w:space="0" w:color="auto"/>
              <w:bottom w:val="single" w:sz="4" w:space="0" w:color="auto"/>
              <w:right w:val="single" w:sz="4" w:space="0" w:color="auto"/>
            </w:tcBorders>
            <w:vAlign w:val="center"/>
          </w:tcPr>
          <w:p w14:paraId="1FDB1F7E" w14:textId="77777777" w:rsidR="00BF7802" w:rsidRPr="00183E4D" w:rsidRDefault="00BF7802" w:rsidP="000A4AD3">
            <w:pPr>
              <w:pStyle w:val="Tabletext1"/>
            </w:pPr>
            <w:r w:rsidRPr="002E7204">
              <w:t>Population 1 (knee)</w:t>
            </w:r>
          </w:p>
        </w:tc>
        <w:tc>
          <w:tcPr>
            <w:tcW w:w="1387" w:type="dxa"/>
            <w:tcBorders>
              <w:top w:val="single" w:sz="4" w:space="0" w:color="auto"/>
              <w:left w:val="single" w:sz="4" w:space="0" w:color="auto"/>
              <w:bottom w:val="single" w:sz="4" w:space="0" w:color="auto"/>
              <w:right w:val="single" w:sz="4" w:space="0" w:color="auto"/>
            </w:tcBorders>
            <w:vAlign w:val="center"/>
          </w:tcPr>
          <w:p w14:paraId="3453E969" w14:textId="77777777" w:rsidR="00BF7802" w:rsidRPr="00183E4D" w:rsidRDefault="00BF7802" w:rsidP="000A4AD3">
            <w:pPr>
              <w:pStyle w:val="Tabletext1"/>
            </w:pPr>
            <w:r>
              <w:t>$3,455</w:t>
            </w:r>
          </w:p>
        </w:tc>
        <w:tc>
          <w:tcPr>
            <w:tcW w:w="1670" w:type="dxa"/>
            <w:tcBorders>
              <w:top w:val="single" w:sz="4" w:space="0" w:color="auto"/>
              <w:left w:val="single" w:sz="4" w:space="0" w:color="auto"/>
              <w:bottom w:val="single" w:sz="4" w:space="0" w:color="auto"/>
              <w:right w:val="single" w:sz="4" w:space="0" w:color="auto"/>
            </w:tcBorders>
            <w:vAlign w:val="center"/>
          </w:tcPr>
          <w:p w14:paraId="122E234F" w14:textId="77777777" w:rsidR="00BF7802" w:rsidRPr="002D1387" w:rsidRDefault="00BF7802" w:rsidP="000A4AD3">
            <w:pPr>
              <w:pStyle w:val="Tabletext1"/>
            </w:pPr>
            <w:r w:rsidRPr="002D1387">
              <w:t>0.025</w:t>
            </w:r>
          </w:p>
        </w:tc>
        <w:tc>
          <w:tcPr>
            <w:tcW w:w="1670" w:type="dxa"/>
            <w:tcBorders>
              <w:top w:val="single" w:sz="4" w:space="0" w:color="auto"/>
              <w:left w:val="single" w:sz="4" w:space="0" w:color="auto"/>
              <w:bottom w:val="single" w:sz="4" w:space="0" w:color="auto"/>
              <w:right w:val="single" w:sz="4" w:space="0" w:color="auto"/>
            </w:tcBorders>
            <w:vAlign w:val="center"/>
          </w:tcPr>
          <w:p w14:paraId="0CC63349" w14:textId="4E886E6B" w:rsidR="00BF7802" w:rsidRPr="00AF0A65" w:rsidRDefault="00BF7802" w:rsidP="000A4AD3">
            <w:pPr>
              <w:pStyle w:val="Tabletext1"/>
            </w:pPr>
            <w:r w:rsidRPr="00AF0A65">
              <w:t>$140,683</w:t>
            </w:r>
          </w:p>
        </w:tc>
      </w:tr>
      <w:tr w:rsidR="00BF7802" w:rsidRPr="00183E4D" w14:paraId="203A5B7F" w14:textId="77777777" w:rsidTr="00985971">
        <w:trPr>
          <w:cantSplit/>
          <w:trHeight w:val="318"/>
        </w:trPr>
        <w:tc>
          <w:tcPr>
            <w:tcW w:w="2350" w:type="dxa"/>
            <w:vMerge/>
            <w:tcBorders>
              <w:left w:val="single" w:sz="4" w:space="0" w:color="auto"/>
              <w:right w:val="single" w:sz="4" w:space="0" w:color="auto"/>
            </w:tcBorders>
            <w:vAlign w:val="center"/>
          </w:tcPr>
          <w:p w14:paraId="60C401D4" w14:textId="77777777" w:rsidR="00BF7802" w:rsidRPr="00183E4D" w:rsidRDefault="00BF7802" w:rsidP="000A4AD3">
            <w:pPr>
              <w:pStyle w:val="Tabletext1"/>
            </w:pPr>
          </w:p>
        </w:tc>
        <w:tc>
          <w:tcPr>
            <w:tcW w:w="1641" w:type="dxa"/>
            <w:tcBorders>
              <w:top w:val="single" w:sz="4" w:space="0" w:color="auto"/>
              <w:left w:val="single" w:sz="4" w:space="0" w:color="auto"/>
              <w:bottom w:val="single" w:sz="4" w:space="0" w:color="auto"/>
              <w:right w:val="single" w:sz="4" w:space="0" w:color="auto"/>
            </w:tcBorders>
            <w:vAlign w:val="center"/>
          </w:tcPr>
          <w:p w14:paraId="5A8709DD" w14:textId="77777777" w:rsidR="00BF7802" w:rsidRPr="00183E4D" w:rsidRDefault="00BF7802" w:rsidP="000A4AD3">
            <w:pPr>
              <w:pStyle w:val="Tabletext1"/>
            </w:pPr>
            <w:r w:rsidRPr="002E7204">
              <w:t>Population 3 (hip)</w:t>
            </w:r>
          </w:p>
        </w:tc>
        <w:tc>
          <w:tcPr>
            <w:tcW w:w="1387" w:type="dxa"/>
            <w:tcBorders>
              <w:top w:val="single" w:sz="4" w:space="0" w:color="auto"/>
              <w:left w:val="single" w:sz="4" w:space="0" w:color="auto"/>
              <w:bottom w:val="single" w:sz="4" w:space="0" w:color="auto"/>
              <w:right w:val="single" w:sz="4" w:space="0" w:color="auto"/>
            </w:tcBorders>
            <w:vAlign w:val="center"/>
          </w:tcPr>
          <w:p w14:paraId="09925A0D" w14:textId="77777777" w:rsidR="00BF7802" w:rsidRPr="00183E4D" w:rsidRDefault="00BF7802" w:rsidP="000A4AD3">
            <w:pPr>
              <w:pStyle w:val="Tabletext1"/>
            </w:pPr>
            <w:r>
              <w:t>-$3,380</w:t>
            </w:r>
          </w:p>
        </w:tc>
        <w:tc>
          <w:tcPr>
            <w:tcW w:w="1670" w:type="dxa"/>
            <w:tcBorders>
              <w:top w:val="single" w:sz="4" w:space="0" w:color="auto"/>
              <w:left w:val="single" w:sz="4" w:space="0" w:color="auto"/>
              <w:bottom w:val="single" w:sz="4" w:space="0" w:color="auto"/>
              <w:right w:val="single" w:sz="4" w:space="0" w:color="auto"/>
            </w:tcBorders>
            <w:vAlign w:val="center"/>
          </w:tcPr>
          <w:p w14:paraId="4E955460" w14:textId="77777777" w:rsidR="00BF7802" w:rsidRPr="00183E4D" w:rsidRDefault="00BF7802" w:rsidP="000A4AD3">
            <w:pPr>
              <w:pStyle w:val="Tabletext1"/>
              <w:rPr>
                <w:b/>
                <w:bCs/>
              </w:rPr>
            </w:pPr>
            <w:r>
              <w:t>0.21</w:t>
            </w:r>
          </w:p>
        </w:tc>
        <w:tc>
          <w:tcPr>
            <w:tcW w:w="1670" w:type="dxa"/>
            <w:tcBorders>
              <w:top w:val="single" w:sz="4" w:space="0" w:color="auto"/>
              <w:left w:val="single" w:sz="4" w:space="0" w:color="auto"/>
              <w:bottom w:val="single" w:sz="4" w:space="0" w:color="auto"/>
              <w:right w:val="single" w:sz="4" w:space="0" w:color="auto"/>
            </w:tcBorders>
            <w:vAlign w:val="center"/>
          </w:tcPr>
          <w:p w14:paraId="51D2D4CB" w14:textId="5933B44A" w:rsidR="00BF7802" w:rsidRPr="00AF0A65" w:rsidRDefault="00BF7802" w:rsidP="000A4AD3">
            <w:pPr>
              <w:pStyle w:val="Tabletext1"/>
            </w:pPr>
            <w:r w:rsidRPr="002D1387">
              <w:t>DAC</w:t>
            </w:r>
            <w:r w:rsidR="00384C91">
              <w:t>+abs</w:t>
            </w:r>
            <w:r w:rsidRPr="002D1387">
              <w:t xml:space="preserve"> is dominant </w:t>
            </w:r>
          </w:p>
        </w:tc>
      </w:tr>
      <w:tr w:rsidR="00BF7802" w:rsidRPr="00183E4D" w14:paraId="635C4188" w14:textId="77777777" w:rsidTr="00985971">
        <w:trPr>
          <w:cantSplit/>
          <w:trHeight w:val="328"/>
        </w:trPr>
        <w:tc>
          <w:tcPr>
            <w:tcW w:w="2350" w:type="dxa"/>
            <w:vMerge/>
            <w:tcBorders>
              <w:left w:val="single" w:sz="4" w:space="0" w:color="auto"/>
              <w:bottom w:val="single" w:sz="4" w:space="0" w:color="auto"/>
              <w:right w:val="single" w:sz="4" w:space="0" w:color="auto"/>
            </w:tcBorders>
            <w:vAlign w:val="center"/>
          </w:tcPr>
          <w:p w14:paraId="79D4D240" w14:textId="77777777" w:rsidR="00BF7802" w:rsidRPr="00183E4D" w:rsidRDefault="00BF7802" w:rsidP="000A4AD3">
            <w:pPr>
              <w:pStyle w:val="Tabletext1"/>
            </w:pPr>
          </w:p>
        </w:tc>
        <w:tc>
          <w:tcPr>
            <w:tcW w:w="1641" w:type="dxa"/>
            <w:tcBorders>
              <w:top w:val="single" w:sz="4" w:space="0" w:color="auto"/>
              <w:left w:val="single" w:sz="4" w:space="0" w:color="auto"/>
              <w:bottom w:val="single" w:sz="4" w:space="0" w:color="auto"/>
              <w:right w:val="single" w:sz="4" w:space="0" w:color="auto"/>
            </w:tcBorders>
            <w:vAlign w:val="center"/>
          </w:tcPr>
          <w:p w14:paraId="7492ED83" w14:textId="77777777" w:rsidR="00BF7802" w:rsidRPr="00183E4D" w:rsidRDefault="00BF7802" w:rsidP="000A4AD3">
            <w:pPr>
              <w:pStyle w:val="Tabletext1"/>
            </w:pPr>
            <w:r w:rsidRPr="002E7204">
              <w:t>Population 3 (knee)</w:t>
            </w:r>
          </w:p>
        </w:tc>
        <w:tc>
          <w:tcPr>
            <w:tcW w:w="1387" w:type="dxa"/>
            <w:tcBorders>
              <w:top w:val="single" w:sz="4" w:space="0" w:color="auto"/>
              <w:left w:val="single" w:sz="4" w:space="0" w:color="auto"/>
              <w:bottom w:val="single" w:sz="4" w:space="0" w:color="auto"/>
              <w:right w:val="single" w:sz="4" w:space="0" w:color="auto"/>
            </w:tcBorders>
            <w:vAlign w:val="center"/>
          </w:tcPr>
          <w:p w14:paraId="43AEBBFE" w14:textId="77777777" w:rsidR="00BF7802" w:rsidRPr="00183E4D" w:rsidRDefault="00BF7802" w:rsidP="000A4AD3">
            <w:pPr>
              <w:pStyle w:val="Tabletext1"/>
            </w:pPr>
            <w:r>
              <w:t>-$1,707</w:t>
            </w:r>
          </w:p>
        </w:tc>
        <w:tc>
          <w:tcPr>
            <w:tcW w:w="1670" w:type="dxa"/>
            <w:tcBorders>
              <w:top w:val="single" w:sz="4" w:space="0" w:color="auto"/>
              <w:left w:val="single" w:sz="4" w:space="0" w:color="auto"/>
              <w:bottom w:val="single" w:sz="4" w:space="0" w:color="auto"/>
              <w:right w:val="single" w:sz="4" w:space="0" w:color="auto"/>
            </w:tcBorders>
            <w:vAlign w:val="center"/>
          </w:tcPr>
          <w:p w14:paraId="216ECD6D" w14:textId="77777777" w:rsidR="00BF7802" w:rsidRPr="00183E4D" w:rsidRDefault="00BF7802" w:rsidP="000A4AD3">
            <w:pPr>
              <w:pStyle w:val="Tabletext1"/>
              <w:rPr>
                <w:b/>
                <w:bCs/>
              </w:rPr>
            </w:pPr>
            <w:r>
              <w:t>0.25</w:t>
            </w:r>
          </w:p>
        </w:tc>
        <w:tc>
          <w:tcPr>
            <w:tcW w:w="1670" w:type="dxa"/>
            <w:tcBorders>
              <w:top w:val="single" w:sz="4" w:space="0" w:color="auto"/>
              <w:left w:val="single" w:sz="4" w:space="0" w:color="auto"/>
              <w:bottom w:val="single" w:sz="4" w:space="0" w:color="auto"/>
              <w:right w:val="single" w:sz="4" w:space="0" w:color="auto"/>
            </w:tcBorders>
            <w:vAlign w:val="center"/>
          </w:tcPr>
          <w:p w14:paraId="46E1E6B3" w14:textId="6300EA8B" w:rsidR="00BF7802" w:rsidRPr="002D1387" w:rsidRDefault="00BF7802" w:rsidP="000A4AD3">
            <w:pPr>
              <w:pStyle w:val="Tabletext1"/>
              <w:rPr>
                <w:vanish/>
                <w:color w:val="C00000"/>
              </w:rPr>
            </w:pPr>
            <w:r w:rsidRPr="002D1387">
              <w:t>DAC</w:t>
            </w:r>
            <w:r w:rsidR="00384C91">
              <w:t>+abs</w:t>
            </w:r>
            <w:r w:rsidRPr="002D1387">
              <w:t xml:space="preserve"> is dominant</w:t>
            </w:r>
          </w:p>
        </w:tc>
      </w:tr>
    </w:tbl>
    <w:p w14:paraId="5BAF272C" w14:textId="77777777" w:rsidR="00FC3571" w:rsidRDefault="00FC3571" w:rsidP="00607722">
      <w:pPr>
        <w:pStyle w:val="Tablenotes0"/>
      </w:pPr>
      <w:r>
        <w:t>Source: Table 6, pg 41 of MSAC 1629 DCAR</w:t>
      </w:r>
    </w:p>
    <w:p w14:paraId="654AFCCF" w14:textId="680324FF" w:rsidR="00BF7802" w:rsidRPr="00183E4D" w:rsidRDefault="00BF7802" w:rsidP="00607722">
      <w:pPr>
        <w:pStyle w:val="Tablenotes0"/>
      </w:pPr>
      <w:r>
        <w:t>Abbreviations: DAC</w:t>
      </w:r>
      <w:r w:rsidR="00384C91">
        <w:t>+abs</w:t>
      </w:r>
      <w:r>
        <w:t>=Defensive Antibacterial Coating</w:t>
      </w:r>
      <w:r w:rsidR="00384C91">
        <w:t xml:space="preserve"> loaded with antibiotics</w:t>
      </w:r>
      <w:r>
        <w:t xml:space="preserve">; </w:t>
      </w:r>
      <w:r w:rsidRPr="00183E4D">
        <w:t>ICER = Incremental Cost Effectiveness Ratio</w:t>
      </w:r>
      <w:r>
        <w:t>; QALY=quality-adjusted life-year.</w:t>
      </w:r>
    </w:p>
    <w:p w14:paraId="678B8052" w14:textId="7B387EAC" w:rsidR="00BF7802" w:rsidRPr="00815A71" w:rsidRDefault="00304D76" w:rsidP="00607722">
      <w:pPr>
        <w:pStyle w:val="Execsummnormal"/>
      </w:pPr>
      <w:r>
        <w:t>I</w:t>
      </w:r>
      <w:r w:rsidR="00BF7802" w:rsidRPr="00815A71">
        <w:t>n Population 1</w:t>
      </w:r>
      <w:r>
        <w:t>,</w:t>
      </w:r>
      <w:r w:rsidR="00BF7802" w:rsidRPr="00815A71">
        <w:t xml:space="preserve"> </w:t>
      </w:r>
      <w:r w:rsidR="00FF6797" w:rsidRPr="00815A71">
        <w:t xml:space="preserve">the </w:t>
      </w:r>
      <w:r w:rsidR="00BF7802" w:rsidRPr="00815A71">
        <w:t xml:space="preserve">ICER decreases from Step 2 to Step 3. </w:t>
      </w:r>
      <w:r>
        <w:t xml:space="preserve">In </w:t>
      </w:r>
      <w:r w:rsidR="00BF7802" w:rsidRPr="00815A71">
        <w:t>Population 3</w:t>
      </w:r>
      <w:r>
        <w:t>, DAC+antibiotics</w:t>
      </w:r>
      <w:r w:rsidR="00BF7802" w:rsidRPr="00815A71">
        <w:t xml:space="preserve"> remains dominant over no DAC</w:t>
      </w:r>
      <w:r>
        <w:t>+antibiotics</w:t>
      </w:r>
      <w:r w:rsidR="00BF7802" w:rsidRPr="00815A71">
        <w:t xml:space="preserve"> for hip, and </w:t>
      </w:r>
      <w:r w:rsidR="00FF6797" w:rsidRPr="00815A71">
        <w:t xml:space="preserve">for knee, </w:t>
      </w:r>
      <w:r>
        <w:t>the</w:t>
      </w:r>
      <w:r w:rsidR="00BF7802" w:rsidRPr="00815A71">
        <w:t xml:space="preserve"> ICER </w:t>
      </w:r>
      <w:r>
        <w:t xml:space="preserve">for DAC+antibiotics changes from </w:t>
      </w:r>
      <w:r w:rsidR="00BF7802" w:rsidRPr="00815A71">
        <w:t>$11,194</w:t>
      </w:r>
      <w:r w:rsidR="00FF6797" w:rsidRPr="00815A71">
        <w:t xml:space="preserve"> per QALY</w:t>
      </w:r>
      <w:r>
        <w:t xml:space="preserve"> (Step 2)</w:t>
      </w:r>
      <w:r w:rsidR="00BF7802" w:rsidRPr="00815A71">
        <w:t xml:space="preserve"> to being dominant as well</w:t>
      </w:r>
      <w:r>
        <w:t xml:space="preserve"> (Step 3)</w:t>
      </w:r>
      <w:r w:rsidR="00BF7802" w:rsidRPr="00815A71">
        <w:t>. Both changes are mainly driven by the increased time horizon (1 year for Step 2 and 20 years for Step 3), which allows more QALYs to be accrued due to the prevention of infection, resulting in less procedures and increased quality of life. However, the evidence that DAC</w:t>
      </w:r>
      <w:r>
        <w:t>+antibiotics</w:t>
      </w:r>
      <w:r w:rsidR="00BF7802" w:rsidRPr="00815A71">
        <w:t xml:space="preserve"> reduces the rate of periprosthetic SSIs is weak for both Populations 1 and 3. If DAC</w:t>
      </w:r>
      <w:r>
        <w:t>+antibiotics</w:t>
      </w:r>
      <w:r w:rsidR="00BF7802" w:rsidRPr="00815A71">
        <w:t xml:space="preserve"> does not reduce the rate of SSIs, as observed </w:t>
      </w:r>
      <w:r w:rsidR="00FF6797" w:rsidRPr="00815A71">
        <w:t>with</w:t>
      </w:r>
      <w:r w:rsidR="00BF7802" w:rsidRPr="00815A71">
        <w:t>in the upper 95% confidence interval estimated for each relevant study of Populations 1 and 3 (i.e., crossing 1), then DAC</w:t>
      </w:r>
      <w:r>
        <w:t>+anti</w:t>
      </w:r>
      <w:r w:rsidR="00E937EE">
        <w:t>bi</w:t>
      </w:r>
      <w:r>
        <w:t>otics</w:t>
      </w:r>
      <w:r w:rsidR="00BF7802" w:rsidRPr="00815A71">
        <w:t xml:space="preserve"> will be dominated by no DAC</w:t>
      </w:r>
      <w:r>
        <w:t>+antibiotics</w:t>
      </w:r>
      <w:r w:rsidR="00BF7802" w:rsidRPr="00815A71">
        <w:t>.</w:t>
      </w:r>
    </w:p>
    <w:p w14:paraId="7572D66E" w14:textId="00432FCE" w:rsidR="002B1E4F" w:rsidRPr="00815A71" w:rsidRDefault="002B1E4F" w:rsidP="00607722">
      <w:pPr>
        <w:pStyle w:val="Execsummnormal"/>
      </w:pPr>
      <w:r w:rsidRPr="00815A71">
        <w:t>The modelled results were sensitive to the DAC</w:t>
      </w:r>
      <w:r w:rsidR="00304D76">
        <w:t>+antibiotics</w:t>
      </w:r>
      <w:r w:rsidRPr="00815A71">
        <w:t xml:space="preserve"> treatment effect on incidence of </w:t>
      </w:r>
      <w:r w:rsidR="00C969EB" w:rsidRPr="00815A71">
        <w:t>periprosthetic</w:t>
      </w:r>
      <w:r w:rsidRPr="00815A71">
        <w:t xml:space="preserve"> SSI. In each population, hip or knee, using the upper limit of the 95% confidence interval of the relative risk of </w:t>
      </w:r>
      <w:r w:rsidR="00C969EB" w:rsidRPr="00815A71">
        <w:t>periprosthetic</w:t>
      </w:r>
      <w:r w:rsidRPr="00815A71">
        <w:t xml:space="preserve"> SSI, DAC</w:t>
      </w:r>
      <w:r w:rsidR="00304D76">
        <w:t>+antibiotics</w:t>
      </w:r>
      <w:r w:rsidRPr="00815A71">
        <w:t xml:space="preserve"> was dominated by no DAC</w:t>
      </w:r>
      <w:r w:rsidR="00304D76">
        <w:t>+antibiotics</w:t>
      </w:r>
      <w:r w:rsidRPr="00815A71">
        <w:t>, i.e., DAC</w:t>
      </w:r>
      <w:r w:rsidR="00304D76">
        <w:t>+antibiotics</w:t>
      </w:r>
      <w:r w:rsidRPr="00815A71">
        <w:t xml:space="preserve"> was more expensive and less effective.</w:t>
      </w:r>
      <w:r w:rsidR="00AE5944" w:rsidRPr="00815A71">
        <w:t xml:space="preserve"> </w:t>
      </w:r>
      <w:r w:rsidRPr="00815A71">
        <w:t>It is important to emphasise that the base-case cost-effectiveness results are therefore very uncertain, given the substantial uncertainty in the estimated DAC</w:t>
      </w:r>
      <w:r w:rsidR="00304D76">
        <w:t>+antibiotics</w:t>
      </w:r>
      <w:r w:rsidRPr="00815A71">
        <w:t xml:space="preserve"> treatment effects in all populations.</w:t>
      </w:r>
      <w:r w:rsidR="002E3458" w:rsidRPr="00815A71">
        <w:t xml:space="preserve"> </w:t>
      </w:r>
      <w:r w:rsidR="0011710A" w:rsidRPr="00815A71">
        <w:lastRenderedPageBreak/>
        <w:t xml:space="preserve">Additionally, </w:t>
      </w:r>
      <w:r w:rsidR="00FF6797" w:rsidRPr="00815A71">
        <w:t>DAC</w:t>
      </w:r>
      <w:r w:rsidR="00304D76">
        <w:t>+antibiotics</w:t>
      </w:r>
      <w:r w:rsidR="00FF6797" w:rsidRPr="00815A71">
        <w:t xml:space="preserve"> becomes less cost-effective when </w:t>
      </w:r>
      <w:r w:rsidR="0011710A" w:rsidRPr="00815A71">
        <w:t>the time horizon</w:t>
      </w:r>
      <w:r w:rsidR="00FF6797" w:rsidRPr="00815A71">
        <w:t xml:space="preserve"> is decreased</w:t>
      </w:r>
      <w:r w:rsidR="0011710A" w:rsidRPr="00815A71">
        <w:t xml:space="preserve">, whereas decreasing </w:t>
      </w:r>
      <w:r w:rsidR="00FF6797" w:rsidRPr="00815A71">
        <w:t xml:space="preserve">the </w:t>
      </w:r>
      <w:r w:rsidR="0011710A" w:rsidRPr="00815A71">
        <w:t>DAC</w:t>
      </w:r>
      <w:r w:rsidR="00304D76">
        <w:t>+antibiotics</w:t>
      </w:r>
      <w:r w:rsidR="0011710A" w:rsidRPr="00815A71">
        <w:t xml:space="preserve"> price (using published estimates by Franceschini 2020), lowers the ICER favouring DAC</w:t>
      </w:r>
      <w:r w:rsidR="00304D76">
        <w:t>+antibiotics</w:t>
      </w:r>
      <w:r w:rsidR="0011710A" w:rsidRPr="00815A71">
        <w:t>.</w:t>
      </w:r>
      <w:r w:rsidR="002D522C" w:rsidRPr="00815A71">
        <w:t xml:space="preserve"> Particularly for Population 1, the number of kits and using DAC</w:t>
      </w:r>
      <w:r w:rsidR="00304D76">
        <w:t>+antibiotics</w:t>
      </w:r>
      <w:r w:rsidR="002D522C" w:rsidRPr="00815A71">
        <w:t xml:space="preserve"> in every surgery (primary total joint arthroplasty and revisions) has a moderate effect in the ICER.</w:t>
      </w:r>
    </w:p>
    <w:p w14:paraId="51993D03" w14:textId="02697049" w:rsidR="002B1E4F" w:rsidRPr="00815A71" w:rsidRDefault="002B1E4F" w:rsidP="00607722">
      <w:pPr>
        <w:pStyle w:val="Execsummnormal"/>
      </w:pPr>
      <w:r w:rsidRPr="00815A71">
        <w:t xml:space="preserve">Key drivers of cost-effectiveness are presented in the </w:t>
      </w:r>
      <w:r w:rsidR="002653CF">
        <w:fldChar w:fldCharType="begin"/>
      </w:r>
      <w:r w:rsidR="002653CF">
        <w:instrText xml:space="preserve"> REF _Ref117599846 \h </w:instrText>
      </w:r>
      <w:r w:rsidR="002653CF">
        <w:fldChar w:fldCharType="separate"/>
      </w:r>
      <w:r w:rsidR="002653CF" w:rsidRPr="0011202B">
        <w:t xml:space="preserve">Table </w:t>
      </w:r>
      <w:r w:rsidR="002653CF">
        <w:rPr>
          <w:noProof/>
        </w:rPr>
        <w:t>7</w:t>
      </w:r>
      <w:r w:rsidR="002653CF">
        <w:fldChar w:fldCharType="end"/>
      </w:r>
      <w:r w:rsidR="002653CF">
        <w:t xml:space="preserve"> </w:t>
      </w:r>
      <w:r w:rsidR="002B61F3">
        <w:t xml:space="preserve">and the sensitivity analyses are presented in </w:t>
      </w:r>
      <w:r w:rsidR="002B61F3">
        <w:fldChar w:fldCharType="begin"/>
      </w:r>
      <w:r w:rsidR="002B61F3">
        <w:instrText xml:space="preserve"> REF _Ref67941819 \h </w:instrText>
      </w:r>
      <w:r w:rsidR="002B61F3">
        <w:fldChar w:fldCharType="separate"/>
      </w:r>
      <w:r w:rsidR="002B61F3">
        <w:t xml:space="preserve">Table </w:t>
      </w:r>
      <w:r w:rsidR="002B61F3">
        <w:rPr>
          <w:noProof/>
        </w:rPr>
        <w:t>8</w:t>
      </w:r>
      <w:r w:rsidR="002B61F3">
        <w:fldChar w:fldCharType="end"/>
      </w:r>
      <w:r w:rsidR="002B61F3">
        <w:fldChar w:fldCharType="begin"/>
      </w:r>
      <w:r w:rsidR="002B61F3">
        <w:instrText xml:space="preserve"> REF _Ref67941835 \h </w:instrText>
      </w:r>
      <w:r w:rsidR="002B61F3">
        <w:fldChar w:fldCharType="separate"/>
      </w:r>
      <w:r w:rsidR="002B61F3">
        <w:t xml:space="preserve">, </w:t>
      </w:r>
      <w:r w:rsidR="002B61F3">
        <w:rPr>
          <w:noProof/>
        </w:rPr>
        <w:t>9</w:t>
      </w:r>
      <w:r w:rsidR="002B61F3">
        <w:fldChar w:fldCharType="end"/>
      </w:r>
      <w:r w:rsidR="002653CF">
        <w:t xml:space="preserve">, </w:t>
      </w:r>
      <w:r w:rsidR="002B61F3">
        <w:fldChar w:fldCharType="begin"/>
      </w:r>
      <w:r w:rsidR="002B61F3">
        <w:instrText xml:space="preserve"> REF _Ref67941850 \h </w:instrText>
      </w:r>
      <w:r w:rsidR="002B61F3">
        <w:fldChar w:fldCharType="separate"/>
      </w:r>
      <w:r w:rsidR="002B61F3">
        <w:rPr>
          <w:noProof/>
        </w:rPr>
        <w:t>10</w:t>
      </w:r>
      <w:r w:rsidR="002B61F3">
        <w:fldChar w:fldCharType="end"/>
      </w:r>
      <w:r w:rsidR="002653CF">
        <w:t xml:space="preserve"> and </w:t>
      </w:r>
      <w:r w:rsidR="002B61F3">
        <w:fldChar w:fldCharType="begin"/>
      </w:r>
      <w:r w:rsidR="002B61F3">
        <w:instrText xml:space="preserve"> REF _Ref67941861 \h </w:instrText>
      </w:r>
      <w:r w:rsidR="002B61F3">
        <w:fldChar w:fldCharType="separate"/>
      </w:r>
      <w:r w:rsidR="002B61F3">
        <w:rPr>
          <w:noProof/>
        </w:rPr>
        <w:t>11</w:t>
      </w:r>
      <w:r w:rsidR="002B61F3">
        <w:fldChar w:fldCharType="end"/>
      </w:r>
      <w:r w:rsidRPr="00815A71">
        <w:t>.</w:t>
      </w:r>
    </w:p>
    <w:p w14:paraId="31AD0A37" w14:textId="7A43F8BF" w:rsidR="002E3458" w:rsidRPr="0011202B" w:rsidRDefault="002E3458" w:rsidP="000A4AD3">
      <w:pPr>
        <w:pStyle w:val="Caption"/>
        <w:rPr>
          <w:snapToGrid w:val="0"/>
          <w:lang w:eastAsia="en-US"/>
        </w:rPr>
      </w:pPr>
      <w:bookmarkStart w:id="82" w:name="_Ref117599846"/>
      <w:bookmarkStart w:id="83" w:name="_Toc74729094"/>
      <w:bookmarkStart w:id="84" w:name="_Toc112076624"/>
      <w:r w:rsidRPr="0011202B">
        <w:t xml:space="preserve">Table </w:t>
      </w:r>
      <w:r w:rsidR="00000000">
        <w:fldChar w:fldCharType="begin"/>
      </w:r>
      <w:r w:rsidR="00000000">
        <w:instrText xml:space="preserve"> SEQ Table \* ARABIC </w:instrText>
      </w:r>
      <w:r w:rsidR="00000000">
        <w:fldChar w:fldCharType="separate"/>
      </w:r>
      <w:r w:rsidR="00BB246A">
        <w:rPr>
          <w:noProof/>
        </w:rPr>
        <w:t>7</w:t>
      </w:r>
      <w:r w:rsidR="00000000">
        <w:rPr>
          <w:noProof/>
        </w:rPr>
        <w:fldChar w:fldCharType="end"/>
      </w:r>
      <w:bookmarkEnd w:id="82"/>
      <w:r w:rsidRPr="0011202B">
        <w:tab/>
      </w:r>
      <w:r w:rsidR="00FC3571">
        <w:t xml:space="preserve"> </w:t>
      </w:r>
      <w:r w:rsidRPr="0011202B">
        <w:rPr>
          <w:snapToGrid w:val="0"/>
          <w:lang w:eastAsia="en-US"/>
        </w:rPr>
        <w:t>Key drivers of the economic model</w:t>
      </w:r>
      <w:bookmarkEnd w:id="83"/>
      <w:bookmarkEnd w:id="84"/>
    </w:p>
    <w:tbl>
      <w:tblPr>
        <w:tblStyle w:val="TableGrid1"/>
        <w:tblW w:w="4950" w:type="pct"/>
        <w:tblCellMar>
          <w:left w:w="28" w:type="dxa"/>
          <w:right w:w="28" w:type="dxa"/>
        </w:tblCellMar>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2688"/>
        <w:gridCol w:w="3151"/>
        <w:gridCol w:w="3087"/>
      </w:tblGrid>
      <w:tr w:rsidR="002E3458" w:rsidRPr="00183E4D" w14:paraId="6F5730AE" w14:textId="77777777" w:rsidTr="006B444C">
        <w:trPr>
          <w:cnfStyle w:val="100000000000" w:firstRow="1" w:lastRow="0" w:firstColumn="0" w:lastColumn="0" w:oddVBand="0" w:evenVBand="0" w:oddHBand="0" w:evenHBand="0" w:firstRowFirstColumn="0" w:firstRowLastColumn="0" w:lastRowFirstColumn="0" w:lastRowLastColumn="0"/>
          <w:tblHeader/>
        </w:trPr>
        <w:tc>
          <w:tcPr>
            <w:tcW w:w="1506" w:type="pct"/>
            <w:shd w:val="clear" w:color="auto" w:fill="auto"/>
            <w:vAlign w:val="center"/>
          </w:tcPr>
          <w:p w14:paraId="566DA3A4" w14:textId="77777777" w:rsidR="002E3458" w:rsidRPr="0011202B" w:rsidRDefault="002E3458" w:rsidP="00607722">
            <w:pPr>
              <w:pStyle w:val="TableHeading"/>
              <w:rPr>
                <w:snapToGrid w:val="0"/>
                <w:lang w:eastAsia="en-US"/>
              </w:rPr>
            </w:pPr>
            <w:r w:rsidRPr="0011202B">
              <w:rPr>
                <w:snapToGrid w:val="0"/>
                <w:lang w:eastAsia="en-US"/>
              </w:rPr>
              <w:t>Description</w:t>
            </w:r>
          </w:p>
        </w:tc>
        <w:tc>
          <w:tcPr>
            <w:tcW w:w="1765" w:type="pct"/>
            <w:shd w:val="clear" w:color="auto" w:fill="auto"/>
            <w:vAlign w:val="center"/>
          </w:tcPr>
          <w:p w14:paraId="472BA53E" w14:textId="77777777" w:rsidR="002E3458" w:rsidRPr="0011202B" w:rsidRDefault="002E3458" w:rsidP="00607722">
            <w:pPr>
              <w:pStyle w:val="TableHeading"/>
              <w:rPr>
                <w:snapToGrid w:val="0"/>
                <w:lang w:eastAsia="en-US"/>
              </w:rPr>
            </w:pPr>
            <w:r w:rsidRPr="0011202B">
              <w:rPr>
                <w:snapToGrid w:val="0"/>
                <w:lang w:eastAsia="en-US"/>
              </w:rPr>
              <w:t>Method/Value</w:t>
            </w:r>
          </w:p>
        </w:tc>
        <w:tc>
          <w:tcPr>
            <w:tcW w:w="1729" w:type="pct"/>
            <w:shd w:val="clear" w:color="auto" w:fill="auto"/>
            <w:vAlign w:val="center"/>
          </w:tcPr>
          <w:p w14:paraId="706F0D1E" w14:textId="77777777" w:rsidR="002E3458" w:rsidRPr="00183E4D" w:rsidRDefault="002E3458" w:rsidP="00607722">
            <w:pPr>
              <w:pStyle w:val="TableHeading"/>
              <w:rPr>
                <w:snapToGrid w:val="0"/>
                <w:lang w:eastAsia="en-US"/>
              </w:rPr>
            </w:pPr>
            <w:r w:rsidRPr="0011202B">
              <w:rPr>
                <w:snapToGrid w:val="0"/>
                <w:lang w:eastAsia="en-US"/>
              </w:rPr>
              <w:t>Impact</w:t>
            </w:r>
          </w:p>
        </w:tc>
      </w:tr>
      <w:tr w:rsidR="002E3458" w:rsidRPr="00183E4D" w14:paraId="7C719227" w14:textId="77777777" w:rsidTr="006B444C">
        <w:tc>
          <w:tcPr>
            <w:tcW w:w="1506" w:type="pct"/>
            <w:shd w:val="clear" w:color="auto" w:fill="auto"/>
            <w:vAlign w:val="center"/>
          </w:tcPr>
          <w:p w14:paraId="7EF37BEB" w14:textId="1D114CF2" w:rsidR="002E3458" w:rsidRPr="00183E4D" w:rsidRDefault="002E3458" w:rsidP="000A4AD3">
            <w:pPr>
              <w:pStyle w:val="Tabletext1"/>
              <w:rPr>
                <w:snapToGrid w:val="0"/>
                <w:lang w:eastAsia="en-US"/>
              </w:rPr>
            </w:pPr>
            <w:r>
              <w:rPr>
                <w:snapToGrid w:val="0"/>
                <w:lang w:eastAsia="en-US"/>
              </w:rPr>
              <w:t>DAC</w:t>
            </w:r>
            <w:r w:rsidR="00142E27">
              <w:rPr>
                <w:snapToGrid w:val="0"/>
                <w:lang w:eastAsia="en-US"/>
              </w:rPr>
              <w:t>+antibiotics</w:t>
            </w:r>
            <w:r>
              <w:rPr>
                <w:snapToGrid w:val="0"/>
                <w:lang w:eastAsia="en-US"/>
              </w:rPr>
              <w:t xml:space="preserve"> treatment effect</w:t>
            </w:r>
          </w:p>
        </w:tc>
        <w:tc>
          <w:tcPr>
            <w:tcW w:w="1765" w:type="pct"/>
            <w:shd w:val="clear" w:color="auto" w:fill="auto"/>
            <w:vAlign w:val="center"/>
          </w:tcPr>
          <w:p w14:paraId="5DE5D830" w14:textId="77777777" w:rsidR="002E3458" w:rsidRPr="00183E4D" w:rsidRDefault="002E3458" w:rsidP="000A4AD3">
            <w:pPr>
              <w:pStyle w:val="Tabletext1"/>
              <w:rPr>
                <w:snapToGrid w:val="0"/>
                <w:lang w:eastAsia="en-US"/>
              </w:rPr>
            </w:pPr>
            <w:r>
              <w:rPr>
                <w:snapToGrid w:val="0"/>
                <w:lang w:eastAsia="en-US"/>
              </w:rPr>
              <w:t>Estimated upper 95% CI limit for all relative risks of deep SSI</w:t>
            </w:r>
          </w:p>
        </w:tc>
        <w:tc>
          <w:tcPr>
            <w:tcW w:w="1729" w:type="pct"/>
            <w:shd w:val="clear" w:color="auto" w:fill="auto"/>
            <w:vAlign w:val="center"/>
          </w:tcPr>
          <w:p w14:paraId="55A37FFB" w14:textId="77777777" w:rsidR="002E3458" w:rsidRPr="00183E4D" w:rsidRDefault="002E3458" w:rsidP="000A4AD3">
            <w:pPr>
              <w:pStyle w:val="Tabletext1"/>
              <w:rPr>
                <w:snapToGrid w:val="0"/>
                <w:lang w:eastAsia="en-US"/>
              </w:rPr>
            </w:pPr>
            <w:r>
              <w:rPr>
                <w:snapToGrid w:val="0"/>
                <w:lang w:eastAsia="en-US"/>
              </w:rPr>
              <w:t>High, favours comparator</w:t>
            </w:r>
          </w:p>
        </w:tc>
      </w:tr>
      <w:tr w:rsidR="002E3458" w:rsidRPr="00183E4D" w14:paraId="78198BBD" w14:textId="77777777" w:rsidTr="006B444C">
        <w:tc>
          <w:tcPr>
            <w:tcW w:w="1506" w:type="pct"/>
            <w:shd w:val="clear" w:color="auto" w:fill="auto"/>
            <w:vAlign w:val="center"/>
          </w:tcPr>
          <w:p w14:paraId="2C00D76F" w14:textId="77777777" w:rsidR="002E3458" w:rsidRDefault="002E3458" w:rsidP="000A4AD3">
            <w:pPr>
              <w:pStyle w:val="Tabletext1"/>
              <w:rPr>
                <w:snapToGrid w:val="0"/>
                <w:lang w:eastAsia="en-US"/>
              </w:rPr>
            </w:pPr>
            <w:r>
              <w:rPr>
                <w:snapToGrid w:val="0"/>
                <w:lang w:eastAsia="en-US"/>
              </w:rPr>
              <w:t>Time horizon</w:t>
            </w:r>
          </w:p>
        </w:tc>
        <w:tc>
          <w:tcPr>
            <w:tcW w:w="1765" w:type="pct"/>
            <w:shd w:val="clear" w:color="auto" w:fill="auto"/>
            <w:vAlign w:val="center"/>
          </w:tcPr>
          <w:p w14:paraId="37557B24" w14:textId="77777777" w:rsidR="002E3458" w:rsidRDefault="002E3458" w:rsidP="000A4AD3">
            <w:pPr>
              <w:pStyle w:val="Tabletext1"/>
              <w:rPr>
                <w:snapToGrid w:val="0"/>
                <w:lang w:eastAsia="en-US"/>
              </w:rPr>
            </w:pPr>
            <w:r>
              <w:rPr>
                <w:snapToGrid w:val="0"/>
                <w:lang w:eastAsia="en-US"/>
              </w:rPr>
              <w:t>1 and 2 years</w:t>
            </w:r>
          </w:p>
        </w:tc>
        <w:tc>
          <w:tcPr>
            <w:tcW w:w="1729" w:type="pct"/>
            <w:shd w:val="clear" w:color="auto" w:fill="auto"/>
            <w:vAlign w:val="center"/>
          </w:tcPr>
          <w:p w14:paraId="6561E84C" w14:textId="77777777" w:rsidR="002E3458" w:rsidRDefault="002E3458" w:rsidP="000A4AD3">
            <w:pPr>
              <w:pStyle w:val="Tabletext1"/>
              <w:rPr>
                <w:snapToGrid w:val="0"/>
                <w:lang w:eastAsia="en-US"/>
              </w:rPr>
            </w:pPr>
            <w:r>
              <w:rPr>
                <w:snapToGrid w:val="0"/>
                <w:lang w:eastAsia="en-US"/>
              </w:rPr>
              <w:t>High, favours comparator</w:t>
            </w:r>
          </w:p>
        </w:tc>
      </w:tr>
      <w:tr w:rsidR="002E3458" w:rsidRPr="00183E4D" w14:paraId="2B0F0583" w14:textId="77777777" w:rsidTr="006B444C">
        <w:tc>
          <w:tcPr>
            <w:tcW w:w="1506" w:type="pct"/>
            <w:shd w:val="clear" w:color="auto" w:fill="auto"/>
            <w:vAlign w:val="center"/>
          </w:tcPr>
          <w:p w14:paraId="0712D397" w14:textId="77777777" w:rsidR="002E3458" w:rsidRDefault="002E3458" w:rsidP="000A4AD3">
            <w:pPr>
              <w:pStyle w:val="Tabletext1"/>
              <w:rPr>
                <w:snapToGrid w:val="0"/>
                <w:lang w:eastAsia="en-US"/>
              </w:rPr>
            </w:pPr>
            <w:r>
              <w:rPr>
                <w:snapToGrid w:val="0"/>
                <w:lang w:eastAsia="en-US"/>
              </w:rPr>
              <w:t>DAC price</w:t>
            </w:r>
          </w:p>
        </w:tc>
        <w:tc>
          <w:tcPr>
            <w:tcW w:w="1765" w:type="pct"/>
            <w:shd w:val="clear" w:color="auto" w:fill="auto"/>
            <w:vAlign w:val="center"/>
          </w:tcPr>
          <w:p w14:paraId="784BFA21" w14:textId="77777777" w:rsidR="002E3458" w:rsidRDefault="002E3458" w:rsidP="000A4AD3">
            <w:pPr>
              <w:pStyle w:val="Tabletext1"/>
              <w:rPr>
                <w:snapToGrid w:val="0"/>
                <w:lang w:eastAsia="en-US"/>
              </w:rPr>
            </w:pPr>
            <w:r>
              <w:rPr>
                <w:snapToGrid w:val="0"/>
                <w:lang w:eastAsia="en-US"/>
              </w:rPr>
              <w:t xml:space="preserve">Franceschini 2020 </w:t>
            </w:r>
            <w:r>
              <w:t>($382.03)</w:t>
            </w:r>
          </w:p>
        </w:tc>
        <w:tc>
          <w:tcPr>
            <w:tcW w:w="1729" w:type="pct"/>
            <w:shd w:val="clear" w:color="auto" w:fill="auto"/>
            <w:vAlign w:val="center"/>
          </w:tcPr>
          <w:p w14:paraId="15C7BF9F" w14:textId="617329CB" w:rsidR="002E3458" w:rsidRDefault="002E3458" w:rsidP="000A4AD3">
            <w:pPr>
              <w:pStyle w:val="Tabletext1"/>
              <w:rPr>
                <w:snapToGrid w:val="0"/>
                <w:lang w:eastAsia="en-US"/>
              </w:rPr>
            </w:pPr>
            <w:r>
              <w:rPr>
                <w:snapToGrid w:val="0"/>
                <w:lang w:eastAsia="en-US"/>
              </w:rPr>
              <w:t>High, favours DAC</w:t>
            </w:r>
            <w:r w:rsidR="00304D76">
              <w:rPr>
                <w:snapToGrid w:val="0"/>
                <w:lang w:eastAsia="en-US"/>
              </w:rPr>
              <w:t>+antibiotics</w:t>
            </w:r>
          </w:p>
        </w:tc>
      </w:tr>
      <w:tr w:rsidR="002E3458" w:rsidRPr="00183E4D" w14:paraId="52952FAF" w14:textId="77777777" w:rsidTr="006B444C">
        <w:tc>
          <w:tcPr>
            <w:tcW w:w="1506" w:type="pct"/>
            <w:shd w:val="clear" w:color="auto" w:fill="auto"/>
            <w:vAlign w:val="center"/>
          </w:tcPr>
          <w:p w14:paraId="7A5348C1" w14:textId="77777777" w:rsidR="002E3458" w:rsidRDefault="002E3458" w:rsidP="000A4AD3">
            <w:pPr>
              <w:pStyle w:val="Tabletext1"/>
              <w:rPr>
                <w:snapToGrid w:val="0"/>
                <w:lang w:eastAsia="en-US"/>
              </w:rPr>
            </w:pPr>
            <w:r>
              <w:rPr>
                <w:snapToGrid w:val="0"/>
                <w:lang w:eastAsia="en-US"/>
              </w:rPr>
              <w:t>DAC number of kits (Population 1)</w:t>
            </w:r>
          </w:p>
        </w:tc>
        <w:tc>
          <w:tcPr>
            <w:tcW w:w="1765" w:type="pct"/>
            <w:shd w:val="clear" w:color="auto" w:fill="auto"/>
            <w:vAlign w:val="center"/>
          </w:tcPr>
          <w:p w14:paraId="681B0FF8" w14:textId="3D06872E" w:rsidR="002E3458" w:rsidRPr="00C513DD" w:rsidRDefault="003C233C" w:rsidP="000A4AD3">
            <w:pPr>
              <w:pStyle w:val="Tabletext1"/>
              <w:rPr>
                <w:snapToGrid w:val="0"/>
                <w:lang w:eastAsia="en-US"/>
              </w:rPr>
            </w:pPr>
            <w:r>
              <w:rPr>
                <w:b/>
                <w:bCs/>
                <w:snapToGrid w:val="0"/>
                <w:lang w:eastAsia="en-US"/>
              </w:rPr>
              <w:t xml:space="preserve">redacted </w:t>
            </w:r>
            <w:r w:rsidR="002E3458" w:rsidRPr="00AF0A65">
              <w:rPr>
                <w:snapToGrid w:val="0"/>
                <w:lang w:eastAsia="en-US"/>
              </w:rPr>
              <w:t>k</w:t>
            </w:r>
            <w:r w:rsidR="002E3458">
              <w:rPr>
                <w:snapToGrid w:val="0"/>
                <w:lang w:eastAsia="en-US"/>
              </w:rPr>
              <w:t>its</w:t>
            </w:r>
          </w:p>
        </w:tc>
        <w:tc>
          <w:tcPr>
            <w:tcW w:w="1729" w:type="pct"/>
            <w:shd w:val="clear" w:color="auto" w:fill="auto"/>
            <w:vAlign w:val="center"/>
          </w:tcPr>
          <w:p w14:paraId="714080AC" w14:textId="5E39F57B" w:rsidR="002E3458" w:rsidRDefault="002E3458" w:rsidP="000A4AD3">
            <w:pPr>
              <w:pStyle w:val="Tabletext1"/>
              <w:rPr>
                <w:snapToGrid w:val="0"/>
                <w:lang w:eastAsia="en-US"/>
              </w:rPr>
            </w:pPr>
            <w:r>
              <w:rPr>
                <w:snapToGrid w:val="0"/>
                <w:lang w:eastAsia="en-US"/>
              </w:rPr>
              <w:t>Moderate, less kits than base case favours DAC</w:t>
            </w:r>
            <w:r w:rsidR="00304D76">
              <w:rPr>
                <w:snapToGrid w:val="0"/>
                <w:lang w:eastAsia="en-US"/>
              </w:rPr>
              <w:t>+antibiotics</w:t>
            </w:r>
            <w:r>
              <w:rPr>
                <w:snapToGrid w:val="0"/>
                <w:lang w:eastAsia="en-US"/>
              </w:rPr>
              <w:t>, whereas more favours the comparator</w:t>
            </w:r>
          </w:p>
        </w:tc>
      </w:tr>
      <w:tr w:rsidR="002E3458" w:rsidRPr="00183E4D" w14:paraId="56C18E1A" w14:textId="77777777" w:rsidTr="006B444C">
        <w:tc>
          <w:tcPr>
            <w:tcW w:w="1506" w:type="pct"/>
            <w:shd w:val="clear" w:color="auto" w:fill="auto"/>
            <w:vAlign w:val="center"/>
          </w:tcPr>
          <w:p w14:paraId="40532750" w14:textId="7E54E63D" w:rsidR="002E3458" w:rsidRDefault="002E3458" w:rsidP="000A4AD3">
            <w:pPr>
              <w:pStyle w:val="Tabletext1"/>
              <w:rPr>
                <w:snapToGrid w:val="0"/>
                <w:lang w:eastAsia="en-US"/>
              </w:rPr>
            </w:pPr>
            <w:r>
              <w:rPr>
                <w:snapToGrid w:val="0"/>
                <w:lang w:eastAsia="en-US"/>
              </w:rPr>
              <w:t>DAC</w:t>
            </w:r>
            <w:r w:rsidR="00304D76">
              <w:rPr>
                <w:snapToGrid w:val="0"/>
                <w:lang w:eastAsia="en-US"/>
              </w:rPr>
              <w:t>+antibiotics</w:t>
            </w:r>
            <w:r>
              <w:rPr>
                <w:snapToGrid w:val="0"/>
                <w:lang w:eastAsia="en-US"/>
              </w:rPr>
              <w:t xml:space="preserve"> use (Population 1)</w:t>
            </w:r>
          </w:p>
        </w:tc>
        <w:tc>
          <w:tcPr>
            <w:tcW w:w="1765" w:type="pct"/>
            <w:shd w:val="clear" w:color="auto" w:fill="auto"/>
            <w:vAlign w:val="center"/>
          </w:tcPr>
          <w:p w14:paraId="511800A1" w14:textId="21F0CBEC" w:rsidR="002E3458" w:rsidRDefault="002E3458" w:rsidP="000A4AD3">
            <w:pPr>
              <w:pStyle w:val="Tabletext1"/>
              <w:rPr>
                <w:snapToGrid w:val="0"/>
                <w:lang w:eastAsia="en-US"/>
              </w:rPr>
            </w:pPr>
            <w:r>
              <w:rPr>
                <w:snapToGrid w:val="0"/>
                <w:lang w:eastAsia="en-US"/>
              </w:rPr>
              <w:t>DAC</w:t>
            </w:r>
            <w:r w:rsidR="00304D76">
              <w:rPr>
                <w:snapToGrid w:val="0"/>
                <w:lang w:eastAsia="en-US"/>
              </w:rPr>
              <w:t>+antibiotics</w:t>
            </w:r>
            <w:r>
              <w:rPr>
                <w:snapToGrid w:val="0"/>
                <w:lang w:eastAsia="en-US"/>
              </w:rPr>
              <w:t xml:space="preserve"> used in </w:t>
            </w:r>
            <w:r w:rsidR="0011710A">
              <w:rPr>
                <w:snapToGrid w:val="0"/>
                <w:lang w:eastAsia="en-US"/>
              </w:rPr>
              <w:t>epTJA and revisions</w:t>
            </w:r>
          </w:p>
        </w:tc>
        <w:tc>
          <w:tcPr>
            <w:tcW w:w="1729" w:type="pct"/>
            <w:shd w:val="clear" w:color="auto" w:fill="auto"/>
            <w:vAlign w:val="center"/>
          </w:tcPr>
          <w:p w14:paraId="20DCEECA" w14:textId="372AC5AF" w:rsidR="002E3458" w:rsidRDefault="002E3458" w:rsidP="000A4AD3">
            <w:pPr>
              <w:pStyle w:val="Tabletext1"/>
              <w:rPr>
                <w:snapToGrid w:val="0"/>
                <w:lang w:eastAsia="en-US"/>
              </w:rPr>
            </w:pPr>
            <w:r>
              <w:rPr>
                <w:snapToGrid w:val="0"/>
                <w:lang w:eastAsia="en-US"/>
              </w:rPr>
              <w:t>Moderate, favours DAC</w:t>
            </w:r>
            <w:r w:rsidR="00304D76">
              <w:rPr>
                <w:snapToGrid w:val="0"/>
                <w:lang w:eastAsia="en-US"/>
              </w:rPr>
              <w:t>+antibiotics</w:t>
            </w:r>
            <w:r w:rsidDel="00A23B1F">
              <w:rPr>
                <w:snapToGrid w:val="0"/>
                <w:lang w:eastAsia="en-US"/>
              </w:rPr>
              <w:t xml:space="preserve"> </w:t>
            </w:r>
          </w:p>
        </w:tc>
      </w:tr>
    </w:tbl>
    <w:p w14:paraId="4993E92C" w14:textId="77777777" w:rsidR="00FC3571" w:rsidRDefault="00FC3571" w:rsidP="00607722">
      <w:pPr>
        <w:pStyle w:val="Tablenotes0"/>
      </w:pPr>
      <w:r>
        <w:t>Source: Table 7, pg 42 of MSAC 1629 DCAR</w:t>
      </w:r>
    </w:p>
    <w:p w14:paraId="3551C601" w14:textId="20F315DA" w:rsidR="002B1E4F" w:rsidRDefault="002E3458" w:rsidP="00791836">
      <w:pPr>
        <w:pStyle w:val="Tablenotes0"/>
        <w:spacing w:after="240"/>
        <w:contextualSpacing w:val="0"/>
      </w:pPr>
      <w:r>
        <w:t>Abbreviations: CI=confidence interval; DAC=Defensive Antibacterial Coating</w:t>
      </w:r>
      <w:r w:rsidR="0011710A">
        <w:t xml:space="preserve">; epTJA=elective primary total joint </w:t>
      </w:r>
      <w:r w:rsidR="002D522C">
        <w:t>arthroplasty.</w:t>
      </w:r>
    </w:p>
    <w:p w14:paraId="45CE375F" w14:textId="4E611DD9" w:rsidR="005072DF" w:rsidRPr="00864493" w:rsidRDefault="005072DF" w:rsidP="005072DF">
      <w:pPr>
        <w:pStyle w:val="Caption"/>
        <w:keepNext/>
        <w:keepLines/>
      </w:pPr>
      <w:bookmarkStart w:id="85" w:name="_Ref67941819"/>
      <w:bookmarkStart w:id="86" w:name="_Toc73971299"/>
      <w:bookmarkStart w:id="87" w:name="_Toc74729182"/>
      <w:bookmarkStart w:id="88" w:name="_Toc112076714"/>
      <w:r>
        <w:t xml:space="preserve">Table </w:t>
      </w:r>
      <w:r>
        <w:fldChar w:fldCharType="begin"/>
      </w:r>
      <w:r>
        <w:instrText>SEQ Table \* ARABIC</w:instrText>
      </w:r>
      <w:r>
        <w:fldChar w:fldCharType="separate"/>
      </w:r>
      <w:r>
        <w:rPr>
          <w:noProof/>
        </w:rPr>
        <w:t>8</w:t>
      </w:r>
      <w:r>
        <w:fldChar w:fldCharType="end"/>
      </w:r>
      <w:bookmarkEnd w:id="85"/>
      <w:r>
        <w:tab/>
        <w:t>Sensitivity analyses of the economic model (Population 1, hip)</w:t>
      </w:r>
      <w:bookmarkEnd w:id="86"/>
      <w:bookmarkEnd w:id="87"/>
      <w:bookmarkEnd w:id="88"/>
    </w:p>
    <w:tbl>
      <w:tblPr>
        <w:tblStyle w:val="TableGrid1"/>
        <w:tblW w:w="5000" w:type="pct"/>
        <w:tblCellMar>
          <w:left w:w="28" w:type="dxa"/>
          <w:right w:w="28" w:type="dxa"/>
        </w:tblCellMar>
        <w:tblLook w:val="04A0" w:firstRow="1" w:lastRow="0" w:firstColumn="1" w:lastColumn="0" w:noHBand="0" w:noVBand="1"/>
        <w:tblCaption w:val="Sensitivity analyses of the economic model (Population 1, hip)"/>
        <w:tblDescription w:val="This table presents the sensitivity analysis on dicosunt rate, time horizon, DAC effect, transition probabilities, costs, utilities, and other scenarios for Population 1, hip."/>
      </w:tblPr>
      <w:tblGrid>
        <w:gridCol w:w="1699"/>
        <w:gridCol w:w="2128"/>
        <w:gridCol w:w="977"/>
        <w:gridCol w:w="1143"/>
        <w:gridCol w:w="1470"/>
        <w:gridCol w:w="1599"/>
      </w:tblGrid>
      <w:tr w:rsidR="005072DF" w:rsidRPr="00050D84" w14:paraId="795E0E62" w14:textId="77777777" w:rsidTr="00D22060">
        <w:trPr>
          <w:cnfStyle w:val="100000000000" w:firstRow="1" w:lastRow="0" w:firstColumn="0" w:lastColumn="0" w:oddVBand="0" w:evenVBand="0" w:oddHBand="0" w:evenHBand="0" w:firstRowFirstColumn="0" w:firstRowLastColumn="0" w:lastRowFirstColumn="0" w:lastRowLastColumn="0"/>
          <w:tblHeader/>
        </w:trPr>
        <w:tc>
          <w:tcPr>
            <w:tcW w:w="2122" w:type="pct"/>
            <w:gridSpan w:val="2"/>
            <w:shd w:val="clear" w:color="auto" w:fill="auto"/>
          </w:tcPr>
          <w:p w14:paraId="132F1C85" w14:textId="77777777" w:rsidR="005072DF" w:rsidRPr="00050D84" w:rsidRDefault="005072DF" w:rsidP="00D22060">
            <w:pPr>
              <w:pStyle w:val="TableText0"/>
              <w:keepLines/>
              <w:rPr>
                <w:b/>
                <w:snapToGrid w:val="0"/>
              </w:rPr>
            </w:pPr>
            <w:r w:rsidRPr="00050D84">
              <w:rPr>
                <w:b/>
                <w:snapToGrid w:val="0"/>
              </w:rPr>
              <w:t>Description</w:t>
            </w:r>
          </w:p>
        </w:tc>
        <w:tc>
          <w:tcPr>
            <w:tcW w:w="542" w:type="pct"/>
            <w:shd w:val="clear" w:color="auto" w:fill="auto"/>
          </w:tcPr>
          <w:p w14:paraId="1165C81A" w14:textId="77777777" w:rsidR="005072DF" w:rsidRPr="00050D84" w:rsidRDefault="005072DF" w:rsidP="00D22060">
            <w:pPr>
              <w:pStyle w:val="TableText0"/>
              <w:keepLines/>
              <w:rPr>
                <w:b/>
                <w:snapToGrid w:val="0"/>
              </w:rPr>
            </w:pPr>
            <w:r w:rsidRPr="00050D84">
              <w:rPr>
                <w:b/>
                <w:snapToGrid w:val="0"/>
              </w:rPr>
              <w:t>Incremental cost</w:t>
            </w:r>
          </w:p>
        </w:tc>
        <w:tc>
          <w:tcPr>
            <w:tcW w:w="634" w:type="pct"/>
          </w:tcPr>
          <w:p w14:paraId="08BA4040" w14:textId="77777777" w:rsidR="005072DF" w:rsidRPr="00050D84" w:rsidRDefault="005072DF" w:rsidP="00D22060">
            <w:pPr>
              <w:pStyle w:val="TableText0"/>
              <w:keepLines/>
              <w:rPr>
                <w:b/>
                <w:snapToGrid w:val="0"/>
              </w:rPr>
            </w:pPr>
            <w:r w:rsidRPr="00050D84">
              <w:rPr>
                <w:b/>
                <w:snapToGrid w:val="0"/>
              </w:rPr>
              <w:t xml:space="preserve">Incremental </w:t>
            </w:r>
            <w:r>
              <w:rPr>
                <w:b/>
                <w:snapToGrid w:val="0"/>
              </w:rPr>
              <w:t xml:space="preserve">QALYs </w:t>
            </w:r>
          </w:p>
        </w:tc>
        <w:tc>
          <w:tcPr>
            <w:tcW w:w="815" w:type="pct"/>
          </w:tcPr>
          <w:p w14:paraId="6C3F9091" w14:textId="77777777" w:rsidR="005072DF" w:rsidRPr="00050D84" w:rsidRDefault="005072DF" w:rsidP="00D22060">
            <w:pPr>
              <w:pStyle w:val="TableText0"/>
              <w:keepLines/>
              <w:rPr>
                <w:b/>
                <w:snapToGrid w:val="0"/>
              </w:rPr>
            </w:pPr>
            <w:r w:rsidRPr="00050D84">
              <w:rPr>
                <w:b/>
                <w:snapToGrid w:val="0"/>
              </w:rPr>
              <w:t>ICER</w:t>
            </w:r>
            <w:r>
              <w:rPr>
                <w:b/>
                <w:snapToGrid w:val="0"/>
              </w:rPr>
              <w:t xml:space="preserve"> </w:t>
            </w:r>
          </w:p>
        </w:tc>
        <w:tc>
          <w:tcPr>
            <w:tcW w:w="887" w:type="pct"/>
            <w:shd w:val="clear" w:color="auto" w:fill="auto"/>
          </w:tcPr>
          <w:p w14:paraId="5D9A0927" w14:textId="77777777" w:rsidR="005072DF" w:rsidRPr="00050D84" w:rsidRDefault="005072DF" w:rsidP="00D22060">
            <w:pPr>
              <w:pStyle w:val="TableText0"/>
              <w:keepLines/>
              <w:rPr>
                <w:b/>
                <w:snapToGrid w:val="0"/>
              </w:rPr>
            </w:pPr>
            <w:r w:rsidRPr="00050D84">
              <w:rPr>
                <w:b/>
                <w:snapToGrid w:val="0"/>
              </w:rPr>
              <w:t>% change to IC</w:t>
            </w:r>
            <w:r>
              <w:rPr>
                <w:b/>
                <w:snapToGrid w:val="0"/>
              </w:rPr>
              <w:t>ER</w:t>
            </w:r>
          </w:p>
        </w:tc>
      </w:tr>
      <w:tr w:rsidR="005072DF" w:rsidRPr="00050D84" w14:paraId="5947A65E"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285AB10D" w14:textId="77777777" w:rsidR="005072DF" w:rsidRPr="00050D84" w:rsidRDefault="005072DF" w:rsidP="00D22060">
            <w:pPr>
              <w:pStyle w:val="TableText0"/>
              <w:keepNext w:val="0"/>
            </w:pPr>
            <w:r w:rsidRPr="00050D84">
              <w:t>Base Case</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A47057B" w14:textId="77777777" w:rsidR="005072DF" w:rsidRPr="00050D84"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1AA1DA5" w14:textId="77777777" w:rsidR="005072DF" w:rsidRPr="00050D84"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640143E" w14:textId="77777777" w:rsidR="005072DF" w:rsidRPr="00050D84" w:rsidRDefault="005072DF" w:rsidP="00D22060">
            <w:pPr>
              <w:pStyle w:val="TableText0"/>
              <w:keepNext w:val="0"/>
              <w:jc w:val="right"/>
            </w:pPr>
            <w:r>
              <w:t>$189,025</w:t>
            </w:r>
          </w:p>
        </w:tc>
        <w:tc>
          <w:tcPr>
            <w:tcW w:w="887" w:type="pct"/>
            <w:tcBorders>
              <w:top w:val="single" w:sz="4" w:space="0" w:color="auto"/>
              <w:left w:val="single" w:sz="4" w:space="0" w:color="auto"/>
              <w:bottom w:val="single" w:sz="4" w:space="0" w:color="auto"/>
            </w:tcBorders>
            <w:shd w:val="clear" w:color="auto" w:fill="auto"/>
          </w:tcPr>
          <w:p w14:paraId="63554512" w14:textId="77777777" w:rsidR="005072DF" w:rsidRPr="00050D84" w:rsidRDefault="005072DF" w:rsidP="00D22060">
            <w:pPr>
              <w:pStyle w:val="TableText0"/>
              <w:keepNext w:val="0"/>
              <w:jc w:val="right"/>
            </w:pPr>
            <w:r>
              <w:t>100%</w:t>
            </w:r>
          </w:p>
        </w:tc>
      </w:tr>
      <w:tr w:rsidR="005072DF" w:rsidRPr="00B62878" w14:paraId="4FA05DEA" w14:textId="77777777" w:rsidTr="00D22060">
        <w:tc>
          <w:tcPr>
            <w:tcW w:w="5000" w:type="pct"/>
            <w:gridSpan w:val="6"/>
            <w:shd w:val="clear" w:color="auto" w:fill="auto"/>
          </w:tcPr>
          <w:p w14:paraId="2CC65464" w14:textId="77777777" w:rsidR="005072DF" w:rsidRPr="00B62878" w:rsidRDefault="005072DF" w:rsidP="00D22060">
            <w:pPr>
              <w:pStyle w:val="TableText0"/>
              <w:keepNext w:val="0"/>
              <w:rPr>
                <w:b/>
              </w:rPr>
            </w:pPr>
            <w:r w:rsidRPr="00B62878">
              <w:rPr>
                <w:b/>
              </w:rPr>
              <w:t>Univariate analyses</w:t>
            </w:r>
          </w:p>
        </w:tc>
      </w:tr>
      <w:tr w:rsidR="005072DF" w:rsidRPr="00050D84" w14:paraId="6422C62B" w14:textId="77777777" w:rsidTr="00D22060">
        <w:tc>
          <w:tcPr>
            <w:tcW w:w="5000" w:type="pct"/>
            <w:gridSpan w:val="6"/>
            <w:shd w:val="clear" w:color="auto" w:fill="auto"/>
          </w:tcPr>
          <w:p w14:paraId="563FAED3" w14:textId="77777777" w:rsidR="005072DF" w:rsidRPr="00050D84" w:rsidRDefault="005072DF" w:rsidP="00D22060">
            <w:pPr>
              <w:pStyle w:val="TableText0"/>
              <w:keepNext w:val="0"/>
            </w:pPr>
            <w:r w:rsidRPr="00050D84">
              <w:t>Discount rate (base case 5% costs and outcomes)</w:t>
            </w:r>
          </w:p>
        </w:tc>
      </w:tr>
      <w:tr w:rsidR="005072DF" w:rsidRPr="00050D84" w14:paraId="1E0FA35C"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25194095" w14:textId="77777777" w:rsidR="005072DF" w:rsidRPr="006933E7" w:rsidRDefault="005072DF" w:rsidP="00D22060">
            <w:pPr>
              <w:pStyle w:val="TableText0"/>
              <w:keepNext w:val="0"/>
            </w:pPr>
            <w:r w:rsidRPr="006933E7">
              <w:t>0% costs and outcomes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4CF4941" w14:textId="77777777" w:rsidR="005072DF" w:rsidRPr="00050D84" w:rsidRDefault="005072DF" w:rsidP="00D22060">
            <w:pPr>
              <w:pStyle w:val="TableText0"/>
              <w:keepNext w:val="0"/>
              <w:jc w:val="right"/>
            </w:pPr>
            <w:r>
              <w:t>$3,476</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F3A1423" w14:textId="77777777" w:rsidR="005072DF" w:rsidRPr="00050D84" w:rsidRDefault="005072DF" w:rsidP="00D22060">
            <w:pPr>
              <w:pStyle w:val="TableText0"/>
              <w:keepNext w:val="0"/>
              <w:jc w:val="right"/>
            </w:pPr>
            <w:r>
              <w:t>0.027</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2234E2A" w14:textId="77777777" w:rsidR="005072DF" w:rsidRPr="00050D84" w:rsidRDefault="005072DF" w:rsidP="00D22060">
            <w:pPr>
              <w:pStyle w:val="TableText0"/>
              <w:keepNext w:val="0"/>
              <w:jc w:val="right"/>
            </w:pPr>
            <w:r>
              <w:t>$126,743</w:t>
            </w:r>
          </w:p>
        </w:tc>
        <w:tc>
          <w:tcPr>
            <w:tcW w:w="887" w:type="pct"/>
            <w:tcBorders>
              <w:top w:val="single" w:sz="4" w:space="0" w:color="auto"/>
              <w:left w:val="single" w:sz="4" w:space="0" w:color="auto"/>
              <w:bottom w:val="single" w:sz="4" w:space="0" w:color="auto"/>
            </w:tcBorders>
            <w:shd w:val="clear" w:color="auto" w:fill="auto"/>
          </w:tcPr>
          <w:p w14:paraId="7F7A9E16" w14:textId="77777777" w:rsidR="005072DF" w:rsidRPr="00050D84" w:rsidRDefault="005072DF" w:rsidP="00D22060">
            <w:pPr>
              <w:pStyle w:val="TableText0"/>
              <w:keepNext w:val="0"/>
              <w:jc w:val="right"/>
            </w:pPr>
            <w:r w:rsidRPr="00D70E58">
              <w:t>-32.95%</w:t>
            </w:r>
          </w:p>
        </w:tc>
      </w:tr>
      <w:tr w:rsidR="005072DF" w:rsidRPr="00050D84" w14:paraId="5E77B387"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58FAD384" w14:textId="77777777" w:rsidR="005072DF" w:rsidRPr="00050D84" w:rsidRDefault="005072DF" w:rsidP="00D22060">
            <w:pPr>
              <w:pStyle w:val="TableText0"/>
              <w:keepNext w:val="0"/>
            </w:pPr>
            <w:r w:rsidRPr="00050D84">
              <w:t>3.5% costs and outcomes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99159A7" w14:textId="77777777" w:rsidR="005072DF" w:rsidRPr="00050D84" w:rsidRDefault="005072DF" w:rsidP="00D22060">
            <w:pPr>
              <w:pStyle w:val="TableText0"/>
              <w:keepNext w:val="0"/>
              <w:jc w:val="right"/>
            </w:pPr>
            <w:r>
              <w:t>$3,481</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8292852" w14:textId="77777777" w:rsidR="005072DF" w:rsidRPr="00050D84" w:rsidRDefault="005072DF" w:rsidP="00D22060">
            <w:pPr>
              <w:pStyle w:val="TableText0"/>
              <w:keepNext w:val="0"/>
              <w:jc w:val="right"/>
            </w:pPr>
            <w:r>
              <w:t>0.021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DFCA4A8" w14:textId="77777777" w:rsidR="005072DF" w:rsidRPr="00050D84" w:rsidRDefault="005072DF" w:rsidP="00D22060">
            <w:pPr>
              <w:pStyle w:val="TableText0"/>
              <w:keepNext w:val="0"/>
              <w:jc w:val="right"/>
            </w:pPr>
            <w:r>
              <w:t>$169,158</w:t>
            </w:r>
          </w:p>
        </w:tc>
        <w:tc>
          <w:tcPr>
            <w:tcW w:w="887" w:type="pct"/>
            <w:tcBorders>
              <w:top w:val="single" w:sz="4" w:space="0" w:color="auto"/>
              <w:left w:val="single" w:sz="4" w:space="0" w:color="auto"/>
              <w:bottom w:val="single" w:sz="4" w:space="0" w:color="auto"/>
            </w:tcBorders>
            <w:shd w:val="clear" w:color="auto" w:fill="auto"/>
          </w:tcPr>
          <w:p w14:paraId="1045BD31" w14:textId="77777777" w:rsidR="005072DF" w:rsidRPr="00050D84" w:rsidRDefault="005072DF" w:rsidP="00D22060">
            <w:pPr>
              <w:pStyle w:val="TableText0"/>
              <w:keepNext w:val="0"/>
              <w:jc w:val="right"/>
            </w:pPr>
            <w:r w:rsidRPr="00D70E58">
              <w:t>-10.51%</w:t>
            </w:r>
          </w:p>
        </w:tc>
      </w:tr>
      <w:tr w:rsidR="005072DF" w:rsidRPr="00050D84" w14:paraId="772260B6" w14:textId="77777777" w:rsidTr="00D22060">
        <w:tc>
          <w:tcPr>
            <w:tcW w:w="5000" w:type="pct"/>
            <w:gridSpan w:val="6"/>
            <w:shd w:val="clear" w:color="auto" w:fill="auto"/>
          </w:tcPr>
          <w:p w14:paraId="312F1AC2" w14:textId="77777777" w:rsidR="005072DF" w:rsidRPr="00050D84" w:rsidRDefault="005072DF" w:rsidP="00D22060">
            <w:pPr>
              <w:pStyle w:val="TableText0"/>
              <w:keepNext w:val="0"/>
            </w:pPr>
            <w:r w:rsidRPr="00050D84">
              <w:t xml:space="preserve">Time horizon (base case </w:t>
            </w:r>
            <w:r>
              <w:t>2</w:t>
            </w:r>
            <w:r w:rsidRPr="00050D84">
              <w:t>0 years)</w:t>
            </w:r>
          </w:p>
        </w:tc>
      </w:tr>
      <w:tr w:rsidR="005072DF" w:rsidRPr="00050D84" w14:paraId="28545BE1"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7CE516F5" w14:textId="77777777" w:rsidR="005072DF" w:rsidRPr="00050D84" w:rsidRDefault="005072DF" w:rsidP="00D22060">
            <w:pPr>
              <w:pStyle w:val="TableText0"/>
              <w:keepNext w:val="0"/>
            </w:pPr>
            <w:r w:rsidRPr="00050D84">
              <w:t>1 year</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BAEA41F" w14:textId="77777777" w:rsidR="005072DF" w:rsidRPr="00050D84" w:rsidRDefault="005072DF" w:rsidP="00D22060">
            <w:pPr>
              <w:pStyle w:val="TableText0"/>
              <w:keepNext w:val="0"/>
              <w:jc w:val="right"/>
            </w:pPr>
            <w:r>
              <w:t>$3,620</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5DB217C" w14:textId="77777777" w:rsidR="005072DF" w:rsidRPr="00050D84" w:rsidRDefault="005072DF" w:rsidP="00D22060">
            <w:pPr>
              <w:pStyle w:val="TableText0"/>
              <w:keepNext w:val="0"/>
              <w:jc w:val="right"/>
            </w:pPr>
            <w:r>
              <w:t>0.0012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2A0855C" w14:textId="77777777" w:rsidR="005072DF" w:rsidRPr="00973B00" w:rsidRDefault="005072DF" w:rsidP="00D22060">
            <w:pPr>
              <w:pStyle w:val="TableText0"/>
              <w:keepNext w:val="0"/>
              <w:jc w:val="right"/>
            </w:pPr>
            <w:r w:rsidRPr="00973B00">
              <w:t>$3,090,611</w:t>
            </w:r>
          </w:p>
        </w:tc>
        <w:tc>
          <w:tcPr>
            <w:tcW w:w="887" w:type="pct"/>
            <w:tcBorders>
              <w:top w:val="single" w:sz="4" w:space="0" w:color="auto"/>
              <w:left w:val="single" w:sz="4" w:space="0" w:color="auto"/>
              <w:bottom w:val="single" w:sz="4" w:space="0" w:color="auto"/>
            </w:tcBorders>
            <w:shd w:val="clear" w:color="auto" w:fill="auto"/>
          </w:tcPr>
          <w:p w14:paraId="1329093E" w14:textId="77777777" w:rsidR="005072DF" w:rsidRPr="00050D84" w:rsidRDefault="005072DF" w:rsidP="00D22060">
            <w:pPr>
              <w:pStyle w:val="TableText0"/>
              <w:keepNext w:val="0"/>
              <w:jc w:val="right"/>
            </w:pPr>
            <w:r w:rsidRPr="0010119E">
              <w:t>1535.03%</w:t>
            </w:r>
            <w:r>
              <w:t>*</w:t>
            </w:r>
          </w:p>
        </w:tc>
      </w:tr>
      <w:tr w:rsidR="005072DF" w:rsidRPr="00050D84" w14:paraId="0069A67A"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47557DBC" w14:textId="77777777" w:rsidR="005072DF" w:rsidRPr="00050D84" w:rsidRDefault="005072DF" w:rsidP="00D22060">
            <w:pPr>
              <w:pStyle w:val="TableText0"/>
              <w:keepNext w:val="0"/>
            </w:pPr>
            <w:r>
              <w:t>2</w:t>
            </w:r>
            <w:r w:rsidRPr="00050D84">
              <w:t xml:space="preserve"> years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5C57B93" w14:textId="77777777" w:rsidR="005072DF" w:rsidRPr="00050D84" w:rsidRDefault="005072DF" w:rsidP="00D22060">
            <w:pPr>
              <w:pStyle w:val="TableText0"/>
              <w:keepNext w:val="0"/>
              <w:jc w:val="right"/>
            </w:pPr>
            <w:r>
              <w:t>$3,546</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4228DEA" w14:textId="77777777" w:rsidR="005072DF" w:rsidRPr="00050D84" w:rsidRDefault="005072DF" w:rsidP="00D22060">
            <w:pPr>
              <w:pStyle w:val="TableText0"/>
              <w:keepNext w:val="0"/>
              <w:jc w:val="right"/>
            </w:pPr>
            <w:r>
              <w:t>0.0030</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CAB5034" w14:textId="77777777" w:rsidR="005072DF" w:rsidRPr="00973B00" w:rsidRDefault="005072DF" w:rsidP="00D22060">
            <w:pPr>
              <w:pStyle w:val="TableText0"/>
              <w:keepNext w:val="0"/>
              <w:jc w:val="right"/>
            </w:pPr>
            <w:r w:rsidRPr="00973B00">
              <w:t>$1,175,616</w:t>
            </w:r>
          </w:p>
        </w:tc>
        <w:tc>
          <w:tcPr>
            <w:tcW w:w="887" w:type="pct"/>
            <w:tcBorders>
              <w:top w:val="single" w:sz="4" w:space="0" w:color="auto"/>
              <w:left w:val="single" w:sz="4" w:space="0" w:color="auto"/>
              <w:bottom w:val="single" w:sz="4" w:space="0" w:color="auto"/>
            </w:tcBorders>
            <w:shd w:val="clear" w:color="auto" w:fill="auto"/>
          </w:tcPr>
          <w:p w14:paraId="0330C106" w14:textId="77777777" w:rsidR="005072DF" w:rsidRPr="00050D84" w:rsidRDefault="005072DF" w:rsidP="00D22060">
            <w:pPr>
              <w:pStyle w:val="TableText0"/>
              <w:keepNext w:val="0"/>
              <w:jc w:val="right"/>
            </w:pPr>
            <w:r w:rsidRPr="0010119E">
              <w:t>521.94%</w:t>
            </w:r>
            <w:r>
              <w:t>*</w:t>
            </w:r>
          </w:p>
        </w:tc>
      </w:tr>
      <w:tr w:rsidR="005072DF" w:rsidRPr="00050D84" w14:paraId="18326FF6"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702438A3" w14:textId="77777777" w:rsidR="005072DF" w:rsidRPr="00050D84" w:rsidRDefault="005072DF" w:rsidP="00D22060">
            <w:pPr>
              <w:pStyle w:val="TableText0"/>
              <w:keepNext w:val="0"/>
            </w:pPr>
            <w:r>
              <w:t>5</w:t>
            </w:r>
            <w:r w:rsidRPr="00050D84">
              <w:t xml:space="preserve"> years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89DBD65" w14:textId="77777777" w:rsidR="005072DF" w:rsidRPr="00050D84" w:rsidRDefault="005072DF" w:rsidP="00D22060">
            <w:pPr>
              <w:pStyle w:val="TableText0"/>
              <w:keepNext w:val="0"/>
              <w:jc w:val="right"/>
            </w:pPr>
            <w:r>
              <w:t>$3,469</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677A2D6" w14:textId="77777777" w:rsidR="005072DF" w:rsidRPr="00050D84" w:rsidRDefault="005072DF" w:rsidP="00D22060">
            <w:pPr>
              <w:pStyle w:val="TableText0"/>
              <w:keepNext w:val="0"/>
              <w:jc w:val="right"/>
            </w:pPr>
            <w:r>
              <w:t>0.0074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6AEA8BD" w14:textId="77777777" w:rsidR="005072DF" w:rsidRPr="00973B00" w:rsidRDefault="005072DF" w:rsidP="00D22060">
            <w:pPr>
              <w:pStyle w:val="TableText0"/>
              <w:keepNext w:val="0"/>
              <w:jc w:val="right"/>
            </w:pPr>
            <w:r w:rsidRPr="00973B00">
              <w:t>$471,588</w:t>
            </w:r>
          </w:p>
        </w:tc>
        <w:tc>
          <w:tcPr>
            <w:tcW w:w="887" w:type="pct"/>
            <w:tcBorders>
              <w:top w:val="single" w:sz="4" w:space="0" w:color="auto"/>
              <w:left w:val="single" w:sz="4" w:space="0" w:color="auto"/>
              <w:bottom w:val="single" w:sz="4" w:space="0" w:color="auto"/>
            </w:tcBorders>
            <w:shd w:val="clear" w:color="auto" w:fill="auto"/>
          </w:tcPr>
          <w:p w14:paraId="758C0897" w14:textId="77777777" w:rsidR="005072DF" w:rsidRPr="00050D84" w:rsidRDefault="005072DF" w:rsidP="00D22060">
            <w:pPr>
              <w:pStyle w:val="TableText0"/>
              <w:keepNext w:val="0"/>
              <w:jc w:val="right"/>
            </w:pPr>
            <w:r w:rsidRPr="0010119E">
              <w:t>149.48%</w:t>
            </w:r>
            <w:r>
              <w:t>*</w:t>
            </w:r>
          </w:p>
        </w:tc>
      </w:tr>
      <w:tr w:rsidR="005072DF" w:rsidRPr="00050D84" w14:paraId="30C226F8"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61FDE172" w14:textId="77777777" w:rsidR="005072DF" w:rsidRPr="00050D84" w:rsidRDefault="005072DF" w:rsidP="00D22060">
            <w:pPr>
              <w:pStyle w:val="TableText0"/>
              <w:keepNext w:val="0"/>
            </w:pPr>
            <w:r>
              <w:t>10</w:t>
            </w:r>
            <w:r w:rsidRPr="00050D84">
              <w:t xml:space="preserve"> years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63BEAB47" w14:textId="77777777" w:rsidR="005072DF" w:rsidRPr="00050D84" w:rsidRDefault="005072DF" w:rsidP="00D22060">
            <w:pPr>
              <w:pStyle w:val="TableText0"/>
              <w:keepNext w:val="0"/>
              <w:jc w:val="right"/>
            </w:pPr>
            <w:r>
              <w:t>$3,475</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4BDACF8" w14:textId="77777777" w:rsidR="005072DF" w:rsidRPr="00050D84" w:rsidRDefault="005072DF" w:rsidP="00D22060">
            <w:pPr>
              <w:pStyle w:val="TableText0"/>
              <w:keepNext w:val="0"/>
              <w:jc w:val="right"/>
            </w:pPr>
            <w:r>
              <w:t>0.012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BA16855" w14:textId="77777777" w:rsidR="005072DF" w:rsidRPr="00973B00" w:rsidRDefault="005072DF" w:rsidP="00D22060">
            <w:pPr>
              <w:pStyle w:val="TableText0"/>
              <w:keepNext w:val="0"/>
              <w:jc w:val="right"/>
            </w:pPr>
            <w:r w:rsidRPr="00973B00">
              <w:t>$270,642</w:t>
            </w:r>
          </w:p>
        </w:tc>
        <w:tc>
          <w:tcPr>
            <w:tcW w:w="887" w:type="pct"/>
            <w:tcBorders>
              <w:top w:val="single" w:sz="4" w:space="0" w:color="auto"/>
              <w:left w:val="single" w:sz="4" w:space="0" w:color="auto"/>
              <w:bottom w:val="single" w:sz="4" w:space="0" w:color="auto"/>
            </w:tcBorders>
            <w:shd w:val="clear" w:color="auto" w:fill="auto"/>
          </w:tcPr>
          <w:p w14:paraId="1A2C4E3D" w14:textId="77777777" w:rsidR="005072DF" w:rsidRPr="00050D84" w:rsidRDefault="005072DF" w:rsidP="00D22060">
            <w:pPr>
              <w:pStyle w:val="TableText0"/>
              <w:keepNext w:val="0"/>
              <w:jc w:val="right"/>
            </w:pPr>
            <w:r w:rsidRPr="0010119E">
              <w:t>43.18%</w:t>
            </w:r>
            <w:r>
              <w:t>*</w:t>
            </w:r>
          </w:p>
        </w:tc>
      </w:tr>
      <w:tr w:rsidR="005072DF" w:rsidRPr="00050D84" w14:paraId="5F1DE895" w14:textId="77777777" w:rsidTr="00D22060">
        <w:tc>
          <w:tcPr>
            <w:tcW w:w="5000" w:type="pct"/>
            <w:gridSpan w:val="6"/>
            <w:shd w:val="clear" w:color="auto" w:fill="auto"/>
          </w:tcPr>
          <w:p w14:paraId="235DC366" w14:textId="77777777" w:rsidR="005072DF" w:rsidRPr="00050D84" w:rsidRDefault="005072DF" w:rsidP="00D22060">
            <w:pPr>
              <w:pStyle w:val="TableText0"/>
              <w:keepNext w:val="0"/>
            </w:pPr>
            <w:r>
              <w:t>Relative risk DAC+abs vs. no DAC+abs</w:t>
            </w:r>
          </w:p>
        </w:tc>
      </w:tr>
      <w:tr w:rsidR="005072DF" w:rsidRPr="00050D84" w14:paraId="4BDE4EF4"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197095BD" w14:textId="77777777" w:rsidR="005072DF" w:rsidRPr="00050D84" w:rsidRDefault="005072DF" w:rsidP="00D22060">
            <w:pPr>
              <w:pStyle w:val="TableText0"/>
              <w:keepNext w:val="0"/>
            </w:pPr>
            <w:r w:rsidRPr="00E27DDD">
              <w:t>Romanò 2016</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F2D45EF" w14:textId="77777777" w:rsidR="005072DF" w:rsidRPr="00050D84" w:rsidRDefault="005072DF" w:rsidP="00D22060">
            <w:pPr>
              <w:pStyle w:val="TableText0"/>
              <w:keepNext w:val="0"/>
            </w:pPr>
            <w:r>
              <w:t>lower 95% CI (0.0277)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6E0A63C" w14:textId="77777777" w:rsidR="005072DF" w:rsidRPr="00050D84" w:rsidRDefault="005072DF" w:rsidP="00D22060">
            <w:pPr>
              <w:pStyle w:val="TableText0"/>
              <w:keepNext w:val="0"/>
              <w:jc w:val="right"/>
            </w:pPr>
            <w:r>
              <w:t>$3,425</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3561F6C" w14:textId="77777777" w:rsidR="005072DF" w:rsidRPr="00050D84" w:rsidRDefault="005072DF" w:rsidP="00D22060">
            <w:pPr>
              <w:pStyle w:val="TableText0"/>
              <w:keepNext w:val="0"/>
              <w:jc w:val="right"/>
            </w:pPr>
            <w:r>
              <w:t>0.024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A001AA0" w14:textId="77777777" w:rsidR="005072DF" w:rsidRPr="00050D84" w:rsidRDefault="005072DF" w:rsidP="00D22060">
            <w:pPr>
              <w:pStyle w:val="TableText0"/>
              <w:keepNext w:val="0"/>
              <w:jc w:val="right"/>
            </w:pPr>
            <w:r>
              <w:t>$145,244</w:t>
            </w:r>
          </w:p>
        </w:tc>
        <w:tc>
          <w:tcPr>
            <w:tcW w:w="887" w:type="pct"/>
            <w:tcBorders>
              <w:top w:val="single" w:sz="4" w:space="0" w:color="auto"/>
              <w:left w:val="single" w:sz="4" w:space="0" w:color="auto"/>
              <w:bottom w:val="single" w:sz="4" w:space="0" w:color="auto"/>
            </w:tcBorders>
            <w:shd w:val="clear" w:color="auto" w:fill="auto"/>
          </w:tcPr>
          <w:p w14:paraId="110A1BEF" w14:textId="77777777" w:rsidR="005072DF" w:rsidRPr="00050D84" w:rsidRDefault="005072DF" w:rsidP="00D22060">
            <w:pPr>
              <w:pStyle w:val="TableText0"/>
              <w:keepNext w:val="0"/>
              <w:jc w:val="right"/>
            </w:pPr>
            <w:r w:rsidRPr="00FA4D36">
              <w:rPr>
                <w:rFonts w:cs="Calibri"/>
                <w:color w:val="000000"/>
                <w:szCs w:val="20"/>
                <w:lang w:eastAsia="en-AU"/>
              </w:rPr>
              <w:t>-23.16%</w:t>
            </w:r>
          </w:p>
        </w:tc>
      </w:tr>
      <w:tr w:rsidR="005072DF" w:rsidRPr="00050D84" w14:paraId="28D4982F" w14:textId="77777777" w:rsidTr="00D22060">
        <w:trPr>
          <w:cantSplit/>
        </w:trPr>
        <w:tc>
          <w:tcPr>
            <w:tcW w:w="942" w:type="pct"/>
            <w:vMerge/>
            <w:tcBorders>
              <w:top w:val="single" w:sz="4" w:space="0" w:color="auto"/>
              <w:bottom w:val="single" w:sz="4" w:space="0" w:color="auto"/>
              <w:right w:val="single" w:sz="4" w:space="0" w:color="auto"/>
            </w:tcBorders>
            <w:shd w:val="clear" w:color="auto" w:fill="auto"/>
          </w:tcPr>
          <w:p w14:paraId="2A87CA26" w14:textId="77777777" w:rsidR="005072DF" w:rsidRDefault="005072DF" w:rsidP="00D22060">
            <w:pPr>
              <w:pStyle w:val="TableText0"/>
              <w:keepNext w:val="0"/>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3662CFAC" w14:textId="77777777" w:rsidR="005072DF" w:rsidRDefault="005072DF" w:rsidP="00D22060">
            <w:pPr>
              <w:pStyle w:val="TableText0"/>
              <w:keepNext w:val="0"/>
            </w:pPr>
            <w:r>
              <w:t>higher 95% CI (2.16)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7C5D859" w14:textId="77777777" w:rsidR="005072DF" w:rsidRPr="00050D84" w:rsidRDefault="005072DF" w:rsidP="00D22060">
            <w:pPr>
              <w:pStyle w:val="TableText0"/>
              <w:keepNext w:val="0"/>
              <w:jc w:val="right"/>
            </w:pPr>
            <w:r>
              <w:t>$4,018</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C098029" w14:textId="77777777" w:rsidR="005072DF" w:rsidRPr="00050D84" w:rsidRDefault="005072DF" w:rsidP="00D22060">
            <w:pPr>
              <w:pStyle w:val="TableText0"/>
              <w:keepNext w:val="0"/>
              <w:jc w:val="right"/>
            </w:pPr>
            <w:r>
              <w:t>-0.028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38676B8" w14:textId="77777777" w:rsidR="005072DF" w:rsidRPr="00050D84" w:rsidRDefault="005072DF" w:rsidP="00D22060">
            <w:pPr>
              <w:pStyle w:val="TableText0"/>
              <w:keepNext w:val="0"/>
              <w:jc w:val="right"/>
            </w:pPr>
            <w:r w:rsidRPr="00973B00">
              <w:t>DAC</w:t>
            </w:r>
            <w:r>
              <w:t>+abs</w:t>
            </w:r>
            <w:r w:rsidRPr="00973B00">
              <w:t xml:space="preserve"> is dominated </w:t>
            </w:r>
          </w:p>
        </w:tc>
        <w:tc>
          <w:tcPr>
            <w:tcW w:w="887" w:type="pct"/>
            <w:tcBorders>
              <w:top w:val="single" w:sz="4" w:space="0" w:color="auto"/>
              <w:left w:val="single" w:sz="4" w:space="0" w:color="auto"/>
              <w:bottom w:val="single" w:sz="4" w:space="0" w:color="auto"/>
            </w:tcBorders>
            <w:shd w:val="clear" w:color="auto" w:fill="auto"/>
          </w:tcPr>
          <w:p w14:paraId="788531CE" w14:textId="77777777" w:rsidR="005072DF" w:rsidRPr="00050D84" w:rsidRDefault="005072DF" w:rsidP="00D22060">
            <w:pPr>
              <w:pStyle w:val="TableText0"/>
              <w:keepNext w:val="0"/>
              <w:jc w:val="right"/>
            </w:pPr>
            <w:r>
              <w:t>NA*</w:t>
            </w:r>
          </w:p>
        </w:tc>
      </w:tr>
      <w:tr w:rsidR="005072DF" w:rsidRPr="00050D84" w14:paraId="4E6B2571" w14:textId="77777777" w:rsidTr="00D22060">
        <w:tc>
          <w:tcPr>
            <w:tcW w:w="5000" w:type="pct"/>
            <w:gridSpan w:val="6"/>
            <w:shd w:val="clear" w:color="auto" w:fill="auto"/>
          </w:tcPr>
          <w:p w14:paraId="7EDF0FB9" w14:textId="77777777" w:rsidR="005072DF" w:rsidRDefault="005072DF" w:rsidP="00D22060">
            <w:pPr>
              <w:pStyle w:val="TableText0"/>
              <w:keepNext w:val="0"/>
            </w:pPr>
            <w:r>
              <w:t>Probabilities</w:t>
            </w:r>
          </w:p>
        </w:tc>
      </w:tr>
      <w:tr w:rsidR="005072DF" w:rsidRPr="00050D84" w14:paraId="1FAB7617"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7F8835FD" w14:textId="77777777" w:rsidR="005072DF" w:rsidRPr="00250965" w:rsidRDefault="005072DF" w:rsidP="00D22060">
            <w:pPr>
              <w:pStyle w:val="TableText0"/>
              <w:keepNext w:val="0"/>
              <w:rPr>
                <w:szCs w:val="20"/>
              </w:rPr>
            </w:pPr>
            <w:r w:rsidRPr="00250965">
              <w:rPr>
                <w:szCs w:val="20"/>
              </w:rPr>
              <w:t>SSI</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78C383A" w14:textId="33C2F7E0" w:rsidR="005072DF" w:rsidRDefault="005072DF" w:rsidP="00D22060">
            <w:pPr>
              <w:pStyle w:val="TableText0"/>
              <w:keepNext w:val="0"/>
            </w:pPr>
            <w:r>
              <w:t>+20% (1.30%)</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955D2B9" w14:textId="77777777" w:rsidR="005072DF" w:rsidRDefault="005072DF" w:rsidP="00D22060">
            <w:pPr>
              <w:pStyle w:val="TableText0"/>
              <w:keepNext w:val="0"/>
              <w:jc w:val="right"/>
            </w:pPr>
            <w:r>
              <w:t>$3,446</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C81F23F" w14:textId="77777777" w:rsidR="005072DF" w:rsidRDefault="005072DF" w:rsidP="00D22060">
            <w:pPr>
              <w:pStyle w:val="TableText0"/>
              <w:keepNext w:val="0"/>
              <w:jc w:val="right"/>
            </w:pPr>
            <w:r>
              <w:t>0.022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037626F" w14:textId="77777777" w:rsidR="005072DF" w:rsidRPr="00431992" w:rsidRDefault="005072DF" w:rsidP="00D22060">
            <w:pPr>
              <w:pStyle w:val="TableText0"/>
              <w:keepNext w:val="0"/>
              <w:jc w:val="right"/>
              <w:rPr>
                <w:highlight w:val="green"/>
              </w:rPr>
            </w:pPr>
            <w:r w:rsidRPr="00C01831">
              <w:t>$</w:t>
            </w:r>
            <w:r>
              <w:t>157,692</w:t>
            </w:r>
          </w:p>
        </w:tc>
        <w:tc>
          <w:tcPr>
            <w:tcW w:w="887" w:type="pct"/>
            <w:tcBorders>
              <w:top w:val="single" w:sz="4" w:space="0" w:color="auto"/>
              <w:left w:val="single" w:sz="4" w:space="0" w:color="auto"/>
              <w:bottom w:val="single" w:sz="4" w:space="0" w:color="auto"/>
            </w:tcBorders>
            <w:shd w:val="clear" w:color="auto" w:fill="auto"/>
          </w:tcPr>
          <w:p w14:paraId="07C8066F" w14:textId="77777777" w:rsidR="005072DF" w:rsidRDefault="005072DF" w:rsidP="00D22060">
            <w:pPr>
              <w:pStyle w:val="TableText0"/>
              <w:keepNext w:val="0"/>
              <w:jc w:val="right"/>
            </w:pPr>
            <w:r w:rsidRPr="00CB58CC">
              <w:t>-16.58%</w:t>
            </w:r>
          </w:p>
        </w:tc>
      </w:tr>
      <w:tr w:rsidR="005072DF" w:rsidRPr="00050D84" w14:paraId="73F9A34B" w14:textId="77777777" w:rsidTr="00D22060">
        <w:tc>
          <w:tcPr>
            <w:tcW w:w="942" w:type="pct"/>
            <w:vMerge/>
            <w:tcBorders>
              <w:top w:val="single" w:sz="4" w:space="0" w:color="auto"/>
              <w:bottom w:val="single" w:sz="4" w:space="0" w:color="auto"/>
              <w:right w:val="single" w:sz="4" w:space="0" w:color="auto"/>
            </w:tcBorders>
            <w:shd w:val="clear" w:color="auto" w:fill="auto"/>
          </w:tcPr>
          <w:p w14:paraId="0FDE18D0"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66AAFD7" w14:textId="0573A76D" w:rsidR="005072DF" w:rsidRDefault="005072DF" w:rsidP="00D22060">
            <w:pPr>
              <w:pStyle w:val="TableText0"/>
              <w:keepNext w:val="0"/>
            </w:pPr>
            <w:r>
              <w:t>-20% (0.86%)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5E8A17F" w14:textId="77777777" w:rsidR="005072DF" w:rsidRDefault="005072DF" w:rsidP="00D22060">
            <w:pPr>
              <w:pStyle w:val="TableText0"/>
              <w:keepNext w:val="0"/>
              <w:jc w:val="right"/>
            </w:pPr>
            <w:r>
              <w:t>$3,523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8886F89" w14:textId="77777777" w:rsidR="005072DF" w:rsidRDefault="005072DF" w:rsidP="00D22060">
            <w:pPr>
              <w:pStyle w:val="TableText0"/>
              <w:keepNext w:val="0"/>
              <w:jc w:val="right"/>
            </w:pPr>
            <w:r>
              <w:t>0.015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52BB1EA" w14:textId="77777777" w:rsidR="005072DF" w:rsidRPr="00431992" w:rsidRDefault="005072DF" w:rsidP="00D22060">
            <w:pPr>
              <w:pStyle w:val="TableText0"/>
              <w:keepNext w:val="0"/>
              <w:jc w:val="right"/>
              <w:rPr>
                <w:highlight w:val="green"/>
              </w:rPr>
            </w:pPr>
            <w:r w:rsidRPr="00C01831">
              <w:t>$</w:t>
            </w:r>
            <w:r>
              <w:t>236,454</w:t>
            </w:r>
          </w:p>
        </w:tc>
        <w:tc>
          <w:tcPr>
            <w:tcW w:w="887" w:type="pct"/>
            <w:tcBorders>
              <w:top w:val="single" w:sz="4" w:space="0" w:color="auto"/>
              <w:left w:val="single" w:sz="4" w:space="0" w:color="auto"/>
              <w:bottom w:val="single" w:sz="4" w:space="0" w:color="auto"/>
            </w:tcBorders>
            <w:shd w:val="clear" w:color="auto" w:fill="auto"/>
          </w:tcPr>
          <w:p w14:paraId="78551AFF" w14:textId="77777777" w:rsidR="005072DF" w:rsidRDefault="005072DF" w:rsidP="00D22060">
            <w:pPr>
              <w:pStyle w:val="TableText0"/>
              <w:keepNext w:val="0"/>
              <w:jc w:val="right"/>
            </w:pPr>
            <w:r w:rsidRPr="00CB58CC">
              <w:t>25.09%</w:t>
            </w:r>
          </w:p>
        </w:tc>
      </w:tr>
      <w:tr w:rsidR="005072DF" w:rsidRPr="00050D84" w14:paraId="3C108FF0" w14:textId="77777777" w:rsidTr="00D22060">
        <w:tc>
          <w:tcPr>
            <w:tcW w:w="942" w:type="pct"/>
            <w:vMerge w:val="restart"/>
            <w:tcBorders>
              <w:top w:val="single" w:sz="4" w:space="0" w:color="auto"/>
              <w:bottom w:val="single" w:sz="4" w:space="0" w:color="auto"/>
              <w:right w:val="single" w:sz="4" w:space="0" w:color="auto"/>
            </w:tcBorders>
            <w:shd w:val="clear" w:color="auto" w:fill="auto"/>
            <w:vAlign w:val="center"/>
          </w:tcPr>
          <w:p w14:paraId="4AFA5B6C" w14:textId="77777777" w:rsidR="005072DF" w:rsidRPr="00250965" w:rsidRDefault="005072DF" w:rsidP="00D22060">
            <w:pPr>
              <w:pStyle w:val="TableText0"/>
              <w:keepNext w:val="0"/>
              <w:rPr>
                <w:szCs w:val="20"/>
              </w:rPr>
            </w:pPr>
            <w:r w:rsidRPr="00250965">
              <w:rPr>
                <w:szCs w:val="20"/>
              </w:rPr>
              <w:t>Recurrent SSI</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1921CB9" w14:textId="7B757A01" w:rsidR="005072DF" w:rsidRDefault="005072DF" w:rsidP="00D22060">
            <w:pPr>
              <w:pStyle w:val="TableText0"/>
              <w:keepNext w:val="0"/>
            </w:pPr>
            <w:r>
              <w:t>+20% 1</w:t>
            </w:r>
            <w:r w:rsidRPr="00AF0A65">
              <w:rPr>
                <w:vertAlign w:val="superscript"/>
              </w:rPr>
              <w:t>st</w:t>
            </w:r>
            <w:r>
              <w:rPr>
                <w:vertAlign w:val="superscript"/>
              </w:rPr>
              <w:t xml:space="preserve"> </w:t>
            </w:r>
            <w:r>
              <w:t>cycle 42.23%</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D649A8E" w14:textId="77777777" w:rsidR="005072DF" w:rsidRDefault="005072DF" w:rsidP="00D22060">
            <w:pPr>
              <w:pStyle w:val="TableText0"/>
              <w:keepNext w:val="0"/>
              <w:jc w:val="right"/>
            </w:pPr>
            <w:r>
              <w:t>$3,469</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78A2003" w14:textId="77777777" w:rsidR="005072DF" w:rsidRDefault="005072DF" w:rsidP="00D22060">
            <w:pPr>
              <w:pStyle w:val="TableText0"/>
              <w:keepNext w:val="0"/>
              <w:jc w:val="right"/>
            </w:pPr>
            <w:r>
              <w:t>0.019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8FB0403" w14:textId="77777777" w:rsidR="005072DF" w:rsidRPr="00431992" w:rsidRDefault="005072DF" w:rsidP="00D22060">
            <w:pPr>
              <w:pStyle w:val="TableText0"/>
              <w:keepNext w:val="0"/>
              <w:jc w:val="right"/>
              <w:rPr>
                <w:highlight w:val="green"/>
              </w:rPr>
            </w:pPr>
            <w:r w:rsidRPr="00C01831">
              <w:t>$</w:t>
            </w:r>
            <w:r>
              <w:t>183,678</w:t>
            </w:r>
          </w:p>
        </w:tc>
        <w:tc>
          <w:tcPr>
            <w:tcW w:w="887" w:type="pct"/>
            <w:tcBorders>
              <w:top w:val="single" w:sz="4" w:space="0" w:color="auto"/>
              <w:left w:val="single" w:sz="4" w:space="0" w:color="auto"/>
              <w:bottom w:val="single" w:sz="4" w:space="0" w:color="auto"/>
            </w:tcBorders>
            <w:shd w:val="clear" w:color="auto" w:fill="auto"/>
          </w:tcPr>
          <w:p w14:paraId="20D59061" w14:textId="77777777" w:rsidR="005072DF" w:rsidRDefault="005072DF" w:rsidP="00D22060">
            <w:pPr>
              <w:pStyle w:val="TableText0"/>
              <w:keepNext w:val="0"/>
              <w:jc w:val="right"/>
            </w:pPr>
            <w:r w:rsidRPr="00CB58CC">
              <w:t>-2.83%</w:t>
            </w:r>
          </w:p>
        </w:tc>
      </w:tr>
      <w:tr w:rsidR="005072DF" w:rsidRPr="00050D84" w14:paraId="28DA3D1D" w14:textId="77777777" w:rsidTr="00D22060">
        <w:tc>
          <w:tcPr>
            <w:tcW w:w="942" w:type="pct"/>
            <w:vMerge/>
            <w:tcBorders>
              <w:top w:val="single" w:sz="4" w:space="0" w:color="auto"/>
              <w:bottom w:val="single" w:sz="4" w:space="0" w:color="auto"/>
              <w:right w:val="single" w:sz="4" w:space="0" w:color="auto"/>
            </w:tcBorders>
            <w:shd w:val="clear" w:color="auto" w:fill="auto"/>
          </w:tcPr>
          <w:p w14:paraId="626EB497"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4C12ECDB" w14:textId="3DC961A9" w:rsidR="005072DF" w:rsidRDefault="005072DF" w:rsidP="00D22060">
            <w:pPr>
              <w:pStyle w:val="TableText0"/>
              <w:keepNext w:val="0"/>
            </w:pPr>
            <w:r>
              <w:t>+20% 2</w:t>
            </w:r>
            <w:r w:rsidRPr="005E284B">
              <w:rPr>
                <w:vertAlign w:val="superscript"/>
              </w:rPr>
              <w:t>nd</w:t>
            </w:r>
            <w:r>
              <w:t xml:space="preserve"> cycle 4.49%</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D156BE6" w14:textId="77777777" w:rsidR="005072DF" w:rsidRDefault="005072DF" w:rsidP="00D22060">
            <w:pPr>
              <w:pStyle w:val="TableText0"/>
              <w:keepNext w:val="0"/>
              <w:jc w:val="right"/>
            </w:pPr>
            <w:r>
              <w:t>$3,483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9D8FDF8"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493DB66" w14:textId="77777777" w:rsidR="005072DF" w:rsidRPr="00431992" w:rsidRDefault="005072DF" w:rsidP="00D22060">
            <w:pPr>
              <w:pStyle w:val="TableText0"/>
              <w:keepNext w:val="0"/>
              <w:jc w:val="right"/>
              <w:rPr>
                <w:highlight w:val="green"/>
              </w:rPr>
            </w:pPr>
            <w:r w:rsidRPr="00C01831">
              <w:t>$</w:t>
            </w:r>
            <w:r>
              <w:t>188,695</w:t>
            </w:r>
          </w:p>
        </w:tc>
        <w:tc>
          <w:tcPr>
            <w:tcW w:w="887" w:type="pct"/>
            <w:tcBorders>
              <w:top w:val="single" w:sz="4" w:space="0" w:color="auto"/>
              <w:left w:val="single" w:sz="4" w:space="0" w:color="auto"/>
              <w:bottom w:val="single" w:sz="4" w:space="0" w:color="auto"/>
            </w:tcBorders>
            <w:shd w:val="clear" w:color="auto" w:fill="auto"/>
          </w:tcPr>
          <w:p w14:paraId="1754BCC3" w14:textId="77777777" w:rsidR="005072DF" w:rsidRDefault="005072DF" w:rsidP="00D22060">
            <w:pPr>
              <w:pStyle w:val="TableText0"/>
              <w:keepNext w:val="0"/>
              <w:jc w:val="right"/>
            </w:pPr>
            <w:r w:rsidRPr="00CB58CC">
              <w:t>-0.17%</w:t>
            </w:r>
          </w:p>
        </w:tc>
      </w:tr>
      <w:tr w:rsidR="005072DF" w:rsidRPr="00050D84" w14:paraId="70A30620" w14:textId="77777777" w:rsidTr="00D22060">
        <w:tc>
          <w:tcPr>
            <w:tcW w:w="942" w:type="pct"/>
            <w:vMerge/>
            <w:tcBorders>
              <w:top w:val="single" w:sz="4" w:space="0" w:color="auto"/>
              <w:bottom w:val="single" w:sz="4" w:space="0" w:color="auto"/>
              <w:right w:val="single" w:sz="4" w:space="0" w:color="auto"/>
            </w:tcBorders>
            <w:shd w:val="clear" w:color="auto" w:fill="auto"/>
          </w:tcPr>
          <w:p w14:paraId="576744D2"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FC80A7A" w14:textId="1CD8B03C" w:rsidR="005072DF" w:rsidRDefault="005072DF" w:rsidP="00D22060">
            <w:pPr>
              <w:pStyle w:val="TableText0"/>
              <w:keepNext w:val="0"/>
            </w:pPr>
            <w:r>
              <w:t>+20% 3</w:t>
            </w:r>
            <w:r w:rsidRPr="005E284B">
              <w:rPr>
                <w:vertAlign w:val="superscript"/>
              </w:rPr>
              <w:t>rd</w:t>
            </w:r>
            <w:r>
              <w:t xml:space="preserve"> cycle 2.00%</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846AA29" w14:textId="77777777" w:rsidR="005072DF" w:rsidRDefault="005072DF" w:rsidP="00D22060">
            <w:pPr>
              <w:pStyle w:val="TableText0"/>
              <w:keepNext w:val="0"/>
              <w:jc w:val="right"/>
            </w:pPr>
            <w:r w:rsidRPr="004B2C6B">
              <w:t>$</w:t>
            </w:r>
            <w:r>
              <w:t>3,483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9FAB771"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25C4E01" w14:textId="77777777" w:rsidR="005072DF" w:rsidRPr="00431992" w:rsidRDefault="005072DF" w:rsidP="00D22060">
            <w:pPr>
              <w:pStyle w:val="TableText0"/>
              <w:keepNext w:val="0"/>
              <w:jc w:val="right"/>
              <w:rPr>
                <w:highlight w:val="green"/>
              </w:rPr>
            </w:pPr>
            <w:r w:rsidRPr="00C01831">
              <w:t>$</w:t>
            </w:r>
            <w:r>
              <w:t>188,896</w:t>
            </w:r>
          </w:p>
        </w:tc>
        <w:tc>
          <w:tcPr>
            <w:tcW w:w="887" w:type="pct"/>
            <w:tcBorders>
              <w:top w:val="single" w:sz="4" w:space="0" w:color="auto"/>
              <w:left w:val="single" w:sz="4" w:space="0" w:color="auto"/>
              <w:bottom w:val="single" w:sz="4" w:space="0" w:color="auto"/>
            </w:tcBorders>
            <w:shd w:val="clear" w:color="auto" w:fill="auto"/>
          </w:tcPr>
          <w:p w14:paraId="0A29620B" w14:textId="77777777" w:rsidR="005072DF" w:rsidRDefault="005072DF" w:rsidP="00D22060">
            <w:pPr>
              <w:pStyle w:val="TableText0"/>
              <w:keepNext w:val="0"/>
              <w:jc w:val="right"/>
            </w:pPr>
            <w:r w:rsidRPr="00CB58CC">
              <w:t>-0.07%</w:t>
            </w:r>
          </w:p>
        </w:tc>
      </w:tr>
      <w:tr w:rsidR="005072DF" w:rsidRPr="00050D84" w14:paraId="4895F22A" w14:textId="77777777" w:rsidTr="00D22060">
        <w:tc>
          <w:tcPr>
            <w:tcW w:w="942" w:type="pct"/>
            <w:vMerge/>
            <w:tcBorders>
              <w:top w:val="single" w:sz="4" w:space="0" w:color="auto"/>
              <w:bottom w:val="single" w:sz="4" w:space="0" w:color="auto"/>
              <w:right w:val="single" w:sz="4" w:space="0" w:color="auto"/>
            </w:tcBorders>
            <w:shd w:val="clear" w:color="auto" w:fill="auto"/>
          </w:tcPr>
          <w:p w14:paraId="392EFA6D"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A4A0ABA" w14:textId="1811A3E4" w:rsidR="005072DF" w:rsidRDefault="005072DF" w:rsidP="00D22060">
            <w:pPr>
              <w:pStyle w:val="TableText0"/>
              <w:keepNext w:val="0"/>
            </w:pPr>
            <w:r>
              <w:t>+20% 4</w:t>
            </w:r>
            <w:r w:rsidRPr="005E284B">
              <w:rPr>
                <w:vertAlign w:val="superscript"/>
              </w:rPr>
              <w:t>th</w:t>
            </w:r>
            <w:r>
              <w:t xml:space="preserve"> cycle 0.48%</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658A6752"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9AAA842"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3059BEE" w14:textId="77777777" w:rsidR="005072DF" w:rsidRPr="00431992" w:rsidRDefault="005072DF" w:rsidP="00D22060">
            <w:pPr>
              <w:pStyle w:val="TableText0"/>
              <w:keepNext w:val="0"/>
              <w:jc w:val="right"/>
              <w:rPr>
                <w:highlight w:val="green"/>
              </w:rPr>
            </w:pPr>
            <w:r w:rsidRPr="00C01831">
              <w:t>$</w:t>
            </w:r>
            <w:r>
              <w:t>188,997</w:t>
            </w:r>
          </w:p>
        </w:tc>
        <w:tc>
          <w:tcPr>
            <w:tcW w:w="887" w:type="pct"/>
            <w:tcBorders>
              <w:top w:val="single" w:sz="4" w:space="0" w:color="auto"/>
              <w:left w:val="single" w:sz="4" w:space="0" w:color="auto"/>
              <w:bottom w:val="single" w:sz="4" w:space="0" w:color="auto"/>
            </w:tcBorders>
            <w:shd w:val="clear" w:color="auto" w:fill="auto"/>
          </w:tcPr>
          <w:p w14:paraId="393BDCE4" w14:textId="77777777" w:rsidR="005072DF" w:rsidRDefault="005072DF" w:rsidP="00D22060">
            <w:pPr>
              <w:pStyle w:val="TableText0"/>
              <w:keepNext w:val="0"/>
              <w:jc w:val="right"/>
            </w:pPr>
            <w:r w:rsidRPr="00CB58CC">
              <w:t>-0.01%</w:t>
            </w:r>
          </w:p>
        </w:tc>
      </w:tr>
      <w:tr w:rsidR="005072DF" w:rsidRPr="00050D84" w14:paraId="293B32E6" w14:textId="77777777" w:rsidTr="00D22060">
        <w:tc>
          <w:tcPr>
            <w:tcW w:w="942" w:type="pct"/>
            <w:vMerge/>
            <w:tcBorders>
              <w:top w:val="single" w:sz="4" w:space="0" w:color="auto"/>
              <w:bottom w:val="single" w:sz="4" w:space="0" w:color="auto"/>
              <w:right w:val="single" w:sz="4" w:space="0" w:color="auto"/>
            </w:tcBorders>
            <w:shd w:val="clear" w:color="auto" w:fill="auto"/>
          </w:tcPr>
          <w:p w14:paraId="3B781F35"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A5207F4" w14:textId="327A82A6" w:rsidR="005072DF" w:rsidRDefault="005072DF" w:rsidP="00D22060">
            <w:pPr>
              <w:pStyle w:val="TableText0"/>
              <w:keepNext w:val="0"/>
            </w:pPr>
            <w:r>
              <w:t>-20% 1</w:t>
            </w:r>
            <w:r w:rsidRPr="00AF0A65">
              <w:rPr>
                <w:vertAlign w:val="superscript"/>
              </w:rPr>
              <w:t>st</w:t>
            </w:r>
            <w:r>
              <w:t xml:space="preserve"> cycle 28.15%</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807CB00" w14:textId="77777777" w:rsidR="005072DF" w:rsidRDefault="005072DF" w:rsidP="00D22060">
            <w:pPr>
              <w:pStyle w:val="TableText0"/>
              <w:keepNext w:val="0"/>
              <w:jc w:val="right"/>
            </w:pPr>
            <w:r w:rsidRPr="004B2C6B">
              <w:t>$</w:t>
            </w:r>
            <w:r>
              <w:t>3,498</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E036AAF"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4209171" w14:textId="77777777" w:rsidR="005072DF" w:rsidRPr="00431992" w:rsidRDefault="005072DF" w:rsidP="00D22060">
            <w:pPr>
              <w:pStyle w:val="TableText0"/>
              <w:keepNext w:val="0"/>
              <w:jc w:val="right"/>
              <w:rPr>
                <w:highlight w:val="green"/>
              </w:rPr>
            </w:pPr>
            <w:r w:rsidRPr="00C01831">
              <w:t>$</w:t>
            </w:r>
            <w:r>
              <w:t>194,187</w:t>
            </w:r>
          </w:p>
        </w:tc>
        <w:tc>
          <w:tcPr>
            <w:tcW w:w="887" w:type="pct"/>
            <w:tcBorders>
              <w:top w:val="single" w:sz="4" w:space="0" w:color="auto"/>
              <w:left w:val="single" w:sz="4" w:space="0" w:color="auto"/>
              <w:bottom w:val="single" w:sz="4" w:space="0" w:color="auto"/>
            </w:tcBorders>
            <w:shd w:val="clear" w:color="auto" w:fill="auto"/>
          </w:tcPr>
          <w:p w14:paraId="00787C0A" w14:textId="77777777" w:rsidR="005072DF" w:rsidRDefault="005072DF" w:rsidP="00D22060">
            <w:pPr>
              <w:pStyle w:val="TableText0"/>
              <w:keepNext w:val="0"/>
              <w:jc w:val="right"/>
            </w:pPr>
            <w:r w:rsidRPr="00CB58CC">
              <w:t>2.73%</w:t>
            </w:r>
          </w:p>
        </w:tc>
      </w:tr>
      <w:tr w:rsidR="005072DF" w:rsidRPr="00050D84" w14:paraId="294B96C5" w14:textId="77777777" w:rsidTr="00D22060">
        <w:tc>
          <w:tcPr>
            <w:tcW w:w="942" w:type="pct"/>
            <w:vMerge/>
            <w:tcBorders>
              <w:top w:val="single" w:sz="4" w:space="0" w:color="auto"/>
              <w:bottom w:val="single" w:sz="4" w:space="0" w:color="auto"/>
              <w:right w:val="single" w:sz="4" w:space="0" w:color="auto"/>
            </w:tcBorders>
            <w:shd w:val="clear" w:color="auto" w:fill="auto"/>
          </w:tcPr>
          <w:p w14:paraId="5F1C5BEC"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DFF652E" w14:textId="71287D70" w:rsidR="005072DF" w:rsidRDefault="005072DF" w:rsidP="00D22060">
            <w:pPr>
              <w:pStyle w:val="TableText0"/>
              <w:keepNext w:val="0"/>
            </w:pPr>
            <w:r>
              <w:t>-20% 2</w:t>
            </w:r>
            <w:r w:rsidRPr="005E284B">
              <w:rPr>
                <w:vertAlign w:val="superscript"/>
              </w:rPr>
              <w:t>nd</w:t>
            </w:r>
            <w:r>
              <w:t xml:space="preserve"> cycle 2.99%</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9D98235" w14:textId="77777777" w:rsidR="005072DF" w:rsidRDefault="005072DF" w:rsidP="00D22060">
            <w:pPr>
              <w:pStyle w:val="TableText0"/>
              <w:keepNext w:val="0"/>
              <w:jc w:val="right"/>
            </w:pPr>
            <w:r w:rsidRPr="004B2C6B">
              <w:t>$</w:t>
            </w:r>
            <w:r>
              <w:t>3485</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86505B2"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6983A5A" w14:textId="77777777" w:rsidR="005072DF" w:rsidRPr="00431992" w:rsidRDefault="005072DF" w:rsidP="00D22060">
            <w:pPr>
              <w:pStyle w:val="TableText0"/>
              <w:keepNext w:val="0"/>
              <w:jc w:val="right"/>
              <w:rPr>
                <w:highlight w:val="green"/>
              </w:rPr>
            </w:pPr>
            <w:r>
              <w:t>$189,354</w:t>
            </w:r>
          </w:p>
        </w:tc>
        <w:tc>
          <w:tcPr>
            <w:tcW w:w="887" w:type="pct"/>
            <w:tcBorders>
              <w:top w:val="single" w:sz="4" w:space="0" w:color="auto"/>
              <w:left w:val="single" w:sz="4" w:space="0" w:color="auto"/>
              <w:bottom w:val="single" w:sz="4" w:space="0" w:color="auto"/>
            </w:tcBorders>
            <w:shd w:val="clear" w:color="auto" w:fill="auto"/>
          </w:tcPr>
          <w:p w14:paraId="490393D8" w14:textId="77777777" w:rsidR="005072DF" w:rsidRDefault="005072DF" w:rsidP="00D22060">
            <w:pPr>
              <w:pStyle w:val="TableText0"/>
              <w:keepNext w:val="0"/>
              <w:jc w:val="right"/>
            </w:pPr>
            <w:r w:rsidRPr="00CB58CC">
              <w:t>0.17%</w:t>
            </w:r>
          </w:p>
        </w:tc>
      </w:tr>
      <w:tr w:rsidR="005072DF" w:rsidRPr="00050D84" w14:paraId="74D29EA6" w14:textId="77777777" w:rsidTr="00D22060">
        <w:tc>
          <w:tcPr>
            <w:tcW w:w="942" w:type="pct"/>
            <w:vMerge/>
            <w:tcBorders>
              <w:top w:val="single" w:sz="4" w:space="0" w:color="auto"/>
              <w:bottom w:val="single" w:sz="4" w:space="0" w:color="auto"/>
              <w:right w:val="single" w:sz="4" w:space="0" w:color="auto"/>
            </w:tcBorders>
            <w:shd w:val="clear" w:color="auto" w:fill="auto"/>
          </w:tcPr>
          <w:p w14:paraId="53E3BA1D"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6267CD5D" w14:textId="2C911B60" w:rsidR="005072DF" w:rsidRDefault="005072DF" w:rsidP="00D22060">
            <w:pPr>
              <w:pStyle w:val="TableText0"/>
              <w:keepNext w:val="0"/>
            </w:pPr>
            <w:r>
              <w:t>-20% 3</w:t>
            </w:r>
            <w:r w:rsidRPr="005E284B">
              <w:rPr>
                <w:vertAlign w:val="superscript"/>
              </w:rPr>
              <w:t>rd</w:t>
            </w:r>
            <w:r>
              <w:t xml:space="preserve"> cycle 1.34%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33E5907"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9EA3F21"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A84A9CF" w14:textId="77777777" w:rsidR="005072DF" w:rsidRPr="00431992" w:rsidRDefault="005072DF" w:rsidP="00D22060">
            <w:pPr>
              <w:pStyle w:val="TableText0"/>
              <w:keepNext w:val="0"/>
              <w:jc w:val="right"/>
              <w:rPr>
                <w:highlight w:val="green"/>
              </w:rPr>
            </w:pPr>
            <w:r w:rsidRPr="00C01831">
              <w:t>$</w:t>
            </w:r>
            <w:r>
              <w:t>189,154</w:t>
            </w:r>
          </w:p>
        </w:tc>
        <w:tc>
          <w:tcPr>
            <w:tcW w:w="887" w:type="pct"/>
            <w:tcBorders>
              <w:top w:val="single" w:sz="4" w:space="0" w:color="auto"/>
              <w:left w:val="single" w:sz="4" w:space="0" w:color="auto"/>
              <w:bottom w:val="single" w:sz="4" w:space="0" w:color="auto"/>
            </w:tcBorders>
            <w:shd w:val="clear" w:color="auto" w:fill="auto"/>
          </w:tcPr>
          <w:p w14:paraId="0E73355B" w14:textId="77777777" w:rsidR="005072DF" w:rsidRDefault="005072DF" w:rsidP="00D22060">
            <w:pPr>
              <w:pStyle w:val="TableText0"/>
              <w:keepNext w:val="0"/>
              <w:jc w:val="right"/>
            </w:pPr>
            <w:r w:rsidRPr="00CB58CC">
              <w:t>0.07%</w:t>
            </w:r>
          </w:p>
        </w:tc>
      </w:tr>
      <w:tr w:rsidR="005072DF" w:rsidRPr="00050D84" w14:paraId="44B1513F" w14:textId="77777777" w:rsidTr="00D22060">
        <w:tc>
          <w:tcPr>
            <w:tcW w:w="942" w:type="pct"/>
            <w:vMerge/>
            <w:tcBorders>
              <w:top w:val="single" w:sz="4" w:space="0" w:color="auto"/>
              <w:bottom w:val="single" w:sz="4" w:space="0" w:color="auto"/>
              <w:right w:val="single" w:sz="4" w:space="0" w:color="auto"/>
            </w:tcBorders>
            <w:shd w:val="clear" w:color="auto" w:fill="auto"/>
          </w:tcPr>
          <w:p w14:paraId="4F1D4828"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3165F821" w14:textId="209FA9BE" w:rsidR="005072DF" w:rsidRDefault="005072DF" w:rsidP="00D22060">
            <w:pPr>
              <w:pStyle w:val="TableText0"/>
              <w:keepNext w:val="0"/>
            </w:pPr>
            <w:r>
              <w:t>-20% 4</w:t>
            </w:r>
            <w:r w:rsidRPr="005E284B">
              <w:rPr>
                <w:vertAlign w:val="superscript"/>
              </w:rPr>
              <w:t>th</w:t>
            </w:r>
            <w:r>
              <w:t xml:space="preserve"> cycle 0.32%</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FECDC69"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CD07A7E"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4F7FF26" w14:textId="77777777" w:rsidR="005072DF" w:rsidRPr="00431992" w:rsidRDefault="005072DF" w:rsidP="00D22060">
            <w:pPr>
              <w:pStyle w:val="TableText0"/>
              <w:keepNext w:val="0"/>
              <w:jc w:val="right"/>
              <w:rPr>
                <w:highlight w:val="green"/>
              </w:rPr>
            </w:pPr>
            <w:r w:rsidRPr="00C01831">
              <w:t>$</w:t>
            </w:r>
            <w:r>
              <w:t>189,053</w:t>
            </w:r>
          </w:p>
        </w:tc>
        <w:tc>
          <w:tcPr>
            <w:tcW w:w="887" w:type="pct"/>
            <w:tcBorders>
              <w:top w:val="single" w:sz="4" w:space="0" w:color="auto"/>
              <w:left w:val="single" w:sz="4" w:space="0" w:color="auto"/>
              <w:bottom w:val="single" w:sz="4" w:space="0" w:color="auto"/>
            </w:tcBorders>
            <w:shd w:val="clear" w:color="auto" w:fill="auto"/>
          </w:tcPr>
          <w:p w14:paraId="49044AAB" w14:textId="77777777" w:rsidR="005072DF" w:rsidRDefault="005072DF" w:rsidP="00D22060">
            <w:pPr>
              <w:pStyle w:val="TableText0"/>
              <w:keepNext w:val="0"/>
              <w:jc w:val="right"/>
            </w:pPr>
            <w:r w:rsidRPr="00CB58CC">
              <w:t>0.01%</w:t>
            </w:r>
          </w:p>
        </w:tc>
      </w:tr>
      <w:tr w:rsidR="005072DF" w:rsidRPr="00050D84" w14:paraId="2B1C0A95"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6186B088" w14:textId="77777777" w:rsidR="005072DF" w:rsidRPr="00250965" w:rsidRDefault="005072DF" w:rsidP="00D22060">
            <w:pPr>
              <w:pStyle w:val="TableText0"/>
              <w:keepNext w:val="0"/>
              <w:rPr>
                <w:szCs w:val="20"/>
              </w:rPr>
            </w:pPr>
            <w:r w:rsidRPr="00250965">
              <w:rPr>
                <w:szCs w:val="20"/>
              </w:rPr>
              <w:t>DAIR</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72F38A9" w14:textId="694A0B21" w:rsidR="005072DF" w:rsidRDefault="005072DF" w:rsidP="00D22060">
            <w:pPr>
              <w:pStyle w:val="TableText0"/>
              <w:keepNext w:val="0"/>
            </w:pPr>
            <w:r>
              <w:t>Higher 95% CI (61.51%)</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99D6A69" w14:textId="77777777" w:rsidR="005072DF" w:rsidRDefault="005072DF" w:rsidP="00D22060">
            <w:pPr>
              <w:pStyle w:val="TableText0"/>
              <w:keepNext w:val="0"/>
              <w:jc w:val="right"/>
            </w:pPr>
            <w:r w:rsidRPr="004B2C6B">
              <w:t>$</w:t>
            </w:r>
            <w:r>
              <w:t>3,495</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7080EC4"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B2B6020" w14:textId="77777777" w:rsidR="005072DF" w:rsidRPr="00431992" w:rsidRDefault="005072DF" w:rsidP="00D22060">
            <w:pPr>
              <w:pStyle w:val="TableText0"/>
              <w:keepNext w:val="0"/>
              <w:jc w:val="right"/>
              <w:rPr>
                <w:highlight w:val="green"/>
              </w:rPr>
            </w:pPr>
            <w:r w:rsidRPr="00C01831">
              <w:t>$</w:t>
            </w:r>
            <w:r>
              <w:t>189,683</w:t>
            </w:r>
          </w:p>
        </w:tc>
        <w:tc>
          <w:tcPr>
            <w:tcW w:w="887" w:type="pct"/>
            <w:tcBorders>
              <w:top w:val="single" w:sz="4" w:space="0" w:color="auto"/>
              <w:left w:val="single" w:sz="4" w:space="0" w:color="auto"/>
              <w:bottom w:val="single" w:sz="4" w:space="0" w:color="auto"/>
            </w:tcBorders>
            <w:shd w:val="clear" w:color="auto" w:fill="auto"/>
          </w:tcPr>
          <w:p w14:paraId="0A138D2F" w14:textId="77777777" w:rsidR="005072DF" w:rsidRDefault="005072DF" w:rsidP="00D22060">
            <w:pPr>
              <w:pStyle w:val="TableText0"/>
              <w:keepNext w:val="0"/>
              <w:jc w:val="right"/>
            </w:pPr>
            <w:r w:rsidRPr="00CB58CC">
              <w:t>0.35%</w:t>
            </w:r>
          </w:p>
        </w:tc>
      </w:tr>
      <w:tr w:rsidR="005072DF" w:rsidRPr="00050D84" w14:paraId="3CDB3C97" w14:textId="77777777" w:rsidTr="00D22060">
        <w:tc>
          <w:tcPr>
            <w:tcW w:w="942" w:type="pct"/>
            <w:vMerge/>
            <w:tcBorders>
              <w:top w:val="single" w:sz="4" w:space="0" w:color="auto"/>
              <w:bottom w:val="single" w:sz="4" w:space="0" w:color="auto"/>
              <w:right w:val="single" w:sz="4" w:space="0" w:color="auto"/>
            </w:tcBorders>
            <w:shd w:val="clear" w:color="auto" w:fill="auto"/>
          </w:tcPr>
          <w:p w14:paraId="6DCECD0B"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319D13CF" w14:textId="33E7025B" w:rsidR="005072DF" w:rsidRDefault="005072DF" w:rsidP="00D22060">
            <w:pPr>
              <w:pStyle w:val="TableText0"/>
              <w:keepNext w:val="0"/>
            </w:pPr>
            <w:r>
              <w:t>Lower 95% CI (43.59%)</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20DCCEE" w14:textId="77777777" w:rsidR="005072DF" w:rsidRDefault="005072DF" w:rsidP="00D22060">
            <w:pPr>
              <w:pStyle w:val="TableText0"/>
              <w:keepNext w:val="0"/>
              <w:jc w:val="right"/>
            </w:pPr>
            <w:r w:rsidRPr="004B2C6B">
              <w:t>$</w:t>
            </w:r>
            <w:r>
              <w:t>3,472</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67BB369"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29E7AD2" w14:textId="77777777" w:rsidR="005072DF" w:rsidRPr="00431992" w:rsidRDefault="005072DF" w:rsidP="00D22060">
            <w:pPr>
              <w:pStyle w:val="TableText0"/>
              <w:keepNext w:val="0"/>
              <w:jc w:val="right"/>
              <w:rPr>
                <w:highlight w:val="green"/>
              </w:rPr>
            </w:pPr>
            <w:r w:rsidRPr="00C01831">
              <w:t>$</w:t>
            </w:r>
            <w:r>
              <w:t>188,366</w:t>
            </w:r>
          </w:p>
        </w:tc>
        <w:tc>
          <w:tcPr>
            <w:tcW w:w="887" w:type="pct"/>
            <w:tcBorders>
              <w:top w:val="single" w:sz="4" w:space="0" w:color="auto"/>
              <w:left w:val="single" w:sz="4" w:space="0" w:color="auto"/>
              <w:bottom w:val="single" w:sz="4" w:space="0" w:color="auto"/>
            </w:tcBorders>
            <w:shd w:val="clear" w:color="auto" w:fill="auto"/>
          </w:tcPr>
          <w:p w14:paraId="34DA7C31" w14:textId="77777777" w:rsidR="005072DF" w:rsidRDefault="005072DF" w:rsidP="00D22060">
            <w:pPr>
              <w:pStyle w:val="TableText0"/>
              <w:keepNext w:val="0"/>
              <w:jc w:val="right"/>
            </w:pPr>
            <w:r w:rsidRPr="00CB58CC">
              <w:t>-0.35%</w:t>
            </w:r>
          </w:p>
        </w:tc>
      </w:tr>
      <w:tr w:rsidR="005072DF" w:rsidRPr="00050D84" w14:paraId="7B1662EF"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41B05010" w14:textId="77777777" w:rsidR="005072DF" w:rsidRPr="00250965" w:rsidRDefault="005072DF" w:rsidP="00D22060">
            <w:pPr>
              <w:pStyle w:val="TableText0"/>
              <w:keepNext w:val="0"/>
              <w:rPr>
                <w:szCs w:val="20"/>
              </w:rPr>
            </w:pPr>
            <w:r w:rsidRPr="00250965">
              <w:rPr>
                <w:szCs w:val="20"/>
              </w:rPr>
              <w:t>Death revision first year</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3FC3C2C" w14:textId="6512682E" w:rsidR="005072DF" w:rsidRDefault="005072DF" w:rsidP="00D22060">
            <w:pPr>
              <w:pStyle w:val="TableText0"/>
              <w:keepNext w:val="0"/>
            </w:pPr>
            <w:r>
              <w:t>+20% (4.25%)</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E9D2CF8"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ED2D66D" w14:textId="77777777" w:rsidR="005072DF" w:rsidRDefault="005072DF" w:rsidP="00D22060">
            <w:pPr>
              <w:pStyle w:val="TableText0"/>
              <w:keepNext w:val="0"/>
              <w:jc w:val="right"/>
            </w:pPr>
            <w:r>
              <w:t>0.019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978CD24" w14:textId="77777777" w:rsidR="005072DF" w:rsidRPr="00431992" w:rsidRDefault="005072DF" w:rsidP="00D22060">
            <w:pPr>
              <w:pStyle w:val="TableText0"/>
              <w:keepNext w:val="0"/>
              <w:jc w:val="right"/>
              <w:rPr>
                <w:highlight w:val="green"/>
              </w:rPr>
            </w:pPr>
            <w:r w:rsidRPr="00C01831">
              <w:t>$</w:t>
            </w:r>
            <w:r>
              <w:t>184,472</w:t>
            </w:r>
          </w:p>
        </w:tc>
        <w:tc>
          <w:tcPr>
            <w:tcW w:w="887" w:type="pct"/>
            <w:tcBorders>
              <w:top w:val="single" w:sz="4" w:space="0" w:color="auto"/>
              <w:left w:val="single" w:sz="4" w:space="0" w:color="auto"/>
              <w:bottom w:val="single" w:sz="4" w:space="0" w:color="auto"/>
            </w:tcBorders>
            <w:shd w:val="clear" w:color="auto" w:fill="auto"/>
          </w:tcPr>
          <w:p w14:paraId="3A62CB19" w14:textId="77777777" w:rsidR="005072DF" w:rsidRDefault="005072DF" w:rsidP="00D22060">
            <w:pPr>
              <w:pStyle w:val="TableText0"/>
              <w:keepNext w:val="0"/>
              <w:jc w:val="right"/>
            </w:pPr>
            <w:r w:rsidRPr="00CB58CC">
              <w:t>-2.41%</w:t>
            </w:r>
          </w:p>
        </w:tc>
      </w:tr>
      <w:tr w:rsidR="005072DF" w:rsidRPr="00050D84" w14:paraId="1B87B499" w14:textId="77777777" w:rsidTr="00D22060">
        <w:tc>
          <w:tcPr>
            <w:tcW w:w="942" w:type="pct"/>
            <w:vMerge/>
            <w:tcBorders>
              <w:top w:val="single" w:sz="4" w:space="0" w:color="auto"/>
              <w:bottom w:val="single" w:sz="4" w:space="0" w:color="auto"/>
              <w:right w:val="single" w:sz="4" w:space="0" w:color="auto"/>
            </w:tcBorders>
            <w:shd w:val="clear" w:color="auto" w:fill="auto"/>
          </w:tcPr>
          <w:p w14:paraId="24DE5766"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0CB9F2D" w14:textId="40078408" w:rsidR="005072DF" w:rsidRDefault="005072DF" w:rsidP="00D22060">
            <w:pPr>
              <w:pStyle w:val="TableText0"/>
              <w:keepNext w:val="0"/>
            </w:pPr>
            <w:r>
              <w:t>-20% (2.83%)</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EA640E4" w14:textId="77777777" w:rsidR="005072DF" w:rsidRDefault="005072DF" w:rsidP="00D22060">
            <w:pPr>
              <w:pStyle w:val="TableText0"/>
              <w:keepNext w:val="0"/>
              <w:jc w:val="right"/>
            </w:pPr>
            <w:r w:rsidRPr="004B2C6B">
              <w:t>$</w:t>
            </w:r>
            <w:r>
              <w:t>3,483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B141F80"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E097170" w14:textId="77777777" w:rsidR="005072DF" w:rsidRPr="00431992" w:rsidRDefault="005072DF" w:rsidP="00D22060">
            <w:pPr>
              <w:pStyle w:val="TableText0"/>
              <w:keepNext w:val="0"/>
              <w:jc w:val="right"/>
              <w:rPr>
                <w:highlight w:val="green"/>
              </w:rPr>
            </w:pPr>
            <w:r w:rsidRPr="00C01831">
              <w:t>$</w:t>
            </w:r>
            <w:r>
              <w:t>193,827</w:t>
            </w:r>
          </w:p>
        </w:tc>
        <w:tc>
          <w:tcPr>
            <w:tcW w:w="887" w:type="pct"/>
            <w:tcBorders>
              <w:top w:val="single" w:sz="4" w:space="0" w:color="auto"/>
              <w:left w:val="single" w:sz="4" w:space="0" w:color="auto"/>
              <w:bottom w:val="single" w:sz="4" w:space="0" w:color="auto"/>
            </w:tcBorders>
            <w:shd w:val="clear" w:color="auto" w:fill="auto"/>
          </w:tcPr>
          <w:p w14:paraId="4B51C88D" w14:textId="77777777" w:rsidR="005072DF" w:rsidRDefault="005072DF" w:rsidP="00D22060">
            <w:pPr>
              <w:pStyle w:val="TableText0"/>
              <w:keepNext w:val="0"/>
              <w:jc w:val="right"/>
            </w:pPr>
            <w:r w:rsidRPr="00CB58CC">
              <w:t>2.54%</w:t>
            </w:r>
          </w:p>
        </w:tc>
      </w:tr>
      <w:tr w:rsidR="005072DF" w:rsidRPr="00050D84" w14:paraId="2D6FC9E0"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40281039" w14:textId="77777777" w:rsidR="005072DF" w:rsidRPr="00250965" w:rsidRDefault="005072DF" w:rsidP="00D22060">
            <w:pPr>
              <w:pStyle w:val="TableText0"/>
              <w:keepNext w:val="0"/>
              <w:rPr>
                <w:szCs w:val="20"/>
              </w:rPr>
            </w:pPr>
            <w:r w:rsidRPr="00250965">
              <w:rPr>
                <w:szCs w:val="20"/>
              </w:rPr>
              <w:t>Death revision second year</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C032EDA" w14:textId="6BCB5C8E" w:rsidR="005072DF" w:rsidRDefault="005072DF" w:rsidP="00D22060">
            <w:pPr>
              <w:pStyle w:val="TableText0"/>
              <w:keepNext w:val="0"/>
            </w:pPr>
            <w:r>
              <w:t>+20% (2.35%)</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01293A5D"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5B0BB1B" w14:textId="77777777" w:rsidR="005072DF" w:rsidRDefault="005072DF" w:rsidP="00D22060">
            <w:pPr>
              <w:pStyle w:val="TableText0"/>
              <w:keepNext w:val="0"/>
              <w:jc w:val="right"/>
            </w:pPr>
            <w:r>
              <w:t>0.019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806D2EE" w14:textId="77777777" w:rsidR="005072DF" w:rsidRPr="00431992" w:rsidRDefault="005072DF" w:rsidP="00D22060">
            <w:pPr>
              <w:pStyle w:val="TableText0"/>
              <w:keepNext w:val="0"/>
              <w:jc w:val="right"/>
              <w:rPr>
                <w:highlight w:val="green"/>
              </w:rPr>
            </w:pPr>
            <w:r w:rsidRPr="00C01831">
              <w:t>$</w:t>
            </w:r>
            <w:r>
              <w:t>186,670</w:t>
            </w:r>
          </w:p>
        </w:tc>
        <w:tc>
          <w:tcPr>
            <w:tcW w:w="887" w:type="pct"/>
            <w:tcBorders>
              <w:top w:val="single" w:sz="4" w:space="0" w:color="auto"/>
              <w:left w:val="single" w:sz="4" w:space="0" w:color="auto"/>
              <w:bottom w:val="single" w:sz="4" w:space="0" w:color="auto"/>
            </w:tcBorders>
            <w:shd w:val="clear" w:color="auto" w:fill="auto"/>
          </w:tcPr>
          <w:p w14:paraId="08D6A475" w14:textId="77777777" w:rsidR="005072DF" w:rsidRDefault="005072DF" w:rsidP="00D22060">
            <w:pPr>
              <w:pStyle w:val="TableText0"/>
              <w:keepNext w:val="0"/>
              <w:jc w:val="right"/>
            </w:pPr>
            <w:r w:rsidRPr="00CB58CC">
              <w:t>-1.25%</w:t>
            </w:r>
          </w:p>
        </w:tc>
      </w:tr>
      <w:tr w:rsidR="005072DF" w:rsidRPr="00050D84" w14:paraId="577059B5" w14:textId="77777777" w:rsidTr="00D22060">
        <w:tc>
          <w:tcPr>
            <w:tcW w:w="942" w:type="pct"/>
            <w:vMerge/>
            <w:tcBorders>
              <w:top w:val="single" w:sz="4" w:space="0" w:color="auto"/>
              <w:bottom w:val="single" w:sz="4" w:space="0" w:color="auto"/>
              <w:right w:val="single" w:sz="4" w:space="0" w:color="auto"/>
            </w:tcBorders>
            <w:shd w:val="clear" w:color="auto" w:fill="auto"/>
          </w:tcPr>
          <w:p w14:paraId="34A05C66"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70571DD" w14:textId="21174935" w:rsidR="005072DF" w:rsidRDefault="005072DF" w:rsidP="00D22060">
            <w:pPr>
              <w:pStyle w:val="TableText0"/>
              <w:keepNext w:val="0"/>
            </w:pPr>
            <w:r>
              <w:t>-20% (1.57%)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6EDDAF9"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DF6870C"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5A7878B" w14:textId="77777777" w:rsidR="005072DF" w:rsidRPr="00431992" w:rsidRDefault="005072DF" w:rsidP="00D22060">
            <w:pPr>
              <w:pStyle w:val="TableText0"/>
              <w:keepNext w:val="0"/>
              <w:jc w:val="right"/>
              <w:rPr>
                <w:highlight w:val="green"/>
              </w:rPr>
            </w:pPr>
            <w:r w:rsidRPr="00C01831">
              <w:t>$</w:t>
            </w:r>
            <w:r>
              <w:t>191,440</w:t>
            </w:r>
          </w:p>
        </w:tc>
        <w:tc>
          <w:tcPr>
            <w:tcW w:w="887" w:type="pct"/>
            <w:tcBorders>
              <w:top w:val="single" w:sz="4" w:space="0" w:color="auto"/>
              <w:left w:val="single" w:sz="4" w:space="0" w:color="auto"/>
              <w:bottom w:val="single" w:sz="4" w:space="0" w:color="auto"/>
            </w:tcBorders>
            <w:shd w:val="clear" w:color="auto" w:fill="auto"/>
          </w:tcPr>
          <w:p w14:paraId="57078B1A" w14:textId="77777777" w:rsidR="005072DF" w:rsidRDefault="005072DF" w:rsidP="00D22060">
            <w:pPr>
              <w:pStyle w:val="TableText0"/>
              <w:keepNext w:val="0"/>
              <w:jc w:val="right"/>
            </w:pPr>
            <w:r w:rsidRPr="00CB58CC">
              <w:t>1.28%</w:t>
            </w:r>
          </w:p>
        </w:tc>
      </w:tr>
      <w:tr w:rsidR="005072DF" w:rsidRPr="00050D84" w14:paraId="4F470A40"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0C2E58DD" w14:textId="77777777" w:rsidR="005072DF" w:rsidRPr="00250965" w:rsidRDefault="005072DF" w:rsidP="00D22060">
            <w:pPr>
              <w:pStyle w:val="TableText0"/>
              <w:keepNext w:val="0"/>
              <w:rPr>
                <w:szCs w:val="20"/>
              </w:rPr>
            </w:pPr>
            <w:r>
              <w:rPr>
                <w:szCs w:val="20"/>
              </w:rPr>
              <w:t>Removal SSI after epTJA</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6913BD2C" w14:textId="0D80D14B" w:rsidR="005072DF" w:rsidRDefault="005072DF" w:rsidP="00D22060">
            <w:pPr>
              <w:pStyle w:val="TableText0"/>
              <w:keepNext w:val="0"/>
            </w:pPr>
            <w:r>
              <w:t>+20% (1.70%)</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54D253D"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B9A7058"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ED4E259" w14:textId="77777777" w:rsidR="005072DF" w:rsidRPr="00431992" w:rsidRDefault="005072DF" w:rsidP="00D22060">
            <w:pPr>
              <w:pStyle w:val="TableText0"/>
              <w:keepNext w:val="0"/>
              <w:jc w:val="right"/>
              <w:rPr>
                <w:highlight w:val="green"/>
              </w:rPr>
            </w:pPr>
            <w:r w:rsidRPr="00C01831">
              <w:t>$</w:t>
            </w:r>
            <w:r>
              <w:t>189,029</w:t>
            </w:r>
          </w:p>
        </w:tc>
        <w:tc>
          <w:tcPr>
            <w:tcW w:w="887" w:type="pct"/>
            <w:tcBorders>
              <w:top w:val="single" w:sz="4" w:space="0" w:color="auto"/>
              <w:left w:val="single" w:sz="4" w:space="0" w:color="auto"/>
              <w:bottom w:val="single" w:sz="4" w:space="0" w:color="auto"/>
            </w:tcBorders>
            <w:shd w:val="clear" w:color="auto" w:fill="auto"/>
          </w:tcPr>
          <w:p w14:paraId="67FC25E7" w14:textId="77777777" w:rsidR="005072DF" w:rsidRDefault="005072DF" w:rsidP="00D22060">
            <w:pPr>
              <w:pStyle w:val="TableText0"/>
              <w:keepNext w:val="0"/>
              <w:jc w:val="right"/>
            </w:pPr>
            <w:r w:rsidRPr="00CB58CC">
              <w:t>0.00%</w:t>
            </w:r>
          </w:p>
        </w:tc>
      </w:tr>
      <w:tr w:rsidR="005072DF" w:rsidRPr="00050D84" w14:paraId="3186CE0B" w14:textId="77777777" w:rsidTr="00D22060">
        <w:tc>
          <w:tcPr>
            <w:tcW w:w="942" w:type="pct"/>
            <w:vMerge/>
            <w:tcBorders>
              <w:top w:val="single" w:sz="4" w:space="0" w:color="auto"/>
              <w:bottom w:val="single" w:sz="4" w:space="0" w:color="auto"/>
              <w:right w:val="single" w:sz="4" w:space="0" w:color="auto"/>
            </w:tcBorders>
            <w:shd w:val="clear" w:color="auto" w:fill="auto"/>
          </w:tcPr>
          <w:p w14:paraId="73611256"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6E096C51" w14:textId="57FD66EE" w:rsidR="005072DF" w:rsidRDefault="005072DF" w:rsidP="00D22060">
            <w:pPr>
              <w:pStyle w:val="TableText0"/>
              <w:keepNext w:val="0"/>
            </w:pPr>
            <w:r>
              <w:t>-20% (1.14%)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A8D6206" w14:textId="77777777" w:rsidR="005072DF" w:rsidRDefault="005072DF" w:rsidP="00D22060">
            <w:pPr>
              <w:pStyle w:val="TableText0"/>
              <w:keepNext w:val="0"/>
              <w:jc w:val="right"/>
            </w:pPr>
            <w:r w:rsidRPr="004B2C6B">
              <w:t>$</w:t>
            </w:r>
            <w:r>
              <w:t>3,483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CF67119"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55D9BBB" w14:textId="77777777" w:rsidR="005072DF" w:rsidRPr="00431992" w:rsidRDefault="005072DF" w:rsidP="00D22060">
            <w:pPr>
              <w:pStyle w:val="TableText0"/>
              <w:keepNext w:val="0"/>
              <w:jc w:val="right"/>
              <w:rPr>
                <w:highlight w:val="green"/>
              </w:rPr>
            </w:pPr>
            <w:r w:rsidRPr="00C01831">
              <w:t>$</w:t>
            </w:r>
            <w:r>
              <w:t>189,020</w:t>
            </w:r>
          </w:p>
        </w:tc>
        <w:tc>
          <w:tcPr>
            <w:tcW w:w="887" w:type="pct"/>
            <w:tcBorders>
              <w:top w:val="single" w:sz="4" w:space="0" w:color="auto"/>
              <w:left w:val="single" w:sz="4" w:space="0" w:color="auto"/>
              <w:bottom w:val="single" w:sz="4" w:space="0" w:color="auto"/>
            </w:tcBorders>
            <w:shd w:val="clear" w:color="auto" w:fill="auto"/>
          </w:tcPr>
          <w:p w14:paraId="632C31FE" w14:textId="77777777" w:rsidR="005072DF" w:rsidRDefault="005072DF" w:rsidP="00D22060">
            <w:pPr>
              <w:pStyle w:val="TableText0"/>
              <w:keepNext w:val="0"/>
              <w:jc w:val="right"/>
            </w:pPr>
            <w:r w:rsidRPr="00CB58CC">
              <w:t>0.00%</w:t>
            </w:r>
          </w:p>
        </w:tc>
      </w:tr>
      <w:tr w:rsidR="005072DF" w:rsidRPr="00050D84" w14:paraId="68BBD841"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1B9B3DA3" w14:textId="77777777" w:rsidR="005072DF" w:rsidRPr="00250965" w:rsidRDefault="005072DF" w:rsidP="00D22060">
            <w:pPr>
              <w:pStyle w:val="TableText0"/>
              <w:keepNext w:val="0"/>
              <w:rPr>
                <w:szCs w:val="20"/>
              </w:rPr>
            </w:pPr>
            <w:r>
              <w:rPr>
                <w:szCs w:val="20"/>
              </w:rPr>
              <w:t>Removal recurrent SSI</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D984E30" w14:textId="6A6E08DE" w:rsidR="005072DF" w:rsidRDefault="005072DF" w:rsidP="00D22060">
            <w:pPr>
              <w:pStyle w:val="TableText0"/>
              <w:keepNext w:val="0"/>
            </w:pPr>
            <w:r>
              <w:t>+20% (3.06%)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6FC5537" w14:textId="77777777" w:rsidR="005072DF" w:rsidRDefault="005072DF" w:rsidP="00D22060">
            <w:pPr>
              <w:pStyle w:val="TableText0"/>
              <w:keepNext w:val="0"/>
              <w:jc w:val="right"/>
            </w:pPr>
            <w:r w:rsidRPr="004B2C6B">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95DE749"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27EC03A" w14:textId="77777777" w:rsidR="005072DF" w:rsidRPr="00431992" w:rsidRDefault="005072DF" w:rsidP="00D22060">
            <w:pPr>
              <w:pStyle w:val="TableText0"/>
              <w:keepNext w:val="0"/>
              <w:jc w:val="right"/>
              <w:rPr>
                <w:highlight w:val="green"/>
              </w:rPr>
            </w:pPr>
            <w:r w:rsidRPr="00C01831">
              <w:t>$</w:t>
            </w:r>
            <w:r>
              <w:t>189,022</w:t>
            </w:r>
          </w:p>
        </w:tc>
        <w:tc>
          <w:tcPr>
            <w:tcW w:w="887" w:type="pct"/>
            <w:tcBorders>
              <w:top w:val="single" w:sz="4" w:space="0" w:color="auto"/>
              <w:left w:val="single" w:sz="4" w:space="0" w:color="auto"/>
              <w:bottom w:val="single" w:sz="4" w:space="0" w:color="auto"/>
            </w:tcBorders>
            <w:shd w:val="clear" w:color="auto" w:fill="auto"/>
          </w:tcPr>
          <w:p w14:paraId="53A12957" w14:textId="77777777" w:rsidR="005072DF" w:rsidRDefault="005072DF" w:rsidP="00D22060">
            <w:pPr>
              <w:pStyle w:val="TableText0"/>
              <w:keepNext w:val="0"/>
              <w:jc w:val="right"/>
            </w:pPr>
            <w:r w:rsidRPr="00CB58CC">
              <w:t>0.00%</w:t>
            </w:r>
          </w:p>
        </w:tc>
      </w:tr>
      <w:tr w:rsidR="005072DF" w:rsidRPr="00050D84" w14:paraId="5700C2F3" w14:textId="77777777" w:rsidTr="00D22060">
        <w:tc>
          <w:tcPr>
            <w:tcW w:w="942" w:type="pct"/>
            <w:vMerge/>
            <w:tcBorders>
              <w:top w:val="single" w:sz="4" w:space="0" w:color="auto"/>
              <w:bottom w:val="single" w:sz="4" w:space="0" w:color="auto"/>
              <w:right w:val="single" w:sz="4" w:space="0" w:color="auto"/>
            </w:tcBorders>
            <w:shd w:val="clear" w:color="auto" w:fill="auto"/>
          </w:tcPr>
          <w:p w14:paraId="09642ACE"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62CAD79B" w14:textId="4A7C022C" w:rsidR="005072DF" w:rsidRDefault="005072DF" w:rsidP="00D22060">
            <w:pPr>
              <w:pStyle w:val="TableText0"/>
              <w:keepNext w:val="0"/>
            </w:pPr>
            <w:r>
              <w:t>-20% (2.04%)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ABE4D0C" w14:textId="77777777" w:rsidR="005072DF" w:rsidRDefault="005072DF" w:rsidP="00D22060">
            <w:pPr>
              <w:pStyle w:val="TableText0"/>
              <w:keepNext w:val="0"/>
              <w:jc w:val="right"/>
            </w:pPr>
            <w:r w:rsidRPr="004B2C6B">
              <w:t>$</w:t>
            </w:r>
            <w:r>
              <w:t>3,483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19E82E1"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90FAA17" w14:textId="77777777" w:rsidR="005072DF" w:rsidRPr="00431992" w:rsidRDefault="005072DF" w:rsidP="00D22060">
            <w:pPr>
              <w:pStyle w:val="TableText0"/>
              <w:keepNext w:val="0"/>
              <w:jc w:val="right"/>
              <w:rPr>
                <w:highlight w:val="green"/>
              </w:rPr>
            </w:pPr>
            <w:r w:rsidRPr="00C01831">
              <w:t>$</w:t>
            </w:r>
            <w:r>
              <w:t>189,028</w:t>
            </w:r>
          </w:p>
        </w:tc>
        <w:tc>
          <w:tcPr>
            <w:tcW w:w="887" w:type="pct"/>
            <w:tcBorders>
              <w:top w:val="single" w:sz="4" w:space="0" w:color="auto"/>
              <w:left w:val="single" w:sz="4" w:space="0" w:color="auto"/>
              <w:bottom w:val="single" w:sz="4" w:space="0" w:color="auto"/>
            </w:tcBorders>
            <w:shd w:val="clear" w:color="auto" w:fill="auto"/>
          </w:tcPr>
          <w:p w14:paraId="38FCD83F" w14:textId="77777777" w:rsidR="005072DF" w:rsidRDefault="005072DF" w:rsidP="00D22060">
            <w:pPr>
              <w:pStyle w:val="TableText0"/>
              <w:keepNext w:val="0"/>
              <w:jc w:val="right"/>
            </w:pPr>
            <w:r w:rsidRPr="00CB58CC">
              <w:t>0.00%</w:t>
            </w:r>
          </w:p>
        </w:tc>
      </w:tr>
      <w:tr w:rsidR="005072DF" w:rsidRPr="00050D84" w14:paraId="6ACA0095" w14:textId="77777777" w:rsidTr="00D22060">
        <w:tc>
          <w:tcPr>
            <w:tcW w:w="5000" w:type="pct"/>
            <w:gridSpan w:val="6"/>
            <w:shd w:val="clear" w:color="auto" w:fill="auto"/>
            <w:vAlign w:val="center"/>
          </w:tcPr>
          <w:p w14:paraId="5343CADA" w14:textId="77777777" w:rsidR="005072DF" w:rsidRDefault="005072DF" w:rsidP="00D22060">
            <w:pPr>
              <w:pStyle w:val="TableText0"/>
              <w:keepNext w:val="0"/>
            </w:pPr>
            <w:r>
              <w:t>Health state costs</w:t>
            </w:r>
          </w:p>
        </w:tc>
      </w:tr>
      <w:tr w:rsidR="005072DF" w:rsidRPr="00050D84" w14:paraId="249381D5"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628549D7" w14:textId="77777777" w:rsidR="005072DF" w:rsidRPr="00250965" w:rsidRDefault="005072DF" w:rsidP="00D22060">
            <w:pPr>
              <w:pStyle w:val="TableText0"/>
              <w:keepNext w:val="0"/>
              <w:rPr>
                <w:szCs w:val="20"/>
              </w:rPr>
            </w:pPr>
            <w:r w:rsidRPr="00250965">
              <w:rPr>
                <w:szCs w:val="20"/>
              </w:rPr>
              <w:t>epTJA</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E6EA4BC" w14:textId="5FEF16E4" w:rsidR="005072DF" w:rsidRDefault="005072DF" w:rsidP="00D22060">
            <w:pPr>
              <w:pStyle w:val="TableText0"/>
              <w:keepNext w:val="0"/>
            </w:pPr>
            <w:r>
              <w:t>+20% (</w:t>
            </w:r>
            <w:r>
              <w:rPr>
                <w:rFonts w:cs="Calibri"/>
                <w:color w:val="000000"/>
                <w:szCs w:val="20"/>
              </w:rPr>
              <w:t>$25,924.43)</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65B27BCA" w14:textId="77777777" w:rsidR="005072DF" w:rsidRPr="00E062D0" w:rsidRDefault="005072DF" w:rsidP="00D22060">
            <w:pPr>
              <w:pStyle w:val="TableText0"/>
              <w:keepNext w:val="0"/>
              <w:jc w:val="right"/>
            </w:pPr>
            <w:r w:rsidRPr="00E062D0">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B43D6C4" w14:textId="77777777" w:rsidR="005072DF" w:rsidRPr="00E062D0" w:rsidRDefault="005072DF" w:rsidP="00D22060">
            <w:pPr>
              <w:pStyle w:val="TableText0"/>
              <w:keepNext w:val="0"/>
              <w:jc w:val="right"/>
            </w:pPr>
            <w:r w:rsidRPr="00E062D0">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492E3A3" w14:textId="77777777" w:rsidR="005072DF" w:rsidRPr="00E062D0" w:rsidRDefault="005072DF" w:rsidP="00D22060">
            <w:pPr>
              <w:pStyle w:val="TableText0"/>
              <w:keepNext w:val="0"/>
              <w:jc w:val="right"/>
            </w:pPr>
            <w:r w:rsidRPr="00E062D0">
              <w:t>$189,025</w:t>
            </w:r>
          </w:p>
        </w:tc>
        <w:tc>
          <w:tcPr>
            <w:tcW w:w="887" w:type="pct"/>
            <w:tcBorders>
              <w:top w:val="single" w:sz="4" w:space="0" w:color="auto"/>
              <w:left w:val="single" w:sz="4" w:space="0" w:color="auto"/>
              <w:bottom w:val="single" w:sz="4" w:space="0" w:color="auto"/>
            </w:tcBorders>
            <w:shd w:val="clear" w:color="auto" w:fill="auto"/>
          </w:tcPr>
          <w:p w14:paraId="5233B42A" w14:textId="77777777" w:rsidR="005072DF" w:rsidRDefault="005072DF" w:rsidP="00D22060">
            <w:pPr>
              <w:pStyle w:val="TableText0"/>
              <w:keepNext w:val="0"/>
              <w:jc w:val="right"/>
            </w:pPr>
            <w:r w:rsidRPr="00FF123A">
              <w:t>0.00%</w:t>
            </w:r>
          </w:p>
        </w:tc>
      </w:tr>
      <w:tr w:rsidR="005072DF" w:rsidRPr="00050D84" w14:paraId="0134EE1F" w14:textId="77777777" w:rsidTr="00D22060">
        <w:tc>
          <w:tcPr>
            <w:tcW w:w="942" w:type="pct"/>
            <w:vMerge/>
            <w:tcBorders>
              <w:top w:val="single" w:sz="4" w:space="0" w:color="auto"/>
              <w:bottom w:val="single" w:sz="4" w:space="0" w:color="auto"/>
              <w:right w:val="single" w:sz="4" w:space="0" w:color="auto"/>
            </w:tcBorders>
            <w:shd w:val="clear" w:color="auto" w:fill="auto"/>
          </w:tcPr>
          <w:p w14:paraId="49E8824C"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7DB871B" w14:textId="68774598" w:rsidR="005072DF" w:rsidRDefault="005072DF" w:rsidP="00D22060">
            <w:pPr>
              <w:pStyle w:val="TableText0"/>
              <w:keepNext w:val="0"/>
            </w:pPr>
            <w:r>
              <w:t>-20% ($17,282.95)</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BDB0D6C" w14:textId="77777777" w:rsidR="005072DF" w:rsidRPr="00E062D0" w:rsidRDefault="005072DF" w:rsidP="00D22060">
            <w:pPr>
              <w:pStyle w:val="TableText0"/>
              <w:keepNext w:val="0"/>
              <w:jc w:val="right"/>
            </w:pPr>
            <w:r w:rsidRPr="00E062D0">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D9EB064" w14:textId="77777777" w:rsidR="005072DF" w:rsidRPr="00E062D0" w:rsidRDefault="005072DF" w:rsidP="00D22060">
            <w:pPr>
              <w:pStyle w:val="TableText0"/>
              <w:keepNext w:val="0"/>
              <w:jc w:val="right"/>
            </w:pPr>
            <w:r w:rsidRPr="00E062D0">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BE1C319" w14:textId="77777777" w:rsidR="005072DF" w:rsidRPr="00E062D0" w:rsidRDefault="005072DF" w:rsidP="00D22060">
            <w:pPr>
              <w:pStyle w:val="TableText0"/>
              <w:keepNext w:val="0"/>
              <w:jc w:val="right"/>
            </w:pPr>
            <w:r w:rsidRPr="00E062D0">
              <w:t>$189,025</w:t>
            </w:r>
          </w:p>
        </w:tc>
        <w:tc>
          <w:tcPr>
            <w:tcW w:w="887" w:type="pct"/>
            <w:tcBorders>
              <w:top w:val="single" w:sz="4" w:space="0" w:color="auto"/>
              <w:left w:val="single" w:sz="4" w:space="0" w:color="auto"/>
              <w:bottom w:val="single" w:sz="4" w:space="0" w:color="auto"/>
            </w:tcBorders>
            <w:shd w:val="clear" w:color="auto" w:fill="auto"/>
          </w:tcPr>
          <w:p w14:paraId="0F065699" w14:textId="77777777" w:rsidR="005072DF" w:rsidRDefault="005072DF" w:rsidP="00D22060">
            <w:pPr>
              <w:pStyle w:val="TableText0"/>
              <w:keepNext w:val="0"/>
              <w:jc w:val="right"/>
            </w:pPr>
            <w:r w:rsidRPr="00FF123A">
              <w:t>0.00%</w:t>
            </w:r>
          </w:p>
        </w:tc>
      </w:tr>
      <w:tr w:rsidR="005072DF" w:rsidRPr="00050D84" w14:paraId="180B97B7"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669FDA20" w14:textId="77777777" w:rsidR="005072DF" w:rsidRPr="00250965" w:rsidRDefault="005072DF" w:rsidP="00D22060">
            <w:pPr>
              <w:pStyle w:val="TableText0"/>
              <w:keepNext w:val="0"/>
              <w:rPr>
                <w:szCs w:val="20"/>
              </w:rPr>
            </w:pPr>
            <w:r w:rsidRPr="00250965">
              <w:rPr>
                <w:szCs w:val="20"/>
              </w:rPr>
              <w:t>DAIR</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1D7FE6AE" w14:textId="33780C2C" w:rsidR="005072DF" w:rsidRDefault="005072DF" w:rsidP="00D22060">
            <w:pPr>
              <w:pStyle w:val="TableText0"/>
              <w:keepNext w:val="0"/>
            </w:pPr>
            <w:r>
              <w:t>+20% ($12,330.53)</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EC1531D" w14:textId="77777777" w:rsidR="005072DF" w:rsidRPr="00E062D0" w:rsidRDefault="005072DF" w:rsidP="00D22060">
            <w:pPr>
              <w:pStyle w:val="TableText0"/>
              <w:keepNext w:val="0"/>
              <w:jc w:val="right"/>
            </w:pPr>
            <w:r w:rsidRPr="00C646EE">
              <w:t>$</w:t>
            </w:r>
            <w:r>
              <w:t>3,466</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99E5853" w14:textId="77777777" w:rsidR="005072DF" w:rsidRPr="00E062D0"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AAF4B5B" w14:textId="77777777" w:rsidR="005072DF" w:rsidRPr="00E062D0" w:rsidRDefault="005072DF" w:rsidP="00D22060">
            <w:pPr>
              <w:pStyle w:val="TableText0"/>
              <w:keepNext w:val="0"/>
              <w:jc w:val="right"/>
            </w:pPr>
            <w:r>
              <w:t>$188,081</w:t>
            </w:r>
          </w:p>
        </w:tc>
        <w:tc>
          <w:tcPr>
            <w:tcW w:w="887" w:type="pct"/>
            <w:tcBorders>
              <w:top w:val="single" w:sz="4" w:space="0" w:color="auto"/>
              <w:left w:val="single" w:sz="4" w:space="0" w:color="auto"/>
              <w:bottom w:val="single" w:sz="4" w:space="0" w:color="auto"/>
            </w:tcBorders>
            <w:shd w:val="clear" w:color="auto" w:fill="auto"/>
          </w:tcPr>
          <w:p w14:paraId="31EACEC8" w14:textId="77777777" w:rsidR="005072DF" w:rsidRDefault="005072DF" w:rsidP="00D22060">
            <w:pPr>
              <w:pStyle w:val="TableText0"/>
              <w:keepNext w:val="0"/>
              <w:jc w:val="right"/>
            </w:pPr>
            <w:r w:rsidRPr="00FF123A">
              <w:t>-0.50%</w:t>
            </w:r>
          </w:p>
        </w:tc>
      </w:tr>
      <w:tr w:rsidR="005072DF" w:rsidRPr="00050D84" w14:paraId="54ACE20C" w14:textId="77777777" w:rsidTr="00D22060">
        <w:tc>
          <w:tcPr>
            <w:tcW w:w="942" w:type="pct"/>
            <w:vMerge/>
            <w:tcBorders>
              <w:top w:val="single" w:sz="4" w:space="0" w:color="auto"/>
              <w:bottom w:val="single" w:sz="4" w:space="0" w:color="auto"/>
              <w:right w:val="single" w:sz="4" w:space="0" w:color="auto"/>
            </w:tcBorders>
            <w:shd w:val="clear" w:color="auto" w:fill="auto"/>
          </w:tcPr>
          <w:p w14:paraId="0FC7FEC8"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685F415" w14:textId="3C418C1E" w:rsidR="005072DF" w:rsidRDefault="005072DF" w:rsidP="00D22060">
            <w:pPr>
              <w:pStyle w:val="TableText0"/>
              <w:keepNext w:val="0"/>
            </w:pPr>
            <w:r>
              <w:t>-20% ($8,220.35)</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BF190A9" w14:textId="77777777" w:rsidR="005072DF" w:rsidRPr="00E062D0" w:rsidRDefault="005072DF" w:rsidP="00D22060">
            <w:pPr>
              <w:pStyle w:val="TableText0"/>
              <w:keepNext w:val="0"/>
              <w:jc w:val="right"/>
            </w:pPr>
            <w:r w:rsidRPr="00C646EE">
              <w:t>$</w:t>
            </w:r>
            <w:r>
              <w:t>3,491</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D4784BA" w14:textId="77777777" w:rsidR="005072DF" w:rsidRPr="00E062D0"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BBBAB8A" w14:textId="77777777" w:rsidR="005072DF" w:rsidRPr="00E062D0" w:rsidRDefault="005072DF" w:rsidP="00D22060">
            <w:pPr>
              <w:pStyle w:val="TableText0"/>
              <w:keepNext w:val="0"/>
              <w:jc w:val="right"/>
            </w:pPr>
            <w:r w:rsidRPr="00B24677">
              <w:t>$</w:t>
            </w:r>
            <w:r>
              <w:t>189,436</w:t>
            </w:r>
          </w:p>
        </w:tc>
        <w:tc>
          <w:tcPr>
            <w:tcW w:w="887" w:type="pct"/>
            <w:tcBorders>
              <w:top w:val="single" w:sz="4" w:space="0" w:color="auto"/>
              <w:left w:val="single" w:sz="4" w:space="0" w:color="auto"/>
              <w:bottom w:val="single" w:sz="4" w:space="0" w:color="auto"/>
            </w:tcBorders>
            <w:shd w:val="clear" w:color="auto" w:fill="auto"/>
          </w:tcPr>
          <w:p w14:paraId="09B08A0E" w14:textId="77777777" w:rsidR="005072DF" w:rsidRDefault="005072DF" w:rsidP="00D22060">
            <w:pPr>
              <w:pStyle w:val="TableText0"/>
              <w:keepNext w:val="0"/>
              <w:jc w:val="right"/>
            </w:pPr>
            <w:r w:rsidRPr="00FF123A">
              <w:t>0.22%</w:t>
            </w:r>
          </w:p>
        </w:tc>
      </w:tr>
      <w:tr w:rsidR="005072DF" w:rsidRPr="00050D84" w14:paraId="0A846110"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0768D196" w14:textId="77777777" w:rsidR="005072DF" w:rsidRPr="00250965" w:rsidRDefault="005072DF" w:rsidP="00D22060">
            <w:pPr>
              <w:pStyle w:val="TableText0"/>
              <w:keepNext w:val="0"/>
              <w:rPr>
                <w:szCs w:val="20"/>
              </w:rPr>
            </w:pPr>
            <w:r w:rsidRPr="00250965">
              <w:rPr>
                <w:szCs w:val="20"/>
              </w:rPr>
              <w:t>Revision</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B3D1832" w14:textId="4AA12492" w:rsidR="005072DF" w:rsidRDefault="005072DF" w:rsidP="00D22060">
            <w:pPr>
              <w:pStyle w:val="TableText0"/>
              <w:keepNext w:val="0"/>
            </w:pPr>
            <w:r>
              <w:t>+20% ($35,368.37)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1D6128D" w14:textId="77777777" w:rsidR="005072DF" w:rsidRPr="00E062D0" w:rsidRDefault="005072DF" w:rsidP="00D22060">
            <w:pPr>
              <w:pStyle w:val="TableText0"/>
              <w:keepNext w:val="0"/>
              <w:jc w:val="right"/>
            </w:pPr>
            <w:r w:rsidRPr="00C646EE">
              <w:t>$</w:t>
            </w:r>
            <w:r>
              <w:t>3,505</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C9283A4" w14:textId="77777777" w:rsidR="005072DF" w:rsidRPr="00E062D0"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BD0EAF1" w14:textId="77777777" w:rsidR="005072DF" w:rsidRPr="00E062D0" w:rsidRDefault="005072DF" w:rsidP="00D22060">
            <w:pPr>
              <w:pStyle w:val="TableText0"/>
              <w:keepNext w:val="0"/>
              <w:jc w:val="right"/>
            </w:pPr>
            <w:r w:rsidRPr="00B24677">
              <w:t>$</w:t>
            </w:r>
            <w:r>
              <w:t>190,186</w:t>
            </w:r>
          </w:p>
        </w:tc>
        <w:tc>
          <w:tcPr>
            <w:tcW w:w="887" w:type="pct"/>
            <w:tcBorders>
              <w:top w:val="single" w:sz="4" w:space="0" w:color="auto"/>
              <w:left w:val="single" w:sz="4" w:space="0" w:color="auto"/>
              <w:bottom w:val="single" w:sz="4" w:space="0" w:color="auto"/>
            </w:tcBorders>
            <w:shd w:val="clear" w:color="auto" w:fill="auto"/>
          </w:tcPr>
          <w:p w14:paraId="58D1FA83" w14:textId="77777777" w:rsidR="005072DF" w:rsidRDefault="005072DF" w:rsidP="00D22060">
            <w:pPr>
              <w:pStyle w:val="TableText0"/>
              <w:keepNext w:val="0"/>
              <w:jc w:val="right"/>
            </w:pPr>
            <w:r w:rsidRPr="00FF123A">
              <w:t>0.61%</w:t>
            </w:r>
          </w:p>
        </w:tc>
      </w:tr>
      <w:tr w:rsidR="005072DF" w:rsidRPr="00050D84" w14:paraId="31BA7349" w14:textId="77777777" w:rsidTr="00D22060">
        <w:tc>
          <w:tcPr>
            <w:tcW w:w="942" w:type="pct"/>
            <w:vMerge/>
            <w:tcBorders>
              <w:top w:val="single" w:sz="4" w:space="0" w:color="auto"/>
              <w:bottom w:val="single" w:sz="4" w:space="0" w:color="auto"/>
              <w:right w:val="single" w:sz="4" w:space="0" w:color="auto"/>
            </w:tcBorders>
            <w:shd w:val="clear" w:color="auto" w:fill="auto"/>
          </w:tcPr>
          <w:p w14:paraId="138C64C1"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C01ED99" w14:textId="0CB7F6A6" w:rsidR="005072DF" w:rsidRDefault="005072DF" w:rsidP="00D22060">
            <w:pPr>
              <w:pStyle w:val="TableText0"/>
              <w:keepNext w:val="0"/>
            </w:pPr>
            <w:r>
              <w:t>-20% ($23,578.91)</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104C3E0" w14:textId="77777777" w:rsidR="005072DF" w:rsidRPr="00E062D0" w:rsidRDefault="005072DF" w:rsidP="00D22060">
            <w:pPr>
              <w:pStyle w:val="TableText0"/>
              <w:keepNext w:val="0"/>
              <w:jc w:val="right"/>
            </w:pPr>
            <w:r w:rsidRPr="00C646EE">
              <w:t>$</w:t>
            </w:r>
            <w:r>
              <w:t>3,516</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EDB322D" w14:textId="77777777" w:rsidR="005072DF" w:rsidRPr="00E062D0"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A20E553" w14:textId="77777777" w:rsidR="005072DF" w:rsidRPr="00E062D0" w:rsidRDefault="005072DF" w:rsidP="00D22060">
            <w:pPr>
              <w:pStyle w:val="TableText0"/>
              <w:keepNext w:val="0"/>
              <w:jc w:val="right"/>
            </w:pPr>
            <w:r w:rsidRPr="00B24677">
              <w:t>$</w:t>
            </w:r>
            <w:r>
              <w:t>190,801</w:t>
            </w:r>
          </w:p>
        </w:tc>
        <w:tc>
          <w:tcPr>
            <w:tcW w:w="887" w:type="pct"/>
            <w:tcBorders>
              <w:top w:val="single" w:sz="4" w:space="0" w:color="auto"/>
              <w:left w:val="single" w:sz="4" w:space="0" w:color="auto"/>
              <w:bottom w:val="single" w:sz="4" w:space="0" w:color="auto"/>
            </w:tcBorders>
            <w:shd w:val="clear" w:color="auto" w:fill="auto"/>
          </w:tcPr>
          <w:p w14:paraId="0B0AA076" w14:textId="77777777" w:rsidR="005072DF" w:rsidRDefault="005072DF" w:rsidP="00D22060">
            <w:pPr>
              <w:pStyle w:val="TableText0"/>
              <w:keepNext w:val="0"/>
              <w:jc w:val="right"/>
            </w:pPr>
            <w:r w:rsidRPr="00FF123A">
              <w:t>0.94%</w:t>
            </w:r>
          </w:p>
        </w:tc>
      </w:tr>
      <w:tr w:rsidR="005072DF" w:rsidRPr="00050D84" w14:paraId="42B9FB53"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58E575A2" w14:textId="77777777" w:rsidR="005072DF" w:rsidRPr="00250965" w:rsidRDefault="005072DF" w:rsidP="00D22060">
            <w:pPr>
              <w:pStyle w:val="TableText0"/>
              <w:keepNext w:val="0"/>
              <w:rPr>
                <w:szCs w:val="20"/>
              </w:rPr>
            </w:pPr>
            <w:r w:rsidRPr="00250965">
              <w:rPr>
                <w:szCs w:val="20"/>
              </w:rPr>
              <w:t>Removal surgery</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DEB7F1" w14:textId="04DA8470" w:rsidR="005072DF" w:rsidRDefault="005072DF" w:rsidP="00D22060">
            <w:pPr>
              <w:pStyle w:val="TableText0"/>
              <w:keepNext w:val="0"/>
            </w:pPr>
            <w:r>
              <w:t>+20% ($13,432.72)</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C438E8F" w14:textId="77777777" w:rsidR="005072DF" w:rsidRPr="00E062D0" w:rsidRDefault="005072DF" w:rsidP="00D22060">
            <w:pPr>
              <w:pStyle w:val="TableText0"/>
              <w:keepNext w:val="0"/>
              <w:jc w:val="right"/>
            </w:pPr>
            <w:r w:rsidRPr="00C646EE">
              <w:t>$</w:t>
            </w:r>
            <w:r>
              <w:t>3,482</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6C10773" w14:textId="77777777" w:rsidR="005072DF" w:rsidRPr="00E062D0"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6479839" w14:textId="77777777" w:rsidR="005072DF" w:rsidRPr="00E062D0" w:rsidRDefault="005072DF" w:rsidP="00D22060">
            <w:pPr>
              <w:pStyle w:val="TableText0"/>
              <w:keepNext w:val="0"/>
              <w:jc w:val="right"/>
            </w:pPr>
            <w:r w:rsidRPr="00B24677">
              <w:t>$</w:t>
            </w:r>
            <w:r>
              <w:t>188,914</w:t>
            </w:r>
          </w:p>
        </w:tc>
        <w:tc>
          <w:tcPr>
            <w:tcW w:w="887" w:type="pct"/>
            <w:tcBorders>
              <w:top w:val="single" w:sz="4" w:space="0" w:color="auto"/>
              <w:left w:val="single" w:sz="4" w:space="0" w:color="auto"/>
              <w:bottom w:val="single" w:sz="4" w:space="0" w:color="auto"/>
            </w:tcBorders>
            <w:shd w:val="clear" w:color="auto" w:fill="auto"/>
          </w:tcPr>
          <w:p w14:paraId="33A7AD8E" w14:textId="77777777" w:rsidR="005072DF" w:rsidRDefault="005072DF" w:rsidP="00D22060">
            <w:pPr>
              <w:pStyle w:val="TableText0"/>
              <w:keepNext w:val="0"/>
              <w:jc w:val="right"/>
            </w:pPr>
            <w:r w:rsidRPr="00FF123A">
              <w:t>-0.06%</w:t>
            </w:r>
          </w:p>
        </w:tc>
      </w:tr>
      <w:tr w:rsidR="005072DF" w:rsidRPr="00050D84" w14:paraId="6E592DBD" w14:textId="77777777" w:rsidTr="00D22060">
        <w:tc>
          <w:tcPr>
            <w:tcW w:w="942" w:type="pct"/>
            <w:vMerge/>
            <w:tcBorders>
              <w:top w:val="single" w:sz="4" w:space="0" w:color="auto"/>
              <w:bottom w:val="single" w:sz="4" w:space="0" w:color="auto"/>
              <w:right w:val="single" w:sz="4" w:space="0" w:color="auto"/>
            </w:tcBorders>
            <w:shd w:val="clear" w:color="auto" w:fill="auto"/>
          </w:tcPr>
          <w:p w14:paraId="73EB77B7" w14:textId="77777777" w:rsidR="005072DF" w:rsidRPr="00250965"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B5C9C25" w14:textId="6F5C3A2E" w:rsidR="005072DF" w:rsidRDefault="005072DF" w:rsidP="00D22060">
            <w:pPr>
              <w:pStyle w:val="TableText0"/>
              <w:keepNext w:val="0"/>
            </w:pPr>
            <w:r>
              <w:t>-20% ($8,955.14)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ADF0A3D" w14:textId="77777777" w:rsidR="005072DF" w:rsidRPr="00E062D0" w:rsidRDefault="005072DF" w:rsidP="00D22060">
            <w:pPr>
              <w:pStyle w:val="TableText0"/>
              <w:keepNext w:val="0"/>
              <w:jc w:val="right"/>
            </w:pPr>
            <w:r w:rsidRPr="00C646EE">
              <w:t>$</w:t>
            </w:r>
            <w:r>
              <w:t>3,486</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99894FB" w14:textId="77777777" w:rsidR="005072DF" w:rsidRPr="00E062D0"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D9864AE" w14:textId="77777777" w:rsidR="005072DF" w:rsidRPr="00E062D0" w:rsidRDefault="005072DF" w:rsidP="00D22060">
            <w:pPr>
              <w:pStyle w:val="TableText0"/>
              <w:keepNext w:val="0"/>
              <w:jc w:val="right"/>
            </w:pPr>
            <w:r w:rsidRPr="00B24677">
              <w:t>$</w:t>
            </w:r>
            <w:r>
              <w:t>189,135</w:t>
            </w:r>
          </w:p>
        </w:tc>
        <w:tc>
          <w:tcPr>
            <w:tcW w:w="887" w:type="pct"/>
            <w:tcBorders>
              <w:top w:val="single" w:sz="4" w:space="0" w:color="auto"/>
              <w:left w:val="single" w:sz="4" w:space="0" w:color="auto"/>
              <w:bottom w:val="single" w:sz="4" w:space="0" w:color="auto"/>
            </w:tcBorders>
            <w:shd w:val="clear" w:color="auto" w:fill="auto"/>
          </w:tcPr>
          <w:p w14:paraId="0A5B5F06" w14:textId="77777777" w:rsidR="005072DF" w:rsidRDefault="005072DF" w:rsidP="00D22060">
            <w:pPr>
              <w:pStyle w:val="TableText0"/>
              <w:keepNext w:val="0"/>
              <w:jc w:val="right"/>
            </w:pPr>
            <w:r w:rsidRPr="00FF123A">
              <w:t>0.06%</w:t>
            </w:r>
          </w:p>
        </w:tc>
      </w:tr>
      <w:tr w:rsidR="005072DF" w:rsidRPr="00050D84" w14:paraId="24026401" w14:textId="77777777" w:rsidTr="00D22060">
        <w:tc>
          <w:tcPr>
            <w:tcW w:w="5000" w:type="pct"/>
            <w:gridSpan w:val="6"/>
            <w:shd w:val="clear" w:color="auto" w:fill="auto"/>
            <w:vAlign w:val="center"/>
          </w:tcPr>
          <w:p w14:paraId="6E3C8D37" w14:textId="77777777" w:rsidR="005072DF" w:rsidRDefault="005072DF" w:rsidP="00D22060">
            <w:pPr>
              <w:pStyle w:val="TableText0"/>
              <w:keepNext w:val="0"/>
            </w:pPr>
            <w:r>
              <w:t>Other Costs</w:t>
            </w:r>
          </w:p>
        </w:tc>
      </w:tr>
      <w:tr w:rsidR="005072DF" w:rsidRPr="00050D84" w14:paraId="323E6118"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0AC338EF" w14:textId="3E7CB279" w:rsidR="005072DF" w:rsidRDefault="005072DF" w:rsidP="00D22060">
            <w:pPr>
              <w:pStyle w:val="TableText0"/>
              <w:keepNext w:val="0"/>
            </w:pPr>
            <w:r>
              <w:rPr>
                <w:szCs w:val="20"/>
              </w:rPr>
              <w:t xml:space="preserve">Cost for </w:t>
            </w:r>
            <w:r w:rsidR="00631974">
              <w:rPr>
                <w:szCs w:val="20"/>
              </w:rPr>
              <w:t>redacted</w:t>
            </w:r>
            <w:r>
              <w:rPr>
                <w:szCs w:val="20"/>
              </w:rPr>
              <w:t xml:space="preserve"> DAC kit</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E6BCFA2" w14:textId="50D79FBA" w:rsidR="005072DF" w:rsidRDefault="005072DF" w:rsidP="00D22060">
            <w:pPr>
              <w:pStyle w:val="TableText0"/>
              <w:keepNext w:val="0"/>
              <w:jc w:val="right"/>
            </w:pPr>
            <w:r>
              <w:t>$</w:t>
            </w:r>
            <w:r w:rsidR="00522B0F">
              <w:rPr>
                <w:b/>
                <w:bCs/>
              </w:rPr>
              <w:t>redacted</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9097D81"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C2076E2" w14:textId="7B177F41" w:rsidR="005072DF" w:rsidRPr="00431992" w:rsidRDefault="005072DF" w:rsidP="00D22060">
            <w:pPr>
              <w:pStyle w:val="TableText0"/>
              <w:keepNext w:val="0"/>
              <w:jc w:val="right"/>
              <w:rPr>
                <w:highlight w:val="green"/>
              </w:rPr>
            </w:pPr>
            <w:r w:rsidRPr="007203BF">
              <w:t>$</w:t>
            </w:r>
            <w:r w:rsidR="00522B0F">
              <w:rPr>
                <w:b/>
                <w:bCs/>
              </w:rPr>
              <w:t>redacted</w:t>
            </w:r>
          </w:p>
        </w:tc>
        <w:tc>
          <w:tcPr>
            <w:tcW w:w="887" w:type="pct"/>
            <w:tcBorders>
              <w:top w:val="single" w:sz="4" w:space="0" w:color="auto"/>
              <w:left w:val="single" w:sz="4" w:space="0" w:color="auto"/>
              <w:bottom w:val="single" w:sz="4" w:space="0" w:color="auto"/>
            </w:tcBorders>
            <w:shd w:val="clear" w:color="auto" w:fill="auto"/>
          </w:tcPr>
          <w:p w14:paraId="147D9EB6" w14:textId="4F79D4E7" w:rsidR="005072DF" w:rsidRDefault="00522B0F" w:rsidP="00D22060">
            <w:pPr>
              <w:pStyle w:val="TableText0"/>
              <w:keepNext w:val="0"/>
              <w:jc w:val="right"/>
            </w:pPr>
            <w:r>
              <w:rPr>
                <w:b/>
                <w:bCs/>
              </w:rPr>
              <w:t>redacted</w:t>
            </w:r>
            <w:r w:rsidR="005072DF" w:rsidRPr="003C204B">
              <w:t>%</w:t>
            </w:r>
          </w:p>
        </w:tc>
      </w:tr>
      <w:tr w:rsidR="005072DF" w:rsidRPr="00050D84" w14:paraId="292CE12E"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1E1F994E" w14:textId="0FE9782A" w:rsidR="005072DF" w:rsidRDefault="005072DF" w:rsidP="00D22060">
            <w:pPr>
              <w:pStyle w:val="TableText0"/>
              <w:keepNext w:val="0"/>
            </w:pPr>
            <w:r>
              <w:rPr>
                <w:szCs w:val="20"/>
              </w:rPr>
              <w:t xml:space="preserve">Cost for </w:t>
            </w:r>
            <w:r w:rsidR="00631974">
              <w:rPr>
                <w:szCs w:val="20"/>
              </w:rPr>
              <w:t>redacted</w:t>
            </w:r>
            <w:r>
              <w:rPr>
                <w:szCs w:val="20"/>
              </w:rPr>
              <w:t xml:space="preserve"> DAC kits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D491908" w14:textId="0AB3995C" w:rsidR="005072DF" w:rsidRDefault="005072DF" w:rsidP="00D22060">
            <w:pPr>
              <w:pStyle w:val="TableText0"/>
              <w:keepNext w:val="0"/>
              <w:jc w:val="right"/>
            </w:pPr>
            <w:r>
              <w:t>$</w:t>
            </w:r>
            <w:r w:rsidR="00522B0F">
              <w:rPr>
                <w:b/>
                <w:bCs/>
              </w:rPr>
              <w:t>redacted</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8521DA0"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47552C" w14:textId="270F1772" w:rsidR="005072DF" w:rsidRPr="00431992" w:rsidRDefault="005072DF" w:rsidP="00D22060">
            <w:pPr>
              <w:pStyle w:val="TableText0"/>
              <w:keepNext w:val="0"/>
              <w:jc w:val="right"/>
              <w:rPr>
                <w:highlight w:val="green"/>
              </w:rPr>
            </w:pPr>
            <w:r w:rsidRPr="004C025F">
              <w:t>$</w:t>
            </w:r>
            <w:r w:rsidR="00522B0F">
              <w:rPr>
                <w:b/>
                <w:bCs/>
              </w:rPr>
              <w:t>redacted</w:t>
            </w:r>
          </w:p>
        </w:tc>
        <w:tc>
          <w:tcPr>
            <w:tcW w:w="887" w:type="pct"/>
            <w:tcBorders>
              <w:top w:val="single" w:sz="4" w:space="0" w:color="auto"/>
              <w:left w:val="single" w:sz="4" w:space="0" w:color="auto"/>
              <w:bottom w:val="single" w:sz="4" w:space="0" w:color="auto"/>
            </w:tcBorders>
            <w:shd w:val="clear" w:color="auto" w:fill="auto"/>
          </w:tcPr>
          <w:p w14:paraId="689B4EDA" w14:textId="09032CA9" w:rsidR="005072DF" w:rsidRDefault="00522B0F" w:rsidP="00D22060">
            <w:pPr>
              <w:pStyle w:val="TableText0"/>
              <w:keepNext w:val="0"/>
              <w:jc w:val="right"/>
            </w:pPr>
            <w:r>
              <w:rPr>
                <w:b/>
                <w:bCs/>
              </w:rPr>
              <w:t>redacted</w:t>
            </w:r>
            <w:r w:rsidR="005072DF" w:rsidRPr="003C204B">
              <w:t>%</w:t>
            </w:r>
          </w:p>
        </w:tc>
      </w:tr>
      <w:tr w:rsidR="005072DF" w:rsidRPr="00050D84" w14:paraId="077E48CB"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39C76F56" w14:textId="59D5045E" w:rsidR="005072DF" w:rsidRDefault="005072DF" w:rsidP="00D22060">
            <w:pPr>
              <w:pStyle w:val="TableText0"/>
              <w:keepNext w:val="0"/>
            </w:pPr>
            <w:r>
              <w:rPr>
                <w:szCs w:val="20"/>
              </w:rPr>
              <w:t xml:space="preserve">Cost for </w:t>
            </w:r>
            <w:r w:rsidR="00631974">
              <w:rPr>
                <w:szCs w:val="20"/>
              </w:rPr>
              <w:t>redacted</w:t>
            </w:r>
            <w:r>
              <w:rPr>
                <w:szCs w:val="20"/>
              </w:rPr>
              <w:t xml:space="preserve"> DAC kits</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30716FA" w14:textId="5C157418" w:rsidR="005072DF" w:rsidRDefault="005072DF" w:rsidP="00D22060">
            <w:pPr>
              <w:pStyle w:val="TableText0"/>
              <w:keepNext w:val="0"/>
              <w:jc w:val="right"/>
            </w:pPr>
            <w:r w:rsidRPr="00EC28D9">
              <w:t>$</w:t>
            </w:r>
            <w:r w:rsidR="00522B0F">
              <w:rPr>
                <w:b/>
                <w:bCs/>
              </w:rPr>
              <w:t>redacted</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2093B67"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738BC4E" w14:textId="3E13B6C7" w:rsidR="005072DF" w:rsidRPr="00431992" w:rsidRDefault="005072DF" w:rsidP="00D22060">
            <w:pPr>
              <w:pStyle w:val="TableText0"/>
              <w:keepNext w:val="0"/>
              <w:jc w:val="right"/>
              <w:rPr>
                <w:highlight w:val="green"/>
              </w:rPr>
            </w:pPr>
            <w:r w:rsidRPr="007203BF">
              <w:t>$</w:t>
            </w:r>
            <w:r w:rsidR="00522B0F">
              <w:rPr>
                <w:b/>
                <w:bCs/>
              </w:rPr>
              <w:t>redacted</w:t>
            </w:r>
          </w:p>
        </w:tc>
        <w:tc>
          <w:tcPr>
            <w:tcW w:w="887" w:type="pct"/>
            <w:tcBorders>
              <w:top w:val="single" w:sz="4" w:space="0" w:color="auto"/>
              <w:left w:val="single" w:sz="4" w:space="0" w:color="auto"/>
              <w:bottom w:val="single" w:sz="4" w:space="0" w:color="auto"/>
            </w:tcBorders>
            <w:shd w:val="clear" w:color="auto" w:fill="auto"/>
          </w:tcPr>
          <w:p w14:paraId="469CC6AA" w14:textId="1557C604" w:rsidR="005072DF" w:rsidRDefault="00522B0F" w:rsidP="00D22060">
            <w:pPr>
              <w:pStyle w:val="TableText0"/>
              <w:keepNext w:val="0"/>
              <w:jc w:val="right"/>
            </w:pPr>
            <w:r>
              <w:rPr>
                <w:b/>
                <w:bCs/>
              </w:rPr>
              <w:t>redacted</w:t>
            </w:r>
            <w:r w:rsidR="005072DF" w:rsidRPr="003C204B">
              <w:t>%</w:t>
            </w:r>
            <w:r w:rsidR="005072DF">
              <w:t>*</w:t>
            </w:r>
          </w:p>
        </w:tc>
      </w:tr>
      <w:tr w:rsidR="005072DF" w:rsidRPr="00050D84" w14:paraId="24B8CF04" w14:textId="77777777" w:rsidTr="00D22060">
        <w:tc>
          <w:tcPr>
            <w:tcW w:w="2122" w:type="pct"/>
            <w:gridSpan w:val="2"/>
            <w:tcBorders>
              <w:top w:val="single" w:sz="4" w:space="0" w:color="auto"/>
              <w:bottom w:val="single" w:sz="4" w:space="0" w:color="auto"/>
              <w:right w:val="single" w:sz="4" w:space="0" w:color="auto"/>
            </w:tcBorders>
            <w:shd w:val="clear" w:color="auto" w:fill="auto"/>
          </w:tcPr>
          <w:p w14:paraId="12BB4FD7" w14:textId="77777777" w:rsidR="005072DF" w:rsidRDefault="005072DF" w:rsidP="00D22060">
            <w:pPr>
              <w:pStyle w:val="TableText0"/>
              <w:keepNext w:val="0"/>
            </w:pPr>
            <w:r>
              <w:rPr>
                <w:szCs w:val="20"/>
              </w:rPr>
              <w:t>DAC price Franceschini 2020 lower range ($382.03)</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6F2B882" w14:textId="63543322" w:rsidR="005072DF" w:rsidRDefault="005072DF" w:rsidP="00D22060">
            <w:pPr>
              <w:pStyle w:val="TableText0"/>
              <w:keepNext w:val="0"/>
              <w:jc w:val="right"/>
            </w:pPr>
            <w:r w:rsidRPr="00EC28D9">
              <w:t>$</w:t>
            </w:r>
            <w:r w:rsidR="00522B0F">
              <w:rPr>
                <w:b/>
                <w:bCs/>
              </w:rPr>
              <w:t>redacted</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89D1F0F"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EBD2F08" w14:textId="303A9B95" w:rsidR="005072DF" w:rsidRPr="00431992" w:rsidRDefault="005072DF" w:rsidP="00D22060">
            <w:pPr>
              <w:pStyle w:val="TableText0"/>
              <w:keepNext w:val="0"/>
              <w:jc w:val="right"/>
              <w:rPr>
                <w:highlight w:val="green"/>
              </w:rPr>
            </w:pPr>
            <w:r w:rsidRPr="007203BF">
              <w:t>$</w:t>
            </w:r>
            <w:r w:rsidR="00522B0F">
              <w:rPr>
                <w:b/>
                <w:bCs/>
              </w:rPr>
              <w:t>redacted</w:t>
            </w:r>
          </w:p>
        </w:tc>
        <w:tc>
          <w:tcPr>
            <w:tcW w:w="887" w:type="pct"/>
            <w:tcBorders>
              <w:top w:val="single" w:sz="4" w:space="0" w:color="auto"/>
              <w:left w:val="single" w:sz="4" w:space="0" w:color="auto"/>
              <w:bottom w:val="single" w:sz="4" w:space="0" w:color="auto"/>
            </w:tcBorders>
            <w:shd w:val="clear" w:color="auto" w:fill="auto"/>
          </w:tcPr>
          <w:p w14:paraId="1AC222AC" w14:textId="536F831C" w:rsidR="005072DF" w:rsidRDefault="00522B0F" w:rsidP="00D22060">
            <w:pPr>
              <w:pStyle w:val="TableText0"/>
              <w:keepNext w:val="0"/>
              <w:jc w:val="right"/>
            </w:pPr>
            <w:r>
              <w:rPr>
                <w:b/>
                <w:bCs/>
              </w:rPr>
              <w:t>redacted</w:t>
            </w:r>
            <w:r w:rsidR="005072DF" w:rsidRPr="003C204B">
              <w:t>%</w:t>
            </w:r>
            <w:r w:rsidR="005072DF">
              <w:t>*</w:t>
            </w:r>
          </w:p>
        </w:tc>
      </w:tr>
      <w:tr w:rsidR="005072DF" w:rsidRPr="00050D84" w14:paraId="23D24A3E" w14:textId="77777777" w:rsidTr="00D22060">
        <w:tc>
          <w:tcPr>
            <w:tcW w:w="5000" w:type="pct"/>
            <w:gridSpan w:val="6"/>
            <w:shd w:val="clear" w:color="auto" w:fill="auto"/>
            <w:vAlign w:val="center"/>
          </w:tcPr>
          <w:p w14:paraId="60EA9E93" w14:textId="77777777" w:rsidR="005072DF" w:rsidRDefault="005072DF" w:rsidP="00D22060">
            <w:pPr>
              <w:pStyle w:val="TableText0"/>
              <w:keepNext w:val="0"/>
            </w:pPr>
            <w:r>
              <w:t>Utilities</w:t>
            </w:r>
          </w:p>
        </w:tc>
      </w:tr>
      <w:tr w:rsidR="005072DF" w:rsidRPr="00050D84" w14:paraId="63E59674"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5576E205" w14:textId="77777777" w:rsidR="005072DF" w:rsidRPr="00250965" w:rsidRDefault="005072DF" w:rsidP="00D22060">
            <w:pPr>
              <w:pStyle w:val="TableText0"/>
              <w:keepNext w:val="0"/>
              <w:rPr>
                <w:szCs w:val="20"/>
              </w:rPr>
            </w:pPr>
            <w:r w:rsidRPr="00827D94">
              <w:rPr>
                <w:szCs w:val="20"/>
              </w:rPr>
              <w:t>No periprosthetic deep SSI</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4CC9CE2E" w14:textId="3C55C25E" w:rsidR="005072DF" w:rsidRDefault="005072DF" w:rsidP="00D22060">
            <w:pPr>
              <w:pStyle w:val="TableText0"/>
              <w:keepNext w:val="0"/>
            </w:pPr>
            <w:r>
              <w:t>Higher 95% CI (0.884)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4F797EB"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598C1113"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D77E5BC" w14:textId="77777777" w:rsidR="005072DF" w:rsidRPr="00431992" w:rsidRDefault="005072DF" w:rsidP="00D22060">
            <w:pPr>
              <w:pStyle w:val="TableText0"/>
              <w:keepNext w:val="0"/>
              <w:jc w:val="right"/>
              <w:rPr>
                <w:highlight w:val="green"/>
              </w:rPr>
            </w:pPr>
            <w:r w:rsidRPr="00585318">
              <w:t>$</w:t>
            </w:r>
            <w:r>
              <w:t>189,025</w:t>
            </w:r>
          </w:p>
        </w:tc>
        <w:tc>
          <w:tcPr>
            <w:tcW w:w="887" w:type="pct"/>
            <w:tcBorders>
              <w:top w:val="single" w:sz="4" w:space="0" w:color="auto"/>
              <w:left w:val="single" w:sz="4" w:space="0" w:color="auto"/>
              <w:bottom w:val="single" w:sz="4" w:space="0" w:color="auto"/>
            </w:tcBorders>
            <w:shd w:val="clear" w:color="auto" w:fill="auto"/>
          </w:tcPr>
          <w:p w14:paraId="2BB5435A" w14:textId="77777777" w:rsidR="005072DF" w:rsidRDefault="005072DF" w:rsidP="00D22060">
            <w:pPr>
              <w:pStyle w:val="TableText0"/>
              <w:keepNext w:val="0"/>
              <w:jc w:val="right"/>
            </w:pPr>
            <w:r w:rsidRPr="005667D5">
              <w:t>0.00%</w:t>
            </w:r>
          </w:p>
        </w:tc>
      </w:tr>
      <w:tr w:rsidR="005072DF" w:rsidRPr="00050D84" w14:paraId="599C5B91" w14:textId="77777777" w:rsidTr="00D22060">
        <w:tc>
          <w:tcPr>
            <w:tcW w:w="942" w:type="pct"/>
            <w:vMerge/>
            <w:tcBorders>
              <w:top w:val="single" w:sz="4" w:space="0" w:color="auto"/>
              <w:bottom w:val="single" w:sz="4" w:space="0" w:color="auto"/>
              <w:right w:val="single" w:sz="4" w:space="0" w:color="auto"/>
            </w:tcBorders>
            <w:shd w:val="clear" w:color="auto" w:fill="auto"/>
          </w:tcPr>
          <w:p w14:paraId="79C9DA45" w14:textId="77777777" w:rsidR="005072DF" w:rsidRPr="00827D94"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4FC78C1E" w14:textId="739F2B16" w:rsidR="005072DF" w:rsidRDefault="005072DF" w:rsidP="00D22060">
            <w:pPr>
              <w:pStyle w:val="TableText0"/>
              <w:keepNext w:val="0"/>
            </w:pPr>
            <w:r>
              <w:t>Lower 95% CI (0.877)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55728E6"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BC8DCC3"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3CA238C" w14:textId="77777777" w:rsidR="005072DF" w:rsidRPr="00431992" w:rsidRDefault="005072DF" w:rsidP="00D22060">
            <w:pPr>
              <w:pStyle w:val="TableText0"/>
              <w:keepNext w:val="0"/>
              <w:jc w:val="right"/>
              <w:rPr>
                <w:highlight w:val="green"/>
              </w:rPr>
            </w:pPr>
            <w:r w:rsidRPr="00585318">
              <w:t>$</w:t>
            </w:r>
            <w:r>
              <w:t>191,517</w:t>
            </w:r>
          </w:p>
        </w:tc>
        <w:tc>
          <w:tcPr>
            <w:tcW w:w="887" w:type="pct"/>
            <w:tcBorders>
              <w:top w:val="single" w:sz="4" w:space="0" w:color="auto"/>
              <w:left w:val="single" w:sz="4" w:space="0" w:color="auto"/>
              <w:bottom w:val="single" w:sz="4" w:space="0" w:color="auto"/>
            </w:tcBorders>
            <w:shd w:val="clear" w:color="auto" w:fill="auto"/>
          </w:tcPr>
          <w:p w14:paraId="4CC26B54" w14:textId="77777777" w:rsidR="005072DF" w:rsidRDefault="005072DF" w:rsidP="00D22060">
            <w:pPr>
              <w:pStyle w:val="TableText0"/>
              <w:keepNext w:val="0"/>
              <w:jc w:val="right"/>
            </w:pPr>
            <w:r w:rsidRPr="005667D5">
              <w:t>1.32%</w:t>
            </w:r>
          </w:p>
        </w:tc>
      </w:tr>
      <w:tr w:rsidR="005072DF" w:rsidRPr="00050D84" w14:paraId="5847B31E"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5E71B2A6" w14:textId="77777777" w:rsidR="005072DF" w:rsidRPr="00250965" w:rsidRDefault="005072DF" w:rsidP="00D22060">
            <w:pPr>
              <w:pStyle w:val="TableText0"/>
              <w:keepNext w:val="0"/>
              <w:rPr>
                <w:szCs w:val="20"/>
              </w:rPr>
            </w:pPr>
            <w:r w:rsidRPr="00827D94">
              <w:rPr>
                <w:szCs w:val="20"/>
              </w:rPr>
              <w:t>DAIR</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4ADF7680" w14:textId="7D822D23" w:rsidR="005072DF" w:rsidRDefault="005072DF" w:rsidP="00D22060">
            <w:pPr>
              <w:pStyle w:val="TableText0"/>
              <w:keepNext w:val="0"/>
            </w:pPr>
            <w:r>
              <w:t>Higher 95% CI (.976)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9D1F16D"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0627D624" w14:textId="77777777" w:rsidR="005072DF" w:rsidRDefault="005072DF" w:rsidP="00D22060">
            <w:pPr>
              <w:pStyle w:val="TableText0"/>
              <w:keepNext w:val="0"/>
              <w:jc w:val="right"/>
            </w:pPr>
            <w:r>
              <w:t>0.017</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4EDA27" w14:textId="77777777" w:rsidR="005072DF" w:rsidRPr="00431992" w:rsidRDefault="005072DF" w:rsidP="00D22060">
            <w:pPr>
              <w:pStyle w:val="TableText0"/>
              <w:keepNext w:val="0"/>
              <w:jc w:val="right"/>
              <w:rPr>
                <w:highlight w:val="green"/>
              </w:rPr>
            </w:pPr>
            <w:r w:rsidRPr="00585318">
              <w:t>$</w:t>
            </w:r>
            <w:r>
              <w:t>205,270</w:t>
            </w:r>
          </w:p>
        </w:tc>
        <w:tc>
          <w:tcPr>
            <w:tcW w:w="887" w:type="pct"/>
            <w:tcBorders>
              <w:top w:val="single" w:sz="4" w:space="0" w:color="auto"/>
              <w:left w:val="single" w:sz="4" w:space="0" w:color="auto"/>
              <w:bottom w:val="single" w:sz="4" w:space="0" w:color="auto"/>
            </w:tcBorders>
            <w:shd w:val="clear" w:color="auto" w:fill="auto"/>
          </w:tcPr>
          <w:p w14:paraId="0913D10E" w14:textId="77777777" w:rsidR="005072DF" w:rsidRDefault="005072DF" w:rsidP="00D22060">
            <w:pPr>
              <w:pStyle w:val="TableText0"/>
              <w:keepNext w:val="0"/>
              <w:jc w:val="right"/>
            </w:pPr>
            <w:r w:rsidRPr="005667D5">
              <w:t>8.59%</w:t>
            </w:r>
          </w:p>
        </w:tc>
      </w:tr>
      <w:tr w:rsidR="005072DF" w:rsidRPr="00050D84" w14:paraId="5AD1BED5" w14:textId="77777777" w:rsidTr="00D22060">
        <w:tc>
          <w:tcPr>
            <w:tcW w:w="942" w:type="pct"/>
            <w:vMerge/>
            <w:tcBorders>
              <w:top w:val="single" w:sz="4" w:space="0" w:color="auto"/>
              <w:bottom w:val="single" w:sz="4" w:space="0" w:color="auto"/>
              <w:right w:val="single" w:sz="4" w:space="0" w:color="auto"/>
            </w:tcBorders>
            <w:shd w:val="clear" w:color="auto" w:fill="auto"/>
          </w:tcPr>
          <w:p w14:paraId="51AF661B" w14:textId="77777777" w:rsidR="005072DF" w:rsidRPr="00827D94"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0ECFC57" w14:textId="20E802D6" w:rsidR="005072DF" w:rsidRDefault="005072DF" w:rsidP="00D22060">
            <w:pPr>
              <w:pStyle w:val="TableText0"/>
              <w:keepNext w:val="0"/>
            </w:pPr>
            <w:r>
              <w:t>Lower 95% CI (0.184)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2E9969FA"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E836387" w14:textId="77777777" w:rsidR="005072DF" w:rsidRDefault="005072DF" w:rsidP="00D22060">
            <w:pPr>
              <w:pStyle w:val="TableText0"/>
              <w:keepNext w:val="0"/>
              <w:jc w:val="right"/>
            </w:pPr>
            <w:r>
              <w:t>0.020</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18E055E" w14:textId="77777777" w:rsidR="005072DF" w:rsidRPr="00431992" w:rsidRDefault="005072DF" w:rsidP="00D22060">
            <w:pPr>
              <w:pStyle w:val="TableText0"/>
              <w:keepNext w:val="0"/>
              <w:jc w:val="right"/>
              <w:rPr>
                <w:highlight w:val="green"/>
              </w:rPr>
            </w:pPr>
            <w:r w:rsidRPr="00585318">
              <w:t>$</w:t>
            </w:r>
            <w:r>
              <w:t>175,162</w:t>
            </w:r>
          </w:p>
        </w:tc>
        <w:tc>
          <w:tcPr>
            <w:tcW w:w="887" w:type="pct"/>
            <w:tcBorders>
              <w:top w:val="single" w:sz="4" w:space="0" w:color="auto"/>
              <w:left w:val="single" w:sz="4" w:space="0" w:color="auto"/>
              <w:bottom w:val="single" w:sz="4" w:space="0" w:color="auto"/>
            </w:tcBorders>
            <w:shd w:val="clear" w:color="auto" w:fill="auto"/>
          </w:tcPr>
          <w:p w14:paraId="60709A06" w14:textId="77777777" w:rsidR="005072DF" w:rsidRDefault="005072DF" w:rsidP="00D22060">
            <w:pPr>
              <w:pStyle w:val="TableText0"/>
              <w:keepNext w:val="0"/>
              <w:jc w:val="right"/>
            </w:pPr>
            <w:r w:rsidRPr="005667D5">
              <w:t>-7.33%</w:t>
            </w:r>
          </w:p>
        </w:tc>
      </w:tr>
      <w:tr w:rsidR="005072DF" w:rsidRPr="00050D84" w14:paraId="760BD4AA"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3B92C560" w14:textId="77777777" w:rsidR="005072DF" w:rsidRPr="00250965" w:rsidRDefault="005072DF" w:rsidP="00D22060">
            <w:pPr>
              <w:pStyle w:val="TableText0"/>
              <w:keepNext w:val="0"/>
              <w:rPr>
                <w:szCs w:val="20"/>
              </w:rPr>
            </w:pPr>
            <w:r w:rsidRPr="00827D94">
              <w:rPr>
                <w:szCs w:val="20"/>
              </w:rPr>
              <w:t>Post treatment</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8AABF1B" w14:textId="40D9E161" w:rsidR="005072DF" w:rsidRDefault="005072DF" w:rsidP="00D22060">
            <w:pPr>
              <w:pStyle w:val="TableText0"/>
              <w:keepNext w:val="0"/>
            </w:pPr>
            <w:r>
              <w:t>Higher 95% CI (0.906)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9723060"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CB683E1" w14:textId="77777777" w:rsidR="005072DF" w:rsidRDefault="005072DF" w:rsidP="00D22060">
            <w:pPr>
              <w:pStyle w:val="TableText0"/>
              <w:keepNext w:val="0"/>
              <w:jc w:val="right"/>
            </w:pPr>
            <w:r>
              <w:t>0.008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0EE20A3" w14:textId="77777777" w:rsidR="005072DF" w:rsidRPr="00431992" w:rsidRDefault="005072DF" w:rsidP="00D22060">
            <w:pPr>
              <w:pStyle w:val="TableText0"/>
              <w:keepNext w:val="0"/>
              <w:jc w:val="right"/>
              <w:rPr>
                <w:highlight w:val="green"/>
              </w:rPr>
            </w:pPr>
            <w:r>
              <w:t>$447,388</w:t>
            </w:r>
          </w:p>
        </w:tc>
        <w:tc>
          <w:tcPr>
            <w:tcW w:w="887" w:type="pct"/>
            <w:tcBorders>
              <w:top w:val="single" w:sz="4" w:space="0" w:color="auto"/>
              <w:left w:val="single" w:sz="4" w:space="0" w:color="auto"/>
              <w:bottom w:val="single" w:sz="4" w:space="0" w:color="auto"/>
            </w:tcBorders>
            <w:shd w:val="clear" w:color="auto" w:fill="auto"/>
          </w:tcPr>
          <w:p w14:paraId="1A66D526" w14:textId="77777777" w:rsidR="005072DF" w:rsidRDefault="005072DF" w:rsidP="00D22060">
            <w:pPr>
              <w:pStyle w:val="TableText0"/>
              <w:keepNext w:val="0"/>
              <w:jc w:val="right"/>
            </w:pPr>
            <w:r w:rsidRPr="005667D5">
              <w:t>136.68%</w:t>
            </w:r>
            <w:r>
              <w:t>*</w:t>
            </w:r>
          </w:p>
        </w:tc>
      </w:tr>
      <w:tr w:rsidR="005072DF" w:rsidRPr="00050D84" w14:paraId="33A5E05D" w14:textId="77777777" w:rsidTr="00D22060">
        <w:tc>
          <w:tcPr>
            <w:tcW w:w="942" w:type="pct"/>
            <w:vMerge/>
            <w:tcBorders>
              <w:top w:val="single" w:sz="4" w:space="0" w:color="auto"/>
              <w:bottom w:val="single" w:sz="4" w:space="0" w:color="auto"/>
              <w:right w:val="single" w:sz="4" w:space="0" w:color="auto"/>
            </w:tcBorders>
            <w:shd w:val="clear" w:color="auto" w:fill="auto"/>
          </w:tcPr>
          <w:p w14:paraId="3EEA70FF" w14:textId="77777777" w:rsidR="005072DF" w:rsidRPr="00827D94"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42FDCE90" w14:textId="583CE12E" w:rsidR="005072DF" w:rsidRDefault="005072DF" w:rsidP="00D22060">
            <w:pPr>
              <w:pStyle w:val="TableText0"/>
              <w:keepNext w:val="0"/>
            </w:pPr>
            <w:r>
              <w:t>Lower 95% CI (0.534)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1DEA41AE"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EE6821C" w14:textId="77777777" w:rsidR="005072DF" w:rsidRDefault="005072DF" w:rsidP="00D22060">
            <w:pPr>
              <w:pStyle w:val="TableText0"/>
              <w:keepNext w:val="0"/>
              <w:jc w:val="right"/>
            </w:pPr>
            <w:r>
              <w:t>0.029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C1A341B" w14:textId="77777777" w:rsidR="005072DF" w:rsidRPr="00431992" w:rsidRDefault="005072DF" w:rsidP="00D22060">
            <w:pPr>
              <w:pStyle w:val="TableText0"/>
              <w:keepNext w:val="0"/>
              <w:jc w:val="right"/>
              <w:rPr>
                <w:highlight w:val="green"/>
              </w:rPr>
            </w:pPr>
            <w:r w:rsidRPr="00585318">
              <w:t>$</w:t>
            </w:r>
            <w:r>
              <w:t>119,826</w:t>
            </w:r>
          </w:p>
        </w:tc>
        <w:tc>
          <w:tcPr>
            <w:tcW w:w="887" w:type="pct"/>
            <w:tcBorders>
              <w:top w:val="single" w:sz="4" w:space="0" w:color="auto"/>
              <w:left w:val="single" w:sz="4" w:space="0" w:color="auto"/>
              <w:bottom w:val="single" w:sz="4" w:space="0" w:color="auto"/>
            </w:tcBorders>
            <w:shd w:val="clear" w:color="auto" w:fill="auto"/>
          </w:tcPr>
          <w:p w14:paraId="044DB1AD" w14:textId="77777777" w:rsidR="005072DF" w:rsidRDefault="005072DF" w:rsidP="00D22060">
            <w:pPr>
              <w:pStyle w:val="TableText0"/>
              <w:keepNext w:val="0"/>
              <w:jc w:val="right"/>
            </w:pPr>
            <w:r w:rsidRPr="005667D5">
              <w:t>-36.61%</w:t>
            </w:r>
          </w:p>
        </w:tc>
      </w:tr>
      <w:tr w:rsidR="005072DF" w:rsidRPr="00050D84" w14:paraId="05B16685"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7D9D1132" w14:textId="77777777" w:rsidR="005072DF" w:rsidRPr="00250965" w:rsidRDefault="005072DF" w:rsidP="00D22060">
            <w:pPr>
              <w:pStyle w:val="TableText0"/>
              <w:keepNext w:val="0"/>
              <w:rPr>
                <w:szCs w:val="20"/>
              </w:rPr>
            </w:pPr>
            <w:r w:rsidRPr="00827D94">
              <w:rPr>
                <w:szCs w:val="20"/>
              </w:rPr>
              <w:t>Revision for infection</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DA99AF6" w14:textId="5E1A02BA" w:rsidR="005072DF" w:rsidRDefault="005072DF" w:rsidP="00D22060">
            <w:pPr>
              <w:pStyle w:val="TableText0"/>
              <w:keepNext w:val="0"/>
            </w:pPr>
            <w:r>
              <w:t>Higher 95% CI (0.976)</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3EAA8325"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2E75E9A0" w14:textId="77777777" w:rsidR="005072DF" w:rsidRDefault="005072DF" w:rsidP="00D22060">
            <w:pPr>
              <w:pStyle w:val="TableText0"/>
              <w:keepNext w:val="0"/>
              <w:jc w:val="right"/>
            </w:pPr>
            <w:r>
              <w:t>0.017</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C906807" w14:textId="77777777" w:rsidR="005072DF" w:rsidRPr="00431992" w:rsidRDefault="005072DF" w:rsidP="00D22060">
            <w:pPr>
              <w:pStyle w:val="TableText0"/>
              <w:keepNext w:val="0"/>
              <w:jc w:val="right"/>
              <w:rPr>
                <w:highlight w:val="green"/>
              </w:rPr>
            </w:pPr>
            <w:r w:rsidRPr="00585318">
              <w:t>$</w:t>
            </w:r>
            <w:r>
              <w:t>202,443</w:t>
            </w:r>
          </w:p>
        </w:tc>
        <w:tc>
          <w:tcPr>
            <w:tcW w:w="887" w:type="pct"/>
            <w:tcBorders>
              <w:top w:val="single" w:sz="4" w:space="0" w:color="auto"/>
              <w:left w:val="single" w:sz="4" w:space="0" w:color="auto"/>
              <w:bottom w:val="single" w:sz="4" w:space="0" w:color="auto"/>
            </w:tcBorders>
            <w:shd w:val="clear" w:color="auto" w:fill="auto"/>
          </w:tcPr>
          <w:p w14:paraId="4AF3CAA1" w14:textId="77777777" w:rsidR="005072DF" w:rsidRDefault="005072DF" w:rsidP="00D22060">
            <w:pPr>
              <w:pStyle w:val="TableText0"/>
              <w:keepNext w:val="0"/>
              <w:jc w:val="right"/>
            </w:pPr>
            <w:r w:rsidRPr="005667D5">
              <w:t>7.10%</w:t>
            </w:r>
          </w:p>
        </w:tc>
      </w:tr>
      <w:tr w:rsidR="005072DF" w:rsidRPr="00050D84" w14:paraId="7FD2B816" w14:textId="77777777" w:rsidTr="00D22060">
        <w:tc>
          <w:tcPr>
            <w:tcW w:w="942" w:type="pct"/>
            <w:vMerge/>
            <w:tcBorders>
              <w:top w:val="single" w:sz="4" w:space="0" w:color="auto"/>
              <w:bottom w:val="single" w:sz="4" w:space="0" w:color="auto"/>
              <w:right w:val="single" w:sz="4" w:space="0" w:color="auto"/>
            </w:tcBorders>
            <w:shd w:val="clear" w:color="auto" w:fill="auto"/>
          </w:tcPr>
          <w:p w14:paraId="01B6C29A" w14:textId="77777777" w:rsidR="005072DF" w:rsidRPr="00827D94"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5B544FF5" w14:textId="215AA759" w:rsidR="005072DF" w:rsidRDefault="005072DF" w:rsidP="00D22060">
            <w:pPr>
              <w:pStyle w:val="TableText0"/>
              <w:keepNext w:val="0"/>
            </w:pPr>
            <w:r>
              <w:t>Lower 95% CI (0.184)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C8C44D2"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C38FC77" w14:textId="77777777" w:rsidR="005072DF" w:rsidRDefault="005072DF" w:rsidP="00D22060">
            <w:pPr>
              <w:pStyle w:val="TableText0"/>
              <w:keepNext w:val="0"/>
              <w:jc w:val="right"/>
            </w:pPr>
            <w:r>
              <w:t>0.021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13A2257" w14:textId="77777777" w:rsidR="005072DF" w:rsidRPr="00431992" w:rsidRDefault="005072DF" w:rsidP="00D22060">
            <w:pPr>
              <w:pStyle w:val="TableText0"/>
              <w:keepNext w:val="0"/>
              <w:jc w:val="right"/>
              <w:rPr>
                <w:highlight w:val="green"/>
              </w:rPr>
            </w:pPr>
            <w:r w:rsidRPr="00585318">
              <w:t>$</w:t>
            </w:r>
            <w:r>
              <w:t>168,877</w:t>
            </w:r>
          </w:p>
        </w:tc>
        <w:tc>
          <w:tcPr>
            <w:tcW w:w="887" w:type="pct"/>
            <w:tcBorders>
              <w:top w:val="single" w:sz="4" w:space="0" w:color="auto"/>
              <w:left w:val="single" w:sz="4" w:space="0" w:color="auto"/>
              <w:bottom w:val="single" w:sz="4" w:space="0" w:color="auto"/>
            </w:tcBorders>
            <w:shd w:val="clear" w:color="auto" w:fill="auto"/>
          </w:tcPr>
          <w:p w14:paraId="5E445DE3" w14:textId="77777777" w:rsidR="005072DF" w:rsidRDefault="005072DF" w:rsidP="00D22060">
            <w:pPr>
              <w:pStyle w:val="TableText0"/>
              <w:keepNext w:val="0"/>
              <w:jc w:val="right"/>
            </w:pPr>
            <w:r w:rsidRPr="005667D5">
              <w:t>-10.66%</w:t>
            </w:r>
          </w:p>
        </w:tc>
      </w:tr>
      <w:tr w:rsidR="005072DF" w:rsidRPr="00050D84" w14:paraId="3B5CCD65" w14:textId="77777777" w:rsidTr="00D22060">
        <w:tc>
          <w:tcPr>
            <w:tcW w:w="942" w:type="pct"/>
            <w:vMerge w:val="restart"/>
            <w:tcBorders>
              <w:top w:val="single" w:sz="4" w:space="0" w:color="auto"/>
              <w:bottom w:val="single" w:sz="4" w:space="0" w:color="auto"/>
              <w:right w:val="single" w:sz="4" w:space="0" w:color="auto"/>
            </w:tcBorders>
            <w:shd w:val="clear" w:color="auto" w:fill="auto"/>
          </w:tcPr>
          <w:p w14:paraId="51ED100A" w14:textId="77777777" w:rsidR="005072DF" w:rsidRPr="00250965" w:rsidRDefault="005072DF" w:rsidP="00D22060">
            <w:pPr>
              <w:pStyle w:val="TableText0"/>
              <w:keepNext w:val="0"/>
              <w:rPr>
                <w:szCs w:val="20"/>
              </w:rPr>
            </w:pPr>
            <w:r w:rsidRPr="00827D94">
              <w:rPr>
                <w:szCs w:val="20"/>
              </w:rPr>
              <w:t>Permanent implant removal</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0E8D26C7" w14:textId="56DA78A6" w:rsidR="005072DF" w:rsidRDefault="005072DF" w:rsidP="00D22060">
            <w:pPr>
              <w:pStyle w:val="TableText0"/>
              <w:keepNext w:val="0"/>
            </w:pPr>
            <w:r>
              <w:t>Higher 95% CI (0.677)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8155D49"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6A88DD0"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B554BAA" w14:textId="77777777" w:rsidR="005072DF" w:rsidRPr="00431992" w:rsidRDefault="005072DF" w:rsidP="00D22060">
            <w:pPr>
              <w:pStyle w:val="TableText0"/>
              <w:keepNext w:val="0"/>
              <w:jc w:val="right"/>
              <w:rPr>
                <w:highlight w:val="green"/>
              </w:rPr>
            </w:pPr>
            <w:r w:rsidRPr="00585318">
              <w:t>$</w:t>
            </w:r>
            <w:r>
              <w:t>193,020</w:t>
            </w:r>
          </w:p>
        </w:tc>
        <w:tc>
          <w:tcPr>
            <w:tcW w:w="887" w:type="pct"/>
            <w:tcBorders>
              <w:top w:val="single" w:sz="4" w:space="0" w:color="auto"/>
              <w:left w:val="single" w:sz="4" w:space="0" w:color="auto"/>
              <w:bottom w:val="single" w:sz="4" w:space="0" w:color="auto"/>
            </w:tcBorders>
            <w:shd w:val="clear" w:color="auto" w:fill="auto"/>
          </w:tcPr>
          <w:p w14:paraId="22449034" w14:textId="77777777" w:rsidR="005072DF" w:rsidRDefault="005072DF" w:rsidP="00D22060">
            <w:pPr>
              <w:pStyle w:val="TableText0"/>
              <w:keepNext w:val="0"/>
              <w:jc w:val="right"/>
            </w:pPr>
            <w:r w:rsidRPr="005667D5">
              <w:t>2.11%</w:t>
            </w:r>
          </w:p>
        </w:tc>
      </w:tr>
      <w:tr w:rsidR="005072DF" w:rsidRPr="00050D84" w14:paraId="4970551E" w14:textId="77777777" w:rsidTr="00D22060">
        <w:tc>
          <w:tcPr>
            <w:tcW w:w="942" w:type="pct"/>
            <w:vMerge/>
            <w:tcBorders>
              <w:top w:val="single" w:sz="4" w:space="0" w:color="auto"/>
              <w:bottom w:val="single" w:sz="4" w:space="0" w:color="auto"/>
              <w:right w:val="single" w:sz="4" w:space="0" w:color="auto"/>
            </w:tcBorders>
            <w:shd w:val="clear" w:color="auto" w:fill="auto"/>
          </w:tcPr>
          <w:p w14:paraId="72405F80" w14:textId="77777777" w:rsidR="005072DF" w:rsidRPr="00827D94" w:rsidRDefault="005072DF" w:rsidP="00D22060">
            <w:pPr>
              <w:pStyle w:val="TableText0"/>
              <w:keepNext w:val="0"/>
              <w:rPr>
                <w:szCs w:val="20"/>
              </w:rPr>
            </w:pP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2A9C9A1A" w14:textId="15D7A328" w:rsidR="005072DF" w:rsidRDefault="005072DF" w:rsidP="00D22060">
            <w:pPr>
              <w:pStyle w:val="TableText0"/>
              <w:keepNext w:val="0"/>
            </w:pPr>
            <w:r>
              <w:t>Lower 95% CI (0.587)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4D0A0CD" w14:textId="77777777" w:rsidR="005072DF" w:rsidRDefault="005072DF" w:rsidP="00D22060">
            <w:pPr>
              <w:pStyle w:val="TableText0"/>
              <w:keepNext w:val="0"/>
              <w:jc w:val="right"/>
            </w:pP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2B5ABA4"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E86A43E" w14:textId="77777777" w:rsidR="005072DF" w:rsidRPr="00431992" w:rsidRDefault="005072DF" w:rsidP="00D22060">
            <w:pPr>
              <w:pStyle w:val="TableText0"/>
              <w:keepNext w:val="0"/>
              <w:jc w:val="right"/>
              <w:rPr>
                <w:highlight w:val="green"/>
              </w:rPr>
            </w:pPr>
            <w:r w:rsidRPr="00585318">
              <w:t>$</w:t>
            </w:r>
            <w:r>
              <w:t>185,191</w:t>
            </w:r>
          </w:p>
        </w:tc>
        <w:tc>
          <w:tcPr>
            <w:tcW w:w="887" w:type="pct"/>
            <w:tcBorders>
              <w:top w:val="single" w:sz="4" w:space="0" w:color="auto"/>
              <w:left w:val="single" w:sz="4" w:space="0" w:color="auto"/>
              <w:bottom w:val="single" w:sz="4" w:space="0" w:color="auto"/>
            </w:tcBorders>
            <w:shd w:val="clear" w:color="auto" w:fill="auto"/>
          </w:tcPr>
          <w:p w14:paraId="3E57CD6B" w14:textId="77777777" w:rsidR="005072DF" w:rsidRDefault="005072DF" w:rsidP="00D22060">
            <w:pPr>
              <w:pStyle w:val="TableText0"/>
              <w:keepNext w:val="0"/>
              <w:jc w:val="right"/>
            </w:pPr>
            <w:r w:rsidRPr="005667D5">
              <w:t>-2.03%</w:t>
            </w:r>
          </w:p>
        </w:tc>
      </w:tr>
      <w:tr w:rsidR="005072DF" w:rsidRPr="00050D84" w14:paraId="05578666" w14:textId="77777777" w:rsidTr="00D22060">
        <w:tc>
          <w:tcPr>
            <w:tcW w:w="5000" w:type="pct"/>
            <w:gridSpan w:val="6"/>
            <w:tcBorders>
              <w:top w:val="single" w:sz="4" w:space="0" w:color="auto"/>
            </w:tcBorders>
            <w:shd w:val="clear" w:color="auto" w:fill="auto"/>
          </w:tcPr>
          <w:p w14:paraId="757E322B" w14:textId="77777777" w:rsidR="005072DF" w:rsidRPr="00050D84" w:rsidRDefault="005072DF" w:rsidP="00D22060">
            <w:pPr>
              <w:pStyle w:val="TableText0"/>
              <w:keepNext w:val="0"/>
            </w:pPr>
            <w:r>
              <w:rPr>
                <w:szCs w:val="20"/>
              </w:rPr>
              <w:t>Other scenarios</w:t>
            </w:r>
          </w:p>
        </w:tc>
      </w:tr>
      <w:tr w:rsidR="005072DF" w:rsidRPr="00050D84" w14:paraId="3FD90653" w14:textId="77777777" w:rsidTr="00D22060">
        <w:tc>
          <w:tcPr>
            <w:tcW w:w="2122" w:type="pct"/>
            <w:gridSpan w:val="2"/>
            <w:tcBorders>
              <w:right w:val="single" w:sz="4" w:space="0" w:color="auto"/>
            </w:tcBorders>
            <w:shd w:val="clear" w:color="auto" w:fill="auto"/>
          </w:tcPr>
          <w:p w14:paraId="09CBA464" w14:textId="77777777" w:rsidR="005072DF" w:rsidRDefault="005072DF" w:rsidP="00D22060">
            <w:pPr>
              <w:pStyle w:val="TableText0"/>
              <w:keepNext w:val="0"/>
            </w:pPr>
            <w:r>
              <w:rPr>
                <w:szCs w:val="20"/>
              </w:rPr>
              <w:t>DAC+abs in every surgery</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646E3FAE" w14:textId="77777777" w:rsidR="005072DF" w:rsidRPr="00050D84" w:rsidRDefault="005072DF" w:rsidP="00D22060">
            <w:pPr>
              <w:pStyle w:val="TableText0"/>
              <w:keepNext w:val="0"/>
              <w:jc w:val="right"/>
            </w:pPr>
            <w:r w:rsidRPr="00491480">
              <w:t>$</w:t>
            </w:r>
            <w:r>
              <w:t>3,000</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48DEE9E" w14:textId="77777777" w:rsidR="005072DF" w:rsidRPr="00050D84" w:rsidRDefault="005072DF" w:rsidP="00D22060">
            <w:pPr>
              <w:pStyle w:val="TableText0"/>
              <w:keepNext w:val="0"/>
              <w:jc w:val="right"/>
            </w:pPr>
            <w:r>
              <w:t>0.031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4081FA2" w14:textId="77777777" w:rsidR="005072DF" w:rsidRPr="00050D84" w:rsidRDefault="005072DF" w:rsidP="00D22060">
            <w:pPr>
              <w:pStyle w:val="TableText0"/>
              <w:keepNext w:val="0"/>
              <w:jc w:val="right"/>
            </w:pPr>
            <w:r>
              <w:t>$97,555</w:t>
            </w:r>
          </w:p>
        </w:tc>
        <w:tc>
          <w:tcPr>
            <w:tcW w:w="887" w:type="pct"/>
            <w:tcBorders>
              <w:left w:val="single" w:sz="4" w:space="0" w:color="auto"/>
            </w:tcBorders>
            <w:shd w:val="clear" w:color="auto" w:fill="auto"/>
            <w:vAlign w:val="bottom"/>
          </w:tcPr>
          <w:p w14:paraId="46B2439F" w14:textId="77777777" w:rsidR="005072DF" w:rsidRPr="00AF0A65" w:rsidRDefault="005072DF" w:rsidP="00D22060">
            <w:pPr>
              <w:spacing w:after="0" w:line="240" w:lineRule="auto"/>
              <w:jc w:val="right"/>
              <w:rPr>
                <w:rFonts w:cs="Calibri"/>
                <w:color w:val="000000"/>
                <w:szCs w:val="20"/>
              </w:rPr>
            </w:pPr>
            <w:r>
              <w:rPr>
                <w:rFonts w:ascii="Arial Narrow" w:hAnsi="Arial Narrow" w:cs="Calibri"/>
                <w:color w:val="000000"/>
                <w:sz w:val="20"/>
                <w:szCs w:val="20"/>
              </w:rPr>
              <w:t>-48.39%*</w:t>
            </w:r>
          </w:p>
        </w:tc>
      </w:tr>
      <w:tr w:rsidR="005072DF" w:rsidRPr="00050D84" w14:paraId="212150ED" w14:textId="77777777" w:rsidTr="00D22060">
        <w:tc>
          <w:tcPr>
            <w:tcW w:w="942" w:type="pct"/>
            <w:vMerge w:val="restart"/>
            <w:tcBorders>
              <w:right w:val="single" w:sz="4" w:space="0" w:color="auto"/>
            </w:tcBorders>
            <w:shd w:val="clear" w:color="auto" w:fill="auto"/>
          </w:tcPr>
          <w:p w14:paraId="03D476A6" w14:textId="77777777" w:rsidR="005072DF" w:rsidRDefault="005072DF" w:rsidP="00D22060">
            <w:pPr>
              <w:pStyle w:val="TableText0"/>
              <w:keepNext w:val="0"/>
              <w:rPr>
                <w:szCs w:val="20"/>
              </w:rPr>
            </w:pPr>
            <w:r>
              <w:rPr>
                <w:szCs w:val="20"/>
              </w:rPr>
              <w:t>DAIR post-operative antibiotics (</w:t>
            </w:r>
            <w:r>
              <w:rPr>
                <w:szCs w:val="20"/>
              </w:rPr>
              <w:fldChar w:fldCharType="begin"/>
            </w:r>
            <w:r>
              <w:rPr>
                <w:szCs w:val="20"/>
              </w:rPr>
              <w:instrText xml:space="preserve"> REF _Ref70697375 \h  \* MERGEFORMAT </w:instrText>
            </w:r>
            <w:r>
              <w:rPr>
                <w:szCs w:val="20"/>
              </w:rPr>
            </w:r>
            <w:r>
              <w:rPr>
                <w:szCs w:val="20"/>
              </w:rPr>
              <w:fldChar w:fldCharType="separate"/>
            </w:r>
            <w:r w:rsidRPr="00BB246A">
              <w:rPr>
                <w:szCs w:val="20"/>
              </w:rPr>
              <w:t>Table 159</w:t>
            </w:r>
            <w:r>
              <w:rPr>
                <w:szCs w:val="20"/>
              </w:rPr>
              <w:fldChar w:fldCharType="end"/>
            </w:r>
            <w:r>
              <w:rPr>
                <w:szCs w:val="20"/>
              </w:rPr>
              <w:t>)</w:t>
            </w:r>
          </w:p>
        </w:tc>
        <w:tc>
          <w:tcPr>
            <w:tcW w:w="1180" w:type="pct"/>
            <w:tcBorders>
              <w:right w:val="single" w:sz="4" w:space="0" w:color="auto"/>
            </w:tcBorders>
            <w:shd w:val="clear" w:color="auto" w:fill="auto"/>
          </w:tcPr>
          <w:p w14:paraId="08D85F47" w14:textId="2C86E76E" w:rsidR="005072DF" w:rsidRDefault="005072DF" w:rsidP="00D22060">
            <w:pPr>
              <w:pStyle w:val="TableText0"/>
              <w:keepNext w:val="0"/>
              <w:rPr>
                <w:szCs w:val="20"/>
              </w:rPr>
            </w:pPr>
            <w:r w:rsidRPr="00DB76BB">
              <w:rPr>
                <w:szCs w:val="20"/>
              </w:rPr>
              <w:t>$1,061.04</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6FCBD745" w14:textId="77777777" w:rsidR="005072DF" w:rsidRDefault="005072DF" w:rsidP="00D22060">
            <w:pPr>
              <w:pStyle w:val="TableText0"/>
              <w:keepNext w:val="0"/>
              <w:jc w:val="right"/>
            </w:pPr>
            <w:r w:rsidRPr="008D012A">
              <w:t>$</w:t>
            </w:r>
            <w:r>
              <w:t>3,481</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7A0E5FE8"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4825293" w14:textId="77777777" w:rsidR="005072DF" w:rsidRDefault="005072DF" w:rsidP="00D22060">
            <w:pPr>
              <w:pStyle w:val="TableText0"/>
              <w:keepNext w:val="0"/>
              <w:jc w:val="right"/>
            </w:pPr>
            <w:r>
              <w:t>$188,873</w:t>
            </w:r>
          </w:p>
        </w:tc>
        <w:tc>
          <w:tcPr>
            <w:tcW w:w="887" w:type="pct"/>
            <w:tcBorders>
              <w:left w:val="single" w:sz="4" w:space="0" w:color="auto"/>
            </w:tcBorders>
            <w:shd w:val="clear" w:color="auto" w:fill="auto"/>
            <w:vAlign w:val="center"/>
          </w:tcPr>
          <w:p w14:paraId="66A69EA7" w14:textId="77777777" w:rsidR="005072DF" w:rsidRPr="000A4F96" w:rsidRDefault="005072DF" w:rsidP="00D22060">
            <w:pPr>
              <w:pStyle w:val="TableText0"/>
              <w:keepNext w:val="0"/>
              <w:jc w:val="right"/>
            </w:pPr>
            <w:r>
              <w:rPr>
                <w:rFonts w:cs="Calibri"/>
                <w:color w:val="000000"/>
                <w:szCs w:val="20"/>
              </w:rPr>
              <w:t>-0.08%</w:t>
            </w:r>
          </w:p>
        </w:tc>
      </w:tr>
      <w:tr w:rsidR="005072DF" w:rsidRPr="00050D84" w14:paraId="1C82B27A" w14:textId="77777777" w:rsidTr="00D22060">
        <w:tc>
          <w:tcPr>
            <w:tcW w:w="942" w:type="pct"/>
            <w:vMerge/>
            <w:tcBorders>
              <w:right w:val="single" w:sz="4" w:space="0" w:color="auto"/>
            </w:tcBorders>
            <w:shd w:val="clear" w:color="auto" w:fill="auto"/>
          </w:tcPr>
          <w:p w14:paraId="162A48ED" w14:textId="77777777" w:rsidR="005072DF" w:rsidRDefault="005072DF" w:rsidP="00D22060">
            <w:pPr>
              <w:pStyle w:val="TableText0"/>
              <w:keepNext w:val="0"/>
              <w:rPr>
                <w:szCs w:val="20"/>
              </w:rPr>
            </w:pPr>
          </w:p>
        </w:tc>
        <w:tc>
          <w:tcPr>
            <w:tcW w:w="1180" w:type="pct"/>
            <w:tcBorders>
              <w:right w:val="single" w:sz="4" w:space="0" w:color="auto"/>
            </w:tcBorders>
            <w:shd w:val="clear" w:color="auto" w:fill="auto"/>
          </w:tcPr>
          <w:p w14:paraId="6F3C61BE" w14:textId="244C83D2" w:rsidR="005072DF" w:rsidRDefault="005072DF" w:rsidP="00D22060">
            <w:pPr>
              <w:pStyle w:val="TableText0"/>
              <w:keepNext w:val="0"/>
              <w:rPr>
                <w:szCs w:val="20"/>
              </w:rPr>
            </w:pPr>
            <w:r w:rsidRPr="00DB76BB">
              <w:rPr>
                <w:szCs w:val="20"/>
              </w:rPr>
              <w:t>$123.97</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7A7EB852" w14:textId="77777777" w:rsidR="005072DF" w:rsidRDefault="005072DF" w:rsidP="00D22060">
            <w:pPr>
              <w:pStyle w:val="TableText0"/>
              <w:keepNext w:val="0"/>
              <w:jc w:val="right"/>
            </w:pPr>
            <w:r w:rsidRPr="008D012A">
              <w:t>$</w:t>
            </w:r>
            <w:r>
              <w:t>3,484</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6A721D32" w14:textId="77777777" w:rsidR="005072DF"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6D6E74C" w14:textId="77777777" w:rsidR="005072DF" w:rsidRDefault="005072DF" w:rsidP="00D22060">
            <w:pPr>
              <w:pStyle w:val="TableText0"/>
              <w:keepNext w:val="0"/>
              <w:jc w:val="right"/>
            </w:pPr>
            <w:r>
              <w:t>$189,061</w:t>
            </w:r>
          </w:p>
        </w:tc>
        <w:tc>
          <w:tcPr>
            <w:tcW w:w="887" w:type="pct"/>
            <w:tcBorders>
              <w:left w:val="single" w:sz="4" w:space="0" w:color="auto"/>
            </w:tcBorders>
            <w:shd w:val="clear" w:color="auto" w:fill="auto"/>
            <w:vAlign w:val="center"/>
          </w:tcPr>
          <w:p w14:paraId="6D742A2B" w14:textId="77777777" w:rsidR="005072DF" w:rsidRPr="000A4F96" w:rsidRDefault="005072DF" w:rsidP="00D22060">
            <w:pPr>
              <w:pStyle w:val="TableText0"/>
              <w:keepNext w:val="0"/>
              <w:jc w:val="right"/>
            </w:pPr>
            <w:r>
              <w:rPr>
                <w:rFonts w:cs="Calibri"/>
                <w:color w:val="000000"/>
                <w:szCs w:val="20"/>
              </w:rPr>
              <w:t>0.02%</w:t>
            </w:r>
          </w:p>
        </w:tc>
      </w:tr>
      <w:tr w:rsidR="005072DF" w:rsidRPr="00050D84" w14:paraId="6EA1A240" w14:textId="77777777" w:rsidTr="00D22060">
        <w:tc>
          <w:tcPr>
            <w:tcW w:w="942" w:type="pct"/>
            <w:tcBorders>
              <w:right w:val="single" w:sz="4" w:space="0" w:color="auto"/>
            </w:tcBorders>
            <w:shd w:val="clear" w:color="auto" w:fill="auto"/>
          </w:tcPr>
          <w:p w14:paraId="5D05B9BA" w14:textId="77777777" w:rsidR="005072DF" w:rsidRDefault="005072DF" w:rsidP="00D22060">
            <w:pPr>
              <w:pStyle w:val="TableText0"/>
              <w:keepNext w:val="0"/>
              <w:rPr>
                <w:szCs w:val="20"/>
              </w:rPr>
            </w:pPr>
            <w:r>
              <w:rPr>
                <w:szCs w:val="20"/>
              </w:rPr>
              <w:t>Post-operative follow-up costs (</w:t>
            </w:r>
            <w:r>
              <w:rPr>
                <w:szCs w:val="20"/>
              </w:rPr>
              <w:fldChar w:fldCharType="begin"/>
            </w:r>
            <w:r>
              <w:rPr>
                <w:szCs w:val="20"/>
              </w:rPr>
              <w:instrText xml:space="preserve"> REF _Ref67566252 \h  \* MERGEFORMAT </w:instrText>
            </w:r>
            <w:r>
              <w:rPr>
                <w:szCs w:val="20"/>
              </w:rPr>
            </w:r>
            <w:r>
              <w:rPr>
                <w:szCs w:val="20"/>
              </w:rPr>
              <w:fldChar w:fldCharType="separate"/>
            </w:r>
            <w:r w:rsidRPr="00BB246A">
              <w:rPr>
                <w:szCs w:val="20"/>
              </w:rPr>
              <w:t>Table 67</w:t>
            </w:r>
            <w:r>
              <w:rPr>
                <w:szCs w:val="20"/>
              </w:rPr>
              <w:fldChar w:fldCharType="end"/>
            </w:r>
            <w:r>
              <w:rPr>
                <w:szCs w:val="20"/>
              </w:rPr>
              <w:t>)</w:t>
            </w:r>
          </w:p>
        </w:tc>
        <w:tc>
          <w:tcPr>
            <w:tcW w:w="1180" w:type="pct"/>
            <w:tcBorders>
              <w:right w:val="single" w:sz="4" w:space="0" w:color="auto"/>
            </w:tcBorders>
            <w:shd w:val="clear" w:color="auto" w:fill="auto"/>
          </w:tcPr>
          <w:p w14:paraId="3FB2F262" w14:textId="2F461F61" w:rsidR="005072DF" w:rsidRDefault="005072DF" w:rsidP="00D22060">
            <w:pPr>
              <w:pStyle w:val="TableText0"/>
              <w:keepNext w:val="0"/>
              <w:rPr>
                <w:szCs w:val="20"/>
              </w:rPr>
            </w:pPr>
            <w:r w:rsidRPr="00DB76BB">
              <w:rPr>
                <w:szCs w:val="20"/>
              </w:rPr>
              <w:t>$835.11</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4F095CF6" w14:textId="77777777" w:rsidR="005072DF" w:rsidRDefault="005072DF" w:rsidP="00D22060">
            <w:pPr>
              <w:pStyle w:val="TableText0"/>
              <w:keepNext w:val="0"/>
              <w:jc w:val="right"/>
            </w:pPr>
            <w:r w:rsidRPr="008D012A">
              <w:t>$</w:t>
            </w:r>
            <w:r>
              <w:t>3,482</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35402E85" w14:textId="77777777" w:rsidR="005072DF" w:rsidRDefault="005072DF" w:rsidP="00D22060">
            <w:pPr>
              <w:pStyle w:val="TableText0"/>
              <w:keepNext w:val="0"/>
              <w:jc w:val="right"/>
            </w:pPr>
            <w:r>
              <w:t>0.015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A458665" w14:textId="77777777" w:rsidR="005072DF" w:rsidRPr="00B522D9" w:rsidRDefault="005072DF" w:rsidP="00D22060">
            <w:pPr>
              <w:pStyle w:val="TableText0"/>
              <w:keepNext w:val="0"/>
              <w:jc w:val="right"/>
            </w:pPr>
            <w:r>
              <w:t>$188,913</w:t>
            </w:r>
          </w:p>
        </w:tc>
        <w:tc>
          <w:tcPr>
            <w:tcW w:w="887" w:type="pct"/>
            <w:tcBorders>
              <w:left w:val="single" w:sz="4" w:space="0" w:color="auto"/>
            </w:tcBorders>
            <w:shd w:val="clear" w:color="auto" w:fill="auto"/>
            <w:vAlign w:val="center"/>
          </w:tcPr>
          <w:p w14:paraId="5841C7FA" w14:textId="77777777" w:rsidR="005072DF" w:rsidRPr="000A4F96" w:rsidRDefault="005072DF" w:rsidP="00D22060">
            <w:pPr>
              <w:pStyle w:val="TableText0"/>
              <w:keepNext w:val="0"/>
              <w:jc w:val="right"/>
            </w:pPr>
            <w:r>
              <w:rPr>
                <w:rFonts w:cs="Calibri"/>
                <w:color w:val="000000"/>
                <w:szCs w:val="20"/>
              </w:rPr>
              <w:t>-0.06%</w:t>
            </w:r>
          </w:p>
        </w:tc>
      </w:tr>
      <w:tr w:rsidR="005072DF" w:rsidRPr="00050D84" w14:paraId="0FEB1051" w14:textId="77777777" w:rsidTr="00D22060">
        <w:tc>
          <w:tcPr>
            <w:tcW w:w="2122" w:type="pct"/>
            <w:gridSpan w:val="2"/>
            <w:tcBorders>
              <w:right w:val="single" w:sz="4" w:space="0" w:color="auto"/>
            </w:tcBorders>
            <w:shd w:val="clear" w:color="auto" w:fill="auto"/>
          </w:tcPr>
          <w:p w14:paraId="49DA68AF" w14:textId="77777777" w:rsidR="005072DF" w:rsidRDefault="005072DF" w:rsidP="00D22060">
            <w:pPr>
              <w:pStyle w:val="TableText0"/>
              <w:keepNext w:val="0"/>
              <w:rPr>
                <w:szCs w:val="20"/>
              </w:rPr>
            </w:pPr>
            <w:r>
              <w:rPr>
                <w:szCs w:val="20"/>
              </w:rPr>
              <w:t>NWAU and NEP surgical procedures costs (</w:t>
            </w:r>
            <w:r>
              <w:rPr>
                <w:szCs w:val="20"/>
              </w:rPr>
              <w:fldChar w:fldCharType="begin"/>
            </w:r>
            <w:r>
              <w:rPr>
                <w:szCs w:val="20"/>
              </w:rPr>
              <w:instrText xml:space="preserve"> REF _Ref66978184 \h  \* MERGEFORMAT </w:instrText>
            </w:r>
            <w:r>
              <w:rPr>
                <w:szCs w:val="20"/>
              </w:rPr>
            </w:r>
            <w:r>
              <w:rPr>
                <w:szCs w:val="20"/>
              </w:rPr>
              <w:fldChar w:fldCharType="separate"/>
            </w:r>
            <w:r w:rsidRPr="00BB246A">
              <w:rPr>
                <w:szCs w:val="20"/>
              </w:rPr>
              <w:t>Table 64</w:t>
            </w:r>
            <w:r>
              <w:rPr>
                <w:szCs w:val="20"/>
              </w:rPr>
              <w:fldChar w:fldCharType="end"/>
            </w:r>
            <w:r>
              <w:rPr>
                <w:szCs w:val="20"/>
              </w:rPr>
              <w:t>)</w:t>
            </w:r>
          </w:p>
        </w:tc>
        <w:tc>
          <w:tcPr>
            <w:tcW w:w="542" w:type="pct"/>
            <w:tcBorders>
              <w:top w:val="single" w:sz="4" w:space="0" w:color="auto"/>
              <w:left w:val="single" w:sz="4" w:space="0" w:color="auto"/>
              <w:bottom w:val="single" w:sz="4" w:space="0" w:color="auto"/>
              <w:right w:val="single" w:sz="4" w:space="0" w:color="auto"/>
            </w:tcBorders>
            <w:shd w:val="clear" w:color="auto" w:fill="auto"/>
          </w:tcPr>
          <w:p w14:paraId="5AEEF018" w14:textId="77777777" w:rsidR="005072DF" w:rsidRDefault="005072DF" w:rsidP="00D22060">
            <w:pPr>
              <w:pStyle w:val="TableText0"/>
              <w:keepNext w:val="0"/>
              <w:jc w:val="right"/>
            </w:pPr>
            <w:r>
              <w:t>$3,483</w:t>
            </w: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1B7D9F7D" w14:textId="77777777" w:rsidR="005072DF" w:rsidRDefault="005072DF" w:rsidP="00D22060">
            <w:pPr>
              <w:pStyle w:val="TableText0"/>
              <w:keepNext w:val="0"/>
              <w:jc w:val="right"/>
            </w:pPr>
            <w:r>
              <w:t>0.015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D5C3EED" w14:textId="77777777" w:rsidR="005072DF" w:rsidRPr="003E1712" w:rsidRDefault="005072DF" w:rsidP="00D22060">
            <w:pPr>
              <w:pStyle w:val="TableText0"/>
              <w:keepNext w:val="0"/>
              <w:jc w:val="right"/>
              <w:rPr>
                <w:highlight w:val="cyan"/>
              </w:rPr>
            </w:pPr>
            <w:r w:rsidRPr="00A43D00">
              <w:t>$188,979</w:t>
            </w:r>
          </w:p>
        </w:tc>
        <w:tc>
          <w:tcPr>
            <w:tcW w:w="887" w:type="pct"/>
            <w:tcBorders>
              <w:left w:val="single" w:sz="4" w:space="0" w:color="auto"/>
            </w:tcBorders>
            <w:shd w:val="clear" w:color="auto" w:fill="auto"/>
            <w:vAlign w:val="bottom"/>
          </w:tcPr>
          <w:p w14:paraId="16E6CCA3" w14:textId="77777777" w:rsidR="005072DF" w:rsidRDefault="005072DF" w:rsidP="00D22060">
            <w:pPr>
              <w:spacing w:after="0" w:line="240" w:lineRule="auto"/>
              <w:jc w:val="right"/>
              <w:rPr>
                <w:rFonts w:ascii="Arial Narrow" w:hAnsi="Arial Narrow" w:cs="Calibri"/>
                <w:color w:val="000000"/>
                <w:sz w:val="20"/>
                <w:szCs w:val="20"/>
              </w:rPr>
            </w:pPr>
            <w:r>
              <w:rPr>
                <w:rFonts w:ascii="Arial Narrow" w:hAnsi="Arial Narrow" w:cs="Calibri"/>
                <w:color w:val="000000"/>
                <w:sz w:val="20"/>
                <w:szCs w:val="20"/>
              </w:rPr>
              <w:t>-0.02%</w:t>
            </w:r>
          </w:p>
          <w:p w14:paraId="2F454815" w14:textId="77777777" w:rsidR="005072DF" w:rsidRPr="00050D84" w:rsidRDefault="005072DF" w:rsidP="00D22060">
            <w:pPr>
              <w:pStyle w:val="TableText0"/>
              <w:keepNext w:val="0"/>
              <w:jc w:val="right"/>
            </w:pPr>
          </w:p>
        </w:tc>
      </w:tr>
    </w:tbl>
    <w:p w14:paraId="4C5CB60F" w14:textId="77777777" w:rsidR="005072DF" w:rsidRDefault="005072DF" w:rsidP="005072DF">
      <w:pPr>
        <w:pStyle w:val="Tablenotes0"/>
      </w:pPr>
      <w:r>
        <w:t>Source: Table 97, pg 223 of MSAC 1629 DCAR</w:t>
      </w:r>
    </w:p>
    <w:p w14:paraId="47DDC03A" w14:textId="4C755578" w:rsidR="005072DF" w:rsidRDefault="005072DF" w:rsidP="005072DF">
      <w:pPr>
        <w:pStyle w:val="Tablenotes0"/>
      </w:pPr>
      <w:r>
        <w:t xml:space="preserve">Abbreviations: CI=confidence interval; DAC=Defensive Antibacterial Coating; DAC+abs=Defensive Antibacterial Coating loaded with antibiotics; DAIR=Debridement, antibiotics and implant retention; epTJA=elective primary total joint arthroplasty; </w:t>
      </w:r>
      <w:r w:rsidRPr="00183E4D">
        <w:t>ICER = Incremental Cost Effectiveness Ratio</w:t>
      </w:r>
      <w:r>
        <w:t>; SSI=surgical site infection</w:t>
      </w:r>
    </w:p>
    <w:p w14:paraId="212451E1" w14:textId="33107A50" w:rsidR="005072DF" w:rsidRPr="00C4562E" w:rsidRDefault="005072DF" w:rsidP="005072DF">
      <w:pPr>
        <w:pStyle w:val="Tablenotes0"/>
      </w:pPr>
      <w:r>
        <w:t xml:space="preserve">Notes: </w:t>
      </w:r>
      <w:r w:rsidRPr="00C4562E">
        <w:t>DAC</w:t>
      </w:r>
      <w:r w:rsidRPr="00985971">
        <w:t>+antibiotics</w:t>
      </w:r>
      <w:r w:rsidRPr="00C4562E">
        <w:t xml:space="preserve"> is dominated by no DAC</w:t>
      </w:r>
      <w:r w:rsidRPr="00985971">
        <w:t>+antibiotics</w:t>
      </w:r>
      <w:r>
        <w:t>:</w:t>
      </w:r>
      <w:r w:rsidRPr="00C4562E">
        <w:t xml:space="preserve"> surgery with DAC</w:t>
      </w:r>
      <w:r w:rsidRPr="00985971">
        <w:t>+antibiotics</w:t>
      </w:r>
      <w:r w:rsidRPr="00C4562E">
        <w:t xml:space="preserve"> is more costly and less effective than surgery without DAC</w:t>
      </w:r>
      <w:r w:rsidRPr="00985971">
        <w:t>+antibiotics</w:t>
      </w:r>
      <w:r>
        <w:t>;</w:t>
      </w:r>
    </w:p>
    <w:p w14:paraId="0BC72D54" w14:textId="1A310DC8" w:rsidR="005072DF" w:rsidRDefault="005072DF" w:rsidP="00607722">
      <w:pPr>
        <w:pStyle w:val="Tablenotes0"/>
      </w:pPr>
      <w:r>
        <w:t xml:space="preserve">* </w:t>
      </w:r>
      <w:r w:rsidRPr="00C4562E">
        <w:t>Considerable change in the ICER</w:t>
      </w:r>
    </w:p>
    <w:p w14:paraId="5CB63B80" w14:textId="37F64A08" w:rsidR="005072DF" w:rsidRDefault="005072DF" w:rsidP="005072DF">
      <w:pPr>
        <w:pStyle w:val="Caption"/>
        <w:keepNext/>
      </w:pPr>
      <w:bookmarkStart w:id="89" w:name="_Ref67941835"/>
      <w:bookmarkStart w:id="90" w:name="_Toc73971300"/>
      <w:bookmarkStart w:id="91" w:name="_Toc74729183"/>
      <w:bookmarkStart w:id="92" w:name="_Toc112076715"/>
      <w:r>
        <w:t xml:space="preserve">Table </w:t>
      </w:r>
      <w:r>
        <w:fldChar w:fldCharType="begin"/>
      </w:r>
      <w:r>
        <w:instrText>SEQ Table \* ARABIC</w:instrText>
      </w:r>
      <w:r>
        <w:fldChar w:fldCharType="separate"/>
      </w:r>
      <w:r>
        <w:rPr>
          <w:noProof/>
        </w:rPr>
        <w:t>9</w:t>
      </w:r>
      <w:r>
        <w:fldChar w:fldCharType="end"/>
      </w:r>
      <w:bookmarkEnd w:id="89"/>
      <w:r>
        <w:tab/>
        <w:t>Sensitivity analyses of the economic model (Population 1, knee)</w:t>
      </w:r>
      <w:bookmarkEnd w:id="90"/>
      <w:bookmarkEnd w:id="91"/>
      <w:bookmarkEnd w:id="92"/>
    </w:p>
    <w:tbl>
      <w:tblPr>
        <w:tblStyle w:val="TableGrid1"/>
        <w:tblW w:w="5000" w:type="pct"/>
        <w:tblCellMar>
          <w:left w:w="28" w:type="dxa"/>
          <w:right w:w="28" w:type="dxa"/>
        </w:tblCellMar>
        <w:tblLook w:val="04A0" w:firstRow="1" w:lastRow="0" w:firstColumn="1" w:lastColumn="0" w:noHBand="0" w:noVBand="1"/>
        <w:tblCaption w:val="Sensitivity analyses of the economic model (Population 1, knee)"/>
        <w:tblDescription w:val="This table presents the sensitivity analysis on dicosunt rate, time horizon, DAC effect, transition probabilities, costs, utilities, and other scenarios for Population 1, knee."/>
      </w:tblPr>
      <w:tblGrid>
        <w:gridCol w:w="1844"/>
        <w:gridCol w:w="1844"/>
        <w:gridCol w:w="1286"/>
        <w:gridCol w:w="1286"/>
        <w:gridCol w:w="1470"/>
        <w:gridCol w:w="1286"/>
      </w:tblGrid>
      <w:tr w:rsidR="005072DF" w:rsidRPr="00050D84" w14:paraId="41B9D9CB" w14:textId="77777777" w:rsidTr="00D22060">
        <w:trPr>
          <w:cnfStyle w:val="100000000000" w:firstRow="1" w:lastRow="0" w:firstColumn="0" w:lastColumn="0" w:oddVBand="0" w:evenVBand="0" w:oddHBand="0" w:evenHBand="0" w:firstRowFirstColumn="0" w:firstRowLastColumn="0" w:lastRowFirstColumn="0" w:lastRowLastColumn="0"/>
          <w:tblHeader/>
        </w:trPr>
        <w:tc>
          <w:tcPr>
            <w:tcW w:w="2045" w:type="pct"/>
            <w:gridSpan w:val="2"/>
            <w:shd w:val="clear" w:color="auto" w:fill="auto"/>
          </w:tcPr>
          <w:p w14:paraId="561583DA" w14:textId="77777777" w:rsidR="005072DF" w:rsidRPr="00050D84" w:rsidRDefault="005072DF" w:rsidP="00D22060">
            <w:pPr>
              <w:pStyle w:val="TableText0"/>
              <w:keepNext w:val="0"/>
              <w:keepLines/>
              <w:rPr>
                <w:b/>
                <w:snapToGrid w:val="0"/>
              </w:rPr>
            </w:pPr>
            <w:r w:rsidRPr="00050D84">
              <w:rPr>
                <w:b/>
                <w:snapToGrid w:val="0"/>
              </w:rPr>
              <w:t>Description</w:t>
            </w:r>
          </w:p>
        </w:tc>
        <w:tc>
          <w:tcPr>
            <w:tcW w:w="713" w:type="pct"/>
            <w:shd w:val="clear" w:color="auto" w:fill="auto"/>
          </w:tcPr>
          <w:p w14:paraId="127020AF" w14:textId="77777777" w:rsidR="005072DF" w:rsidRPr="00050D84" w:rsidRDefault="005072DF" w:rsidP="00D22060">
            <w:pPr>
              <w:pStyle w:val="TableText0"/>
              <w:keepNext w:val="0"/>
              <w:keepLines/>
              <w:rPr>
                <w:b/>
                <w:snapToGrid w:val="0"/>
              </w:rPr>
            </w:pPr>
            <w:r w:rsidRPr="00050D84">
              <w:rPr>
                <w:b/>
                <w:snapToGrid w:val="0"/>
              </w:rPr>
              <w:t>Incremental cost</w:t>
            </w:r>
          </w:p>
        </w:tc>
        <w:tc>
          <w:tcPr>
            <w:tcW w:w="713" w:type="pct"/>
          </w:tcPr>
          <w:p w14:paraId="72A28EEC" w14:textId="77777777" w:rsidR="005072DF" w:rsidRPr="00050D84" w:rsidRDefault="005072DF" w:rsidP="00D22060">
            <w:pPr>
              <w:pStyle w:val="TableText0"/>
              <w:keepNext w:val="0"/>
              <w:keepLines/>
              <w:rPr>
                <w:b/>
                <w:snapToGrid w:val="0"/>
              </w:rPr>
            </w:pPr>
            <w:r w:rsidRPr="00050D84">
              <w:rPr>
                <w:b/>
                <w:snapToGrid w:val="0"/>
              </w:rPr>
              <w:t xml:space="preserve">Incremental </w:t>
            </w:r>
            <w:r>
              <w:rPr>
                <w:b/>
                <w:snapToGrid w:val="0"/>
              </w:rPr>
              <w:t xml:space="preserve">QALYs </w:t>
            </w:r>
          </w:p>
        </w:tc>
        <w:tc>
          <w:tcPr>
            <w:tcW w:w="815" w:type="pct"/>
          </w:tcPr>
          <w:p w14:paraId="6151DA29" w14:textId="77777777" w:rsidR="005072DF" w:rsidRPr="00050D84" w:rsidRDefault="005072DF" w:rsidP="00D22060">
            <w:pPr>
              <w:pStyle w:val="TableText0"/>
              <w:keepNext w:val="0"/>
              <w:keepLines/>
              <w:rPr>
                <w:b/>
                <w:snapToGrid w:val="0"/>
              </w:rPr>
            </w:pPr>
            <w:r w:rsidRPr="00050D84">
              <w:rPr>
                <w:b/>
                <w:snapToGrid w:val="0"/>
              </w:rPr>
              <w:t>ICER</w:t>
            </w:r>
            <w:r>
              <w:rPr>
                <w:b/>
                <w:snapToGrid w:val="0"/>
              </w:rPr>
              <w:t xml:space="preserve"> </w:t>
            </w:r>
          </w:p>
        </w:tc>
        <w:tc>
          <w:tcPr>
            <w:tcW w:w="713" w:type="pct"/>
            <w:shd w:val="clear" w:color="auto" w:fill="auto"/>
          </w:tcPr>
          <w:p w14:paraId="1C2B3C6D" w14:textId="77777777" w:rsidR="005072DF" w:rsidRPr="00050D84" w:rsidRDefault="005072DF" w:rsidP="00D22060">
            <w:pPr>
              <w:pStyle w:val="TableText0"/>
              <w:keepNext w:val="0"/>
              <w:keepLines/>
              <w:rPr>
                <w:b/>
                <w:snapToGrid w:val="0"/>
              </w:rPr>
            </w:pPr>
            <w:r w:rsidRPr="00050D84">
              <w:rPr>
                <w:b/>
                <w:snapToGrid w:val="0"/>
              </w:rPr>
              <w:t>% change to IC</w:t>
            </w:r>
            <w:r>
              <w:rPr>
                <w:b/>
                <w:snapToGrid w:val="0"/>
              </w:rPr>
              <w:t>ER</w:t>
            </w:r>
          </w:p>
        </w:tc>
      </w:tr>
      <w:tr w:rsidR="005072DF" w:rsidRPr="00050D84" w14:paraId="351290D5"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11E5236E" w14:textId="77777777" w:rsidR="005072DF" w:rsidRPr="00050D84" w:rsidRDefault="005072DF" w:rsidP="00D22060">
            <w:pPr>
              <w:pStyle w:val="TableText0"/>
              <w:keepNext w:val="0"/>
            </w:pPr>
            <w:r w:rsidRPr="00050D84">
              <w:t>Base Case</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E8CEEE8" w14:textId="77777777" w:rsidR="005072DF" w:rsidRPr="00050D84"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FB5F9BF" w14:textId="77777777" w:rsidR="005072DF" w:rsidRPr="00050D84"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33AE875" w14:textId="77777777" w:rsidR="005072DF" w:rsidRPr="00050D84" w:rsidRDefault="005072DF" w:rsidP="00D22060">
            <w:pPr>
              <w:pStyle w:val="TableText0"/>
              <w:keepNext w:val="0"/>
              <w:jc w:val="right"/>
            </w:pPr>
            <w:r>
              <w:t>$140,683</w:t>
            </w:r>
          </w:p>
        </w:tc>
        <w:tc>
          <w:tcPr>
            <w:tcW w:w="713" w:type="pct"/>
            <w:tcBorders>
              <w:top w:val="single" w:sz="4" w:space="0" w:color="auto"/>
              <w:left w:val="single" w:sz="4" w:space="0" w:color="auto"/>
              <w:bottom w:val="single" w:sz="4" w:space="0" w:color="auto"/>
            </w:tcBorders>
            <w:shd w:val="clear" w:color="auto" w:fill="auto"/>
          </w:tcPr>
          <w:p w14:paraId="25F4A2B4" w14:textId="77777777" w:rsidR="005072DF" w:rsidRPr="00050D84" w:rsidRDefault="005072DF" w:rsidP="00D22060">
            <w:pPr>
              <w:pStyle w:val="TableText0"/>
              <w:keepNext w:val="0"/>
              <w:jc w:val="right"/>
            </w:pPr>
            <w:r>
              <w:t>100%</w:t>
            </w:r>
          </w:p>
        </w:tc>
      </w:tr>
      <w:tr w:rsidR="005072DF" w:rsidRPr="00B62878" w14:paraId="6F295AA2" w14:textId="77777777" w:rsidTr="00D22060">
        <w:tc>
          <w:tcPr>
            <w:tcW w:w="5000" w:type="pct"/>
            <w:gridSpan w:val="6"/>
            <w:shd w:val="clear" w:color="auto" w:fill="auto"/>
          </w:tcPr>
          <w:p w14:paraId="244B131F" w14:textId="77777777" w:rsidR="005072DF" w:rsidRPr="00B62878" w:rsidRDefault="005072DF" w:rsidP="00D22060">
            <w:pPr>
              <w:pStyle w:val="TableText0"/>
              <w:keepNext w:val="0"/>
              <w:rPr>
                <w:b/>
              </w:rPr>
            </w:pPr>
            <w:r w:rsidRPr="00B62878">
              <w:rPr>
                <w:b/>
              </w:rPr>
              <w:t>Univariate analyses</w:t>
            </w:r>
          </w:p>
        </w:tc>
      </w:tr>
      <w:tr w:rsidR="005072DF" w:rsidRPr="00050D84" w14:paraId="7507A017" w14:textId="77777777" w:rsidTr="00D22060">
        <w:tc>
          <w:tcPr>
            <w:tcW w:w="5000" w:type="pct"/>
            <w:gridSpan w:val="6"/>
            <w:shd w:val="clear" w:color="auto" w:fill="auto"/>
          </w:tcPr>
          <w:p w14:paraId="2086F8E8" w14:textId="77777777" w:rsidR="005072DF" w:rsidRPr="00050D84" w:rsidRDefault="005072DF" w:rsidP="00D22060">
            <w:pPr>
              <w:pStyle w:val="TableText0"/>
              <w:keepNext w:val="0"/>
            </w:pPr>
            <w:r w:rsidRPr="00050D84">
              <w:t>Discount rate (base case 5% costs and outcomes)</w:t>
            </w:r>
          </w:p>
        </w:tc>
      </w:tr>
      <w:tr w:rsidR="005072DF" w:rsidRPr="00050D84" w14:paraId="55D633BB"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40957AF5" w14:textId="77777777" w:rsidR="005072DF" w:rsidRPr="006933E7" w:rsidRDefault="005072DF" w:rsidP="00D22060">
            <w:pPr>
              <w:pStyle w:val="TableText0"/>
              <w:keepNext w:val="0"/>
            </w:pPr>
            <w:r w:rsidRPr="006933E7">
              <w:t>0% costs and outcomes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19AD25C" w14:textId="77777777" w:rsidR="005072DF" w:rsidRPr="00050D84" w:rsidRDefault="005072DF" w:rsidP="00D22060">
            <w:pPr>
              <w:pStyle w:val="TableText0"/>
              <w:keepNext w:val="0"/>
              <w:jc w:val="right"/>
            </w:pPr>
            <w:r>
              <w:t>$3,452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B84E697" w14:textId="77777777" w:rsidR="005072DF" w:rsidRPr="00050D84" w:rsidRDefault="005072DF" w:rsidP="00D22060">
            <w:pPr>
              <w:pStyle w:val="TableText0"/>
              <w:keepNext w:val="0"/>
              <w:jc w:val="right"/>
            </w:pPr>
            <w:r>
              <w:t>0.036</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48F2085" w14:textId="77777777" w:rsidR="005072DF" w:rsidRPr="00050D84" w:rsidRDefault="005072DF" w:rsidP="00D22060">
            <w:pPr>
              <w:pStyle w:val="TableText0"/>
              <w:keepNext w:val="0"/>
              <w:jc w:val="right"/>
            </w:pPr>
            <w:r>
              <w:t>$96,242</w:t>
            </w:r>
          </w:p>
        </w:tc>
        <w:tc>
          <w:tcPr>
            <w:tcW w:w="713" w:type="pct"/>
            <w:tcBorders>
              <w:top w:val="single" w:sz="4" w:space="0" w:color="auto"/>
              <w:left w:val="single" w:sz="4" w:space="0" w:color="auto"/>
              <w:bottom w:val="single" w:sz="4" w:space="0" w:color="auto"/>
            </w:tcBorders>
            <w:shd w:val="clear" w:color="auto" w:fill="auto"/>
          </w:tcPr>
          <w:p w14:paraId="61DF7D49" w14:textId="77777777" w:rsidR="005072DF" w:rsidRPr="00050D84" w:rsidRDefault="005072DF" w:rsidP="00D22060">
            <w:pPr>
              <w:pStyle w:val="TableText0"/>
              <w:keepNext w:val="0"/>
              <w:jc w:val="right"/>
            </w:pPr>
            <w:r w:rsidRPr="00913662">
              <w:t>-31.59%</w:t>
            </w:r>
          </w:p>
        </w:tc>
      </w:tr>
      <w:tr w:rsidR="005072DF" w:rsidRPr="00050D84" w14:paraId="7DAC8D00"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158B8173" w14:textId="77777777" w:rsidR="005072DF" w:rsidRPr="00050D84" w:rsidRDefault="005072DF" w:rsidP="00D22060">
            <w:pPr>
              <w:pStyle w:val="TableText0"/>
              <w:keepNext w:val="0"/>
            </w:pPr>
            <w:r w:rsidRPr="00050D84">
              <w:t>3.5% costs and outcomes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3F1DD90" w14:textId="77777777" w:rsidR="005072DF" w:rsidRPr="00050D84" w:rsidRDefault="005072DF" w:rsidP="00D22060">
            <w:pPr>
              <w:pStyle w:val="TableText0"/>
              <w:keepNext w:val="0"/>
              <w:jc w:val="right"/>
            </w:pPr>
            <w:r>
              <w:t>$3,453</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0CDAD6A" w14:textId="77777777" w:rsidR="005072DF" w:rsidRPr="00050D84" w:rsidRDefault="005072DF" w:rsidP="00D22060">
            <w:pPr>
              <w:pStyle w:val="TableText0"/>
              <w:keepNext w:val="0"/>
              <w:jc w:val="right"/>
            </w:pPr>
            <w:r>
              <w:t>0.027</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D8275A7" w14:textId="77777777" w:rsidR="005072DF" w:rsidRPr="00050D84" w:rsidRDefault="005072DF" w:rsidP="00D22060">
            <w:pPr>
              <w:pStyle w:val="TableText0"/>
              <w:keepNext w:val="0"/>
              <w:jc w:val="right"/>
            </w:pPr>
            <w:r>
              <w:t>$126,616</w:t>
            </w:r>
          </w:p>
        </w:tc>
        <w:tc>
          <w:tcPr>
            <w:tcW w:w="713" w:type="pct"/>
            <w:tcBorders>
              <w:top w:val="single" w:sz="4" w:space="0" w:color="auto"/>
              <w:left w:val="single" w:sz="4" w:space="0" w:color="auto"/>
              <w:bottom w:val="single" w:sz="4" w:space="0" w:color="auto"/>
            </w:tcBorders>
            <w:shd w:val="clear" w:color="auto" w:fill="auto"/>
          </w:tcPr>
          <w:p w14:paraId="50E85FB5" w14:textId="77777777" w:rsidR="005072DF" w:rsidRPr="00050D84" w:rsidRDefault="005072DF" w:rsidP="00D22060">
            <w:pPr>
              <w:pStyle w:val="TableText0"/>
              <w:keepNext w:val="0"/>
              <w:jc w:val="right"/>
            </w:pPr>
            <w:r w:rsidRPr="00913662">
              <w:t>-10.00%</w:t>
            </w:r>
          </w:p>
        </w:tc>
      </w:tr>
      <w:tr w:rsidR="005072DF" w:rsidRPr="00050D84" w14:paraId="1DE32E5A" w14:textId="77777777" w:rsidTr="00D22060">
        <w:tc>
          <w:tcPr>
            <w:tcW w:w="5000" w:type="pct"/>
            <w:gridSpan w:val="6"/>
            <w:shd w:val="clear" w:color="auto" w:fill="auto"/>
          </w:tcPr>
          <w:p w14:paraId="5FAA2891" w14:textId="77777777" w:rsidR="005072DF" w:rsidRPr="00050D84" w:rsidRDefault="005072DF" w:rsidP="00D22060">
            <w:pPr>
              <w:pStyle w:val="TableText0"/>
              <w:keepNext w:val="0"/>
            </w:pPr>
            <w:r w:rsidRPr="00050D84">
              <w:t xml:space="preserve">Time horizon (base case </w:t>
            </w:r>
            <w:r>
              <w:t>2</w:t>
            </w:r>
            <w:r w:rsidRPr="00050D84">
              <w:t>0 years)</w:t>
            </w:r>
          </w:p>
        </w:tc>
      </w:tr>
      <w:tr w:rsidR="005072DF" w:rsidRPr="00050D84" w14:paraId="0C0AB5E7"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2F75E6D9" w14:textId="77777777" w:rsidR="005072DF" w:rsidRPr="00050D84" w:rsidRDefault="005072DF" w:rsidP="00D22060">
            <w:pPr>
              <w:pStyle w:val="TableText0"/>
              <w:keepNext w:val="0"/>
            </w:pPr>
            <w:r w:rsidRPr="00050D84">
              <w:t>1 year</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925D67E" w14:textId="77777777" w:rsidR="005072DF" w:rsidRPr="00050D84" w:rsidRDefault="005072DF" w:rsidP="00D22060">
            <w:pPr>
              <w:pStyle w:val="TableText0"/>
              <w:keepNext w:val="0"/>
              <w:jc w:val="right"/>
            </w:pPr>
            <w:r>
              <w:t>$3,606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BA27A70" w14:textId="77777777" w:rsidR="005072DF" w:rsidRPr="00050D84" w:rsidRDefault="005072DF" w:rsidP="00D22060">
            <w:pPr>
              <w:pStyle w:val="TableText0"/>
              <w:keepNext w:val="0"/>
              <w:jc w:val="right"/>
            </w:pPr>
            <w:r>
              <w:t>0.002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33FEC49" w14:textId="77777777" w:rsidR="005072DF" w:rsidRPr="00973B00" w:rsidRDefault="005072DF" w:rsidP="00D22060">
            <w:pPr>
              <w:pStyle w:val="TableText0"/>
              <w:keepNext w:val="0"/>
              <w:jc w:val="right"/>
            </w:pPr>
            <w:r w:rsidRPr="001C0484">
              <w:t>$</w:t>
            </w:r>
            <w:r>
              <w:t>1,857,731</w:t>
            </w:r>
          </w:p>
        </w:tc>
        <w:tc>
          <w:tcPr>
            <w:tcW w:w="713" w:type="pct"/>
            <w:tcBorders>
              <w:top w:val="single" w:sz="4" w:space="0" w:color="auto"/>
              <w:left w:val="single" w:sz="4" w:space="0" w:color="auto"/>
              <w:bottom w:val="single" w:sz="4" w:space="0" w:color="auto"/>
            </w:tcBorders>
            <w:shd w:val="clear" w:color="auto" w:fill="auto"/>
          </w:tcPr>
          <w:p w14:paraId="06587EF2" w14:textId="77777777" w:rsidR="005072DF" w:rsidRPr="00050D84" w:rsidRDefault="005072DF" w:rsidP="00D22060">
            <w:pPr>
              <w:pStyle w:val="TableText0"/>
              <w:keepNext w:val="0"/>
              <w:jc w:val="right"/>
            </w:pPr>
            <w:r w:rsidRPr="00A54DFE">
              <w:t>1220.51%</w:t>
            </w:r>
            <w:r>
              <w:t>*</w:t>
            </w:r>
          </w:p>
        </w:tc>
      </w:tr>
      <w:tr w:rsidR="005072DF" w:rsidRPr="00050D84" w14:paraId="139C9784"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11F103F0" w14:textId="77777777" w:rsidR="005072DF" w:rsidRPr="00050D84" w:rsidRDefault="005072DF" w:rsidP="00D22060">
            <w:pPr>
              <w:pStyle w:val="TableText0"/>
              <w:keepNext w:val="0"/>
            </w:pPr>
            <w:r>
              <w:t>2</w:t>
            </w:r>
            <w:r w:rsidRPr="00050D84">
              <w:t xml:space="preserve"> years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630B752" w14:textId="77777777" w:rsidR="005072DF" w:rsidRPr="00050D84" w:rsidRDefault="005072DF" w:rsidP="00D22060">
            <w:pPr>
              <w:pStyle w:val="TableText0"/>
              <w:keepNext w:val="0"/>
              <w:jc w:val="right"/>
            </w:pPr>
            <w:r w:rsidRPr="00ED2488">
              <w:t>$</w:t>
            </w:r>
            <w:r>
              <w:t>3,519</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5F5BA46" w14:textId="77777777" w:rsidR="005072DF" w:rsidRPr="00050D84" w:rsidRDefault="005072DF" w:rsidP="00D22060">
            <w:pPr>
              <w:pStyle w:val="TableText0"/>
              <w:keepNext w:val="0"/>
              <w:jc w:val="right"/>
            </w:pPr>
            <w:r>
              <w:t>0.005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EF80870" w14:textId="77777777" w:rsidR="005072DF" w:rsidRPr="00973B00" w:rsidRDefault="005072DF" w:rsidP="00D22060">
            <w:pPr>
              <w:pStyle w:val="TableText0"/>
              <w:keepNext w:val="0"/>
              <w:jc w:val="right"/>
            </w:pPr>
            <w:r w:rsidRPr="001C0484">
              <w:t>$</w:t>
            </w:r>
            <w:r>
              <w:t>756,992</w:t>
            </w:r>
          </w:p>
        </w:tc>
        <w:tc>
          <w:tcPr>
            <w:tcW w:w="713" w:type="pct"/>
            <w:tcBorders>
              <w:top w:val="single" w:sz="4" w:space="0" w:color="auto"/>
              <w:left w:val="single" w:sz="4" w:space="0" w:color="auto"/>
              <w:bottom w:val="single" w:sz="4" w:space="0" w:color="auto"/>
            </w:tcBorders>
            <w:shd w:val="clear" w:color="auto" w:fill="auto"/>
          </w:tcPr>
          <w:p w14:paraId="3C689804" w14:textId="77777777" w:rsidR="005072DF" w:rsidRPr="00050D84" w:rsidRDefault="005072DF" w:rsidP="00D22060">
            <w:pPr>
              <w:pStyle w:val="TableText0"/>
              <w:keepNext w:val="0"/>
              <w:jc w:val="right"/>
            </w:pPr>
            <w:r w:rsidRPr="00A54DFE">
              <w:t>438.08%</w:t>
            </w:r>
            <w:r>
              <w:t>*</w:t>
            </w:r>
          </w:p>
        </w:tc>
      </w:tr>
      <w:tr w:rsidR="005072DF" w:rsidRPr="00050D84" w14:paraId="277043E3"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796D500F" w14:textId="77777777" w:rsidR="005072DF" w:rsidRPr="00050D84" w:rsidRDefault="005072DF" w:rsidP="00D22060">
            <w:pPr>
              <w:pStyle w:val="TableText0"/>
              <w:keepNext w:val="0"/>
            </w:pPr>
            <w:r>
              <w:t>5</w:t>
            </w:r>
            <w:r w:rsidRPr="00050D84">
              <w:t xml:space="preserve"> years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1A5369F" w14:textId="77777777" w:rsidR="005072DF" w:rsidRPr="00050D84" w:rsidRDefault="005072DF" w:rsidP="00D22060">
            <w:pPr>
              <w:pStyle w:val="TableText0"/>
              <w:keepNext w:val="0"/>
              <w:jc w:val="right"/>
            </w:pPr>
            <w:r w:rsidRPr="00ED2488">
              <w:t>$</w:t>
            </w:r>
            <w:r>
              <w:t>3,427</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A2D769B" w14:textId="77777777" w:rsidR="005072DF" w:rsidRPr="00050D84" w:rsidRDefault="005072DF" w:rsidP="00D22060">
            <w:pPr>
              <w:pStyle w:val="TableText0"/>
              <w:keepNext w:val="0"/>
              <w:jc w:val="right"/>
            </w:pPr>
            <w:r>
              <w:t>0.011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D2C1A75" w14:textId="77777777" w:rsidR="005072DF" w:rsidRPr="00973B00" w:rsidRDefault="005072DF" w:rsidP="00D22060">
            <w:pPr>
              <w:pStyle w:val="TableText0"/>
              <w:keepNext w:val="0"/>
              <w:jc w:val="right"/>
            </w:pPr>
            <w:r w:rsidRPr="001C0484">
              <w:t>$</w:t>
            </w:r>
            <w:r>
              <w:t>325,256</w:t>
            </w:r>
          </w:p>
        </w:tc>
        <w:tc>
          <w:tcPr>
            <w:tcW w:w="713" w:type="pct"/>
            <w:tcBorders>
              <w:top w:val="single" w:sz="4" w:space="0" w:color="auto"/>
              <w:left w:val="single" w:sz="4" w:space="0" w:color="auto"/>
              <w:bottom w:val="single" w:sz="4" w:space="0" w:color="auto"/>
            </w:tcBorders>
            <w:shd w:val="clear" w:color="auto" w:fill="auto"/>
          </w:tcPr>
          <w:p w14:paraId="4FFFE7E6" w14:textId="77777777" w:rsidR="005072DF" w:rsidRPr="00050D84" w:rsidRDefault="005072DF" w:rsidP="00D22060">
            <w:pPr>
              <w:pStyle w:val="TableText0"/>
              <w:keepNext w:val="0"/>
              <w:jc w:val="right"/>
            </w:pPr>
            <w:r w:rsidRPr="00A54DFE">
              <w:t>131.20%</w:t>
            </w:r>
          </w:p>
        </w:tc>
      </w:tr>
      <w:tr w:rsidR="005072DF" w:rsidRPr="00050D84" w14:paraId="276F0D8E"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18E9336F" w14:textId="77777777" w:rsidR="005072DF" w:rsidRPr="00050D84" w:rsidRDefault="005072DF" w:rsidP="00D22060">
            <w:pPr>
              <w:pStyle w:val="TableText0"/>
              <w:keepNext w:val="0"/>
            </w:pPr>
            <w:r>
              <w:t>10</w:t>
            </w:r>
            <w:r w:rsidRPr="00050D84">
              <w:t xml:space="preserve"> years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566E63E" w14:textId="77777777" w:rsidR="005072DF" w:rsidRPr="00050D84" w:rsidRDefault="005072DF" w:rsidP="00D22060">
            <w:pPr>
              <w:pStyle w:val="TableText0"/>
              <w:keepNext w:val="0"/>
              <w:jc w:val="right"/>
            </w:pPr>
            <w:r w:rsidRPr="00ED2488">
              <w:t>$</w:t>
            </w:r>
            <w:r>
              <w:t>3,440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79BA5DA" w14:textId="77777777" w:rsidR="005072DF" w:rsidRPr="00050D84" w:rsidRDefault="005072DF" w:rsidP="00D22060">
            <w:pPr>
              <w:pStyle w:val="TableText0"/>
              <w:keepNext w:val="0"/>
              <w:jc w:val="right"/>
            </w:pPr>
            <w:r>
              <w:t>0.018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936610E" w14:textId="77777777" w:rsidR="005072DF" w:rsidRPr="00973B00" w:rsidRDefault="005072DF" w:rsidP="00D22060">
            <w:pPr>
              <w:pStyle w:val="TableText0"/>
              <w:keepNext w:val="0"/>
              <w:jc w:val="right"/>
            </w:pPr>
            <w:r w:rsidRPr="001C0484">
              <w:t>$</w:t>
            </w:r>
            <w:r>
              <w:t>194,459</w:t>
            </w:r>
          </w:p>
        </w:tc>
        <w:tc>
          <w:tcPr>
            <w:tcW w:w="713" w:type="pct"/>
            <w:tcBorders>
              <w:top w:val="single" w:sz="4" w:space="0" w:color="auto"/>
              <w:left w:val="single" w:sz="4" w:space="0" w:color="auto"/>
              <w:bottom w:val="single" w:sz="4" w:space="0" w:color="auto"/>
            </w:tcBorders>
            <w:shd w:val="clear" w:color="auto" w:fill="auto"/>
          </w:tcPr>
          <w:p w14:paraId="46362D27" w14:textId="77777777" w:rsidR="005072DF" w:rsidRPr="00050D84" w:rsidRDefault="005072DF" w:rsidP="00D22060">
            <w:pPr>
              <w:pStyle w:val="TableText0"/>
              <w:keepNext w:val="0"/>
              <w:jc w:val="right"/>
            </w:pPr>
            <w:r w:rsidRPr="00A54DFE">
              <w:t>38.22%</w:t>
            </w:r>
            <w:r>
              <w:t>*</w:t>
            </w:r>
          </w:p>
        </w:tc>
      </w:tr>
      <w:tr w:rsidR="005072DF" w:rsidRPr="00050D84" w14:paraId="2CFCBBBA" w14:textId="77777777" w:rsidTr="00D22060">
        <w:tc>
          <w:tcPr>
            <w:tcW w:w="5000" w:type="pct"/>
            <w:gridSpan w:val="6"/>
            <w:shd w:val="clear" w:color="auto" w:fill="auto"/>
          </w:tcPr>
          <w:p w14:paraId="6A67D900" w14:textId="77777777" w:rsidR="005072DF" w:rsidRPr="00050D84" w:rsidRDefault="005072DF" w:rsidP="00D22060">
            <w:pPr>
              <w:pStyle w:val="TableText0"/>
              <w:keepNext w:val="0"/>
            </w:pPr>
            <w:r>
              <w:t>Relative risk DAC+abs vs. no DAC+abs</w:t>
            </w:r>
          </w:p>
        </w:tc>
      </w:tr>
      <w:tr w:rsidR="005072DF" w:rsidRPr="00050D84" w14:paraId="57943463"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76BAA988" w14:textId="77777777" w:rsidR="005072DF" w:rsidRPr="00050D84" w:rsidRDefault="005072DF" w:rsidP="00D22060">
            <w:pPr>
              <w:pStyle w:val="TableText0"/>
              <w:keepNext w:val="0"/>
            </w:pPr>
            <w:r w:rsidRPr="00E27DDD">
              <w:t>Romanò 2016</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206B3E0" w14:textId="0818E6CF" w:rsidR="005072DF" w:rsidRPr="00050D84" w:rsidRDefault="005072DF" w:rsidP="00D22060">
            <w:pPr>
              <w:pStyle w:val="TableText0"/>
              <w:keepNext w:val="0"/>
            </w:pPr>
            <w:r>
              <w:t>lower 95% CI (0.0277)</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62F80C1" w14:textId="77777777" w:rsidR="005072DF" w:rsidRPr="00050D84" w:rsidRDefault="005072DF" w:rsidP="00D22060">
            <w:pPr>
              <w:pStyle w:val="TableText0"/>
              <w:keepNext w:val="0"/>
              <w:jc w:val="right"/>
            </w:pPr>
            <w:r>
              <w:t>$3,388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76B20A3" w14:textId="77777777" w:rsidR="005072DF" w:rsidRPr="00050D84" w:rsidRDefault="005072DF" w:rsidP="00D22060">
            <w:pPr>
              <w:pStyle w:val="TableText0"/>
              <w:keepNext w:val="0"/>
              <w:jc w:val="right"/>
            </w:pPr>
            <w:r>
              <w:t>0.031</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3CFF3B8" w14:textId="77777777" w:rsidR="005072DF" w:rsidRPr="00050D84" w:rsidRDefault="005072DF" w:rsidP="00D22060">
            <w:pPr>
              <w:pStyle w:val="TableText0"/>
              <w:keepNext w:val="0"/>
              <w:jc w:val="right"/>
            </w:pPr>
            <w:r>
              <w:t>$107,828</w:t>
            </w:r>
          </w:p>
        </w:tc>
        <w:tc>
          <w:tcPr>
            <w:tcW w:w="713" w:type="pct"/>
            <w:tcBorders>
              <w:top w:val="single" w:sz="4" w:space="0" w:color="auto"/>
              <w:left w:val="single" w:sz="4" w:space="0" w:color="auto"/>
              <w:bottom w:val="single" w:sz="4" w:space="0" w:color="auto"/>
            </w:tcBorders>
            <w:shd w:val="clear" w:color="auto" w:fill="auto"/>
          </w:tcPr>
          <w:p w14:paraId="2BC59FE7" w14:textId="77777777" w:rsidR="005072DF" w:rsidRPr="00AF0A65" w:rsidRDefault="005072DF" w:rsidP="00D22060">
            <w:pPr>
              <w:spacing w:after="0" w:line="240" w:lineRule="auto"/>
              <w:jc w:val="right"/>
              <w:rPr>
                <w:rFonts w:cs="Calibri"/>
                <w:color w:val="000000"/>
                <w:szCs w:val="20"/>
              </w:rPr>
            </w:pPr>
            <w:r w:rsidRPr="00110B91">
              <w:rPr>
                <w:rFonts w:ascii="Arial Narrow" w:hAnsi="Arial Narrow" w:cs="Calibri"/>
                <w:color w:val="000000"/>
                <w:sz w:val="20"/>
                <w:szCs w:val="20"/>
              </w:rPr>
              <w:t>-23.35%</w:t>
            </w:r>
          </w:p>
        </w:tc>
      </w:tr>
      <w:tr w:rsidR="005072DF" w:rsidRPr="00050D84" w14:paraId="4E0952CD" w14:textId="77777777" w:rsidTr="00D22060">
        <w:trPr>
          <w:cantSplit/>
        </w:trPr>
        <w:tc>
          <w:tcPr>
            <w:tcW w:w="1023" w:type="pct"/>
            <w:vMerge/>
            <w:tcBorders>
              <w:top w:val="single" w:sz="4" w:space="0" w:color="auto"/>
              <w:bottom w:val="single" w:sz="4" w:space="0" w:color="auto"/>
              <w:right w:val="single" w:sz="4" w:space="0" w:color="auto"/>
            </w:tcBorders>
            <w:shd w:val="clear" w:color="auto" w:fill="auto"/>
          </w:tcPr>
          <w:p w14:paraId="6BAAA124" w14:textId="77777777" w:rsidR="005072DF" w:rsidRDefault="005072DF" w:rsidP="00D22060">
            <w:pPr>
              <w:pStyle w:val="TableText0"/>
              <w:keepNext w:val="0"/>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BF4C07E" w14:textId="0560D586" w:rsidR="005072DF" w:rsidRDefault="005072DF" w:rsidP="00D22060">
            <w:pPr>
              <w:pStyle w:val="TableText0"/>
              <w:keepNext w:val="0"/>
            </w:pPr>
            <w:r>
              <w:t>higher 95% CI (2.16)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7895027" w14:textId="77777777" w:rsidR="005072DF" w:rsidRPr="00050D84" w:rsidRDefault="005072DF" w:rsidP="00D22060">
            <w:pPr>
              <w:pStyle w:val="TableText0"/>
              <w:keepNext w:val="0"/>
              <w:jc w:val="right"/>
            </w:pPr>
            <w:r>
              <w:t>$4,062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9D4D2B6" w14:textId="77777777" w:rsidR="005072DF" w:rsidRPr="00050D84" w:rsidRDefault="005072DF" w:rsidP="00D22060">
            <w:pPr>
              <w:pStyle w:val="TableText0"/>
              <w:keepNext w:val="0"/>
              <w:jc w:val="right"/>
            </w:pPr>
            <w:r>
              <w:t>-0.037</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4A49B8E" w14:textId="77777777" w:rsidR="005072DF" w:rsidRPr="00050D84" w:rsidRDefault="005072DF" w:rsidP="00D22060">
            <w:pPr>
              <w:pStyle w:val="TableText0"/>
              <w:keepNext w:val="0"/>
              <w:jc w:val="right"/>
            </w:pPr>
            <w:r>
              <w:t>DAC+abs is dominated</w:t>
            </w:r>
          </w:p>
        </w:tc>
        <w:tc>
          <w:tcPr>
            <w:tcW w:w="713" w:type="pct"/>
            <w:tcBorders>
              <w:top w:val="single" w:sz="4" w:space="0" w:color="auto"/>
              <w:left w:val="single" w:sz="4" w:space="0" w:color="auto"/>
              <w:bottom w:val="single" w:sz="4" w:space="0" w:color="auto"/>
            </w:tcBorders>
            <w:shd w:val="clear" w:color="auto" w:fill="auto"/>
          </w:tcPr>
          <w:p w14:paraId="69F09822" w14:textId="77777777" w:rsidR="005072DF" w:rsidRPr="00050D84" w:rsidRDefault="005072DF" w:rsidP="00D22060">
            <w:pPr>
              <w:pStyle w:val="TableText0"/>
              <w:keepNext w:val="0"/>
              <w:jc w:val="right"/>
            </w:pPr>
            <w:r>
              <w:t>NA*</w:t>
            </w:r>
          </w:p>
        </w:tc>
      </w:tr>
      <w:tr w:rsidR="005072DF" w:rsidRPr="00050D84" w14:paraId="47D00B16" w14:textId="77777777" w:rsidTr="00D22060">
        <w:tc>
          <w:tcPr>
            <w:tcW w:w="5000" w:type="pct"/>
            <w:gridSpan w:val="6"/>
            <w:shd w:val="clear" w:color="auto" w:fill="auto"/>
          </w:tcPr>
          <w:p w14:paraId="56BA6560" w14:textId="77777777" w:rsidR="005072DF" w:rsidRDefault="005072DF" w:rsidP="00D22060">
            <w:pPr>
              <w:pStyle w:val="TableText0"/>
              <w:keepNext w:val="0"/>
            </w:pPr>
            <w:r>
              <w:t>Probabilities</w:t>
            </w:r>
          </w:p>
        </w:tc>
      </w:tr>
      <w:tr w:rsidR="005072DF" w:rsidRPr="00050D84" w14:paraId="02DAF05A"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13462476" w14:textId="77777777" w:rsidR="005072DF" w:rsidRPr="00250965" w:rsidRDefault="005072DF" w:rsidP="00D22060">
            <w:pPr>
              <w:pStyle w:val="TableText0"/>
              <w:keepNext w:val="0"/>
              <w:rPr>
                <w:szCs w:val="20"/>
              </w:rPr>
            </w:pPr>
            <w:r w:rsidRPr="00250965">
              <w:rPr>
                <w:szCs w:val="20"/>
              </w:rPr>
              <w:t>SSI</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4F171B4" w14:textId="0A0962BA" w:rsidR="005072DF" w:rsidRDefault="005072DF" w:rsidP="00D22060">
            <w:pPr>
              <w:pStyle w:val="TableText0"/>
              <w:keepNext w:val="0"/>
            </w:pPr>
            <w:r>
              <w:t>+20% 1.90%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DA3A7A9" w14:textId="77777777" w:rsidR="005072DF" w:rsidRDefault="005072DF" w:rsidP="00D22060">
            <w:pPr>
              <w:pStyle w:val="TableText0"/>
              <w:keepNext w:val="0"/>
              <w:jc w:val="right"/>
            </w:pPr>
            <w:r>
              <w:t>$3,415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A63CABF" w14:textId="77777777" w:rsidR="005072DF" w:rsidRDefault="005072DF" w:rsidP="00D22060">
            <w:pPr>
              <w:pStyle w:val="TableText0"/>
              <w:keepNext w:val="0"/>
              <w:jc w:val="right"/>
            </w:pPr>
            <w:r>
              <w:t>0.029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165DEBF" w14:textId="77777777" w:rsidR="005072DF" w:rsidRPr="00431992" w:rsidRDefault="005072DF" w:rsidP="00D22060">
            <w:pPr>
              <w:pStyle w:val="TableText0"/>
              <w:keepNext w:val="0"/>
              <w:jc w:val="right"/>
              <w:rPr>
                <w:highlight w:val="green"/>
              </w:rPr>
            </w:pPr>
            <w:r w:rsidRPr="00B87220">
              <w:t>$</w:t>
            </w:r>
            <w:r>
              <w:t>118,150</w:t>
            </w:r>
          </w:p>
        </w:tc>
        <w:tc>
          <w:tcPr>
            <w:tcW w:w="713" w:type="pct"/>
            <w:tcBorders>
              <w:top w:val="single" w:sz="4" w:space="0" w:color="auto"/>
              <w:left w:val="single" w:sz="4" w:space="0" w:color="auto"/>
              <w:bottom w:val="single" w:sz="4" w:space="0" w:color="auto"/>
            </w:tcBorders>
            <w:shd w:val="clear" w:color="auto" w:fill="auto"/>
          </w:tcPr>
          <w:p w14:paraId="6C1F2BA9" w14:textId="77777777" w:rsidR="005072DF" w:rsidRDefault="005072DF" w:rsidP="00D22060">
            <w:pPr>
              <w:pStyle w:val="TableText0"/>
              <w:keepNext w:val="0"/>
              <w:jc w:val="right"/>
            </w:pPr>
            <w:r w:rsidRPr="002000BD">
              <w:t>-16.02%</w:t>
            </w:r>
          </w:p>
        </w:tc>
      </w:tr>
      <w:tr w:rsidR="005072DF" w:rsidRPr="00050D84" w14:paraId="16640DB4" w14:textId="77777777" w:rsidTr="00D22060">
        <w:tc>
          <w:tcPr>
            <w:tcW w:w="1023" w:type="pct"/>
            <w:vMerge/>
            <w:tcBorders>
              <w:top w:val="single" w:sz="4" w:space="0" w:color="auto"/>
              <w:bottom w:val="single" w:sz="4" w:space="0" w:color="auto"/>
              <w:right w:val="single" w:sz="4" w:space="0" w:color="auto"/>
            </w:tcBorders>
            <w:shd w:val="clear" w:color="auto" w:fill="auto"/>
          </w:tcPr>
          <w:p w14:paraId="24436D36"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9C17328" w14:textId="14BAFA3F" w:rsidR="005072DF" w:rsidRDefault="005072DF" w:rsidP="00D22060">
            <w:pPr>
              <w:pStyle w:val="TableText0"/>
              <w:keepNext w:val="0"/>
            </w:pPr>
            <w:r>
              <w:t>-20% 1.26%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D6B9B67" w14:textId="77777777" w:rsidR="005072DF" w:rsidRDefault="005072DF" w:rsidP="00D22060">
            <w:pPr>
              <w:pStyle w:val="TableText0"/>
              <w:keepNext w:val="0"/>
              <w:jc w:val="right"/>
            </w:pPr>
            <w:r w:rsidRPr="003F6D96">
              <w:t>$</w:t>
            </w:r>
            <w:r>
              <w:t>3,498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435780A" w14:textId="77777777" w:rsidR="005072DF" w:rsidRDefault="005072DF" w:rsidP="00D22060">
            <w:pPr>
              <w:pStyle w:val="TableText0"/>
              <w:keepNext w:val="0"/>
              <w:jc w:val="right"/>
            </w:pPr>
            <w:r>
              <w:t>0.020</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24AE542" w14:textId="77777777" w:rsidR="005072DF" w:rsidRPr="00431992" w:rsidRDefault="005072DF" w:rsidP="00D22060">
            <w:pPr>
              <w:pStyle w:val="TableText0"/>
              <w:keepNext w:val="0"/>
              <w:jc w:val="right"/>
              <w:rPr>
                <w:highlight w:val="green"/>
              </w:rPr>
            </w:pPr>
            <w:r w:rsidRPr="00B87220">
              <w:t>$</w:t>
            </w:r>
            <w:r>
              <w:t>174,746</w:t>
            </w:r>
          </w:p>
        </w:tc>
        <w:tc>
          <w:tcPr>
            <w:tcW w:w="713" w:type="pct"/>
            <w:tcBorders>
              <w:top w:val="single" w:sz="4" w:space="0" w:color="auto"/>
              <w:left w:val="single" w:sz="4" w:space="0" w:color="auto"/>
              <w:bottom w:val="single" w:sz="4" w:space="0" w:color="auto"/>
            </w:tcBorders>
            <w:shd w:val="clear" w:color="auto" w:fill="auto"/>
          </w:tcPr>
          <w:p w14:paraId="1E49F5B6" w14:textId="77777777" w:rsidR="005072DF" w:rsidRDefault="005072DF" w:rsidP="00D22060">
            <w:pPr>
              <w:pStyle w:val="TableText0"/>
              <w:keepNext w:val="0"/>
              <w:jc w:val="right"/>
            </w:pPr>
            <w:r w:rsidRPr="002000BD">
              <w:t>24.21%</w:t>
            </w:r>
          </w:p>
        </w:tc>
      </w:tr>
      <w:tr w:rsidR="005072DF" w:rsidRPr="00050D84" w14:paraId="3186DFB3" w14:textId="77777777" w:rsidTr="00D22060">
        <w:tc>
          <w:tcPr>
            <w:tcW w:w="1023" w:type="pct"/>
            <w:vMerge w:val="restart"/>
            <w:tcBorders>
              <w:top w:val="single" w:sz="4" w:space="0" w:color="auto"/>
              <w:bottom w:val="single" w:sz="4" w:space="0" w:color="auto"/>
              <w:right w:val="single" w:sz="4" w:space="0" w:color="auto"/>
            </w:tcBorders>
            <w:shd w:val="clear" w:color="auto" w:fill="auto"/>
            <w:vAlign w:val="center"/>
          </w:tcPr>
          <w:p w14:paraId="176E69EA" w14:textId="77777777" w:rsidR="005072DF" w:rsidRPr="00250965" w:rsidRDefault="005072DF" w:rsidP="00D22060">
            <w:pPr>
              <w:pStyle w:val="TableText0"/>
              <w:keepNext w:val="0"/>
              <w:rPr>
                <w:szCs w:val="20"/>
              </w:rPr>
            </w:pPr>
            <w:r w:rsidRPr="00250965">
              <w:rPr>
                <w:szCs w:val="20"/>
              </w:rPr>
              <w:t>Recurrent SSI</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1E20057" w14:textId="557BDE08" w:rsidR="005072DF" w:rsidRDefault="005072DF" w:rsidP="00D22060">
            <w:pPr>
              <w:pStyle w:val="TableText0"/>
              <w:keepNext w:val="0"/>
            </w:pPr>
            <w:r>
              <w:t>+20% 1</w:t>
            </w:r>
            <w:r w:rsidRPr="005E284B">
              <w:rPr>
                <w:vertAlign w:val="superscript"/>
              </w:rPr>
              <w:t>st</w:t>
            </w:r>
            <w:r>
              <w:rPr>
                <w:vertAlign w:val="superscript"/>
              </w:rPr>
              <w:t xml:space="preserve"> </w:t>
            </w:r>
            <w:r>
              <w:t>cycle 46.64%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633C446" w14:textId="77777777" w:rsidR="005072DF" w:rsidRDefault="005072DF" w:rsidP="00D22060">
            <w:pPr>
              <w:pStyle w:val="TableText0"/>
              <w:keepNext w:val="0"/>
              <w:jc w:val="right"/>
            </w:pPr>
            <w:r w:rsidRPr="003F6D96">
              <w:t>$</w:t>
            </w:r>
            <w:r>
              <w:t>3,435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AFD93E4"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D1F4FDF" w14:textId="77777777" w:rsidR="005072DF" w:rsidRPr="00431992" w:rsidRDefault="005072DF" w:rsidP="00D22060">
            <w:pPr>
              <w:pStyle w:val="TableText0"/>
              <w:keepNext w:val="0"/>
              <w:jc w:val="right"/>
              <w:rPr>
                <w:highlight w:val="green"/>
              </w:rPr>
            </w:pPr>
            <w:r w:rsidRPr="00B87220">
              <w:t>$</w:t>
            </w:r>
            <w:r>
              <w:t>135,402</w:t>
            </w:r>
          </w:p>
        </w:tc>
        <w:tc>
          <w:tcPr>
            <w:tcW w:w="713" w:type="pct"/>
            <w:tcBorders>
              <w:top w:val="single" w:sz="4" w:space="0" w:color="auto"/>
              <w:left w:val="single" w:sz="4" w:space="0" w:color="auto"/>
              <w:bottom w:val="single" w:sz="4" w:space="0" w:color="auto"/>
            </w:tcBorders>
            <w:shd w:val="clear" w:color="auto" w:fill="auto"/>
          </w:tcPr>
          <w:p w14:paraId="0547E0C7" w14:textId="77777777" w:rsidR="005072DF" w:rsidRDefault="005072DF" w:rsidP="00D22060">
            <w:pPr>
              <w:pStyle w:val="TableText0"/>
              <w:keepNext w:val="0"/>
              <w:jc w:val="right"/>
            </w:pPr>
            <w:r w:rsidRPr="002000BD">
              <w:t>-3.75%</w:t>
            </w:r>
          </w:p>
        </w:tc>
      </w:tr>
      <w:tr w:rsidR="005072DF" w:rsidRPr="00050D84" w14:paraId="3A731ACC" w14:textId="77777777" w:rsidTr="00D22060">
        <w:tc>
          <w:tcPr>
            <w:tcW w:w="1023" w:type="pct"/>
            <w:vMerge/>
            <w:tcBorders>
              <w:top w:val="single" w:sz="4" w:space="0" w:color="auto"/>
              <w:bottom w:val="single" w:sz="4" w:space="0" w:color="auto"/>
              <w:right w:val="single" w:sz="4" w:space="0" w:color="auto"/>
            </w:tcBorders>
            <w:shd w:val="clear" w:color="auto" w:fill="auto"/>
          </w:tcPr>
          <w:p w14:paraId="1E40B2B7"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314E468" w14:textId="168042B2" w:rsidR="005072DF" w:rsidRDefault="005072DF" w:rsidP="00D22060">
            <w:pPr>
              <w:pStyle w:val="TableText0"/>
              <w:keepNext w:val="0"/>
            </w:pPr>
            <w:r>
              <w:t>+20% 2</w:t>
            </w:r>
            <w:r w:rsidRPr="005E284B">
              <w:rPr>
                <w:vertAlign w:val="superscript"/>
              </w:rPr>
              <w:t>nd</w:t>
            </w:r>
            <w:r>
              <w:t xml:space="preserve"> cycle 3.28%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38B4006" w14:textId="77777777" w:rsidR="005072DF" w:rsidRDefault="005072DF" w:rsidP="00D22060">
            <w:pPr>
              <w:pStyle w:val="TableText0"/>
              <w:keepNext w:val="0"/>
              <w:jc w:val="right"/>
            </w:pPr>
            <w:r>
              <w:t>$3,454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02402A4"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0862CF7" w14:textId="77777777" w:rsidR="005072DF" w:rsidRPr="00AF0A65" w:rsidRDefault="005072DF" w:rsidP="00D22060">
            <w:pPr>
              <w:pStyle w:val="TableText0"/>
              <w:keepNext w:val="0"/>
              <w:jc w:val="right"/>
            </w:pPr>
            <w:r w:rsidRPr="00AF0A65">
              <w:t>$140,488</w:t>
            </w:r>
          </w:p>
        </w:tc>
        <w:tc>
          <w:tcPr>
            <w:tcW w:w="713" w:type="pct"/>
            <w:tcBorders>
              <w:top w:val="single" w:sz="4" w:space="0" w:color="auto"/>
              <w:left w:val="single" w:sz="4" w:space="0" w:color="auto"/>
              <w:bottom w:val="single" w:sz="4" w:space="0" w:color="auto"/>
            </w:tcBorders>
            <w:shd w:val="clear" w:color="auto" w:fill="auto"/>
          </w:tcPr>
          <w:p w14:paraId="0677BBFA" w14:textId="77777777" w:rsidR="005072DF" w:rsidRDefault="005072DF" w:rsidP="00D22060">
            <w:pPr>
              <w:pStyle w:val="TableText0"/>
              <w:keepNext w:val="0"/>
              <w:jc w:val="right"/>
            </w:pPr>
            <w:r w:rsidRPr="002000BD">
              <w:t>-0.14%</w:t>
            </w:r>
          </w:p>
        </w:tc>
      </w:tr>
      <w:tr w:rsidR="005072DF" w:rsidRPr="00050D84" w14:paraId="600A0E78" w14:textId="77777777" w:rsidTr="00D22060">
        <w:tc>
          <w:tcPr>
            <w:tcW w:w="1023" w:type="pct"/>
            <w:vMerge/>
            <w:tcBorders>
              <w:top w:val="single" w:sz="4" w:space="0" w:color="auto"/>
              <w:bottom w:val="single" w:sz="4" w:space="0" w:color="auto"/>
              <w:right w:val="single" w:sz="4" w:space="0" w:color="auto"/>
            </w:tcBorders>
            <w:shd w:val="clear" w:color="auto" w:fill="auto"/>
          </w:tcPr>
          <w:p w14:paraId="6CD7C7B1"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D14CB5C" w14:textId="3965A9D1" w:rsidR="005072DF" w:rsidRDefault="005072DF" w:rsidP="00D22060">
            <w:pPr>
              <w:pStyle w:val="TableText0"/>
              <w:keepNext w:val="0"/>
            </w:pPr>
            <w:r>
              <w:t>-20% 1</w:t>
            </w:r>
            <w:r w:rsidRPr="005E284B">
              <w:rPr>
                <w:vertAlign w:val="superscript"/>
              </w:rPr>
              <w:t>st</w:t>
            </w:r>
            <w:r>
              <w:t xml:space="preserve"> cycle 30.96%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1CA5E38" w14:textId="77777777" w:rsidR="005072DF" w:rsidRDefault="005072DF" w:rsidP="00D22060">
            <w:pPr>
              <w:pStyle w:val="TableText0"/>
              <w:keepNext w:val="0"/>
              <w:jc w:val="right"/>
            </w:pPr>
            <w:r w:rsidRPr="003F6D96">
              <w:t>$</w:t>
            </w:r>
            <w:r>
              <w:t>3,474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B8D3CFF" w14:textId="77777777" w:rsidR="005072DF" w:rsidRDefault="005072DF" w:rsidP="00D22060">
            <w:pPr>
              <w:pStyle w:val="TableText0"/>
              <w:keepNext w:val="0"/>
              <w:jc w:val="right"/>
            </w:pPr>
            <w:r>
              <w:t>0.024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469D463" w14:textId="77777777" w:rsidR="005072DF" w:rsidRPr="00431992" w:rsidRDefault="005072DF" w:rsidP="00D22060">
            <w:pPr>
              <w:pStyle w:val="TableText0"/>
              <w:keepNext w:val="0"/>
              <w:jc w:val="right"/>
              <w:rPr>
                <w:highlight w:val="green"/>
              </w:rPr>
            </w:pPr>
            <w:r w:rsidRPr="00B87220">
              <w:t>$</w:t>
            </w:r>
            <w:r>
              <w:t>135,402</w:t>
            </w:r>
          </w:p>
        </w:tc>
        <w:tc>
          <w:tcPr>
            <w:tcW w:w="713" w:type="pct"/>
            <w:tcBorders>
              <w:top w:val="single" w:sz="4" w:space="0" w:color="auto"/>
              <w:left w:val="single" w:sz="4" w:space="0" w:color="auto"/>
              <w:bottom w:val="single" w:sz="4" w:space="0" w:color="auto"/>
            </w:tcBorders>
            <w:shd w:val="clear" w:color="auto" w:fill="auto"/>
          </w:tcPr>
          <w:p w14:paraId="3B0593F6" w14:textId="77777777" w:rsidR="005072DF" w:rsidRDefault="005072DF" w:rsidP="00D22060">
            <w:pPr>
              <w:pStyle w:val="TableText0"/>
              <w:keepNext w:val="0"/>
              <w:jc w:val="right"/>
            </w:pPr>
            <w:r w:rsidRPr="002000BD">
              <w:t>-3.75%</w:t>
            </w:r>
          </w:p>
        </w:tc>
      </w:tr>
      <w:tr w:rsidR="005072DF" w:rsidRPr="00050D84" w14:paraId="655C0045" w14:textId="77777777" w:rsidTr="00D22060">
        <w:tc>
          <w:tcPr>
            <w:tcW w:w="1023" w:type="pct"/>
            <w:vMerge/>
            <w:tcBorders>
              <w:top w:val="single" w:sz="4" w:space="0" w:color="auto"/>
              <w:bottom w:val="single" w:sz="4" w:space="0" w:color="auto"/>
              <w:right w:val="single" w:sz="4" w:space="0" w:color="auto"/>
            </w:tcBorders>
            <w:shd w:val="clear" w:color="auto" w:fill="auto"/>
          </w:tcPr>
          <w:p w14:paraId="7CDA0415"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2DB8872" w14:textId="7FBD11AF" w:rsidR="005072DF" w:rsidRDefault="005072DF" w:rsidP="00D22060">
            <w:pPr>
              <w:pStyle w:val="TableText0"/>
              <w:keepNext w:val="0"/>
            </w:pPr>
            <w:r>
              <w:t>-20% 2</w:t>
            </w:r>
            <w:r w:rsidRPr="005E284B">
              <w:rPr>
                <w:vertAlign w:val="superscript"/>
              </w:rPr>
              <w:t>nd</w:t>
            </w:r>
            <w:r>
              <w:t xml:space="preserve"> cycle 2.18%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B0E7021" w14:textId="77777777" w:rsidR="005072DF" w:rsidRDefault="005072DF" w:rsidP="00D22060">
            <w:pPr>
              <w:pStyle w:val="TableText0"/>
              <w:keepNext w:val="0"/>
              <w:jc w:val="right"/>
            </w:pPr>
            <w:r w:rsidRPr="003F6D96">
              <w:t>$</w:t>
            </w:r>
            <w:r>
              <w:t>3,456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3F07F5A"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C525F9C" w14:textId="77777777" w:rsidR="005072DF" w:rsidRPr="00431992" w:rsidRDefault="005072DF" w:rsidP="00D22060">
            <w:pPr>
              <w:pStyle w:val="TableText0"/>
              <w:keepNext w:val="0"/>
              <w:jc w:val="right"/>
              <w:rPr>
                <w:highlight w:val="green"/>
              </w:rPr>
            </w:pPr>
            <w:r w:rsidRPr="00B87220">
              <w:t>$</w:t>
            </w:r>
            <w:r>
              <w:t>140,878</w:t>
            </w:r>
          </w:p>
        </w:tc>
        <w:tc>
          <w:tcPr>
            <w:tcW w:w="713" w:type="pct"/>
            <w:tcBorders>
              <w:top w:val="single" w:sz="4" w:space="0" w:color="auto"/>
              <w:left w:val="single" w:sz="4" w:space="0" w:color="auto"/>
              <w:bottom w:val="single" w:sz="4" w:space="0" w:color="auto"/>
            </w:tcBorders>
            <w:shd w:val="clear" w:color="auto" w:fill="auto"/>
          </w:tcPr>
          <w:p w14:paraId="3F2ABB30" w14:textId="77777777" w:rsidR="005072DF" w:rsidRDefault="005072DF" w:rsidP="00D22060">
            <w:pPr>
              <w:pStyle w:val="TableText0"/>
              <w:keepNext w:val="0"/>
              <w:jc w:val="right"/>
            </w:pPr>
            <w:r w:rsidRPr="002000BD">
              <w:t>0.14%</w:t>
            </w:r>
          </w:p>
        </w:tc>
      </w:tr>
      <w:tr w:rsidR="005072DF" w:rsidRPr="00050D84" w14:paraId="041DA816"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15833D1F" w14:textId="77777777" w:rsidR="005072DF" w:rsidRPr="00250965" w:rsidRDefault="005072DF" w:rsidP="00D22060">
            <w:pPr>
              <w:pStyle w:val="TableText0"/>
              <w:keepNext w:val="0"/>
              <w:rPr>
                <w:szCs w:val="20"/>
              </w:rPr>
            </w:pPr>
            <w:r w:rsidRPr="00250965">
              <w:rPr>
                <w:szCs w:val="20"/>
              </w:rPr>
              <w:t>DAIR</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6CC90DF" w14:textId="5657465B" w:rsidR="005072DF" w:rsidRDefault="005072DF" w:rsidP="00D22060">
            <w:pPr>
              <w:pStyle w:val="TableText0"/>
              <w:keepNext w:val="0"/>
            </w:pPr>
            <w:r>
              <w:t>Higher 95% CI (61.51%)</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0DEA735" w14:textId="77777777" w:rsidR="005072DF" w:rsidRDefault="005072DF" w:rsidP="00D22060">
            <w:pPr>
              <w:pStyle w:val="TableText0"/>
              <w:keepNext w:val="0"/>
              <w:jc w:val="right"/>
            </w:pPr>
            <w:r w:rsidRPr="003F6D96">
              <w:t>$</w:t>
            </w:r>
            <w:r>
              <w:t>3,465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8C18130"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285B541" w14:textId="77777777" w:rsidR="005072DF" w:rsidRPr="00431992" w:rsidRDefault="005072DF" w:rsidP="00D22060">
            <w:pPr>
              <w:pStyle w:val="TableText0"/>
              <w:keepNext w:val="0"/>
              <w:jc w:val="right"/>
              <w:rPr>
                <w:highlight w:val="green"/>
              </w:rPr>
            </w:pPr>
            <w:r>
              <w:t>$141,066</w:t>
            </w:r>
          </w:p>
        </w:tc>
        <w:tc>
          <w:tcPr>
            <w:tcW w:w="713" w:type="pct"/>
            <w:tcBorders>
              <w:top w:val="single" w:sz="4" w:space="0" w:color="auto"/>
              <w:left w:val="single" w:sz="4" w:space="0" w:color="auto"/>
              <w:bottom w:val="single" w:sz="4" w:space="0" w:color="auto"/>
            </w:tcBorders>
            <w:shd w:val="clear" w:color="auto" w:fill="auto"/>
          </w:tcPr>
          <w:p w14:paraId="5E873589" w14:textId="77777777" w:rsidR="005072DF" w:rsidRDefault="005072DF" w:rsidP="00D22060">
            <w:pPr>
              <w:pStyle w:val="TableText0"/>
              <w:keepNext w:val="0"/>
              <w:jc w:val="right"/>
            </w:pPr>
            <w:r w:rsidRPr="002000BD">
              <w:t>0.27%</w:t>
            </w:r>
          </w:p>
        </w:tc>
      </w:tr>
      <w:tr w:rsidR="005072DF" w:rsidRPr="00050D84" w14:paraId="19836D09" w14:textId="77777777" w:rsidTr="00D22060">
        <w:tc>
          <w:tcPr>
            <w:tcW w:w="1023" w:type="pct"/>
            <w:vMerge/>
            <w:tcBorders>
              <w:top w:val="single" w:sz="4" w:space="0" w:color="auto"/>
              <w:bottom w:val="single" w:sz="4" w:space="0" w:color="auto"/>
              <w:right w:val="single" w:sz="4" w:space="0" w:color="auto"/>
            </w:tcBorders>
            <w:shd w:val="clear" w:color="auto" w:fill="auto"/>
          </w:tcPr>
          <w:p w14:paraId="00C5F9E9"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6110FAC" w14:textId="4C42F3D9" w:rsidR="005072DF" w:rsidRDefault="005072DF" w:rsidP="00D22060">
            <w:pPr>
              <w:pStyle w:val="TableText0"/>
              <w:keepNext w:val="0"/>
            </w:pPr>
            <w:r>
              <w:t>Lower 95% CI (43.59%)</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79323E3" w14:textId="77777777" w:rsidR="005072DF" w:rsidRDefault="005072DF" w:rsidP="00D22060">
            <w:pPr>
              <w:pStyle w:val="TableText0"/>
              <w:keepNext w:val="0"/>
              <w:jc w:val="right"/>
            </w:pPr>
            <w:r w:rsidRPr="003F6D96">
              <w:t>$</w:t>
            </w:r>
            <w:r>
              <w:t>3,445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2D477B6"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C013618" w14:textId="77777777" w:rsidR="005072DF" w:rsidRPr="00431992" w:rsidRDefault="005072DF" w:rsidP="00D22060">
            <w:pPr>
              <w:pStyle w:val="TableText0"/>
              <w:keepNext w:val="0"/>
              <w:jc w:val="right"/>
              <w:rPr>
                <w:highlight w:val="green"/>
              </w:rPr>
            </w:pPr>
            <w:r w:rsidRPr="00B87220">
              <w:t>$</w:t>
            </w:r>
            <w:r>
              <w:t>140,299</w:t>
            </w:r>
          </w:p>
        </w:tc>
        <w:tc>
          <w:tcPr>
            <w:tcW w:w="713" w:type="pct"/>
            <w:tcBorders>
              <w:top w:val="single" w:sz="4" w:space="0" w:color="auto"/>
              <w:left w:val="single" w:sz="4" w:space="0" w:color="auto"/>
              <w:bottom w:val="single" w:sz="4" w:space="0" w:color="auto"/>
            </w:tcBorders>
            <w:shd w:val="clear" w:color="auto" w:fill="auto"/>
          </w:tcPr>
          <w:p w14:paraId="4584FA4E" w14:textId="77777777" w:rsidR="005072DF" w:rsidRDefault="005072DF" w:rsidP="00D22060">
            <w:pPr>
              <w:pStyle w:val="TableText0"/>
              <w:keepNext w:val="0"/>
              <w:jc w:val="right"/>
            </w:pPr>
            <w:r w:rsidRPr="002000BD">
              <w:t>-0.27%</w:t>
            </w:r>
          </w:p>
        </w:tc>
      </w:tr>
      <w:tr w:rsidR="005072DF" w:rsidRPr="00050D84" w14:paraId="310535C3"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61FABEEB" w14:textId="77777777" w:rsidR="005072DF" w:rsidRPr="00250965" w:rsidRDefault="005072DF" w:rsidP="00D22060">
            <w:pPr>
              <w:pStyle w:val="TableText0"/>
              <w:keepNext w:val="0"/>
              <w:rPr>
                <w:szCs w:val="20"/>
              </w:rPr>
            </w:pPr>
            <w:r w:rsidRPr="00250965">
              <w:rPr>
                <w:szCs w:val="20"/>
              </w:rPr>
              <w:t>Death revision first year</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B7B369A" w14:textId="248BE96C" w:rsidR="005072DF" w:rsidRDefault="005072DF" w:rsidP="00D22060">
            <w:pPr>
              <w:pStyle w:val="TableText0"/>
              <w:keepNext w:val="0"/>
            </w:pPr>
            <w:r>
              <w:t>+20% (2.94%)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0EAAE19" w14:textId="77777777" w:rsidR="005072DF" w:rsidRDefault="005072DF" w:rsidP="00D22060">
            <w:pPr>
              <w:pStyle w:val="TableText0"/>
              <w:keepNext w:val="0"/>
              <w:jc w:val="right"/>
            </w:pPr>
            <w:r w:rsidRPr="003F6D96">
              <w:t>$</w:t>
            </w: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625F488"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9230490" w14:textId="77777777" w:rsidR="005072DF" w:rsidRPr="00431992" w:rsidRDefault="005072DF" w:rsidP="00D22060">
            <w:pPr>
              <w:pStyle w:val="TableText0"/>
              <w:keepNext w:val="0"/>
              <w:jc w:val="right"/>
              <w:rPr>
                <w:highlight w:val="green"/>
              </w:rPr>
            </w:pPr>
            <w:r w:rsidRPr="00B87220">
              <w:t>$</w:t>
            </w:r>
            <w:r>
              <w:t>138,271</w:t>
            </w:r>
          </w:p>
        </w:tc>
        <w:tc>
          <w:tcPr>
            <w:tcW w:w="713" w:type="pct"/>
            <w:tcBorders>
              <w:top w:val="single" w:sz="4" w:space="0" w:color="auto"/>
              <w:left w:val="single" w:sz="4" w:space="0" w:color="auto"/>
              <w:bottom w:val="single" w:sz="4" w:space="0" w:color="auto"/>
            </w:tcBorders>
            <w:shd w:val="clear" w:color="auto" w:fill="auto"/>
          </w:tcPr>
          <w:p w14:paraId="3F72C53B" w14:textId="77777777" w:rsidR="005072DF" w:rsidRDefault="005072DF" w:rsidP="00D22060">
            <w:pPr>
              <w:pStyle w:val="TableText0"/>
              <w:keepNext w:val="0"/>
              <w:jc w:val="right"/>
            </w:pPr>
            <w:r w:rsidRPr="002000BD">
              <w:t>-1.71%</w:t>
            </w:r>
          </w:p>
        </w:tc>
      </w:tr>
      <w:tr w:rsidR="005072DF" w:rsidRPr="00050D84" w14:paraId="609B48DC" w14:textId="77777777" w:rsidTr="00D22060">
        <w:tc>
          <w:tcPr>
            <w:tcW w:w="1023" w:type="pct"/>
            <w:vMerge/>
            <w:tcBorders>
              <w:top w:val="single" w:sz="4" w:space="0" w:color="auto"/>
              <w:bottom w:val="single" w:sz="4" w:space="0" w:color="auto"/>
              <w:right w:val="single" w:sz="4" w:space="0" w:color="auto"/>
            </w:tcBorders>
            <w:shd w:val="clear" w:color="auto" w:fill="auto"/>
          </w:tcPr>
          <w:p w14:paraId="2FEC3EB3"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52E3019" w14:textId="7FFE0B41" w:rsidR="005072DF" w:rsidRDefault="005072DF" w:rsidP="00D22060">
            <w:pPr>
              <w:pStyle w:val="TableText0"/>
              <w:keepNext w:val="0"/>
            </w:pPr>
            <w:r>
              <w:t>-20% (1.96%)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F7E51B" w14:textId="77777777" w:rsidR="005072DF" w:rsidRDefault="005072DF" w:rsidP="00D22060">
            <w:pPr>
              <w:pStyle w:val="TableText0"/>
              <w:keepNext w:val="0"/>
              <w:jc w:val="right"/>
            </w:pPr>
            <w:r w:rsidRPr="003F6D96">
              <w:t>$</w:t>
            </w:r>
            <w:r>
              <w:t>3,454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C1D1539" w14:textId="77777777" w:rsidR="005072DF" w:rsidRDefault="005072DF" w:rsidP="00D22060">
            <w:pPr>
              <w:pStyle w:val="TableText0"/>
              <w:keepNext w:val="0"/>
              <w:jc w:val="right"/>
            </w:pPr>
            <w:r>
              <w:t>0.024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2C4126F" w14:textId="77777777" w:rsidR="005072DF" w:rsidRPr="00431992" w:rsidRDefault="005072DF" w:rsidP="00D22060">
            <w:pPr>
              <w:pStyle w:val="TableText0"/>
              <w:keepNext w:val="0"/>
              <w:jc w:val="right"/>
              <w:rPr>
                <w:highlight w:val="green"/>
              </w:rPr>
            </w:pPr>
            <w:r w:rsidRPr="00B87220">
              <w:t>$</w:t>
            </w:r>
            <w:r>
              <w:t>143,187</w:t>
            </w:r>
          </w:p>
        </w:tc>
        <w:tc>
          <w:tcPr>
            <w:tcW w:w="713" w:type="pct"/>
            <w:tcBorders>
              <w:top w:val="single" w:sz="4" w:space="0" w:color="auto"/>
              <w:left w:val="single" w:sz="4" w:space="0" w:color="auto"/>
              <w:bottom w:val="single" w:sz="4" w:space="0" w:color="auto"/>
            </w:tcBorders>
            <w:shd w:val="clear" w:color="auto" w:fill="auto"/>
          </w:tcPr>
          <w:p w14:paraId="2704075D" w14:textId="77777777" w:rsidR="005072DF" w:rsidRDefault="005072DF" w:rsidP="00D22060">
            <w:pPr>
              <w:pStyle w:val="TableText0"/>
              <w:keepNext w:val="0"/>
              <w:jc w:val="right"/>
            </w:pPr>
            <w:r w:rsidRPr="002000BD">
              <w:t>1.78%</w:t>
            </w:r>
          </w:p>
        </w:tc>
      </w:tr>
      <w:tr w:rsidR="005072DF" w:rsidRPr="00050D84" w14:paraId="207AC1CF"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4047041A" w14:textId="77777777" w:rsidR="005072DF" w:rsidRPr="00250965" w:rsidRDefault="005072DF" w:rsidP="00D22060">
            <w:pPr>
              <w:pStyle w:val="TableText0"/>
              <w:keepNext w:val="0"/>
              <w:rPr>
                <w:szCs w:val="20"/>
              </w:rPr>
            </w:pPr>
            <w:r w:rsidRPr="00250965">
              <w:rPr>
                <w:szCs w:val="20"/>
              </w:rPr>
              <w:t>Death revision second year</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F752DA9" w14:textId="13C7498C" w:rsidR="005072DF" w:rsidRDefault="005072DF" w:rsidP="00D22060">
            <w:pPr>
              <w:pStyle w:val="TableText0"/>
              <w:keepNext w:val="0"/>
            </w:pPr>
            <w:r>
              <w:t>+20% (5.52%)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D65B2E4" w14:textId="77777777" w:rsidR="005072DF" w:rsidRDefault="005072DF" w:rsidP="00D22060">
            <w:pPr>
              <w:pStyle w:val="TableText0"/>
              <w:keepNext w:val="0"/>
              <w:jc w:val="right"/>
            </w:pPr>
            <w:r w:rsidRPr="003F6D96">
              <w:t>$</w:t>
            </w: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18CB077"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D5AA4B1" w14:textId="77777777" w:rsidR="005072DF" w:rsidRPr="00431992" w:rsidRDefault="005072DF" w:rsidP="00D22060">
            <w:pPr>
              <w:pStyle w:val="TableText0"/>
              <w:keepNext w:val="0"/>
              <w:jc w:val="right"/>
              <w:rPr>
                <w:highlight w:val="green"/>
              </w:rPr>
            </w:pPr>
            <w:r w:rsidRPr="00B87220">
              <w:t>$</w:t>
            </w:r>
            <w:r>
              <w:t>136,325</w:t>
            </w:r>
          </w:p>
        </w:tc>
        <w:tc>
          <w:tcPr>
            <w:tcW w:w="713" w:type="pct"/>
            <w:tcBorders>
              <w:top w:val="single" w:sz="4" w:space="0" w:color="auto"/>
              <w:left w:val="single" w:sz="4" w:space="0" w:color="auto"/>
              <w:bottom w:val="single" w:sz="4" w:space="0" w:color="auto"/>
            </w:tcBorders>
            <w:shd w:val="clear" w:color="auto" w:fill="auto"/>
          </w:tcPr>
          <w:p w14:paraId="396CDD83" w14:textId="77777777" w:rsidR="005072DF" w:rsidRDefault="005072DF" w:rsidP="00D22060">
            <w:pPr>
              <w:pStyle w:val="TableText0"/>
              <w:keepNext w:val="0"/>
              <w:jc w:val="right"/>
            </w:pPr>
            <w:r w:rsidRPr="002000BD">
              <w:t>-3.10%</w:t>
            </w:r>
          </w:p>
        </w:tc>
      </w:tr>
      <w:tr w:rsidR="005072DF" w:rsidRPr="00050D84" w14:paraId="787B981E" w14:textId="77777777" w:rsidTr="00D22060">
        <w:tc>
          <w:tcPr>
            <w:tcW w:w="1023" w:type="pct"/>
            <w:vMerge/>
            <w:tcBorders>
              <w:top w:val="single" w:sz="4" w:space="0" w:color="auto"/>
              <w:bottom w:val="single" w:sz="4" w:space="0" w:color="auto"/>
              <w:right w:val="single" w:sz="4" w:space="0" w:color="auto"/>
            </w:tcBorders>
            <w:shd w:val="clear" w:color="auto" w:fill="auto"/>
          </w:tcPr>
          <w:p w14:paraId="2069E629"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9AF8312" w14:textId="7BCA3FBE" w:rsidR="005072DF" w:rsidRDefault="005072DF" w:rsidP="00D22060">
            <w:pPr>
              <w:pStyle w:val="TableText0"/>
              <w:keepNext w:val="0"/>
            </w:pPr>
            <w:r>
              <w:t>-20% (3.68%)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D440AA6" w14:textId="77777777" w:rsidR="005072DF" w:rsidRDefault="005072DF" w:rsidP="00D22060">
            <w:pPr>
              <w:pStyle w:val="TableText0"/>
              <w:keepNext w:val="0"/>
              <w:jc w:val="right"/>
            </w:pPr>
            <w:r w:rsidRPr="003F6D96">
              <w:t>$</w:t>
            </w: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6597C97" w14:textId="77777777" w:rsidR="005072DF" w:rsidRDefault="005072DF" w:rsidP="00D22060">
            <w:pPr>
              <w:pStyle w:val="TableText0"/>
              <w:keepNext w:val="0"/>
              <w:jc w:val="right"/>
            </w:pPr>
            <w:r>
              <w:t>0.024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20D711E" w14:textId="77777777" w:rsidR="005072DF" w:rsidRPr="00431992" w:rsidRDefault="005072DF" w:rsidP="00D22060">
            <w:pPr>
              <w:pStyle w:val="TableText0"/>
              <w:keepNext w:val="0"/>
              <w:jc w:val="right"/>
              <w:rPr>
                <w:highlight w:val="green"/>
              </w:rPr>
            </w:pPr>
            <w:r w:rsidRPr="00B87220">
              <w:t>$</w:t>
            </w:r>
            <w:r>
              <w:t>136,325</w:t>
            </w:r>
          </w:p>
        </w:tc>
        <w:tc>
          <w:tcPr>
            <w:tcW w:w="713" w:type="pct"/>
            <w:tcBorders>
              <w:top w:val="single" w:sz="4" w:space="0" w:color="auto"/>
              <w:left w:val="single" w:sz="4" w:space="0" w:color="auto"/>
              <w:bottom w:val="single" w:sz="4" w:space="0" w:color="auto"/>
            </w:tcBorders>
            <w:shd w:val="clear" w:color="auto" w:fill="auto"/>
          </w:tcPr>
          <w:p w14:paraId="78B95194" w14:textId="77777777" w:rsidR="005072DF" w:rsidRDefault="005072DF" w:rsidP="00D22060">
            <w:pPr>
              <w:pStyle w:val="TableText0"/>
              <w:keepNext w:val="0"/>
              <w:jc w:val="right"/>
            </w:pPr>
            <w:r w:rsidRPr="002000BD">
              <w:t>-3.10%</w:t>
            </w:r>
          </w:p>
        </w:tc>
      </w:tr>
      <w:tr w:rsidR="005072DF" w:rsidRPr="00050D84" w14:paraId="340DC3BC"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3887B2C1" w14:textId="77777777" w:rsidR="005072DF" w:rsidRPr="00250965" w:rsidRDefault="005072DF" w:rsidP="00D22060">
            <w:pPr>
              <w:pStyle w:val="TableText0"/>
              <w:keepNext w:val="0"/>
              <w:rPr>
                <w:szCs w:val="20"/>
              </w:rPr>
            </w:pPr>
            <w:r>
              <w:rPr>
                <w:szCs w:val="20"/>
              </w:rPr>
              <w:t>Removal SSI after epTJA</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8E179B1" w14:textId="62C8BF29" w:rsidR="005072DF" w:rsidRDefault="005072DF" w:rsidP="00D22060">
            <w:pPr>
              <w:pStyle w:val="TableText0"/>
              <w:keepNext w:val="0"/>
            </w:pPr>
            <w:r>
              <w:t>+20% (0.98%)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D066481" w14:textId="77777777" w:rsidR="005072DF" w:rsidRDefault="005072DF" w:rsidP="00D22060">
            <w:pPr>
              <w:pStyle w:val="TableText0"/>
              <w:keepNext w:val="0"/>
              <w:jc w:val="right"/>
            </w:pPr>
            <w:r w:rsidRPr="003F6D96">
              <w:t>$</w:t>
            </w: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94A5D3D"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4E7C5BA" w14:textId="77777777" w:rsidR="005072DF" w:rsidRPr="00431992" w:rsidRDefault="005072DF" w:rsidP="00D22060">
            <w:pPr>
              <w:pStyle w:val="TableText0"/>
              <w:keepNext w:val="0"/>
              <w:jc w:val="right"/>
              <w:rPr>
                <w:highlight w:val="green"/>
              </w:rPr>
            </w:pPr>
            <w:r w:rsidRPr="00B87220">
              <w:t>$</w:t>
            </w:r>
            <w:r>
              <w:t>140,694</w:t>
            </w:r>
          </w:p>
        </w:tc>
        <w:tc>
          <w:tcPr>
            <w:tcW w:w="713" w:type="pct"/>
            <w:tcBorders>
              <w:top w:val="single" w:sz="4" w:space="0" w:color="auto"/>
              <w:left w:val="single" w:sz="4" w:space="0" w:color="auto"/>
              <w:bottom w:val="single" w:sz="4" w:space="0" w:color="auto"/>
            </w:tcBorders>
            <w:shd w:val="clear" w:color="auto" w:fill="auto"/>
          </w:tcPr>
          <w:p w14:paraId="0A993EE0" w14:textId="77777777" w:rsidR="005072DF" w:rsidRDefault="005072DF" w:rsidP="00D22060">
            <w:pPr>
              <w:pStyle w:val="TableText0"/>
              <w:keepNext w:val="0"/>
              <w:jc w:val="right"/>
            </w:pPr>
            <w:r w:rsidRPr="002000BD">
              <w:t>0.01%</w:t>
            </w:r>
          </w:p>
        </w:tc>
      </w:tr>
      <w:tr w:rsidR="005072DF" w:rsidRPr="00050D84" w14:paraId="5CDCCB77" w14:textId="77777777" w:rsidTr="00D22060">
        <w:tc>
          <w:tcPr>
            <w:tcW w:w="1023" w:type="pct"/>
            <w:vMerge/>
            <w:tcBorders>
              <w:top w:val="single" w:sz="4" w:space="0" w:color="auto"/>
              <w:bottom w:val="single" w:sz="4" w:space="0" w:color="auto"/>
              <w:right w:val="single" w:sz="4" w:space="0" w:color="auto"/>
            </w:tcBorders>
            <w:shd w:val="clear" w:color="auto" w:fill="auto"/>
          </w:tcPr>
          <w:p w14:paraId="0F1ACB28"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1F0786E" w14:textId="49716F70" w:rsidR="005072DF" w:rsidRDefault="005072DF" w:rsidP="00D22060">
            <w:pPr>
              <w:pStyle w:val="TableText0"/>
              <w:keepNext w:val="0"/>
            </w:pPr>
            <w:r>
              <w:t>-20% (0.66%%)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148BE98" w14:textId="77777777" w:rsidR="005072DF" w:rsidRDefault="005072DF" w:rsidP="00D22060">
            <w:pPr>
              <w:pStyle w:val="TableText0"/>
              <w:keepNext w:val="0"/>
              <w:jc w:val="right"/>
            </w:pPr>
            <w:r w:rsidRPr="003F6D96">
              <w:t>$</w:t>
            </w: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EC4B49E"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B5204B7" w14:textId="77777777" w:rsidR="005072DF" w:rsidRPr="00431992" w:rsidRDefault="005072DF" w:rsidP="00D22060">
            <w:pPr>
              <w:pStyle w:val="TableText0"/>
              <w:keepNext w:val="0"/>
              <w:jc w:val="right"/>
              <w:rPr>
                <w:highlight w:val="green"/>
              </w:rPr>
            </w:pPr>
            <w:r w:rsidRPr="00B87220">
              <w:t>$</w:t>
            </w:r>
            <w:r>
              <w:t>140,671</w:t>
            </w:r>
          </w:p>
        </w:tc>
        <w:tc>
          <w:tcPr>
            <w:tcW w:w="713" w:type="pct"/>
            <w:tcBorders>
              <w:top w:val="single" w:sz="4" w:space="0" w:color="auto"/>
              <w:left w:val="single" w:sz="4" w:space="0" w:color="auto"/>
              <w:bottom w:val="single" w:sz="4" w:space="0" w:color="auto"/>
            </w:tcBorders>
            <w:shd w:val="clear" w:color="auto" w:fill="auto"/>
          </w:tcPr>
          <w:p w14:paraId="648BA8EF" w14:textId="77777777" w:rsidR="005072DF" w:rsidRDefault="005072DF" w:rsidP="00D22060">
            <w:pPr>
              <w:pStyle w:val="TableText0"/>
              <w:keepNext w:val="0"/>
              <w:jc w:val="right"/>
            </w:pPr>
            <w:r w:rsidRPr="002000BD">
              <w:t>-0.01%</w:t>
            </w:r>
          </w:p>
        </w:tc>
      </w:tr>
      <w:tr w:rsidR="005072DF" w:rsidRPr="00050D84" w14:paraId="62E54028" w14:textId="77777777" w:rsidTr="00D22060">
        <w:tc>
          <w:tcPr>
            <w:tcW w:w="5000" w:type="pct"/>
            <w:gridSpan w:val="6"/>
            <w:shd w:val="clear" w:color="auto" w:fill="auto"/>
            <w:vAlign w:val="center"/>
          </w:tcPr>
          <w:p w14:paraId="1D766AA0" w14:textId="77777777" w:rsidR="005072DF" w:rsidRDefault="005072DF" w:rsidP="00D22060">
            <w:pPr>
              <w:pStyle w:val="TableText0"/>
              <w:keepNext w:val="0"/>
            </w:pPr>
            <w:r>
              <w:t>Health state costs</w:t>
            </w:r>
          </w:p>
        </w:tc>
      </w:tr>
      <w:tr w:rsidR="005072DF" w:rsidRPr="00050D84" w14:paraId="73F8C2EA"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0FDB3C0A" w14:textId="77777777" w:rsidR="005072DF" w:rsidRPr="00250965" w:rsidRDefault="005072DF" w:rsidP="00D22060">
            <w:pPr>
              <w:pStyle w:val="TableText0"/>
              <w:keepNext w:val="0"/>
              <w:rPr>
                <w:szCs w:val="20"/>
              </w:rPr>
            </w:pPr>
            <w:r w:rsidRPr="00250965">
              <w:rPr>
                <w:szCs w:val="20"/>
              </w:rPr>
              <w:t>epTJA</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89B089F" w14:textId="173A4A20" w:rsidR="005072DF" w:rsidRDefault="005072DF" w:rsidP="00D22060">
            <w:pPr>
              <w:pStyle w:val="TableText0"/>
              <w:keepNext w:val="0"/>
            </w:pPr>
            <w:r>
              <w:t>+20% (</w:t>
            </w:r>
            <w:r>
              <w:rPr>
                <w:rFonts w:cs="Calibri"/>
                <w:color w:val="000000"/>
                <w:szCs w:val="20"/>
              </w:rPr>
              <w:t>$24,964.99)</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EA6B66C" w14:textId="77777777" w:rsidR="005072DF" w:rsidRPr="00E062D0"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CB10DF8" w14:textId="77777777" w:rsidR="005072DF" w:rsidRPr="00E062D0"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F71E0E6" w14:textId="77777777" w:rsidR="005072DF" w:rsidRPr="00E062D0" w:rsidRDefault="005072DF" w:rsidP="00D22060">
            <w:pPr>
              <w:pStyle w:val="TableText0"/>
              <w:keepNext w:val="0"/>
              <w:jc w:val="right"/>
            </w:pPr>
            <w:r w:rsidRPr="00CB3090">
              <w:t>$</w:t>
            </w:r>
            <w:r>
              <w:t>140,683</w:t>
            </w:r>
          </w:p>
        </w:tc>
        <w:tc>
          <w:tcPr>
            <w:tcW w:w="713" w:type="pct"/>
            <w:tcBorders>
              <w:top w:val="single" w:sz="4" w:space="0" w:color="auto"/>
              <w:left w:val="single" w:sz="4" w:space="0" w:color="auto"/>
              <w:bottom w:val="single" w:sz="4" w:space="0" w:color="auto"/>
            </w:tcBorders>
            <w:shd w:val="clear" w:color="auto" w:fill="auto"/>
          </w:tcPr>
          <w:p w14:paraId="3ECDB07F" w14:textId="77777777" w:rsidR="005072DF" w:rsidRDefault="005072DF" w:rsidP="00D22060">
            <w:pPr>
              <w:pStyle w:val="TableText0"/>
              <w:keepNext w:val="0"/>
              <w:jc w:val="right"/>
            </w:pPr>
            <w:r w:rsidRPr="0018437C">
              <w:t>0.00%</w:t>
            </w:r>
          </w:p>
        </w:tc>
      </w:tr>
      <w:tr w:rsidR="005072DF" w:rsidRPr="00050D84" w14:paraId="063D0A48" w14:textId="77777777" w:rsidTr="00D22060">
        <w:tc>
          <w:tcPr>
            <w:tcW w:w="1023" w:type="pct"/>
            <w:vMerge/>
            <w:tcBorders>
              <w:top w:val="single" w:sz="4" w:space="0" w:color="auto"/>
              <w:bottom w:val="single" w:sz="4" w:space="0" w:color="auto"/>
              <w:right w:val="single" w:sz="4" w:space="0" w:color="auto"/>
            </w:tcBorders>
            <w:shd w:val="clear" w:color="auto" w:fill="auto"/>
          </w:tcPr>
          <w:p w14:paraId="295A6F7D"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D73D838" w14:textId="018EF313" w:rsidR="005072DF" w:rsidRDefault="005072DF" w:rsidP="00D22060">
            <w:pPr>
              <w:pStyle w:val="TableText0"/>
              <w:keepNext w:val="0"/>
            </w:pPr>
            <w:r>
              <w:t>-20% ($16,643.33)</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03A8C99" w14:textId="77777777" w:rsidR="005072DF" w:rsidRPr="00E062D0"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130A285" w14:textId="77777777" w:rsidR="005072DF" w:rsidRPr="00E062D0"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1D7B975" w14:textId="77777777" w:rsidR="005072DF" w:rsidRPr="00E062D0" w:rsidRDefault="005072DF" w:rsidP="00D22060">
            <w:pPr>
              <w:pStyle w:val="TableText0"/>
              <w:keepNext w:val="0"/>
              <w:jc w:val="right"/>
            </w:pPr>
            <w:r w:rsidRPr="00CB3090">
              <w:t>$</w:t>
            </w:r>
            <w:r>
              <w:t>140,683</w:t>
            </w:r>
          </w:p>
        </w:tc>
        <w:tc>
          <w:tcPr>
            <w:tcW w:w="713" w:type="pct"/>
            <w:tcBorders>
              <w:top w:val="single" w:sz="4" w:space="0" w:color="auto"/>
              <w:left w:val="single" w:sz="4" w:space="0" w:color="auto"/>
              <w:bottom w:val="single" w:sz="4" w:space="0" w:color="auto"/>
            </w:tcBorders>
            <w:shd w:val="clear" w:color="auto" w:fill="auto"/>
          </w:tcPr>
          <w:p w14:paraId="5BF2A1FB" w14:textId="77777777" w:rsidR="005072DF" w:rsidRDefault="005072DF" w:rsidP="00D22060">
            <w:pPr>
              <w:pStyle w:val="TableText0"/>
              <w:keepNext w:val="0"/>
              <w:jc w:val="right"/>
            </w:pPr>
            <w:r w:rsidRPr="0018437C">
              <w:t>0.00%</w:t>
            </w:r>
          </w:p>
        </w:tc>
      </w:tr>
      <w:tr w:rsidR="005072DF" w:rsidRPr="00050D84" w14:paraId="47AF6FCD"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6EC01570" w14:textId="77777777" w:rsidR="005072DF" w:rsidRPr="00250965" w:rsidRDefault="005072DF" w:rsidP="00D22060">
            <w:pPr>
              <w:pStyle w:val="TableText0"/>
              <w:keepNext w:val="0"/>
              <w:rPr>
                <w:szCs w:val="20"/>
              </w:rPr>
            </w:pPr>
            <w:r w:rsidRPr="00250965">
              <w:rPr>
                <w:szCs w:val="20"/>
              </w:rPr>
              <w:t>DAIR</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A036D1C" w14:textId="64015483" w:rsidR="005072DF" w:rsidRDefault="005072DF" w:rsidP="00D22060">
            <w:pPr>
              <w:pStyle w:val="TableText0"/>
              <w:keepNext w:val="0"/>
            </w:pPr>
            <w:r>
              <w:t>+20% ($12,371.22)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07DBC17" w14:textId="77777777" w:rsidR="005072DF" w:rsidRPr="00E062D0" w:rsidRDefault="005072DF" w:rsidP="00D22060">
            <w:pPr>
              <w:pStyle w:val="TableText0"/>
              <w:keepNext w:val="0"/>
              <w:jc w:val="right"/>
            </w:pPr>
            <w:r w:rsidRPr="0017458B">
              <w:t>$</w:t>
            </w:r>
            <w:r>
              <w:t>3,444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2A58DEF" w14:textId="77777777" w:rsidR="005072DF" w:rsidRPr="00E062D0"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442B98E" w14:textId="77777777" w:rsidR="005072DF" w:rsidRPr="00E062D0" w:rsidRDefault="005072DF" w:rsidP="00D22060">
            <w:pPr>
              <w:pStyle w:val="TableText0"/>
              <w:keepNext w:val="0"/>
              <w:jc w:val="right"/>
            </w:pPr>
            <w:r w:rsidRPr="00CB3090">
              <w:t>$</w:t>
            </w:r>
            <w:r>
              <w:t>140,251</w:t>
            </w:r>
          </w:p>
        </w:tc>
        <w:tc>
          <w:tcPr>
            <w:tcW w:w="713" w:type="pct"/>
            <w:tcBorders>
              <w:top w:val="single" w:sz="4" w:space="0" w:color="auto"/>
              <w:left w:val="single" w:sz="4" w:space="0" w:color="auto"/>
              <w:bottom w:val="single" w:sz="4" w:space="0" w:color="auto"/>
            </w:tcBorders>
            <w:shd w:val="clear" w:color="auto" w:fill="auto"/>
          </w:tcPr>
          <w:p w14:paraId="2ED54B1D" w14:textId="77777777" w:rsidR="005072DF" w:rsidRDefault="005072DF" w:rsidP="00D22060">
            <w:pPr>
              <w:pStyle w:val="TableText0"/>
              <w:keepNext w:val="0"/>
              <w:jc w:val="right"/>
            </w:pPr>
            <w:r w:rsidRPr="0018437C">
              <w:t>-0.31%</w:t>
            </w:r>
          </w:p>
        </w:tc>
      </w:tr>
      <w:tr w:rsidR="005072DF" w:rsidRPr="00050D84" w14:paraId="2394BEAE" w14:textId="77777777" w:rsidTr="00D22060">
        <w:tc>
          <w:tcPr>
            <w:tcW w:w="1023" w:type="pct"/>
            <w:vMerge/>
            <w:tcBorders>
              <w:top w:val="single" w:sz="4" w:space="0" w:color="auto"/>
              <w:bottom w:val="single" w:sz="4" w:space="0" w:color="auto"/>
              <w:right w:val="single" w:sz="4" w:space="0" w:color="auto"/>
            </w:tcBorders>
            <w:shd w:val="clear" w:color="auto" w:fill="auto"/>
          </w:tcPr>
          <w:p w14:paraId="3060E444"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021C18C" w14:textId="71DAB5A9" w:rsidR="005072DF" w:rsidRDefault="005072DF" w:rsidP="00D22060">
            <w:pPr>
              <w:pStyle w:val="TableText0"/>
              <w:keepNext w:val="0"/>
            </w:pPr>
            <w:r>
              <w:t>-20% ($8,247.48)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A0ADE37" w14:textId="77777777" w:rsidR="005072DF" w:rsidRPr="00E062D0" w:rsidRDefault="005072DF" w:rsidP="00D22060">
            <w:pPr>
              <w:pStyle w:val="TableText0"/>
              <w:keepNext w:val="0"/>
              <w:jc w:val="right"/>
            </w:pPr>
            <w:r w:rsidRPr="0017458B">
              <w:t>$</w:t>
            </w:r>
            <w:r>
              <w:t>3,466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DFBD354" w14:textId="77777777" w:rsidR="005072DF" w:rsidRPr="00E062D0" w:rsidRDefault="005072DF" w:rsidP="00D22060">
            <w:pPr>
              <w:pStyle w:val="TableText0"/>
              <w:keepNext w:val="0"/>
              <w:jc w:val="right"/>
            </w:pPr>
            <w:r w:rsidRPr="001A62E9">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0E6EDFF" w14:textId="77777777" w:rsidR="005072DF" w:rsidRPr="00E062D0" w:rsidRDefault="005072DF" w:rsidP="00D22060">
            <w:pPr>
              <w:pStyle w:val="TableText0"/>
              <w:keepNext w:val="0"/>
              <w:jc w:val="right"/>
            </w:pPr>
            <w:r w:rsidRPr="00CB3090">
              <w:t>$</w:t>
            </w:r>
            <w:r>
              <w:t>141,114</w:t>
            </w:r>
          </w:p>
        </w:tc>
        <w:tc>
          <w:tcPr>
            <w:tcW w:w="713" w:type="pct"/>
            <w:tcBorders>
              <w:top w:val="single" w:sz="4" w:space="0" w:color="auto"/>
              <w:left w:val="single" w:sz="4" w:space="0" w:color="auto"/>
              <w:bottom w:val="single" w:sz="4" w:space="0" w:color="auto"/>
            </w:tcBorders>
            <w:shd w:val="clear" w:color="auto" w:fill="auto"/>
          </w:tcPr>
          <w:p w14:paraId="0645171F" w14:textId="77777777" w:rsidR="005072DF" w:rsidRDefault="005072DF" w:rsidP="00D22060">
            <w:pPr>
              <w:pStyle w:val="TableText0"/>
              <w:keepNext w:val="0"/>
              <w:jc w:val="right"/>
            </w:pPr>
            <w:r w:rsidRPr="0018437C">
              <w:t>0.31%</w:t>
            </w:r>
          </w:p>
        </w:tc>
      </w:tr>
      <w:tr w:rsidR="005072DF" w:rsidRPr="00050D84" w14:paraId="1B0ADDC3"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1C63D874" w14:textId="77777777" w:rsidR="005072DF" w:rsidRPr="00250965" w:rsidRDefault="005072DF" w:rsidP="00D22060">
            <w:pPr>
              <w:pStyle w:val="TableText0"/>
              <w:keepNext w:val="0"/>
              <w:rPr>
                <w:szCs w:val="20"/>
              </w:rPr>
            </w:pPr>
            <w:r w:rsidRPr="00250965">
              <w:rPr>
                <w:szCs w:val="20"/>
              </w:rPr>
              <w:t>Revision</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D73994E" w14:textId="16AA56DE" w:rsidR="005072DF" w:rsidRDefault="005072DF" w:rsidP="00D22060">
            <w:pPr>
              <w:pStyle w:val="TableText0"/>
              <w:keepNext w:val="0"/>
            </w:pPr>
            <w:r>
              <w:t>+20% ($25,641.96)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6CD23E6" w14:textId="77777777" w:rsidR="005072DF" w:rsidRPr="00E062D0" w:rsidRDefault="005072DF" w:rsidP="00D22060">
            <w:pPr>
              <w:pStyle w:val="TableText0"/>
              <w:keepNext w:val="0"/>
              <w:jc w:val="right"/>
            </w:pPr>
            <w:r w:rsidRPr="0017458B">
              <w:t>$</w:t>
            </w:r>
            <w:r>
              <w:t>3,420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6E6EADF" w14:textId="77777777" w:rsidR="005072DF" w:rsidRPr="00E062D0" w:rsidRDefault="005072DF" w:rsidP="00D22060">
            <w:pPr>
              <w:pStyle w:val="TableText0"/>
              <w:keepNext w:val="0"/>
              <w:jc w:val="right"/>
            </w:pPr>
            <w:r w:rsidRPr="001A62E9">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3CD4F51" w14:textId="77777777" w:rsidR="005072DF" w:rsidRPr="00E062D0" w:rsidRDefault="005072DF" w:rsidP="00D22060">
            <w:pPr>
              <w:pStyle w:val="TableText0"/>
              <w:keepNext w:val="0"/>
              <w:jc w:val="right"/>
            </w:pPr>
            <w:r w:rsidRPr="00CB3090">
              <w:t>$</w:t>
            </w:r>
            <w:r>
              <w:t>139,279</w:t>
            </w:r>
          </w:p>
        </w:tc>
        <w:tc>
          <w:tcPr>
            <w:tcW w:w="713" w:type="pct"/>
            <w:tcBorders>
              <w:top w:val="single" w:sz="4" w:space="0" w:color="auto"/>
              <w:left w:val="single" w:sz="4" w:space="0" w:color="auto"/>
              <w:bottom w:val="single" w:sz="4" w:space="0" w:color="auto"/>
            </w:tcBorders>
            <w:shd w:val="clear" w:color="auto" w:fill="auto"/>
          </w:tcPr>
          <w:p w14:paraId="2668BC41" w14:textId="77777777" w:rsidR="005072DF" w:rsidRDefault="005072DF" w:rsidP="00D22060">
            <w:pPr>
              <w:pStyle w:val="TableText0"/>
              <w:keepNext w:val="0"/>
              <w:jc w:val="right"/>
            </w:pPr>
            <w:r w:rsidRPr="0018437C">
              <w:t>-1.00%</w:t>
            </w:r>
          </w:p>
        </w:tc>
      </w:tr>
      <w:tr w:rsidR="005072DF" w:rsidRPr="00050D84" w14:paraId="735E4BD6" w14:textId="77777777" w:rsidTr="00D22060">
        <w:tc>
          <w:tcPr>
            <w:tcW w:w="1023" w:type="pct"/>
            <w:vMerge/>
            <w:tcBorders>
              <w:top w:val="single" w:sz="4" w:space="0" w:color="auto"/>
              <w:bottom w:val="single" w:sz="4" w:space="0" w:color="auto"/>
              <w:right w:val="single" w:sz="4" w:space="0" w:color="auto"/>
            </w:tcBorders>
            <w:shd w:val="clear" w:color="auto" w:fill="auto"/>
          </w:tcPr>
          <w:p w14:paraId="0AEA34A5"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5F25743" w14:textId="3B6C66FF" w:rsidR="005072DF" w:rsidRDefault="005072DF" w:rsidP="00D22060">
            <w:pPr>
              <w:pStyle w:val="TableText0"/>
              <w:keepNext w:val="0"/>
            </w:pPr>
            <w:r>
              <w:t>-20% ($17,094.64)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D0A7D74" w14:textId="77777777" w:rsidR="005072DF" w:rsidRPr="00E062D0" w:rsidRDefault="005072DF" w:rsidP="00D22060">
            <w:pPr>
              <w:pStyle w:val="TableText0"/>
              <w:keepNext w:val="0"/>
              <w:jc w:val="right"/>
            </w:pPr>
            <w:r w:rsidRPr="0017458B">
              <w:t>$</w:t>
            </w:r>
            <w:r>
              <w:t>3,489</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67BBC5C" w14:textId="77777777" w:rsidR="005072DF" w:rsidRPr="00E062D0" w:rsidRDefault="005072DF" w:rsidP="00D22060">
            <w:pPr>
              <w:pStyle w:val="TableText0"/>
              <w:keepNext w:val="0"/>
              <w:jc w:val="right"/>
            </w:pPr>
            <w:r w:rsidRPr="001A62E9">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3F5DA81" w14:textId="77777777" w:rsidR="005072DF" w:rsidRPr="00E062D0" w:rsidRDefault="005072DF" w:rsidP="00D22060">
            <w:pPr>
              <w:pStyle w:val="TableText0"/>
              <w:keepNext w:val="0"/>
              <w:jc w:val="right"/>
            </w:pPr>
            <w:r w:rsidRPr="00CB3090">
              <w:t>$</w:t>
            </w:r>
            <w:r>
              <w:t>142,087</w:t>
            </w:r>
          </w:p>
        </w:tc>
        <w:tc>
          <w:tcPr>
            <w:tcW w:w="713" w:type="pct"/>
            <w:tcBorders>
              <w:top w:val="single" w:sz="4" w:space="0" w:color="auto"/>
              <w:left w:val="single" w:sz="4" w:space="0" w:color="auto"/>
              <w:bottom w:val="single" w:sz="4" w:space="0" w:color="auto"/>
            </w:tcBorders>
            <w:shd w:val="clear" w:color="auto" w:fill="auto"/>
          </w:tcPr>
          <w:p w14:paraId="39CC72D6" w14:textId="77777777" w:rsidR="005072DF" w:rsidRDefault="005072DF" w:rsidP="00D22060">
            <w:pPr>
              <w:pStyle w:val="TableText0"/>
              <w:keepNext w:val="0"/>
              <w:jc w:val="right"/>
            </w:pPr>
            <w:r w:rsidRPr="0018437C">
              <w:t>1.00%</w:t>
            </w:r>
          </w:p>
        </w:tc>
      </w:tr>
      <w:tr w:rsidR="005072DF" w:rsidRPr="00050D84" w14:paraId="76A05D9F"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0390579E" w14:textId="77777777" w:rsidR="005072DF" w:rsidRPr="00250965" w:rsidRDefault="005072DF" w:rsidP="00D22060">
            <w:pPr>
              <w:pStyle w:val="TableText0"/>
              <w:keepNext w:val="0"/>
              <w:rPr>
                <w:szCs w:val="20"/>
              </w:rPr>
            </w:pPr>
            <w:r w:rsidRPr="00250965">
              <w:rPr>
                <w:szCs w:val="20"/>
              </w:rPr>
              <w:t>Removal surgery</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37DFA13" w14:textId="7392E531" w:rsidR="005072DF" w:rsidRDefault="005072DF" w:rsidP="00D22060">
            <w:pPr>
              <w:pStyle w:val="TableText0"/>
              <w:keepNext w:val="0"/>
            </w:pPr>
            <w:r>
              <w:t>+20% ($13,451.98)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2EF9527" w14:textId="77777777" w:rsidR="005072DF" w:rsidRPr="00E062D0" w:rsidRDefault="005072DF" w:rsidP="00D22060">
            <w:pPr>
              <w:pStyle w:val="TableText0"/>
              <w:keepNext w:val="0"/>
              <w:jc w:val="right"/>
            </w:pPr>
            <w:r w:rsidRPr="0017458B">
              <w:t>$</w:t>
            </w:r>
            <w:r>
              <w:t>3,452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C39C25F" w14:textId="77777777" w:rsidR="005072DF" w:rsidRPr="00E062D0" w:rsidRDefault="005072DF" w:rsidP="00D22060">
            <w:pPr>
              <w:pStyle w:val="TableText0"/>
              <w:keepNext w:val="0"/>
              <w:jc w:val="right"/>
            </w:pPr>
            <w:r w:rsidRPr="001A62E9">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EE2A21C" w14:textId="77777777" w:rsidR="005072DF" w:rsidRPr="00E062D0" w:rsidRDefault="005072DF" w:rsidP="00D22060">
            <w:pPr>
              <w:pStyle w:val="TableText0"/>
              <w:keepNext w:val="0"/>
              <w:jc w:val="right"/>
            </w:pPr>
            <w:r w:rsidRPr="00CB3090">
              <w:t>$</w:t>
            </w:r>
            <w:r>
              <w:t>140,804</w:t>
            </w:r>
          </w:p>
        </w:tc>
        <w:tc>
          <w:tcPr>
            <w:tcW w:w="713" w:type="pct"/>
            <w:tcBorders>
              <w:top w:val="single" w:sz="4" w:space="0" w:color="auto"/>
              <w:left w:val="single" w:sz="4" w:space="0" w:color="auto"/>
              <w:bottom w:val="single" w:sz="4" w:space="0" w:color="auto"/>
            </w:tcBorders>
            <w:shd w:val="clear" w:color="auto" w:fill="auto"/>
          </w:tcPr>
          <w:p w14:paraId="4771DFB7" w14:textId="77777777" w:rsidR="005072DF" w:rsidRDefault="005072DF" w:rsidP="00D22060">
            <w:pPr>
              <w:pStyle w:val="TableText0"/>
              <w:keepNext w:val="0"/>
              <w:jc w:val="right"/>
            </w:pPr>
            <w:r>
              <w:t>1.00%</w:t>
            </w:r>
          </w:p>
        </w:tc>
      </w:tr>
      <w:tr w:rsidR="005072DF" w:rsidRPr="00050D84" w14:paraId="0D539F19" w14:textId="77777777" w:rsidTr="00D22060">
        <w:tc>
          <w:tcPr>
            <w:tcW w:w="1023" w:type="pct"/>
            <w:vMerge/>
            <w:tcBorders>
              <w:top w:val="single" w:sz="4" w:space="0" w:color="auto"/>
              <w:bottom w:val="single" w:sz="4" w:space="0" w:color="auto"/>
              <w:right w:val="single" w:sz="4" w:space="0" w:color="auto"/>
            </w:tcBorders>
            <w:shd w:val="clear" w:color="auto" w:fill="auto"/>
          </w:tcPr>
          <w:p w14:paraId="01349D6B" w14:textId="77777777" w:rsidR="005072DF" w:rsidRPr="00250965"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A87C0B3" w14:textId="7F5031D4" w:rsidR="005072DF" w:rsidRDefault="005072DF" w:rsidP="00D22060">
            <w:pPr>
              <w:pStyle w:val="TableText0"/>
              <w:keepNext w:val="0"/>
            </w:pPr>
            <w:r>
              <w:t>-20% ($8,967.98)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4F88106" w14:textId="77777777" w:rsidR="005072DF" w:rsidRPr="00E062D0" w:rsidRDefault="005072DF" w:rsidP="00D22060">
            <w:pPr>
              <w:pStyle w:val="TableText0"/>
              <w:keepNext w:val="0"/>
              <w:jc w:val="right"/>
            </w:pPr>
            <w:r w:rsidRPr="0017458B">
              <w:t>$</w:t>
            </w:r>
            <w:r>
              <w:t>3,458</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C7A9AFE" w14:textId="77777777" w:rsidR="005072DF" w:rsidRPr="00E062D0" w:rsidRDefault="005072DF" w:rsidP="00D22060">
            <w:pPr>
              <w:pStyle w:val="TableText0"/>
              <w:keepNext w:val="0"/>
              <w:jc w:val="right"/>
            </w:pPr>
            <w:r w:rsidRPr="001A62E9">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698FDFB" w14:textId="77777777" w:rsidR="005072DF" w:rsidRPr="00E062D0" w:rsidRDefault="005072DF" w:rsidP="00D22060">
            <w:pPr>
              <w:pStyle w:val="TableText0"/>
              <w:keepNext w:val="0"/>
              <w:jc w:val="right"/>
            </w:pPr>
            <w:r w:rsidRPr="00CB3090">
              <w:t>$</w:t>
            </w:r>
            <w:r>
              <w:t>140,561</w:t>
            </w:r>
          </w:p>
        </w:tc>
        <w:tc>
          <w:tcPr>
            <w:tcW w:w="713" w:type="pct"/>
            <w:tcBorders>
              <w:top w:val="single" w:sz="4" w:space="0" w:color="auto"/>
              <w:left w:val="single" w:sz="4" w:space="0" w:color="auto"/>
              <w:bottom w:val="single" w:sz="4" w:space="0" w:color="auto"/>
            </w:tcBorders>
            <w:shd w:val="clear" w:color="auto" w:fill="auto"/>
          </w:tcPr>
          <w:p w14:paraId="26545BD4" w14:textId="77777777" w:rsidR="005072DF" w:rsidRDefault="005072DF" w:rsidP="00D22060">
            <w:pPr>
              <w:pStyle w:val="TableText0"/>
              <w:keepNext w:val="0"/>
              <w:jc w:val="right"/>
            </w:pPr>
            <w:r w:rsidRPr="0018437C">
              <w:t>-0.09%</w:t>
            </w:r>
          </w:p>
        </w:tc>
      </w:tr>
      <w:tr w:rsidR="005072DF" w:rsidRPr="00050D84" w14:paraId="3518405D" w14:textId="77777777" w:rsidTr="00D22060">
        <w:tc>
          <w:tcPr>
            <w:tcW w:w="5000" w:type="pct"/>
            <w:gridSpan w:val="6"/>
            <w:shd w:val="clear" w:color="auto" w:fill="auto"/>
            <w:vAlign w:val="center"/>
          </w:tcPr>
          <w:p w14:paraId="5C0B35B5" w14:textId="77777777" w:rsidR="005072DF" w:rsidRDefault="005072DF" w:rsidP="00D22060">
            <w:pPr>
              <w:pStyle w:val="TableText0"/>
              <w:keepNext w:val="0"/>
            </w:pPr>
            <w:r>
              <w:t>Other Costs</w:t>
            </w:r>
          </w:p>
        </w:tc>
      </w:tr>
      <w:tr w:rsidR="005072DF" w:rsidRPr="00050D84" w14:paraId="279AAD64"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7E6A00EE" w14:textId="7805BD28" w:rsidR="005072DF" w:rsidRDefault="005072DF" w:rsidP="00D22060">
            <w:pPr>
              <w:pStyle w:val="TableText0"/>
              <w:keepNext w:val="0"/>
            </w:pPr>
            <w:r>
              <w:rPr>
                <w:szCs w:val="20"/>
              </w:rPr>
              <w:t xml:space="preserve">Cost for </w:t>
            </w:r>
            <w:r w:rsidR="00631974">
              <w:rPr>
                <w:szCs w:val="20"/>
              </w:rPr>
              <w:t xml:space="preserve">redacted </w:t>
            </w:r>
            <w:r>
              <w:rPr>
                <w:szCs w:val="20"/>
              </w:rPr>
              <w:t>DAC kit</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3B29FCC" w14:textId="0F36AEA1" w:rsidR="005072DF" w:rsidRDefault="005072DF" w:rsidP="00D22060">
            <w:pPr>
              <w:pStyle w:val="TableText0"/>
              <w:keepNext w:val="0"/>
              <w:jc w:val="right"/>
            </w:pPr>
            <w:r>
              <w:t>$</w:t>
            </w:r>
            <w:r w:rsidR="007F5B73">
              <w:rPr>
                <w:b/>
                <w:bCs/>
              </w:rPr>
              <w:t>redacted</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6A94055"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615D3F3" w14:textId="3FD61D25" w:rsidR="005072DF" w:rsidRPr="00431992" w:rsidRDefault="005072DF" w:rsidP="00D22060">
            <w:pPr>
              <w:pStyle w:val="TableText0"/>
              <w:keepNext w:val="0"/>
              <w:jc w:val="right"/>
              <w:rPr>
                <w:highlight w:val="green"/>
              </w:rPr>
            </w:pPr>
            <w:r w:rsidRPr="00110AA1">
              <w:t>$</w:t>
            </w:r>
            <w:r w:rsidR="007F5B73">
              <w:rPr>
                <w:b/>
                <w:bCs/>
              </w:rPr>
              <w:t>redacted</w:t>
            </w:r>
          </w:p>
        </w:tc>
        <w:tc>
          <w:tcPr>
            <w:tcW w:w="713" w:type="pct"/>
            <w:tcBorders>
              <w:top w:val="single" w:sz="4" w:space="0" w:color="auto"/>
              <w:left w:val="single" w:sz="4" w:space="0" w:color="auto"/>
              <w:bottom w:val="single" w:sz="4" w:space="0" w:color="auto"/>
            </w:tcBorders>
            <w:shd w:val="clear" w:color="auto" w:fill="auto"/>
          </w:tcPr>
          <w:p w14:paraId="5E70C74D" w14:textId="1428F94C" w:rsidR="005072DF" w:rsidRDefault="007F5B73" w:rsidP="00D22060">
            <w:pPr>
              <w:pStyle w:val="TableText0"/>
              <w:keepNext w:val="0"/>
              <w:jc w:val="right"/>
            </w:pPr>
            <w:r>
              <w:rPr>
                <w:b/>
                <w:bCs/>
              </w:rPr>
              <w:t>redacted</w:t>
            </w:r>
            <w:r w:rsidR="005072DF" w:rsidRPr="00D70291">
              <w:t>%</w:t>
            </w:r>
            <w:r w:rsidR="005072DF">
              <w:t>*</w:t>
            </w:r>
          </w:p>
        </w:tc>
      </w:tr>
      <w:tr w:rsidR="005072DF" w:rsidRPr="00050D84" w14:paraId="1C5BE212"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73FA95B0" w14:textId="02F09ED2" w:rsidR="005072DF" w:rsidRDefault="005072DF" w:rsidP="00D22060">
            <w:pPr>
              <w:pStyle w:val="TableText0"/>
              <w:keepNext w:val="0"/>
            </w:pPr>
            <w:r>
              <w:rPr>
                <w:szCs w:val="20"/>
              </w:rPr>
              <w:t xml:space="preserve">Cost for </w:t>
            </w:r>
            <w:r w:rsidR="00631974">
              <w:rPr>
                <w:szCs w:val="20"/>
              </w:rPr>
              <w:t>redacted</w:t>
            </w:r>
            <w:r>
              <w:rPr>
                <w:szCs w:val="20"/>
              </w:rPr>
              <w:t xml:space="preserve"> DAC kits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F4D8243" w14:textId="64099955" w:rsidR="005072DF" w:rsidRDefault="005072DF" w:rsidP="00D22060">
            <w:pPr>
              <w:pStyle w:val="TableText0"/>
              <w:keepNext w:val="0"/>
              <w:jc w:val="right"/>
            </w:pPr>
            <w:r w:rsidRPr="00D965C2">
              <w:t>$</w:t>
            </w:r>
            <w:r w:rsidR="007F5B73">
              <w:rPr>
                <w:b/>
                <w:bCs/>
              </w:rPr>
              <w:t xml:space="preserve"> redacted</w:t>
            </w:r>
            <w:r w:rsidR="007F5B73">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B8B31F7"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6087A50" w14:textId="5F4C30D0" w:rsidR="005072DF" w:rsidRPr="00431992" w:rsidRDefault="005072DF" w:rsidP="00D22060">
            <w:pPr>
              <w:pStyle w:val="TableText0"/>
              <w:keepNext w:val="0"/>
              <w:jc w:val="right"/>
              <w:rPr>
                <w:highlight w:val="green"/>
              </w:rPr>
            </w:pPr>
            <w:r w:rsidRPr="00110AA1">
              <w:t>$</w:t>
            </w:r>
            <w:r w:rsidR="007F5B73">
              <w:rPr>
                <w:b/>
                <w:bCs/>
              </w:rPr>
              <w:t xml:space="preserve"> redacted</w:t>
            </w:r>
            <w:r w:rsidR="007F5B73">
              <w:t xml:space="preserve"> </w:t>
            </w:r>
          </w:p>
        </w:tc>
        <w:tc>
          <w:tcPr>
            <w:tcW w:w="713" w:type="pct"/>
            <w:tcBorders>
              <w:top w:val="single" w:sz="4" w:space="0" w:color="auto"/>
              <w:left w:val="single" w:sz="4" w:space="0" w:color="auto"/>
              <w:bottom w:val="single" w:sz="4" w:space="0" w:color="auto"/>
            </w:tcBorders>
            <w:shd w:val="clear" w:color="auto" w:fill="auto"/>
          </w:tcPr>
          <w:p w14:paraId="3E4947FF" w14:textId="08F991BA" w:rsidR="005072DF" w:rsidRDefault="007F5B73" w:rsidP="00D22060">
            <w:pPr>
              <w:pStyle w:val="TableText0"/>
              <w:keepNext w:val="0"/>
              <w:jc w:val="right"/>
            </w:pPr>
            <w:r>
              <w:rPr>
                <w:b/>
                <w:bCs/>
              </w:rPr>
              <w:t>redacted</w:t>
            </w:r>
            <w:r w:rsidRPr="00D70291">
              <w:t xml:space="preserve"> </w:t>
            </w:r>
            <w:r w:rsidR="005072DF" w:rsidRPr="00D70291">
              <w:t>%</w:t>
            </w:r>
          </w:p>
        </w:tc>
      </w:tr>
      <w:tr w:rsidR="005072DF" w:rsidRPr="00050D84" w14:paraId="20A2A4C1"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0BFC9D9D" w14:textId="69585134" w:rsidR="005072DF" w:rsidRDefault="005072DF" w:rsidP="00D22060">
            <w:pPr>
              <w:pStyle w:val="TableText0"/>
              <w:keepNext w:val="0"/>
            </w:pPr>
            <w:r>
              <w:rPr>
                <w:szCs w:val="20"/>
              </w:rPr>
              <w:t xml:space="preserve">Cost for </w:t>
            </w:r>
            <w:r w:rsidR="00631974">
              <w:rPr>
                <w:szCs w:val="20"/>
              </w:rPr>
              <w:t>redacted</w:t>
            </w:r>
            <w:r>
              <w:rPr>
                <w:szCs w:val="20"/>
              </w:rPr>
              <w:t xml:space="preserve"> DAC kits</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537580A" w14:textId="7C30206A" w:rsidR="005072DF" w:rsidRDefault="005072DF" w:rsidP="00D22060">
            <w:pPr>
              <w:pStyle w:val="TableText0"/>
              <w:keepNext w:val="0"/>
              <w:jc w:val="right"/>
            </w:pPr>
            <w:r w:rsidRPr="00D965C2">
              <w:t>$</w:t>
            </w:r>
            <w:r w:rsidR="007F5B73">
              <w:rPr>
                <w:b/>
                <w:bCs/>
              </w:rPr>
              <w:t xml:space="preserve"> redacted</w:t>
            </w:r>
            <w:r w:rsidR="007F5B73">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73966D3"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02A9BC6" w14:textId="5D586B42" w:rsidR="005072DF" w:rsidRPr="00431992" w:rsidRDefault="005072DF" w:rsidP="00D22060">
            <w:pPr>
              <w:pStyle w:val="TableText0"/>
              <w:keepNext w:val="0"/>
              <w:jc w:val="right"/>
              <w:rPr>
                <w:highlight w:val="green"/>
              </w:rPr>
            </w:pPr>
            <w:r w:rsidRPr="00110AA1">
              <w:t>$</w:t>
            </w:r>
            <w:r w:rsidR="007F5B73">
              <w:rPr>
                <w:b/>
                <w:bCs/>
              </w:rPr>
              <w:t xml:space="preserve"> redacted</w:t>
            </w:r>
            <w:r w:rsidR="007F5B73">
              <w:t xml:space="preserve"> </w:t>
            </w:r>
          </w:p>
        </w:tc>
        <w:tc>
          <w:tcPr>
            <w:tcW w:w="713" w:type="pct"/>
            <w:tcBorders>
              <w:top w:val="single" w:sz="4" w:space="0" w:color="auto"/>
              <w:left w:val="single" w:sz="4" w:space="0" w:color="auto"/>
              <w:bottom w:val="single" w:sz="4" w:space="0" w:color="auto"/>
            </w:tcBorders>
            <w:shd w:val="clear" w:color="auto" w:fill="auto"/>
          </w:tcPr>
          <w:p w14:paraId="1DA6BCB8" w14:textId="24179A6B" w:rsidR="005072DF" w:rsidRDefault="007F5B73" w:rsidP="00D22060">
            <w:pPr>
              <w:pStyle w:val="TableText0"/>
              <w:keepNext w:val="0"/>
              <w:jc w:val="right"/>
            </w:pPr>
            <w:r>
              <w:rPr>
                <w:b/>
                <w:bCs/>
              </w:rPr>
              <w:t>redacted</w:t>
            </w:r>
            <w:r w:rsidRPr="00D70291">
              <w:t xml:space="preserve"> </w:t>
            </w:r>
            <w:r w:rsidR="005072DF" w:rsidRPr="00D70291">
              <w:t>%</w:t>
            </w:r>
            <w:r w:rsidR="005072DF">
              <w:t>*</w:t>
            </w:r>
          </w:p>
        </w:tc>
      </w:tr>
      <w:tr w:rsidR="005072DF" w:rsidRPr="00050D84" w14:paraId="15209841" w14:textId="77777777" w:rsidTr="00D22060">
        <w:tc>
          <w:tcPr>
            <w:tcW w:w="2045" w:type="pct"/>
            <w:gridSpan w:val="2"/>
            <w:tcBorders>
              <w:top w:val="single" w:sz="4" w:space="0" w:color="auto"/>
              <w:bottom w:val="single" w:sz="4" w:space="0" w:color="auto"/>
              <w:right w:val="single" w:sz="4" w:space="0" w:color="auto"/>
            </w:tcBorders>
            <w:shd w:val="clear" w:color="auto" w:fill="auto"/>
          </w:tcPr>
          <w:p w14:paraId="1A9745A6" w14:textId="77777777" w:rsidR="005072DF" w:rsidRDefault="005072DF" w:rsidP="00D22060">
            <w:pPr>
              <w:pStyle w:val="TableText0"/>
              <w:keepNext w:val="0"/>
            </w:pPr>
            <w:r>
              <w:rPr>
                <w:szCs w:val="20"/>
              </w:rPr>
              <w:t>DAC price Franceschini 2020 lower range ($382.03)</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857BA5C" w14:textId="388BD3BD" w:rsidR="005072DF" w:rsidRDefault="005072DF" w:rsidP="00D22060">
            <w:pPr>
              <w:pStyle w:val="TableText0"/>
              <w:keepNext w:val="0"/>
              <w:jc w:val="right"/>
            </w:pPr>
            <w:r w:rsidRPr="00D965C2">
              <w:t>$</w:t>
            </w:r>
            <w:r w:rsidR="007F5B73">
              <w:rPr>
                <w:b/>
                <w:bCs/>
              </w:rPr>
              <w:t xml:space="preserve"> redacted</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8953916"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2FBBB66B" w14:textId="6746BD78" w:rsidR="005072DF" w:rsidRPr="00431992" w:rsidRDefault="005072DF" w:rsidP="00D22060">
            <w:pPr>
              <w:pStyle w:val="TableText0"/>
              <w:keepNext w:val="0"/>
              <w:jc w:val="right"/>
              <w:rPr>
                <w:highlight w:val="green"/>
              </w:rPr>
            </w:pPr>
            <w:r w:rsidRPr="00110AA1">
              <w:t>$</w:t>
            </w:r>
            <w:r w:rsidR="007F5B73">
              <w:rPr>
                <w:b/>
                <w:bCs/>
              </w:rPr>
              <w:t xml:space="preserve"> redacted</w:t>
            </w:r>
          </w:p>
        </w:tc>
        <w:tc>
          <w:tcPr>
            <w:tcW w:w="713" w:type="pct"/>
            <w:tcBorders>
              <w:top w:val="single" w:sz="4" w:space="0" w:color="auto"/>
              <w:left w:val="single" w:sz="4" w:space="0" w:color="auto"/>
              <w:bottom w:val="single" w:sz="4" w:space="0" w:color="auto"/>
            </w:tcBorders>
            <w:shd w:val="clear" w:color="auto" w:fill="auto"/>
          </w:tcPr>
          <w:p w14:paraId="4F51EDE7" w14:textId="1FDF8D32" w:rsidR="005072DF" w:rsidRDefault="007F5B73" w:rsidP="00D22060">
            <w:pPr>
              <w:pStyle w:val="TableText0"/>
              <w:keepNext w:val="0"/>
              <w:jc w:val="right"/>
            </w:pPr>
            <w:r>
              <w:rPr>
                <w:b/>
                <w:bCs/>
              </w:rPr>
              <w:t>redacted</w:t>
            </w:r>
            <w:r w:rsidRPr="00D70291">
              <w:t xml:space="preserve"> </w:t>
            </w:r>
            <w:r w:rsidR="005072DF" w:rsidRPr="00D70291">
              <w:t>%</w:t>
            </w:r>
            <w:r w:rsidR="005072DF">
              <w:t>*</w:t>
            </w:r>
          </w:p>
        </w:tc>
      </w:tr>
      <w:tr w:rsidR="005072DF" w:rsidRPr="00050D84" w14:paraId="5584CC42" w14:textId="77777777" w:rsidTr="00D22060">
        <w:tc>
          <w:tcPr>
            <w:tcW w:w="5000" w:type="pct"/>
            <w:gridSpan w:val="6"/>
            <w:shd w:val="clear" w:color="auto" w:fill="auto"/>
            <w:vAlign w:val="center"/>
          </w:tcPr>
          <w:p w14:paraId="1E7DA738" w14:textId="77777777" w:rsidR="005072DF" w:rsidRDefault="005072DF" w:rsidP="00D22060">
            <w:pPr>
              <w:pStyle w:val="TableText0"/>
              <w:keepNext w:val="0"/>
            </w:pPr>
            <w:r>
              <w:t>Utilities</w:t>
            </w:r>
          </w:p>
        </w:tc>
      </w:tr>
      <w:tr w:rsidR="005072DF" w:rsidRPr="00050D84" w14:paraId="52AA12F1"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629CF3AA" w14:textId="77777777" w:rsidR="005072DF" w:rsidRPr="00250965" w:rsidRDefault="005072DF" w:rsidP="00D22060">
            <w:pPr>
              <w:pStyle w:val="TableText0"/>
              <w:keepNext w:val="0"/>
              <w:rPr>
                <w:szCs w:val="20"/>
              </w:rPr>
            </w:pPr>
            <w:r w:rsidRPr="00827D94">
              <w:rPr>
                <w:szCs w:val="20"/>
              </w:rPr>
              <w:t>No periprosthetic deep SSI</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A3CABFB" w14:textId="0B9BA25D" w:rsidR="005072DF" w:rsidRDefault="005072DF" w:rsidP="00D22060">
            <w:pPr>
              <w:pStyle w:val="TableText0"/>
              <w:keepNext w:val="0"/>
            </w:pPr>
            <w:r>
              <w:t>Higher 95% CI (0.845)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49E9340"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283DAA4" w14:textId="77777777" w:rsidR="005072DF" w:rsidRDefault="005072DF" w:rsidP="00D22060">
            <w:pPr>
              <w:pStyle w:val="TableText0"/>
              <w:keepNext w:val="0"/>
              <w:jc w:val="right"/>
            </w:pPr>
            <w:r>
              <w:t>0.029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76777A1" w14:textId="77777777" w:rsidR="005072DF" w:rsidRPr="00AF0A65" w:rsidRDefault="005072DF" w:rsidP="00D22060">
            <w:pPr>
              <w:pStyle w:val="TableText0"/>
              <w:keepNext w:val="0"/>
              <w:jc w:val="right"/>
            </w:pPr>
            <w:r w:rsidRPr="00AF0A65">
              <w:t>$119,037</w:t>
            </w:r>
          </w:p>
        </w:tc>
        <w:tc>
          <w:tcPr>
            <w:tcW w:w="713" w:type="pct"/>
            <w:tcBorders>
              <w:top w:val="single" w:sz="4" w:space="0" w:color="auto"/>
              <w:left w:val="single" w:sz="4" w:space="0" w:color="auto"/>
              <w:bottom w:val="single" w:sz="4" w:space="0" w:color="auto"/>
            </w:tcBorders>
            <w:shd w:val="clear" w:color="auto" w:fill="auto"/>
          </w:tcPr>
          <w:p w14:paraId="07654238" w14:textId="77777777" w:rsidR="005072DF" w:rsidRDefault="005072DF" w:rsidP="00D22060">
            <w:pPr>
              <w:pStyle w:val="TableText0"/>
              <w:keepNext w:val="0"/>
              <w:jc w:val="right"/>
            </w:pPr>
            <w:r w:rsidRPr="00AB050D">
              <w:t>-15.39%</w:t>
            </w:r>
          </w:p>
        </w:tc>
      </w:tr>
      <w:tr w:rsidR="005072DF" w:rsidRPr="00050D84" w14:paraId="0E4E937B" w14:textId="77777777" w:rsidTr="00D22060">
        <w:tc>
          <w:tcPr>
            <w:tcW w:w="1023" w:type="pct"/>
            <w:vMerge/>
            <w:tcBorders>
              <w:top w:val="single" w:sz="4" w:space="0" w:color="auto"/>
              <w:bottom w:val="single" w:sz="4" w:space="0" w:color="auto"/>
              <w:right w:val="single" w:sz="4" w:space="0" w:color="auto"/>
            </w:tcBorders>
            <w:shd w:val="clear" w:color="auto" w:fill="auto"/>
          </w:tcPr>
          <w:p w14:paraId="61A59505" w14:textId="77777777" w:rsidR="005072DF" w:rsidRPr="00827D94"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852C91E" w14:textId="52FF3BAA" w:rsidR="005072DF" w:rsidRDefault="005072DF" w:rsidP="00D22060">
            <w:pPr>
              <w:pStyle w:val="TableText0"/>
              <w:keepNext w:val="0"/>
            </w:pPr>
            <w:r>
              <w:t>Lower 95% CI (0.836)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AFA57BF"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104F7AE" w14:textId="77777777" w:rsidR="005072DF" w:rsidRDefault="005072DF" w:rsidP="00D22060">
            <w:pPr>
              <w:pStyle w:val="TableText0"/>
              <w:keepNext w:val="0"/>
              <w:jc w:val="right"/>
            </w:pPr>
            <w:r>
              <w:t>0.024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69E9803" w14:textId="77777777" w:rsidR="005072DF" w:rsidRPr="00AF0A65" w:rsidRDefault="005072DF" w:rsidP="00D22060">
            <w:pPr>
              <w:pStyle w:val="TableText0"/>
              <w:keepNext w:val="0"/>
              <w:jc w:val="right"/>
            </w:pPr>
            <w:r w:rsidRPr="00AF0A65">
              <w:t>$143,288</w:t>
            </w:r>
          </w:p>
        </w:tc>
        <w:tc>
          <w:tcPr>
            <w:tcW w:w="713" w:type="pct"/>
            <w:tcBorders>
              <w:top w:val="single" w:sz="4" w:space="0" w:color="auto"/>
              <w:left w:val="single" w:sz="4" w:space="0" w:color="auto"/>
              <w:bottom w:val="single" w:sz="4" w:space="0" w:color="auto"/>
            </w:tcBorders>
            <w:shd w:val="clear" w:color="auto" w:fill="auto"/>
          </w:tcPr>
          <w:p w14:paraId="3D3AA812" w14:textId="77777777" w:rsidR="005072DF" w:rsidRDefault="005072DF" w:rsidP="00D22060">
            <w:pPr>
              <w:pStyle w:val="TableText0"/>
              <w:keepNext w:val="0"/>
              <w:jc w:val="right"/>
            </w:pPr>
            <w:r w:rsidRPr="00AB050D">
              <w:t>1.85%</w:t>
            </w:r>
          </w:p>
        </w:tc>
      </w:tr>
      <w:tr w:rsidR="005072DF" w:rsidRPr="00050D84" w14:paraId="4007C0D4"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777CA075" w14:textId="77777777" w:rsidR="005072DF" w:rsidRPr="00250965" w:rsidRDefault="005072DF" w:rsidP="00D22060">
            <w:pPr>
              <w:pStyle w:val="TableText0"/>
              <w:keepNext w:val="0"/>
              <w:rPr>
                <w:szCs w:val="20"/>
              </w:rPr>
            </w:pPr>
            <w:r w:rsidRPr="00827D94">
              <w:rPr>
                <w:szCs w:val="20"/>
              </w:rPr>
              <w:t>DAIR</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324B35A" w14:textId="01FD1D64" w:rsidR="005072DF" w:rsidRDefault="005072DF" w:rsidP="00D22060">
            <w:pPr>
              <w:pStyle w:val="TableText0"/>
              <w:keepNext w:val="0"/>
            </w:pPr>
            <w:r>
              <w:t>Higher 95% CI (0.741)</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2012723"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1474055" w14:textId="77777777" w:rsidR="005072DF" w:rsidRDefault="005072DF" w:rsidP="00D22060">
            <w:pPr>
              <w:pStyle w:val="TableText0"/>
              <w:keepNext w:val="0"/>
              <w:jc w:val="right"/>
            </w:pPr>
            <w:r>
              <w:t>0.023</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57BECD2" w14:textId="77777777" w:rsidR="005072DF" w:rsidRPr="00431992" w:rsidRDefault="005072DF" w:rsidP="00D22060">
            <w:pPr>
              <w:pStyle w:val="TableText0"/>
              <w:keepNext w:val="0"/>
              <w:jc w:val="right"/>
              <w:rPr>
                <w:highlight w:val="green"/>
              </w:rPr>
            </w:pPr>
            <w:r w:rsidRPr="006744E4">
              <w:t>$</w:t>
            </w:r>
            <w:r>
              <w:t>148,156</w:t>
            </w:r>
          </w:p>
        </w:tc>
        <w:tc>
          <w:tcPr>
            <w:tcW w:w="713" w:type="pct"/>
            <w:tcBorders>
              <w:top w:val="single" w:sz="4" w:space="0" w:color="auto"/>
              <w:left w:val="single" w:sz="4" w:space="0" w:color="auto"/>
              <w:bottom w:val="single" w:sz="4" w:space="0" w:color="auto"/>
            </w:tcBorders>
            <w:shd w:val="clear" w:color="auto" w:fill="auto"/>
          </w:tcPr>
          <w:p w14:paraId="0E391C85" w14:textId="77777777" w:rsidR="005072DF" w:rsidRDefault="005072DF" w:rsidP="00D22060">
            <w:pPr>
              <w:pStyle w:val="TableText0"/>
              <w:keepNext w:val="0"/>
              <w:jc w:val="right"/>
            </w:pPr>
            <w:r w:rsidRPr="00AB050D">
              <w:t>5.31%</w:t>
            </w:r>
          </w:p>
        </w:tc>
      </w:tr>
      <w:tr w:rsidR="005072DF" w:rsidRPr="00050D84" w14:paraId="31FDD85D" w14:textId="77777777" w:rsidTr="00D22060">
        <w:tc>
          <w:tcPr>
            <w:tcW w:w="1023" w:type="pct"/>
            <w:vMerge/>
            <w:tcBorders>
              <w:top w:val="single" w:sz="4" w:space="0" w:color="auto"/>
              <w:bottom w:val="single" w:sz="4" w:space="0" w:color="auto"/>
              <w:right w:val="single" w:sz="4" w:space="0" w:color="auto"/>
            </w:tcBorders>
            <w:shd w:val="clear" w:color="auto" w:fill="auto"/>
          </w:tcPr>
          <w:p w14:paraId="047D6CCC" w14:textId="77777777" w:rsidR="005072DF" w:rsidRPr="00827D94"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AC3712D" w14:textId="665D271E" w:rsidR="005072DF" w:rsidRDefault="005072DF" w:rsidP="00D22060">
            <w:pPr>
              <w:pStyle w:val="TableText0"/>
              <w:keepNext w:val="0"/>
            </w:pPr>
            <w:r>
              <w:t>Lower 95% CI (0.259)</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6D9A57D"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36AE7398" w14:textId="77777777" w:rsidR="005072DF" w:rsidRDefault="005072DF" w:rsidP="00D22060">
            <w:pPr>
              <w:pStyle w:val="TableText0"/>
              <w:keepNext w:val="0"/>
              <w:jc w:val="right"/>
            </w:pPr>
            <w:r>
              <w:t>0.026</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D95571F" w14:textId="77777777" w:rsidR="005072DF" w:rsidRPr="00431992" w:rsidRDefault="005072DF" w:rsidP="00D22060">
            <w:pPr>
              <w:pStyle w:val="TableText0"/>
              <w:keepNext w:val="0"/>
              <w:jc w:val="right"/>
              <w:rPr>
                <w:highlight w:val="green"/>
              </w:rPr>
            </w:pPr>
            <w:r w:rsidRPr="006744E4">
              <w:t>$</w:t>
            </w:r>
            <w:r>
              <w:t>133,927</w:t>
            </w:r>
          </w:p>
        </w:tc>
        <w:tc>
          <w:tcPr>
            <w:tcW w:w="713" w:type="pct"/>
            <w:tcBorders>
              <w:top w:val="single" w:sz="4" w:space="0" w:color="auto"/>
              <w:left w:val="single" w:sz="4" w:space="0" w:color="auto"/>
              <w:bottom w:val="single" w:sz="4" w:space="0" w:color="auto"/>
            </w:tcBorders>
            <w:shd w:val="clear" w:color="auto" w:fill="auto"/>
          </w:tcPr>
          <w:p w14:paraId="453C3659" w14:textId="77777777" w:rsidR="005072DF" w:rsidRDefault="005072DF" w:rsidP="00D22060">
            <w:pPr>
              <w:pStyle w:val="TableText0"/>
              <w:keepNext w:val="0"/>
              <w:jc w:val="right"/>
            </w:pPr>
            <w:r w:rsidRPr="00AB050D">
              <w:t>-4.80%</w:t>
            </w:r>
          </w:p>
        </w:tc>
      </w:tr>
      <w:tr w:rsidR="005072DF" w:rsidRPr="00050D84" w14:paraId="4F565FED"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72622E11" w14:textId="77777777" w:rsidR="005072DF" w:rsidRPr="00250965" w:rsidRDefault="005072DF" w:rsidP="00D22060">
            <w:pPr>
              <w:pStyle w:val="TableText0"/>
              <w:keepNext w:val="0"/>
              <w:rPr>
                <w:szCs w:val="20"/>
              </w:rPr>
            </w:pPr>
            <w:r w:rsidRPr="00827D94">
              <w:rPr>
                <w:szCs w:val="20"/>
              </w:rPr>
              <w:t>Post treatment</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B8E2A8D" w14:textId="61E34075" w:rsidR="005072DF" w:rsidRDefault="005072DF" w:rsidP="00D22060">
            <w:pPr>
              <w:pStyle w:val="TableText0"/>
              <w:keepNext w:val="0"/>
            </w:pPr>
            <w:r>
              <w:t>Higher 95% CI (0.923)</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58033E1C"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F729EAD" w14:textId="77777777" w:rsidR="005072DF" w:rsidRDefault="005072DF" w:rsidP="00D22060">
            <w:pPr>
              <w:pStyle w:val="TableText0"/>
              <w:keepNext w:val="0"/>
              <w:jc w:val="right"/>
            </w:pPr>
            <w:r>
              <w:t>0.039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B3E18E8" w14:textId="77777777" w:rsidR="005072DF" w:rsidRPr="00431992" w:rsidRDefault="005072DF" w:rsidP="00D22060">
            <w:pPr>
              <w:pStyle w:val="TableText0"/>
              <w:keepNext w:val="0"/>
              <w:jc w:val="right"/>
              <w:rPr>
                <w:highlight w:val="green"/>
              </w:rPr>
            </w:pPr>
            <w:r w:rsidRPr="005E284B">
              <w:t>$</w:t>
            </w:r>
            <w:r>
              <w:t>366,539</w:t>
            </w:r>
          </w:p>
        </w:tc>
        <w:tc>
          <w:tcPr>
            <w:tcW w:w="713" w:type="pct"/>
            <w:tcBorders>
              <w:top w:val="single" w:sz="4" w:space="0" w:color="auto"/>
              <w:left w:val="single" w:sz="4" w:space="0" w:color="auto"/>
              <w:bottom w:val="single" w:sz="4" w:space="0" w:color="auto"/>
            </w:tcBorders>
            <w:shd w:val="clear" w:color="auto" w:fill="auto"/>
          </w:tcPr>
          <w:p w14:paraId="584E4FC0" w14:textId="77777777" w:rsidR="005072DF" w:rsidRDefault="005072DF" w:rsidP="00D22060">
            <w:pPr>
              <w:pStyle w:val="TableText0"/>
              <w:keepNext w:val="0"/>
              <w:jc w:val="right"/>
            </w:pPr>
            <w:r w:rsidRPr="00AB050D">
              <w:t>160.54%</w:t>
            </w:r>
            <w:r>
              <w:t>*</w:t>
            </w:r>
          </w:p>
        </w:tc>
      </w:tr>
      <w:tr w:rsidR="005072DF" w:rsidRPr="00050D84" w14:paraId="2AE7E01A" w14:textId="77777777" w:rsidTr="00D22060">
        <w:tc>
          <w:tcPr>
            <w:tcW w:w="1023" w:type="pct"/>
            <w:vMerge/>
            <w:tcBorders>
              <w:top w:val="single" w:sz="4" w:space="0" w:color="auto"/>
              <w:bottom w:val="single" w:sz="4" w:space="0" w:color="auto"/>
              <w:right w:val="single" w:sz="4" w:space="0" w:color="auto"/>
            </w:tcBorders>
            <w:shd w:val="clear" w:color="auto" w:fill="auto"/>
          </w:tcPr>
          <w:p w14:paraId="3FAAE582" w14:textId="77777777" w:rsidR="005072DF" w:rsidRPr="00827D94"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A3380F9" w14:textId="662CA7D0" w:rsidR="005072DF" w:rsidRDefault="005072DF" w:rsidP="00D22060">
            <w:pPr>
              <w:pStyle w:val="TableText0"/>
              <w:keepNext w:val="0"/>
            </w:pPr>
            <w:r>
              <w:t>Lower 95% CI (0.517)</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4E794A4"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33E3CA9" w14:textId="77777777" w:rsidR="005072DF" w:rsidRDefault="005072DF" w:rsidP="00D22060">
            <w:pPr>
              <w:pStyle w:val="TableText0"/>
              <w:keepNext w:val="0"/>
              <w:jc w:val="right"/>
            </w:pPr>
            <w:r>
              <w:t>0.039</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5A9D426" w14:textId="77777777" w:rsidR="005072DF" w:rsidRPr="00431992" w:rsidRDefault="005072DF" w:rsidP="00D22060">
            <w:pPr>
              <w:pStyle w:val="TableText0"/>
              <w:keepNext w:val="0"/>
              <w:jc w:val="right"/>
              <w:rPr>
                <w:highlight w:val="green"/>
              </w:rPr>
            </w:pPr>
            <w:r w:rsidRPr="006744E4">
              <w:t>$</w:t>
            </w:r>
            <w:r>
              <w:t>87,557</w:t>
            </w:r>
          </w:p>
        </w:tc>
        <w:tc>
          <w:tcPr>
            <w:tcW w:w="713" w:type="pct"/>
            <w:tcBorders>
              <w:top w:val="single" w:sz="4" w:space="0" w:color="auto"/>
              <w:left w:val="single" w:sz="4" w:space="0" w:color="auto"/>
              <w:bottom w:val="single" w:sz="4" w:space="0" w:color="auto"/>
            </w:tcBorders>
            <w:shd w:val="clear" w:color="auto" w:fill="auto"/>
          </w:tcPr>
          <w:p w14:paraId="5F3C647C" w14:textId="77777777" w:rsidR="005072DF" w:rsidRDefault="005072DF" w:rsidP="00D22060">
            <w:pPr>
              <w:pStyle w:val="TableText0"/>
              <w:keepNext w:val="0"/>
              <w:jc w:val="right"/>
            </w:pPr>
            <w:r w:rsidRPr="00AB050D">
              <w:t>-37.76%</w:t>
            </w:r>
          </w:p>
        </w:tc>
      </w:tr>
      <w:tr w:rsidR="005072DF" w:rsidRPr="00050D84" w14:paraId="22EEE95E"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1C8D01B1" w14:textId="77777777" w:rsidR="005072DF" w:rsidRPr="00250965" w:rsidRDefault="005072DF" w:rsidP="00D22060">
            <w:pPr>
              <w:pStyle w:val="TableText0"/>
              <w:keepNext w:val="0"/>
              <w:rPr>
                <w:szCs w:val="20"/>
              </w:rPr>
            </w:pPr>
            <w:r w:rsidRPr="00827D94">
              <w:rPr>
                <w:szCs w:val="20"/>
              </w:rPr>
              <w:t>Revision for infection</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8869846" w14:textId="5A2EB233" w:rsidR="005072DF" w:rsidRDefault="005072DF" w:rsidP="00D22060">
            <w:pPr>
              <w:pStyle w:val="TableText0"/>
              <w:keepNext w:val="0"/>
            </w:pPr>
            <w:r>
              <w:t>Higher 95% CI (0.741)</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E8C9F62"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3CB1FEF" w14:textId="77777777" w:rsidR="005072DF" w:rsidRDefault="005072DF" w:rsidP="00D22060">
            <w:pPr>
              <w:pStyle w:val="TableText0"/>
              <w:keepNext w:val="0"/>
              <w:jc w:val="right"/>
            </w:pPr>
            <w:r>
              <w:t>0.022</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6294E98A" w14:textId="77777777" w:rsidR="005072DF" w:rsidRPr="00431992" w:rsidRDefault="005072DF" w:rsidP="00D22060">
            <w:pPr>
              <w:pStyle w:val="TableText0"/>
              <w:keepNext w:val="0"/>
              <w:jc w:val="right"/>
              <w:rPr>
                <w:highlight w:val="green"/>
              </w:rPr>
            </w:pPr>
            <w:r w:rsidRPr="006744E4">
              <w:t>$</w:t>
            </w:r>
            <w:r>
              <w:t>156,066</w:t>
            </w:r>
          </w:p>
        </w:tc>
        <w:tc>
          <w:tcPr>
            <w:tcW w:w="713" w:type="pct"/>
            <w:tcBorders>
              <w:top w:val="single" w:sz="4" w:space="0" w:color="auto"/>
              <w:left w:val="single" w:sz="4" w:space="0" w:color="auto"/>
              <w:bottom w:val="single" w:sz="4" w:space="0" w:color="auto"/>
            </w:tcBorders>
            <w:shd w:val="clear" w:color="auto" w:fill="auto"/>
          </w:tcPr>
          <w:p w14:paraId="05D04B8C" w14:textId="77777777" w:rsidR="005072DF" w:rsidRDefault="005072DF" w:rsidP="00D22060">
            <w:pPr>
              <w:pStyle w:val="TableText0"/>
              <w:keepNext w:val="0"/>
              <w:jc w:val="right"/>
            </w:pPr>
            <w:r w:rsidRPr="00AB050D">
              <w:t>10.93%</w:t>
            </w:r>
          </w:p>
        </w:tc>
      </w:tr>
      <w:tr w:rsidR="005072DF" w:rsidRPr="00050D84" w14:paraId="59886289" w14:textId="77777777" w:rsidTr="00D22060">
        <w:tc>
          <w:tcPr>
            <w:tcW w:w="1023" w:type="pct"/>
            <w:vMerge/>
            <w:tcBorders>
              <w:top w:val="single" w:sz="4" w:space="0" w:color="auto"/>
              <w:bottom w:val="single" w:sz="4" w:space="0" w:color="auto"/>
              <w:right w:val="single" w:sz="4" w:space="0" w:color="auto"/>
            </w:tcBorders>
            <w:shd w:val="clear" w:color="auto" w:fill="auto"/>
          </w:tcPr>
          <w:p w14:paraId="427B74C5" w14:textId="77777777" w:rsidR="005072DF" w:rsidRPr="00827D94"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53B7732" w14:textId="4C772DFC" w:rsidR="005072DF" w:rsidRDefault="005072DF" w:rsidP="00D22060">
            <w:pPr>
              <w:pStyle w:val="TableText0"/>
              <w:keepNext w:val="0"/>
            </w:pPr>
            <w:r>
              <w:t>Lower 95% CI (0.259)</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5587389"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D55155A" w14:textId="77777777" w:rsidR="005072DF" w:rsidRDefault="005072DF" w:rsidP="00D22060">
            <w:pPr>
              <w:pStyle w:val="TableText0"/>
              <w:keepNext w:val="0"/>
              <w:jc w:val="right"/>
            </w:pPr>
            <w:r>
              <w:t>0.027</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420FB94" w14:textId="77777777" w:rsidR="005072DF" w:rsidRPr="00431992" w:rsidRDefault="005072DF" w:rsidP="00D22060">
            <w:pPr>
              <w:pStyle w:val="TableText0"/>
              <w:keepNext w:val="0"/>
              <w:jc w:val="right"/>
              <w:rPr>
                <w:highlight w:val="green"/>
              </w:rPr>
            </w:pPr>
            <w:r w:rsidRPr="006744E4">
              <w:t>$</w:t>
            </w:r>
            <w:r>
              <w:t>130,360</w:t>
            </w:r>
          </w:p>
        </w:tc>
        <w:tc>
          <w:tcPr>
            <w:tcW w:w="713" w:type="pct"/>
            <w:tcBorders>
              <w:top w:val="single" w:sz="4" w:space="0" w:color="auto"/>
              <w:left w:val="single" w:sz="4" w:space="0" w:color="auto"/>
              <w:bottom w:val="single" w:sz="4" w:space="0" w:color="auto"/>
            </w:tcBorders>
            <w:shd w:val="clear" w:color="auto" w:fill="auto"/>
          </w:tcPr>
          <w:p w14:paraId="10604D76" w14:textId="77777777" w:rsidR="005072DF" w:rsidRDefault="005072DF" w:rsidP="00D22060">
            <w:pPr>
              <w:pStyle w:val="TableText0"/>
              <w:keepNext w:val="0"/>
              <w:jc w:val="right"/>
            </w:pPr>
            <w:r w:rsidRPr="00AB050D">
              <w:t>-7.34%</w:t>
            </w:r>
          </w:p>
        </w:tc>
      </w:tr>
      <w:tr w:rsidR="005072DF" w:rsidRPr="00050D84" w14:paraId="3030AC52" w14:textId="77777777" w:rsidTr="00D22060">
        <w:tc>
          <w:tcPr>
            <w:tcW w:w="1023" w:type="pct"/>
            <w:vMerge w:val="restart"/>
            <w:tcBorders>
              <w:top w:val="single" w:sz="4" w:space="0" w:color="auto"/>
              <w:bottom w:val="single" w:sz="4" w:space="0" w:color="auto"/>
              <w:right w:val="single" w:sz="4" w:space="0" w:color="auto"/>
            </w:tcBorders>
            <w:shd w:val="clear" w:color="auto" w:fill="auto"/>
          </w:tcPr>
          <w:p w14:paraId="60390439" w14:textId="77777777" w:rsidR="005072DF" w:rsidRPr="00250965" w:rsidRDefault="005072DF" w:rsidP="00D22060">
            <w:pPr>
              <w:pStyle w:val="TableText0"/>
              <w:keepNext w:val="0"/>
              <w:rPr>
                <w:szCs w:val="20"/>
              </w:rPr>
            </w:pPr>
            <w:r w:rsidRPr="00827D94">
              <w:rPr>
                <w:szCs w:val="20"/>
              </w:rPr>
              <w:t>Permanent implant removal</w:t>
            </w: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663F27A" w14:textId="132C0620" w:rsidR="005072DF" w:rsidRDefault="005072DF" w:rsidP="00D22060">
            <w:pPr>
              <w:pStyle w:val="TableText0"/>
              <w:keepNext w:val="0"/>
            </w:pPr>
            <w:r>
              <w:t>Higher 95% CI (0.677)</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359D7C9"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B80CF7" w14:textId="77777777" w:rsidR="005072DF" w:rsidRDefault="005072DF" w:rsidP="00D22060">
            <w:pPr>
              <w:pStyle w:val="TableText0"/>
              <w:keepNext w:val="0"/>
              <w:jc w:val="right"/>
            </w:pPr>
            <w:r>
              <w:t>0.024</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77D63C7D" w14:textId="77777777" w:rsidR="005072DF" w:rsidRPr="00431992" w:rsidRDefault="005072DF" w:rsidP="00D22060">
            <w:pPr>
              <w:pStyle w:val="TableText0"/>
              <w:keepNext w:val="0"/>
              <w:jc w:val="right"/>
              <w:rPr>
                <w:highlight w:val="green"/>
              </w:rPr>
            </w:pPr>
            <w:r w:rsidRPr="006744E4">
              <w:t>$</w:t>
            </w:r>
            <w:r>
              <w:t>143,938</w:t>
            </w:r>
          </w:p>
        </w:tc>
        <w:tc>
          <w:tcPr>
            <w:tcW w:w="713" w:type="pct"/>
            <w:tcBorders>
              <w:top w:val="single" w:sz="4" w:space="0" w:color="auto"/>
              <w:left w:val="single" w:sz="4" w:space="0" w:color="auto"/>
              <w:bottom w:val="single" w:sz="4" w:space="0" w:color="auto"/>
            </w:tcBorders>
            <w:shd w:val="clear" w:color="auto" w:fill="auto"/>
          </w:tcPr>
          <w:p w14:paraId="70DB82AA" w14:textId="77777777" w:rsidR="005072DF" w:rsidRDefault="005072DF" w:rsidP="00D22060">
            <w:pPr>
              <w:pStyle w:val="TableText0"/>
              <w:keepNext w:val="0"/>
              <w:jc w:val="right"/>
            </w:pPr>
            <w:r w:rsidRPr="00AB050D">
              <w:t>2.31%</w:t>
            </w:r>
          </w:p>
        </w:tc>
      </w:tr>
      <w:tr w:rsidR="005072DF" w:rsidRPr="00050D84" w14:paraId="49509474" w14:textId="77777777" w:rsidTr="00D22060">
        <w:tc>
          <w:tcPr>
            <w:tcW w:w="1023" w:type="pct"/>
            <w:vMerge/>
            <w:tcBorders>
              <w:top w:val="single" w:sz="4" w:space="0" w:color="auto"/>
              <w:bottom w:val="single" w:sz="4" w:space="0" w:color="auto"/>
              <w:right w:val="single" w:sz="4" w:space="0" w:color="auto"/>
            </w:tcBorders>
            <w:shd w:val="clear" w:color="auto" w:fill="auto"/>
          </w:tcPr>
          <w:p w14:paraId="564F834E" w14:textId="77777777" w:rsidR="005072DF" w:rsidRPr="00827D94" w:rsidRDefault="005072DF" w:rsidP="00D22060">
            <w:pPr>
              <w:pStyle w:val="TableText0"/>
              <w:keepNext w:val="0"/>
              <w:rPr>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36D260C" w14:textId="34648D71" w:rsidR="005072DF" w:rsidRDefault="005072DF" w:rsidP="00D22060">
            <w:pPr>
              <w:pStyle w:val="TableText0"/>
              <w:keepNext w:val="0"/>
            </w:pPr>
            <w:r>
              <w:t>Lower 95% CI (0.587)</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4D59649D" w14:textId="77777777" w:rsidR="005072DF" w:rsidRDefault="005072DF" w:rsidP="00D22060">
            <w:pPr>
              <w:pStyle w:val="TableText0"/>
              <w:keepNext w:val="0"/>
              <w:jc w:val="right"/>
            </w:pPr>
            <w:r>
              <w:t>$3,455</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975B519"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33B166A9" w14:textId="77777777" w:rsidR="005072DF" w:rsidRPr="00431992" w:rsidRDefault="005072DF" w:rsidP="00D22060">
            <w:pPr>
              <w:pStyle w:val="TableText0"/>
              <w:keepNext w:val="0"/>
              <w:jc w:val="right"/>
              <w:rPr>
                <w:highlight w:val="green"/>
              </w:rPr>
            </w:pPr>
            <w:r w:rsidRPr="006744E4">
              <w:t>$</w:t>
            </w:r>
            <w:r>
              <w:t>137,571</w:t>
            </w:r>
          </w:p>
        </w:tc>
        <w:tc>
          <w:tcPr>
            <w:tcW w:w="713" w:type="pct"/>
            <w:tcBorders>
              <w:top w:val="single" w:sz="4" w:space="0" w:color="auto"/>
              <w:left w:val="single" w:sz="4" w:space="0" w:color="auto"/>
              <w:bottom w:val="single" w:sz="4" w:space="0" w:color="auto"/>
            </w:tcBorders>
            <w:shd w:val="clear" w:color="auto" w:fill="auto"/>
          </w:tcPr>
          <w:p w14:paraId="37BC2E7F" w14:textId="77777777" w:rsidR="005072DF" w:rsidRDefault="005072DF" w:rsidP="00D22060">
            <w:pPr>
              <w:pStyle w:val="TableText0"/>
              <w:keepNext w:val="0"/>
              <w:jc w:val="right"/>
            </w:pPr>
            <w:r w:rsidRPr="00AB050D">
              <w:t>-2.21%</w:t>
            </w:r>
          </w:p>
        </w:tc>
      </w:tr>
      <w:tr w:rsidR="005072DF" w:rsidRPr="00050D84" w14:paraId="6CE8014D" w14:textId="77777777" w:rsidTr="00D22060">
        <w:tc>
          <w:tcPr>
            <w:tcW w:w="5000" w:type="pct"/>
            <w:gridSpan w:val="6"/>
            <w:tcBorders>
              <w:top w:val="single" w:sz="4" w:space="0" w:color="auto"/>
            </w:tcBorders>
            <w:shd w:val="clear" w:color="auto" w:fill="auto"/>
          </w:tcPr>
          <w:p w14:paraId="335C0992" w14:textId="77777777" w:rsidR="005072DF" w:rsidRPr="00050D84" w:rsidRDefault="005072DF" w:rsidP="00D22060">
            <w:pPr>
              <w:pStyle w:val="TableText0"/>
              <w:keepNext w:val="0"/>
            </w:pPr>
            <w:r>
              <w:rPr>
                <w:szCs w:val="20"/>
              </w:rPr>
              <w:t>Other scenarios</w:t>
            </w:r>
          </w:p>
        </w:tc>
      </w:tr>
      <w:tr w:rsidR="005072DF" w:rsidRPr="00050D84" w14:paraId="3371EF86" w14:textId="77777777" w:rsidTr="00D22060">
        <w:tc>
          <w:tcPr>
            <w:tcW w:w="2045" w:type="pct"/>
            <w:gridSpan w:val="2"/>
            <w:tcBorders>
              <w:right w:val="single" w:sz="4" w:space="0" w:color="auto"/>
            </w:tcBorders>
            <w:shd w:val="clear" w:color="auto" w:fill="auto"/>
          </w:tcPr>
          <w:p w14:paraId="1B86C9F5" w14:textId="77777777" w:rsidR="005072DF" w:rsidRDefault="005072DF" w:rsidP="00D22060">
            <w:pPr>
              <w:pStyle w:val="TableText0"/>
              <w:keepNext w:val="0"/>
            </w:pPr>
            <w:r>
              <w:rPr>
                <w:szCs w:val="20"/>
              </w:rPr>
              <w:t>DAC+abs in every surgery</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1CFE6D89" w14:textId="77777777" w:rsidR="005072DF" w:rsidRPr="00050D84" w:rsidRDefault="005072DF" w:rsidP="00D22060">
            <w:pPr>
              <w:pStyle w:val="TableText0"/>
              <w:keepNext w:val="0"/>
              <w:jc w:val="right"/>
            </w:pPr>
            <w:r>
              <w:t>-$382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7BCD6B7" w14:textId="77777777" w:rsidR="005072DF" w:rsidRPr="00050D84" w:rsidRDefault="005072DF" w:rsidP="00D22060">
            <w:pPr>
              <w:pStyle w:val="TableText0"/>
              <w:keepNext w:val="0"/>
              <w:jc w:val="right"/>
            </w:pPr>
            <w:r>
              <w:t>0.048</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5286224A" w14:textId="77777777" w:rsidR="005072DF" w:rsidRPr="00050D84" w:rsidRDefault="005072DF" w:rsidP="00D22060">
            <w:pPr>
              <w:pStyle w:val="TableText0"/>
              <w:keepNext w:val="0"/>
              <w:jc w:val="right"/>
            </w:pPr>
            <w:r>
              <w:t>DAC+abs is dominant</w:t>
            </w:r>
          </w:p>
        </w:tc>
        <w:tc>
          <w:tcPr>
            <w:tcW w:w="713" w:type="pct"/>
            <w:tcBorders>
              <w:left w:val="single" w:sz="4" w:space="0" w:color="auto"/>
            </w:tcBorders>
            <w:shd w:val="clear" w:color="auto" w:fill="auto"/>
            <w:vAlign w:val="bottom"/>
          </w:tcPr>
          <w:p w14:paraId="7EDE5BBA" w14:textId="77777777" w:rsidR="005072DF" w:rsidRPr="00050D84" w:rsidRDefault="005072DF" w:rsidP="00D22060">
            <w:pPr>
              <w:pStyle w:val="TableText0"/>
              <w:keepNext w:val="0"/>
              <w:jc w:val="right"/>
            </w:pPr>
            <w:r>
              <w:t>NA*</w:t>
            </w:r>
          </w:p>
        </w:tc>
      </w:tr>
      <w:tr w:rsidR="005072DF" w:rsidRPr="00050D84" w14:paraId="1A3632D1" w14:textId="77777777" w:rsidTr="00D22060">
        <w:tc>
          <w:tcPr>
            <w:tcW w:w="1023" w:type="pct"/>
            <w:vMerge w:val="restart"/>
            <w:tcBorders>
              <w:right w:val="single" w:sz="4" w:space="0" w:color="auto"/>
            </w:tcBorders>
            <w:shd w:val="clear" w:color="auto" w:fill="auto"/>
          </w:tcPr>
          <w:p w14:paraId="34FEB262" w14:textId="77777777" w:rsidR="005072DF" w:rsidRDefault="005072DF" w:rsidP="00D22060">
            <w:pPr>
              <w:pStyle w:val="TableText0"/>
              <w:keepNext w:val="0"/>
              <w:rPr>
                <w:szCs w:val="20"/>
              </w:rPr>
            </w:pPr>
            <w:r>
              <w:rPr>
                <w:szCs w:val="20"/>
              </w:rPr>
              <w:t>DAIR post-operative antibiotics (</w:t>
            </w:r>
            <w:r>
              <w:rPr>
                <w:szCs w:val="20"/>
              </w:rPr>
              <w:fldChar w:fldCharType="begin"/>
            </w:r>
            <w:r>
              <w:rPr>
                <w:szCs w:val="20"/>
              </w:rPr>
              <w:instrText xml:space="preserve"> REF _Ref70697375 \h  \* MERGEFORMAT </w:instrText>
            </w:r>
            <w:r>
              <w:rPr>
                <w:szCs w:val="20"/>
              </w:rPr>
            </w:r>
            <w:r>
              <w:rPr>
                <w:szCs w:val="20"/>
              </w:rPr>
              <w:fldChar w:fldCharType="separate"/>
            </w:r>
            <w:r w:rsidRPr="00BB246A">
              <w:rPr>
                <w:szCs w:val="20"/>
              </w:rPr>
              <w:t>Table 159</w:t>
            </w:r>
            <w:r>
              <w:rPr>
                <w:szCs w:val="20"/>
              </w:rPr>
              <w:fldChar w:fldCharType="end"/>
            </w:r>
            <w:r>
              <w:rPr>
                <w:szCs w:val="20"/>
              </w:rPr>
              <w:t>)</w:t>
            </w:r>
          </w:p>
        </w:tc>
        <w:tc>
          <w:tcPr>
            <w:tcW w:w="1023" w:type="pct"/>
            <w:tcBorders>
              <w:right w:val="single" w:sz="4" w:space="0" w:color="auto"/>
            </w:tcBorders>
            <w:shd w:val="clear" w:color="auto" w:fill="auto"/>
          </w:tcPr>
          <w:p w14:paraId="2A0E371D" w14:textId="42564A25" w:rsidR="005072DF" w:rsidRDefault="005072DF" w:rsidP="00D22060">
            <w:pPr>
              <w:pStyle w:val="TableText0"/>
              <w:keepNext w:val="0"/>
              <w:rPr>
                <w:szCs w:val="20"/>
              </w:rPr>
            </w:pPr>
            <w:r w:rsidRPr="00DB76BB">
              <w:rPr>
                <w:szCs w:val="20"/>
              </w:rPr>
              <w:t>$1,061.04</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7E652162" w14:textId="77777777" w:rsidR="005072DF" w:rsidRDefault="005072DF" w:rsidP="00D22060">
            <w:pPr>
              <w:pStyle w:val="TableText0"/>
              <w:keepNext w:val="0"/>
              <w:jc w:val="right"/>
            </w:pPr>
            <w:r>
              <w:t>$3,451</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8BEA23E"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1462DEE5" w14:textId="77777777" w:rsidR="005072DF" w:rsidRDefault="005072DF" w:rsidP="00D22060">
            <w:pPr>
              <w:pStyle w:val="TableText0"/>
              <w:keepNext w:val="0"/>
              <w:jc w:val="right"/>
            </w:pPr>
            <w:r>
              <w:t>$140,524</w:t>
            </w:r>
          </w:p>
        </w:tc>
        <w:tc>
          <w:tcPr>
            <w:tcW w:w="713" w:type="pct"/>
            <w:tcBorders>
              <w:left w:val="single" w:sz="4" w:space="0" w:color="auto"/>
            </w:tcBorders>
            <w:shd w:val="clear" w:color="auto" w:fill="auto"/>
          </w:tcPr>
          <w:p w14:paraId="300DBDC6" w14:textId="77777777" w:rsidR="005072DF" w:rsidRPr="000A4F96" w:rsidRDefault="005072DF" w:rsidP="00D22060">
            <w:pPr>
              <w:pStyle w:val="TableText0"/>
              <w:keepNext w:val="0"/>
              <w:jc w:val="right"/>
            </w:pPr>
            <w:r w:rsidRPr="0042636E">
              <w:t>-0.11%</w:t>
            </w:r>
          </w:p>
        </w:tc>
      </w:tr>
      <w:tr w:rsidR="005072DF" w:rsidRPr="00050D84" w14:paraId="043DA891" w14:textId="77777777" w:rsidTr="00D22060">
        <w:tc>
          <w:tcPr>
            <w:tcW w:w="1023" w:type="pct"/>
            <w:vMerge/>
            <w:tcBorders>
              <w:right w:val="single" w:sz="4" w:space="0" w:color="auto"/>
            </w:tcBorders>
            <w:shd w:val="clear" w:color="auto" w:fill="auto"/>
          </w:tcPr>
          <w:p w14:paraId="2C484642" w14:textId="77777777" w:rsidR="005072DF" w:rsidRDefault="005072DF" w:rsidP="00D22060">
            <w:pPr>
              <w:pStyle w:val="TableText0"/>
              <w:keepNext w:val="0"/>
              <w:rPr>
                <w:szCs w:val="20"/>
              </w:rPr>
            </w:pPr>
          </w:p>
        </w:tc>
        <w:tc>
          <w:tcPr>
            <w:tcW w:w="1023" w:type="pct"/>
            <w:tcBorders>
              <w:right w:val="single" w:sz="4" w:space="0" w:color="auto"/>
            </w:tcBorders>
            <w:shd w:val="clear" w:color="auto" w:fill="auto"/>
          </w:tcPr>
          <w:p w14:paraId="6BBC0CA5" w14:textId="5F3E4B07" w:rsidR="005072DF" w:rsidRDefault="005072DF" w:rsidP="00D22060">
            <w:pPr>
              <w:pStyle w:val="TableText0"/>
              <w:keepNext w:val="0"/>
              <w:rPr>
                <w:szCs w:val="20"/>
              </w:rPr>
            </w:pPr>
            <w:r w:rsidRPr="00DB76BB">
              <w:rPr>
                <w:szCs w:val="20"/>
              </w:rPr>
              <w:t>$123.97</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83DF866" w14:textId="77777777" w:rsidR="005072DF" w:rsidRDefault="005072DF" w:rsidP="00D22060">
            <w:pPr>
              <w:pStyle w:val="TableText0"/>
              <w:keepNext w:val="0"/>
              <w:jc w:val="right"/>
            </w:pPr>
            <w:r>
              <w:t>$3,456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C6F2E9A"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05BCA14" w14:textId="77777777" w:rsidR="005072DF" w:rsidRDefault="005072DF" w:rsidP="00D22060">
            <w:pPr>
              <w:pStyle w:val="TableText0"/>
              <w:keepNext w:val="0"/>
              <w:jc w:val="right"/>
            </w:pPr>
            <w:r>
              <w:t>$140,720</w:t>
            </w:r>
          </w:p>
        </w:tc>
        <w:tc>
          <w:tcPr>
            <w:tcW w:w="713" w:type="pct"/>
            <w:tcBorders>
              <w:left w:val="single" w:sz="4" w:space="0" w:color="auto"/>
            </w:tcBorders>
            <w:shd w:val="clear" w:color="auto" w:fill="auto"/>
          </w:tcPr>
          <w:p w14:paraId="5C6405C1" w14:textId="77777777" w:rsidR="005072DF" w:rsidRPr="000A4F96" w:rsidRDefault="005072DF" w:rsidP="00D22060">
            <w:pPr>
              <w:pStyle w:val="TableText0"/>
              <w:keepNext w:val="0"/>
              <w:jc w:val="right"/>
            </w:pPr>
            <w:r w:rsidRPr="0042636E">
              <w:t>0.03%</w:t>
            </w:r>
          </w:p>
        </w:tc>
      </w:tr>
      <w:tr w:rsidR="005072DF" w:rsidRPr="00050D84" w14:paraId="7986B601" w14:textId="77777777" w:rsidTr="00D22060">
        <w:tc>
          <w:tcPr>
            <w:tcW w:w="1023" w:type="pct"/>
            <w:tcBorders>
              <w:right w:val="single" w:sz="4" w:space="0" w:color="auto"/>
            </w:tcBorders>
            <w:shd w:val="clear" w:color="auto" w:fill="auto"/>
          </w:tcPr>
          <w:p w14:paraId="4C78704F" w14:textId="77777777" w:rsidR="005072DF" w:rsidRDefault="005072DF" w:rsidP="00D22060">
            <w:pPr>
              <w:pStyle w:val="TableText0"/>
              <w:keepNext w:val="0"/>
              <w:rPr>
                <w:szCs w:val="20"/>
              </w:rPr>
            </w:pPr>
            <w:r>
              <w:rPr>
                <w:szCs w:val="20"/>
              </w:rPr>
              <w:t>Post-operative follow-up costs (</w:t>
            </w:r>
            <w:r>
              <w:rPr>
                <w:szCs w:val="20"/>
              </w:rPr>
              <w:fldChar w:fldCharType="begin"/>
            </w:r>
            <w:r>
              <w:rPr>
                <w:szCs w:val="20"/>
              </w:rPr>
              <w:instrText xml:space="preserve"> REF _Ref67566252 \h  \* MERGEFORMAT </w:instrText>
            </w:r>
            <w:r>
              <w:rPr>
                <w:szCs w:val="20"/>
              </w:rPr>
            </w:r>
            <w:r>
              <w:rPr>
                <w:szCs w:val="20"/>
              </w:rPr>
              <w:fldChar w:fldCharType="separate"/>
            </w:r>
            <w:r w:rsidRPr="00BB246A">
              <w:rPr>
                <w:szCs w:val="20"/>
              </w:rPr>
              <w:t>Table 67</w:t>
            </w:r>
            <w:r>
              <w:rPr>
                <w:szCs w:val="20"/>
              </w:rPr>
              <w:fldChar w:fldCharType="end"/>
            </w:r>
            <w:r>
              <w:rPr>
                <w:szCs w:val="20"/>
              </w:rPr>
              <w:t>)</w:t>
            </w:r>
          </w:p>
        </w:tc>
        <w:tc>
          <w:tcPr>
            <w:tcW w:w="1023" w:type="pct"/>
            <w:tcBorders>
              <w:right w:val="single" w:sz="4" w:space="0" w:color="auto"/>
            </w:tcBorders>
            <w:shd w:val="clear" w:color="auto" w:fill="auto"/>
          </w:tcPr>
          <w:p w14:paraId="437951ED" w14:textId="32022BDF" w:rsidR="005072DF" w:rsidRDefault="005072DF" w:rsidP="00D22060">
            <w:pPr>
              <w:pStyle w:val="TableText0"/>
              <w:keepNext w:val="0"/>
              <w:rPr>
                <w:szCs w:val="20"/>
              </w:rPr>
            </w:pPr>
            <w:r w:rsidRPr="00DB76BB">
              <w:rPr>
                <w:szCs w:val="20"/>
              </w:rPr>
              <w:t>$851.16</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048D907" w14:textId="77777777" w:rsidR="005072DF" w:rsidRDefault="005072DF" w:rsidP="00D22060">
            <w:pPr>
              <w:pStyle w:val="TableText0"/>
              <w:keepNext w:val="0"/>
              <w:jc w:val="right"/>
            </w:pPr>
            <w:r>
              <w:t>$3452</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5BA928C"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194D6C3" w14:textId="77777777" w:rsidR="005072DF" w:rsidRPr="00B522D9" w:rsidRDefault="005072DF" w:rsidP="00D22060">
            <w:pPr>
              <w:pStyle w:val="TableText0"/>
              <w:keepNext w:val="0"/>
              <w:jc w:val="right"/>
            </w:pPr>
            <w:r>
              <w:t>$140,563</w:t>
            </w:r>
          </w:p>
        </w:tc>
        <w:tc>
          <w:tcPr>
            <w:tcW w:w="713" w:type="pct"/>
            <w:tcBorders>
              <w:left w:val="single" w:sz="4" w:space="0" w:color="auto"/>
            </w:tcBorders>
            <w:shd w:val="clear" w:color="auto" w:fill="auto"/>
          </w:tcPr>
          <w:p w14:paraId="45FF9868" w14:textId="77777777" w:rsidR="005072DF" w:rsidRPr="000A4F96" w:rsidRDefault="005072DF" w:rsidP="00D22060">
            <w:pPr>
              <w:pStyle w:val="TableText0"/>
              <w:keepNext w:val="0"/>
              <w:jc w:val="right"/>
            </w:pPr>
            <w:r w:rsidRPr="0042636E">
              <w:t>-0.09%</w:t>
            </w:r>
          </w:p>
        </w:tc>
      </w:tr>
      <w:tr w:rsidR="005072DF" w:rsidRPr="00050D84" w14:paraId="5714887B" w14:textId="77777777" w:rsidTr="00D22060">
        <w:tc>
          <w:tcPr>
            <w:tcW w:w="2045" w:type="pct"/>
            <w:gridSpan w:val="2"/>
            <w:tcBorders>
              <w:right w:val="single" w:sz="4" w:space="0" w:color="auto"/>
            </w:tcBorders>
            <w:shd w:val="clear" w:color="auto" w:fill="auto"/>
          </w:tcPr>
          <w:p w14:paraId="40014311" w14:textId="77777777" w:rsidR="005072DF" w:rsidRDefault="005072DF" w:rsidP="00D22060">
            <w:pPr>
              <w:pStyle w:val="TableText0"/>
              <w:keepNext w:val="0"/>
              <w:rPr>
                <w:szCs w:val="20"/>
              </w:rPr>
            </w:pPr>
            <w:r>
              <w:rPr>
                <w:szCs w:val="20"/>
              </w:rPr>
              <w:t>NWAU and NEP surgical procedures costs (</w:t>
            </w:r>
            <w:r>
              <w:rPr>
                <w:szCs w:val="20"/>
              </w:rPr>
              <w:fldChar w:fldCharType="begin"/>
            </w:r>
            <w:r>
              <w:rPr>
                <w:szCs w:val="20"/>
              </w:rPr>
              <w:instrText xml:space="preserve"> REF _Ref66978184 \h  \* MERGEFORMAT </w:instrText>
            </w:r>
            <w:r>
              <w:rPr>
                <w:szCs w:val="20"/>
              </w:rPr>
            </w:r>
            <w:r>
              <w:rPr>
                <w:szCs w:val="20"/>
              </w:rPr>
              <w:fldChar w:fldCharType="separate"/>
            </w:r>
            <w:r w:rsidRPr="00BB246A">
              <w:rPr>
                <w:szCs w:val="20"/>
              </w:rPr>
              <w:t>Table 64</w:t>
            </w:r>
            <w:r>
              <w:rPr>
                <w:szCs w:val="20"/>
              </w:rPr>
              <w:fldChar w:fldCharType="end"/>
            </w:r>
            <w:r>
              <w:rPr>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0B76C303" w14:textId="77777777" w:rsidR="005072DF" w:rsidRDefault="005072DF" w:rsidP="00D22060">
            <w:pPr>
              <w:pStyle w:val="TableText0"/>
              <w:keepNext w:val="0"/>
              <w:jc w:val="right"/>
            </w:pPr>
            <w:r>
              <w:t>$3,440</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62409C7" w14:textId="77777777" w:rsidR="005072DF" w:rsidRDefault="005072DF" w:rsidP="00D22060">
            <w:pPr>
              <w:pStyle w:val="TableText0"/>
              <w:keepNext w:val="0"/>
              <w:jc w:val="right"/>
            </w:pPr>
            <w:r>
              <w:t>0.025</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0F980045" w14:textId="77777777" w:rsidR="005072DF" w:rsidRPr="003E1712" w:rsidRDefault="005072DF" w:rsidP="00D22060">
            <w:pPr>
              <w:pStyle w:val="TableText0"/>
              <w:keepNext w:val="0"/>
              <w:jc w:val="right"/>
              <w:rPr>
                <w:highlight w:val="cyan"/>
              </w:rPr>
            </w:pPr>
            <w:r w:rsidRPr="00AF0A65">
              <w:t>$140,074</w:t>
            </w:r>
          </w:p>
        </w:tc>
        <w:tc>
          <w:tcPr>
            <w:tcW w:w="713" w:type="pct"/>
            <w:tcBorders>
              <w:left w:val="single" w:sz="4" w:space="0" w:color="auto"/>
            </w:tcBorders>
            <w:shd w:val="clear" w:color="auto" w:fill="auto"/>
            <w:vAlign w:val="center"/>
          </w:tcPr>
          <w:p w14:paraId="554F1CE6" w14:textId="77777777" w:rsidR="005072DF" w:rsidRPr="00050D84" w:rsidRDefault="005072DF" w:rsidP="00D22060">
            <w:pPr>
              <w:pStyle w:val="TableText0"/>
              <w:keepNext w:val="0"/>
              <w:jc w:val="right"/>
            </w:pPr>
            <w:r w:rsidRPr="00110B91">
              <w:rPr>
                <w:rFonts w:cs="Calibri"/>
                <w:color w:val="000000"/>
                <w:szCs w:val="20"/>
                <w:lang w:eastAsia="en-AU"/>
              </w:rPr>
              <w:t>-0.43%</w:t>
            </w:r>
          </w:p>
        </w:tc>
      </w:tr>
    </w:tbl>
    <w:p w14:paraId="01303A00" w14:textId="7E1731BA" w:rsidR="005072DF" w:rsidRDefault="005072DF" w:rsidP="005072DF">
      <w:pPr>
        <w:pStyle w:val="Tablenotes0"/>
      </w:pPr>
      <w:r>
        <w:t>Source: Table 98, pg 226 of MSAC 1629 DCAR</w:t>
      </w:r>
    </w:p>
    <w:p w14:paraId="49C4CA39" w14:textId="77777777" w:rsidR="005072DF" w:rsidRDefault="005072DF" w:rsidP="005072DF">
      <w:pPr>
        <w:pStyle w:val="Tablenotes0"/>
      </w:pPr>
      <w:r>
        <w:t xml:space="preserve">Abbreviations: CI=confidence interval; DAC=Defensive Antibacterial Coating; DAC+abs=Defensive Antibacterial Coating loaded with antibiotics; DAIR=Debridement, antibiotics and implant retention; epTJA=elective primary total joint arthroplasty; </w:t>
      </w:r>
      <w:r w:rsidRPr="00183E4D">
        <w:t>ICER = Incremental Cost Effectiveness Ratio</w:t>
      </w:r>
      <w:r>
        <w:t>; SSI=surgical site infection</w:t>
      </w:r>
    </w:p>
    <w:p w14:paraId="1D8EC9FF" w14:textId="77777777" w:rsidR="005072DF" w:rsidRPr="00C4562E" w:rsidRDefault="005072DF" w:rsidP="005072DF">
      <w:pPr>
        <w:pStyle w:val="Tablenotes0"/>
      </w:pPr>
      <w:r>
        <w:t xml:space="preserve">Notes: </w:t>
      </w:r>
      <w:r w:rsidRPr="00C4562E">
        <w:t>DAC</w:t>
      </w:r>
      <w:r w:rsidRPr="00985971">
        <w:t>+antibiotics</w:t>
      </w:r>
      <w:r w:rsidRPr="00C4562E">
        <w:t xml:space="preserve"> is dominated by no DAC</w:t>
      </w:r>
      <w:r w:rsidRPr="00985971">
        <w:t>+antibiotics</w:t>
      </w:r>
      <w:r>
        <w:t>:</w:t>
      </w:r>
      <w:r w:rsidRPr="00C4562E">
        <w:t xml:space="preserve"> surgery with DAC</w:t>
      </w:r>
      <w:r w:rsidRPr="00985971">
        <w:t>+antibiotics</w:t>
      </w:r>
      <w:r w:rsidRPr="00C4562E">
        <w:t xml:space="preserve"> is more costly and less effective than surgery without DAC</w:t>
      </w:r>
      <w:r w:rsidRPr="00985971">
        <w:t>+antibiotics</w:t>
      </w:r>
      <w:r>
        <w:t xml:space="preserve">; </w:t>
      </w:r>
      <w:r w:rsidRPr="00C4562E">
        <w:t>DAC</w:t>
      </w:r>
      <w:r w:rsidRPr="00985971">
        <w:t>+antibiotics</w:t>
      </w:r>
      <w:r w:rsidRPr="00C4562E">
        <w:t xml:space="preserve"> dominates no DAC</w:t>
      </w:r>
      <w:r w:rsidRPr="00985971">
        <w:t>+antibiotics</w:t>
      </w:r>
      <w:r>
        <w:t>:</w:t>
      </w:r>
      <w:r w:rsidRPr="00C4562E">
        <w:t xml:space="preserve"> surgery with DAC</w:t>
      </w:r>
      <w:r w:rsidRPr="00985971">
        <w:t>+antibiotics</w:t>
      </w:r>
      <w:r w:rsidRPr="00C4562E">
        <w:t xml:space="preserve"> is </w:t>
      </w:r>
      <w:r>
        <w:t>less</w:t>
      </w:r>
      <w:r w:rsidRPr="00C4562E">
        <w:t xml:space="preserve"> costly and </w:t>
      </w:r>
      <w:r>
        <w:t>more</w:t>
      </w:r>
      <w:r w:rsidRPr="00C4562E">
        <w:t xml:space="preserve"> effective than surgery without DAC</w:t>
      </w:r>
      <w:r w:rsidRPr="00985971">
        <w:t>+antibiotics</w:t>
      </w:r>
    </w:p>
    <w:p w14:paraId="4E041C37" w14:textId="707DE6DF" w:rsidR="005072DF" w:rsidRDefault="005072DF" w:rsidP="005072DF">
      <w:pPr>
        <w:pStyle w:val="Tablenotes0"/>
      </w:pPr>
      <w:r>
        <w:t xml:space="preserve">* </w:t>
      </w:r>
      <w:r w:rsidRPr="00C4562E">
        <w:t>Considerable change in the ICER</w:t>
      </w:r>
    </w:p>
    <w:p w14:paraId="5B106795" w14:textId="0D5DF5EA" w:rsidR="005072DF" w:rsidRDefault="005072DF" w:rsidP="005072DF">
      <w:pPr>
        <w:pStyle w:val="Caption"/>
        <w:keepNext/>
      </w:pPr>
      <w:bookmarkStart w:id="93" w:name="_Ref67941850"/>
      <w:bookmarkStart w:id="94" w:name="_Toc73971301"/>
      <w:bookmarkStart w:id="95" w:name="_Toc74729184"/>
      <w:bookmarkStart w:id="96" w:name="_Toc112076716"/>
      <w:r>
        <w:lastRenderedPageBreak/>
        <w:t xml:space="preserve">Table </w:t>
      </w:r>
      <w:r>
        <w:fldChar w:fldCharType="begin"/>
      </w:r>
      <w:r>
        <w:instrText>SEQ Table \* ARABIC</w:instrText>
      </w:r>
      <w:r>
        <w:fldChar w:fldCharType="separate"/>
      </w:r>
      <w:r>
        <w:rPr>
          <w:noProof/>
        </w:rPr>
        <w:t>10</w:t>
      </w:r>
      <w:r>
        <w:fldChar w:fldCharType="end"/>
      </w:r>
      <w:bookmarkEnd w:id="93"/>
      <w:r>
        <w:tab/>
        <w:t>Sensitivity analyses</w:t>
      </w:r>
      <w:r w:rsidRPr="00AF4BB9">
        <w:t xml:space="preserve"> </w:t>
      </w:r>
      <w:r>
        <w:t>of the economic model (Population 3, hip).</w:t>
      </w:r>
      <w:bookmarkEnd w:id="94"/>
      <w:bookmarkEnd w:id="95"/>
      <w:bookmarkEnd w:id="96"/>
    </w:p>
    <w:tbl>
      <w:tblPr>
        <w:tblStyle w:val="TableGrid1"/>
        <w:tblW w:w="5000" w:type="pct"/>
        <w:tblCellMar>
          <w:left w:w="28" w:type="dxa"/>
          <w:right w:w="28" w:type="dxa"/>
        </w:tblCellMar>
        <w:tblLook w:val="04A0" w:firstRow="1" w:lastRow="0" w:firstColumn="1" w:lastColumn="0" w:noHBand="0" w:noVBand="1"/>
        <w:tblCaption w:val="Sensitivity analyses of the economic model (Population 3, hip)."/>
        <w:tblDescription w:val="This table presents the sensitivity analysis on dicosunt rate, time horizon, DAC effect, transition probabilities, costs, utilities, and other scenarios for Population 3, hip."/>
      </w:tblPr>
      <w:tblGrid>
        <w:gridCol w:w="1846"/>
        <w:gridCol w:w="2020"/>
        <w:gridCol w:w="1260"/>
        <w:gridCol w:w="1255"/>
        <w:gridCol w:w="9"/>
        <w:gridCol w:w="1524"/>
        <w:gridCol w:w="1102"/>
      </w:tblGrid>
      <w:tr w:rsidR="005072DF" w:rsidRPr="00050D84" w14:paraId="331CAE96" w14:textId="77777777" w:rsidTr="005072DF">
        <w:trPr>
          <w:cnfStyle w:val="100000000000" w:firstRow="1" w:lastRow="0" w:firstColumn="0" w:lastColumn="0" w:oddVBand="0" w:evenVBand="0" w:oddHBand="0" w:evenHBand="0" w:firstRowFirstColumn="0" w:firstRowLastColumn="0" w:lastRowFirstColumn="0" w:lastRowLastColumn="0"/>
          <w:tblHeader/>
        </w:trPr>
        <w:tc>
          <w:tcPr>
            <w:tcW w:w="2144" w:type="pct"/>
            <w:gridSpan w:val="2"/>
            <w:tcBorders>
              <w:top w:val="single" w:sz="4" w:space="0" w:color="auto"/>
              <w:left w:val="single" w:sz="4" w:space="0" w:color="auto"/>
              <w:bottom w:val="single" w:sz="4" w:space="0" w:color="auto"/>
              <w:right w:val="single" w:sz="4" w:space="0" w:color="auto"/>
            </w:tcBorders>
            <w:shd w:val="clear" w:color="auto" w:fill="auto"/>
          </w:tcPr>
          <w:p w14:paraId="1F62B837" w14:textId="77777777" w:rsidR="005072DF" w:rsidRPr="00050D84" w:rsidRDefault="005072DF" w:rsidP="00D22060">
            <w:pPr>
              <w:pStyle w:val="TableText0"/>
              <w:rPr>
                <w:b/>
                <w:snapToGrid w:val="0"/>
              </w:rPr>
            </w:pPr>
            <w:r w:rsidRPr="00050D84">
              <w:rPr>
                <w:b/>
                <w:snapToGrid w:val="0"/>
              </w:rPr>
              <w:t>Description</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941DDD7" w14:textId="77777777" w:rsidR="005072DF" w:rsidRPr="00050D84" w:rsidRDefault="005072DF" w:rsidP="00D22060">
            <w:pPr>
              <w:pStyle w:val="TableText0"/>
              <w:rPr>
                <w:b/>
                <w:snapToGrid w:val="0"/>
              </w:rPr>
            </w:pPr>
            <w:r w:rsidRPr="00050D84">
              <w:rPr>
                <w:b/>
                <w:snapToGrid w:val="0"/>
              </w:rPr>
              <w:t>Incremental cost</w:t>
            </w:r>
          </w:p>
        </w:tc>
        <w:tc>
          <w:tcPr>
            <w:tcW w:w="696" w:type="pct"/>
            <w:tcBorders>
              <w:top w:val="single" w:sz="4" w:space="0" w:color="auto"/>
              <w:left w:val="single" w:sz="4" w:space="0" w:color="auto"/>
              <w:bottom w:val="single" w:sz="4" w:space="0" w:color="auto"/>
              <w:right w:val="single" w:sz="4" w:space="0" w:color="auto"/>
            </w:tcBorders>
          </w:tcPr>
          <w:p w14:paraId="5EE83BFF" w14:textId="77777777" w:rsidR="005072DF" w:rsidRPr="00050D84" w:rsidRDefault="005072DF" w:rsidP="00D22060">
            <w:pPr>
              <w:pStyle w:val="TableText0"/>
              <w:rPr>
                <w:b/>
                <w:snapToGrid w:val="0"/>
              </w:rPr>
            </w:pPr>
            <w:r w:rsidRPr="00050D84">
              <w:rPr>
                <w:b/>
                <w:snapToGrid w:val="0"/>
              </w:rPr>
              <w:t xml:space="preserve">Incremental </w:t>
            </w:r>
            <w:r>
              <w:rPr>
                <w:b/>
                <w:snapToGrid w:val="0"/>
              </w:rPr>
              <w:t xml:space="preserve">QALYs </w:t>
            </w:r>
          </w:p>
        </w:tc>
        <w:tc>
          <w:tcPr>
            <w:tcW w:w="850" w:type="pct"/>
            <w:gridSpan w:val="2"/>
            <w:tcBorders>
              <w:top w:val="single" w:sz="4" w:space="0" w:color="auto"/>
              <w:left w:val="single" w:sz="4" w:space="0" w:color="auto"/>
              <w:bottom w:val="single" w:sz="4" w:space="0" w:color="auto"/>
              <w:right w:val="single" w:sz="4" w:space="0" w:color="auto"/>
            </w:tcBorders>
          </w:tcPr>
          <w:p w14:paraId="0E529D00" w14:textId="77777777" w:rsidR="005072DF" w:rsidRPr="00050D84" w:rsidRDefault="005072DF" w:rsidP="00D22060">
            <w:pPr>
              <w:pStyle w:val="TableText0"/>
              <w:rPr>
                <w:b/>
                <w:snapToGrid w:val="0"/>
              </w:rPr>
            </w:pPr>
            <w:r w:rsidRPr="00050D84">
              <w:rPr>
                <w:b/>
                <w:snapToGrid w:val="0"/>
              </w:rPr>
              <w:t>ICER</w:t>
            </w:r>
            <w:r>
              <w:rPr>
                <w:b/>
                <w:snapToGrid w:val="0"/>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25DCA0A" w14:textId="77777777" w:rsidR="005072DF" w:rsidRPr="00050D84" w:rsidRDefault="005072DF" w:rsidP="00D22060">
            <w:pPr>
              <w:pStyle w:val="TableText0"/>
              <w:rPr>
                <w:b/>
                <w:snapToGrid w:val="0"/>
              </w:rPr>
            </w:pPr>
            <w:r w:rsidRPr="00050D84">
              <w:rPr>
                <w:b/>
                <w:snapToGrid w:val="0"/>
              </w:rPr>
              <w:t>% change to IC</w:t>
            </w:r>
            <w:r>
              <w:rPr>
                <w:b/>
                <w:snapToGrid w:val="0"/>
              </w:rPr>
              <w:t>ER</w:t>
            </w:r>
          </w:p>
        </w:tc>
      </w:tr>
      <w:tr w:rsidR="005072DF" w:rsidRPr="00050D84" w14:paraId="252BDCC6" w14:textId="77777777" w:rsidTr="005072DF">
        <w:tc>
          <w:tcPr>
            <w:tcW w:w="2144" w:type="pct"/>
            <w:gridSpan w:val="2"/>
            <w:tcBorders>
              <w:top w:val="single" w:sz="4" w:space="0" w:color="auto"/>
              <w:left w:val="single" w:sz="4" w:space="0" w:color="auto"/>
              <w:bottom w:val="single" w:sz="4" w:space="0" w:color="auto"/>
              <w:right w:val="single" w:sz="4" w:space="0" w:color="auto"/>
            </w:tcBorders>
            <w:shd w:val="clear" w:color="auto" w:fill="auto"/>
          </w:tcPr>
          <w:p w14:paraId="6E6278DF" w14:textId="77777777" w:rsidR="005072DF" w:rsidRPr="00E86B65" w:rsidRDefault="005072DF" w:rsidP="00D22060">
            <w:pPr>
              <w:pStyle w:val="TableText0"/>
              <w:rPr>
                <w:b/>
                <w:snapToGrid w:val="0"/>
              </w:rPr>
            </w:pPr>
            <w:r w:rsidRPr="00E86B65">
              <w:rPr>
                <w:b/>
                <w:snapToGrid w:val="0"/>
              </w:rPr>
              <w:t>Base Case</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52C3EEAF" w14:textId="77777777" w:rsidR="005072DF" w:rsidRPr="00E86B65" w:rsidRDefault="005072DF" w:rsidP="00D22060">
            <w:pPr>
              <w:pStyle w:val="TableText0"/>
              <w:jc w:val="right"/>
              <w:rPr>
                <w:b/>
                <w:snapToGrid w:val="0"/>
              </w:rPr>
            </w:pPr>
            <w:r>
              <w:t>-$3,380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41A88A2A" w14:textId="77777777" w:rsidR="005072DF" w:rsidRPr="00E86B65" w:rsidRDefault="005072DF" w:rsidP="00D22060">
            <w:pPr>
              <w:pStyle w:val="TableText0"/>
              <w:jc w:val="right"/>
              <w:rPr>
                <w:b/>
                <w:snapToGrid w:val="0"/>
              </w:rPr>
            </w:pPr>
            <w:r>
              <w:t>0.21</w:t>
            </w: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937E2" w14:textId="77777777" w:rsidR="005072DF" w:rsidRPr="00AF0A65" w:rsidRDefault="005072DF" w:rsidP="00D22060">
            <w:pPr>
              <w:pStyle w:val="TableText0"/>
              <w:jc w:val="right"/>
              <w:rPr>
                <w:snapToGrid w:val="0"/>
              </w:rPr>
            </w:pPr>
            <w:r w:rsidRPr="00AF0A65">
              <w:t>DAC</w:t>
            </w:r>
            <w:r>
              <w:t>+abs</w:t>
            </w:r>
            <w:r w:rsidRPr="00AF0A65">
              <w:t xml:space="preserve"> is dominant</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71D602" w14:textId="77777777" w:rsidR="005072DF" w:rsidRPr="00AF0A65" w:rsidRDefault="005072DF" w:rsidP="00D22060">
            <w:pPr>
              <w:pStyle w:val="TableText0"/>
              <w:jc w:val="right"/>
              <w:rPr>
                <w:bCs/>
                <w:snapToGrid w:val="0"/>
              </w:rPr>
            </w:pPr>
            <w:r>
              <w:rPr>
                <w:bCs/>
                <w:snapToGrid w:val="0"/>
              </w:rPr>
              <w:t>NA</w:t>
            </w:r>
          </w:p>
        </w:tc>
      </w:tr>
      <w:tr w:rsidR="005072DF" w:rsidRPr="00B62878" w14:paraId="7D9E0B17" w14:textId="77777777" w:rsidTr="00D22060">
        <w:tc>
          <w:tcPr>
            <w:tcW w:w="5000" w:type="pct"/>
            <w:gridSpan w:val="7"/>
            <w:shd w:val="clear" w:color="auto" w:fill="auto"/>
          </w:tcPr>
          <w:p w14:paraId="1EC16DCD" w14:textId="77777777" w:rsidR="005072DF" w:rsidRPr="00B62878" w:rsidRDefault="005072DF" w:rsidP="00D22060">
            <w:pPr>
              <w:pStyle w:val="TableText0"/>
              <w:keepNext w:val="0"/>
              <w:rPr>
                <w:b/>
              </w:rPr>
            </w:pPr>
            <w:r w:rsidRPr="00B62878">
              <w:rPr>
                <w:b/>
              </w:rPr>
              <w:t>Univariate analyses</w:t>
            </w:r>
          </w:p>
        </w:tc>
      </w:tr>
      <w:tr w:rsidR="005072DF" w:rsidRPr="00050D84" w14:paraId="6368C1B3" w14:textId="77777777" w:rsidTr="00D22060">
        <w:tc>
          <w:tcPr>
            <w:tcW w:w="5000" w:type="pct"/>
            <w:gridSpan w:val="7"/>
            <w:tcBorders>
              <w:bottom w:val="single" w:sz="4" w:space="0" w:color="auto"/>
            </w:tcBorders>
            <w:shd w:val="clear" w:color="auto" w:fill="auto"/>
          </w:tcPr>
          <w:p w14:paraId="331C6558" w14:textId="77777777" w:rsidR="005072DF" w:rsidRPr="00050D84" w:rsidRDefault="005072DF" w:rsidP="00D22060">
            <w:pPr>
              <w:pStyle w:val="TableText0"/>
              <w:keepNext w:val="0"/>
            </w:pPr>
            <w:r w:rsidRPr="00050D84">
              <w:t>Discount rate (base case 5% costs and outcomes)</w:t>
            </w:r>
          </w:p>
        </w:tc>
      </w:tr>
      <w:tr w:rsidR="005072DF" w:rsidRPr="00050D84" w14:paraId="35D8649E"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44DBDCF9" w14:textId="77777777" w:rsidR="005072DF" w:rsidRPr="006933E7" w:rsidRDefault="005072DF" w:rsidP="00D22060">
            <w:pPr>
              <w:pStyle w:val="TableText0"/>
              <w:keepNext w:val="0"/>
            </w:pPr>
            <w:r w:rsidRPr="006933E7">
              <w:t>0% costs and outcomes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1B91A58" w14:textId="77777777" w:rsidR="005072DF" w:rsidRPr="00050D84" w:rsidRDefault="005072DF" w:rsidP="00D22060">
            <w:pPr>
              <w:pStyle w:val="TableText0"/>
              <w:keepNext w:val="0"/>
              <w:jc w:val="right"/>
            </w:pPr>
            <w:r>
              <w:t>-$3,860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5346C4B" w14:textId="77777777" w:rsidR="005072DF" w:rsidRPr="00050D84"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72B80A3" w14:textId="77777777" w:rsidR="005072DF" w:rsidRPr="00050D84" w:rsidRDefault="005072DF" w:rsidP="00D22060">
            <w:pPr>
              <w:pStyle w:val="TableText0"/>
              <w:keepNext w:val="0"/>
              <w:jc w:val="right"/>
            </w:pPr>
            <w:r>
              <w:t>DAC+abs is dominant</w:t>
            </w:r>
          </w:p>
        </w:tc>
        <w:tc>
          <w:tcPr>
            <w:tcW w:w="611" w:type="pct"/>
            <w:tcBorders>
              <w:top w:val="single" w:sz="4" w:space="0" w:color="auto"/>
              <w:left w:val="single" w:sz="4" w:space="0" w:color="auto"/>
              <w:bottom w:val="single" w:sz="4" w:space="0" w:color="auto"/>
            </w:tcBorders>
            <w:shd w:val="clear" w:color="auto" w:fill="auto"/>
          </w:tcPr>
          <w:p w14:paraId="5AF2F61C" w14:textId="77777777" w:rsidR="005072DF" w:rsidRPr="00050D84" w:rsidRDefault="005072DF" w:rsidP="00D22060">
            <w:pPr>
              <w:pStyle w:val="TableText0"/>
              <w:keepNext w:val="0"/>
              <w:jc w:val="right"/>
            </w:pPr>
            <w:r w:rsidRPr="00080380">
              <w:rPr>
                <w:bCs/>
                <w:snapToGrid w:val="0"/>
              </w:rPr>
              <w:t>NA</w:t>
            </w:r>
          </w:p>
        </w:tc>
      </w:tr>
      <w:tr w:rsidR="005072DF" w:rsidRPr="00050D84" w14:paraId="1DD0C76C"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4998D013" w14:textId="77777777" w:rsidR="005072DF" w:rsidRPr="00050D84" w:rsidRDefault="005072DF" w:rsidP="00D22060">
            <w:pPr>
              <w:pStyle w:val="TableText0"/>
              <w:keepNext w:val="0"/>
            </w:pPr>
            <w:r w:rsidRPr="00050D84">
              <w:t>3.5% costs and outcomes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673381B" w14:textId="77777777" w:rsidR="005072DF" w:rsidRPr="00050D84" w:rsidRDefault="005072DF" w:rsidP="00D22060">
            <w:pPr>
              <w:pStyle w:val="TableText0"/>
              <w:keepNext w:val="0"/>
              <w:jc w:val="right"/>
            </w:pPr>
            <w:r>
              <w:t>-$3,519</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0D3C1710" w14:textId="77777777" w:rsidR="005072DF" w:rsidRPr="00050D84" w:rsidRDefault="005072DF" w:rsidP="00D22060">
            <w:pPr>
              <w:pStyle w:val="TableText0"/>
              <w:keepNext w:val="0"/>
              <w:jc w:val="right"/>
            </w:pPr>
            <w:r>
              <w:t>0.233</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54D7D94" w14:textId="77777777" w:rsidR="005072DF" w:rsidRPr="00050D84" w:rsidRDefault="005072DF" w:rsidP="00D22060">
            <w:pPr>
              <w:pStyle w:val="TableText0"/>
              <w:keepNext w:val="0"/>
              <w:jc w:val="right"/>
            </w:pPr>
            <w:r>
              <w:t>DAC+abs is dominant</w:t>
            </w:r>
          </w:p>
        </w:tc>
        <w:tc>
          <w:tcPr>
            <w:tcW w:w="611" w:type="pct"/>
            <w:tcBorders>
              <w:top w:val="single" w:sz="4" w:space="0" w:color="auto"/>
              <w:left w:val="single" w:sz="4" w:space="0" w:color="auto"/>
              <w:bottom w:val="single" w:sz="4" w:space="0" w:color="auto"/>
            </w:tcBorders>
            <w:shd w:val="clear" w:color="auto" w:fill="auto"/>
          </w:tcPr>
          <w:p w14:paraId="18D77C85" w14:textId="77777777" w:rsidR="005072DF" w:rsidRPr="00050D84" w:rsidRDefault="005072DF" w:rsidP="00D22060">
            <w:pPr>
              <w:pStyle w:val="TableText0"/>
              <w:keepNext w:val="0"/>
              <w:jc w:val="right"/>
            </w:pPr>
            <w:r w:rsidRPr="00080380">
              <w:rPr>
                <w:bCs/>
                <w:snapToGrid w:val="0"/>
              </w:rPr>
              <w:t>NA</w:t>
            </w:r>
          </w:p>
        </w:tc>
      </w:tr>
      <w:tr w:rsidR="005072DF" w:rsidRPr="00050D84" w14:paraId="428256DE" w14:textId="77777777" w:rsidTr="00D22060">
        <w:tc>
          <w:tcPr>
            <w:tcW w:w="5000" w:type="pct"/>
            <w:gridSpan w:val="7"/>
            <w:shd w:val="clear" w:color="auto" w:fill="auto"/>
          </w:tcPr>
          <w:p w14:paraId="6D7F2A30" w14:textId="77777777" w:rsidR="005072DF" w:rsidRPr="00050D84" w:rsidRDefault="005072DF" w:rsidP="00D22060">
            <w:pPr>
              <w:pStyle w:val="TableText0"/>
              <w:keepNext w:val="0"/>
            </w:pPr>
            <w:r w:rsidRPr="00050D84">
              <w:t xml:space="preserve">Time horizon (base case </w:t>
            </w:r>
            <w:r>
              <w:t>2</w:t>
            </w:r>
            <w:r w:rsidRPr="00050D84">
              <w:t>0 years)</w:t>
            </w:r>
          </w:p>
        </w:tc>
      </w:tr>
      <w:tr w:rsidR="005072DF" w:rsidRPr="00050D84" w14:paraId="044604C0"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1D4B5DFD" w14:textId="77777777" w:rsidR="005072DF" w:rsidRPr="00050D84" w:rsidRDefault="005072DF" w:rsidP="00D22060">
            <w:pPr>
              <w:pStyle w:val="TableText0"/>
              <w:keepNext w:val="0"/>
            </w:pPr>
            <w:r w:rsidRPr="00050D84">
              <w:t>1 year</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F61767E" w14:textId="77777777" w:rsidR="005072DF" w:rsidRPr="00050D84" w:rsidRDefault="005072DF" w:rsidP="00D22060">
            <w:pPr>
              <w:pStyle w:val="TableText0"/>
              <w:keepNext w:val="0"/>
              <w:jc w:val="right"/>
            </w:pPr>
            <w:r w:rsidRPr="00F45CB3">
              <w:t>$</w:t>
            </w:r>
            <w:r>
              <w:t>1,465</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090BB9D6" w14:textId="77777777" w:rsidR="005072DF" w:rsidRPr="00050D84" w:rsidRDefault="005072DF" w:rsidP="00D22060">
            <w:pPr>
              <w:pStyle w:val="TableText0"/>
              <w:keepNext w:val="0"/>
              <w:jc w:val="right"/>
            </w:pPr>
            <w:r>
              <w:t>0.020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21E4F62D" w14:textId="77777777" w:rsidR="005072DF" w:rsidRPr="00973B00" w:rsidRDefault="005072DF" w:rsidP="00D22060">
            <w:pPr>
              <w:pStyle w:val="TableText0"/>
              <w:keepNext w:val="0"/>
              <w:jc w:val="right"/>
            </w:pPr>
            <w:r w:rsidRPr="00790D73">
              <w:t>$</w:t>
            </w:r>
            <w:r>
              <w:t>72,245*</w:t>
            </w:r>
          </w:p>
        </w:tc>
        <w:tc>
          <w:tcPr>
            <w:tcW w:w="611" w:type="pct"/>
            <w:tcBorders>
              <w:top w:val="single" w:sz="4" w:space="0" w:color="auto"/>
              <w:left w:val="single" w:sz="4" w:space="0" w:color="auto"/>
              <w:bottom w:val="single" w:sz="4" w:space="0" w:color="auto"/>
            </w:tcBorders>
            <w:shd w:val="clear" w:color="auto" w:fill="auto"/>
          </w:tcPr>
          <w:p w14:paraId="67C4CEFF" w14:textId="77777777" w:rsidR="005072DF" w:rsidRPr="00050D84" w:rsidRDefault="005072DF" w:rsidP="00D22060">
            <w:pPr>
              <w:pStyle w:val="TableText0"/>
              <w:keepNext w:val="0"/>
              <w:jc w:val="right"/>
            </w:pPr>
            <w:r w:rsidRPr="003C347E">
              <w:rPr>
                <w:bCs/>
                <w:snapToGrid w:val="0"/>
              </w:rPr>
              <w:t>NA</w:t>
            </w:r>
          </w:p>
        </w:tc>
      </w:tr>
      <w:tr w:rsidR="005072DF" w:rsidRPr="00050D84" w14:paraId="140AE890"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0D30F3BF" w14:textId="77777777" w:rsidR="005072DF" w:rsidRPr="00050D84" w:rsidRDefault="005072DF" w:rsidP="00D22060">
            <w:pPr>
              <w:pStyle w:val="TableText0"/>
              <w:keepNext w:val="0"/>
            </w:pPr>
            <w:r>
              <w:t>2</w:t>
            </w:r>
            <w:r w:rsidRPr="00050D84">
              <w:t xml:space="preserve"> years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A03B07E" w14:textId="77777777" w:rsidR="005072DF" w:rsidRPr="00050D84" w:rsidRDefault="005072DF" w:rsidP="00D22060">
            <w:pPr>
              <w:pStyle w:val="TableText0"/>
              <w:keepNext w:val="0"/>
              <w:jc w:val="right"/>
            </w:pPr>
            <w:r>
              <w:t>-</w:t>
            </w:r>
            <w:r w:rsidRPr="00F45CB3">
              <w:t>$</w:t>
            </w:r>
            <w:r>
              <w:t>2,555</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A969DE6" w14:textId="77777777" w:rsidR="005072DF" w:rsidRPr="00050D84" w:rsidRDefault="005072DF" w:rsidP="00D22060">
            <w:pPr>
              <w:pStyle w:val="TableText0"/>
              <w:keepNext w:val="0"/>
              <w:jc w:val="right"/>
            </w:pPr>
            <w:r>
              <w:t>0.043</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2F346F60" w14:textId="77777777" w:rsidR="005072DF" w:rsidRPr="00973B00"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09A18228" w14:textId="77777777" w:rsidR="005072DF" w:rsidRPr="00050D84" w:rsidRDefault="005072DF" w:rsidP="00D22060">
            <w:pPr>
              <w:pStyle w:val="TableText0"/>
              <w:keepNext w:val="0"/>
              <w:jc w:val="right"/>
            </w:pPr>
            <w:r w:rsidRPr="003C347E">
              <w:rPr>
                <w:bCs/>
                <w:snapToGrid w:val="0"/>
              </w:rPr>
              <w:t>NA</w:t>
            </w:r>
          </w:p>
        </w:tc>
      </w:tr>
      <w:tr w:rsidR="005072DF" w:rsidRPr="00050D84" w14:paraId="6E50E07F"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0188A05A" w14:textId="77777777" w:rsidR="005072DF" w:rsidRPr="00050D84" w:rsidRDefault="005072DF" w:rsidP="00D22060">
            <w:pPr>
              <w:pStyle w:val="TableText0"/>
              <w:keepNext w:val="0"/>
            </w:pPr>
            <w:r>
              <w:t>5</w:t>
            </w:r>
            <w:r w:rsidRPr="00050D84">
              <w:t xml:space="preserve"> years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17C4D79" w14:textId="77777777" w:rsidR="005072DF" w:rsidRPr="00050D84" w:rsidRDefault="005072DF" w:rsidP="00D22060">
            <w:pPr>
              <w:pStyle w:val="TableText0"/>
              <w:keepNext w:val="0"/>
              <w:jc w:val="right"/>
            </w:pPr>
            <w:r>
              <w:t>-</w:t>
            </w:r>
            <w:r w:rsidRPr="00F45CB3">
              <w:t>$</w:t>
            </w:r>
            <w:r>
              <w:t>3,347</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48B4FE50" w14:textId="77777777" w:rsidR="005072DF" w:rsidRPr="00050D84" w:rsidRDefault="005072DF" w:rsidP="00D22060">
            <w:pPr>
              <w:pStyle w:val="TableText0"/>
              <w:keepNext w:val="0"/>
              <w:jc w:val="right"/>
            </w:pPr>
            <w:r>
              <w:t>0.082</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628D22E5" w14:textId="77777777" w:rsidR="005072DF" w:rsidRPr="00973B00"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5B80913E" w14:textId="77777777" w:rsidR="005072DF" w:rsidRPr="00050D84" w:rsidRDefault="005072DF" w:rsidP="00D22060">
            <w:pPr>
              <w:pStyle w:val="TableText0"/>
              <w:keepNext w:val="0"/>
              <w:jc w:val="right"/>
            </w:pPr>
            <w:r w:rsidRPr="003C347E">
              <w:rPr>
                <w:bCs/>
                <w:snapToGrid w:val="0"/>
              </w:rPr>
              <w:t>NA</w:t>
            </w:r>
          </w:p>
        </w:tc>
      </w:tr>
      <w:tr w:rsidR="005072DF" w:rsidRPr="00050D84" w14:paraId="1B83A988"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2FC15456" w14:textId="77777777" w:rsidR="005072DF" w:rsidRPr="00050D84" w:rsidRDefault="005072DF" w:rsidP="00D22060">
            <w:pPr>
              <w:pStyle w:val="TableText0"/>
              <w:keepNext w:val="0"/>
            </w:pPr>
            <w:r>
              <w:t>10</w:t>
            </w:r>
            <w:r w:rsidRPr="00050D84">
              <w:t xml:space="preserve"> years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6CD25CF" w14:textId="77777777" w:rsidR="005072DF" w:rsidRPr="00050D84" w:rsidRDefault="005072DF" w:rsidP="00D22060">
            <w:pPr>
              <w:pStyle w:val="TableText0"/>
              <w:keepNext w:val="0"/>
              <w:jc w:val="right"/>
            </w:pPr>
            <w:r>
              <w:t>-</w:t>
            </w:r>
            <w:r w:rsidRPr="00F45CB3">
              <w:t>$</w:t>
            </w:r>
            <w:r>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27304361" w14:textId="77777777" w:rsidR="005072DF" w:rsidRPr="00050D84" w:rsidRDefault="005072DF" w:rsidP="00D22060">
            <w:pPr>
              <w:pStyle w:val="TableText0"/>
              <w:keepNext w:val="0"/>
              <w:jc w:val="right"/>
            </w:pPr>
            <w:r>
              <w:t>0.142</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0195972A" w14:textId="77777777" w:rsidR="005072DF" w:rsidRPr="00973B00"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62D4DF34" w14:textId="77777777" w:rsidR="005072DF" w:rsidRPr="00050D84" w:rsidRDefault="005072DF" w:rsidP="00D22060">
            <w:pPr>
              <w:pStyle w:val="TableText0"/>
              <w:keepNext w:val="0"/>
              <w:jc w:val="right"/>
            </w:pPr>
            <w:r w:rsidRPr="003C347E">
              <w:rPr>
                <w:bCs/>
                <w:snapToGrid w:val="0"/>
              </w:rPr>
              <w:t>NA</w:t>
            </w:r>
          </w:p>
        </w:tc>
      </w:tr>
      <w:tr w:rsidR="005072DF" w:rsidRPr="00050D84" w14:paraId="46DF0749" w14:textId="77777777" w:rsidTr="00D22060">
        <w:tc>
          <w:tcPr>
            <w:tcW w:w="5000" w:type="pct"/>
            <w:gridSpan w:val="7"/>
            <w:shd w:val="clear" w:color="auto" w:fill="auto"/>
          </w:tcPr>
          <w:p w14:paraId="250B8AF8" w14:textId="77777777" w:rsidR="005072DF" w:rsidRPr="00050D84" w:rsidRDefault="005072DF" w:rsidP="00D22060">
            <w:pPr>
              <w:pStyle w:val="TableText0"/>
              <w:keepNext w:val="0"/>
            </w:pPr>
            <w:r>
              <w:t>Relative risk DAC+abs vs. no DAC+abs</w:t>
            </w:r>
          </w:p>
        </w:tc>
      </w:tr>
      <w:tr w:rsidR="005072DF" w:rsidRPr="00050D84" w14:paraId="5967C576"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75276863" w14:textId="77777777" w:rsidR="005072DF" w:rsidRPr="00050D84" w:rsidRDefault="005072DF" w:rsidP="00D22060">
            <w:pPr>
              <w:pStyle w:val="TableText0"/>
              <w:keepNext w:val="0"/>
            </w:pPr>
            <w:r w:rsidRPr="00E27DDD">
              <w:t>Romanò 2016</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3DC9B40" w14:textId="77777777" w:rsidR="005072DF" w:rsidRPr="00050D84" w:rsidRDefault="005072DF" w:rsidP="00D22060">
            <w:pPr>
              <w:pStyle w:val="TableText0"/>
              <w:keepNext w:val="0"/>
            </w:pPr>
            <w:r>
              <w:t>lower 95% CI (0.004)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13C8E56" w14:textId="77777777" w:rsidR="005072DF" w:rsidRPr="00050D84" w:rsidRDefault="005072DF" w:rsidP="00D22060">
            <w:pPr>
              <w:pStyle w:val="TableText0"/>
              <w:keepNext w:val="0"/>
              <w:jc w:val="right"/>
            </w:pPr>
            <w:r>
              <w:t>-</w:t>
            </w:r>
            <w:r w:rsidRPr="005B41D7">
              <w:t>$</w:t>
            </w:r>
            <w:r>
              <w:t>4,024</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4B2D59E6" w14:textId="77777777" w:rsidR="005072DF" w:rsidRPr="00050D84" w:rsidRDefault="005072DF" w:rsidP="00D22060">
            <w:pPr>
              <w:pStyle w:val="TableText0"/>
              <w:keepNext w:val="0"/>
              <w:jc w:val="right"/>
            </w:pPr>
            <w:r>
              <w:t>0.22</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25DEB289" w14:textId="77777777" w:rsidR="005072DF" w:rsidRPr="00050D84"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6B73ED69" w14:textId="77777777" w:rsidR="005072DF" w:rsidRPr="00050D84" w:rsidRDefault="005072DF" w:rsidP="00D22060">
            <w:pPr>
              <w:pStyle w:val="TableText0"/>
              <w:keepNext w:val="0"/>
              <w:jc w:val="right"/>
            </w:pPr>
            <w:r w:rsidRPr="00793BFB">
              <w:rPr>
                <w:bCs/>
                <w:snapToGrid w:val="0"/>
              </w:rPr>
              <w:t>NA</w:t>
            </w:r>
          </w:p>
        </w:tc>
      </w:tr>
      <w:tr w:rsidR="005072DF" w:rsidRPr="00050D84" w14:paraId="63B333D5"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7D0F247E" w14:textId="77777777" w:rsidR="005072DF" w:rsidRDefault="005072DF" w:rsidP="00D22060">
            <w:pPr>
              <w:pStyle w:val="TableText0"/>
              <w:keepNext w:val="0"/>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48F7F3CD" w14:textId="77777777" w:rsidR="005072DF" w:rsidRDefault="005072DF" w:rsidP="00D22060">
            <w:pPr>
              <w:pStyle w:val="TableText0"/>
              <w:keepNext w:val="0"/>
            </w:pPr>
            <w:r>
              <w:t>higher 95% CI (1.10)</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B50ED64" w14:textId="77777777" w:rsidR="005072DF" w:rsidRPr="00050D84" w:rsidRDefault="005072DF" w:rsidP="00D22060">
            <w:pPr>
              <w:pStyle w:val="TableText0"/>
              <w:keepNext w:val="0"/>
              <w:jc w:val="right"/>
            </w:pPr>
            <w:r w:rsidRPr="005B41D7">
              <w:t>$</w:t>
            </w:r>
            <w:r>
              <w:t>8,820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1AB00114" w14:textId="77777777" w:rsidR="005072DF" w:rsidRPr="00050D84" w:rsidRDefault="005072DF" w:rsidP="00D22060">
            <w:pPr>
              <w:pStyle w:val="TableText0"/>
              <w:keepNext w:val="0"/>
              <w:jc w:val="right"/>
            </w:pPr>
            <w:r>
              <w:t>-0.030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6D261788" w14:textId="77777777" w:rsidR="005072DF" w:rsidRPr="00050D84" w:rsidRDefault="005072DF" w:rsidP="00D22060">
            <w:pPr>
              <w:pStyle w:val="TableText0"/>
              <w:keepNext w:val="0"/>
              <w:jc w:val="right"/>
            </w:pPr>
            <w:r>
              <w:t>DAC+abs is dominated*</w:t>
            </w:r>
          </w:p>
        </w:tc>
        <w:tc>
          <w:tcPr>
            <w:tcW w:w="611" w:type="pct"/>
            <w:tcBorders>
              <w:top w:val="single" w:sz="4" w:space="0" w:color="auto"/>
              <w:left w:val="single" w:sz="4" w:space="0" w:color="auto"/>
              <w:bottom w:val="single" w:sz="4" w:space="0" w:color="auto"/>
            </w:tcBorders>
            <w:shd w:val="clear" w:color="auto" w:fill="auto"/>
          </w:tcPr>
          <w:p w14:paraId="6961B03E" w14:textId="77777777" w:rsidR="005072DF" w:rsidRPr="00050D84" w:rsidRDefault="005072DF" w:rsidP="00D22060">
            <w:pPr>
              <w:pStyle w:val="TableText0"/>
              <w:keepNext w:val="0"/>
              <w:jc w:val="right"/>
            </w:pPr>
            <w:r w:rsidRPr="00793BFB">
              <w:rPr>
                <w:bCs/>
                <w:snapToGrid w:val="0"/>
              </w:rPr>
              <w:t>NA</w:t>
            </w:r>
          </w:p>
        </w:tc>
      </w:tr>
      <w:tr w:rsidR="005072DF" w:rsidRPr="00050D84" w14:paraId="0AC2171C" w14:textId="77777777" w:rsidTr="00D22060">
        <w:trPr>
          <w:cantSplit/>
        </w:trPr>
        <w:tc>
          <w:tcPr>
            <w:tcW w:w="1024" w:type="pct"/>
            <w:vMerge w:val="restart"/>
            <w:tcBorders>
              <w:top w:val="single" w:sz="4" w:space="0" w:color="auto"/>
              <w:bottom w:val="single" w:sz="4" w:space="0" w:color="auto"/>
              <w:right w:val="single" w:sz="4" w:space="0" w:color="auto"/>
            </w:tcBorders>
            <w:shd w:val="clear" w:color="auto" w:fill="auto"/>
          </w:tcPr>
          <w:p w14:paraId="6CD84F23" w14:textId="77777777" w:rsidR="005072DF" w:rsidRDefault="005072DF" w:rsidP="00D22060">
            <w:pPr>
              <w:pStyle w:val="TableText0"/>
              <w:keepNext w:val="0"/>
            </w:pPr>
            <w:r>
              <w:t>Zagra 2019</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4160ECF9" w14:textId="77777777" w:rsidR="005072DF" w:rsidRDefault="005072DF" w:rsidP="00D22060">
            <w:pPr>
              <w:pStyle w:val="TableText0"/>
              <w:keepNext w:val="0"/>
            </w:pPr>
            <w:r>
              <w:t>RR estimate (0.11)</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E6FDEA7" w14:textId="77777777" w:rsidR="005072DF" w:rsidRDefault="005072DF" w:rsidP="00D22060">
            <w:pPr>
              <w:pStyle w:val="TableText0"/>
              <w:keepNext w:val="0"/>
              <w:jc w:val="right"/>
            </w:pPr>
            <w:r>
              <w:t>-</w:t>
            </w:r>
            <w:r w:rsidRPr="005B41D7">
              <w:t>$</w:t>
            </w:r>
            <w:r>
              <w:t>2,882</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4BD9078" w14:textId="77777777" w:rsidR="005072DF" w:rsidRDefault="005072DF" w:rsidP="00D22060">
            <w:pPr>
              <w:pStyle w:val="TableText0"/>
              <w:keepNext w:val="0"/>
              <w:jc w:val="right"/>
            </w:pPr>
            <w:r>
              <w:t>0.20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75C49B2" w14:textId="77777777" w:rsidR="005072DF"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0A842668" w14:textId="77777777" w:rsidR="005072DF" w:rsidRPr="00050D84" w:rsidRDefault="005072DF" w:rsidP="00D22060">
            <w:pPr>
              <w:pStyle w:val="TableText0"/>
              <w:keepNext w:val="0"/>
              <w:jc w:val="right"/>
            </w:pPr>
            <w:r w:rsidRPr="00793BFB">
              <w:rPr>
                <w:bCs/>
                <w:snapToGrid w:val="0"/>
              </w:rPr>
              <w:t>NA</w:t>
            </w:r>
          </w:p>
        </w:tc>
      </w:tr>
      <w:tr w:rsidR="005072DF" w:rsidRPr="00050D84" w14:paraId="2C3083DE"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52FD50E8" w14:textId="77777777" w:rsidR="005072DF" w:rsidRDefault="005072DF" w:rsidP="00D22060">
            <w:pPr>
              <w:pStyle w:val="TableText0"/>
              <w:keepNext w:val="0"/>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B15B5E9" w14:textId="77777777" w:rsidR="005072DF" w:rsidRDefault="005072DF" w:rsidP="00D22060">
            <w:pPr>
              <w:pStyle w:val="TableText0"/>
              <w:keepNext w:val="0"/>
            </w:pPr>
            <w:r>
              <w:t>lower 95% CI (0.0063)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AF09F7B" w14:textId="77777777" w:rsidR="005072DF" w:rsidRDefault="005072DF" w:rsidP="00D22060">
            <w:pPr>
              <w:pStyle w:val="TableText0"/>
              <w:keepNext w:val="0"/>
              <w:jc w:val="right"/>
            </w:pPr>
            <w:r>
              <w:t>-</w:t>
            </w:r>
            <w:r w:rsidRPr="005B41D7">
              <w:t>$</w:t>
            </w:r>
            <w:r>
              <w:t>3,999</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2C232AD8" w14:textId="77777777" w:rsidR="005072DF" w:rsidRDefault="005072DF" w:rsidP="00D22060">
            <w:pPr>
              <w:pStyle w:val="TableText0"/>
              <w:keepNext w:val="0"/>
              <w:jc w:val="right"/>
            </w:pPr>
            <w:r>
              <w:t>0.22</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C2F6F5E" w14:textId="77777777" w:rsidR="005072DF"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22D04D41" w14:textId="77777777" w:rsidR="005072DF" w:rsidRPr="00050D84" w:rsidRDefault="005072DF" w:rsidP="00D22060">
            <w:pPr>
              <w:pStyle w:val="TableText0"/>
              <w:keepNext w:val="0"/>
              <w:jc w:val="right"/>
            </w:pPr>
            <w:r w:rsidRPr="00793BFB">
              <w:rPr>
                <w:bCs/>
                <w:snapToGrid w:val="0"/>
              </w:rPr>
              <w:t>NA</w:t>
            </w:r>
          </w:p>
        </w:tc>
      </w:tr>
      <w:tr w:rsidR="005072DF" w:rsidRPr="00050D84" w14:paraId="707CC1BA"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5C3F998A" w14:textId="77777777" w:rsidR="005072DF" w:rsidRDefault="005072DF" w:rsidP="00D22060">
            <w:pPr>
              <w:pStyle w:val="TableText0"/>
              <w:keepNext w:val="0"/>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EF21E53" w14:textId="77777777" w:rsidR="005072DF" w:rsidRDefault="005072DF" w:rsidP="00D22060">
            <w:pPr>
              <w:pStyle w:val="TableText0"/>
              <w:keepNext w:val="0"/>
            </w:pPr>
            <w:r>
              <w:t>higher 95% CI (1.97)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9820BCC" w14:textId="77777777" w:rsidR="005072DF" w:rsidRDefault="005072DF" w:rsidP="00D22060">
            <w:pPr>
              <w:pStyle w:val="TableText0"/>
              <w:keepNext w:val="0"/>
              <w:jc w:val="right"/>
            </w:pPr>
            <w:r w:rsidRPr="005B41D7">
              <w:t>$</w:t>
            </w:r>
            <w:r>
              <w:t>20,022</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0D0B936A" w14:textId="77777777" w:rsidR="005072DF" w:rsidRDefault="005072DF" w:rsidP="00D22060">
            <w:pPr>
              <w:pStyle w:val="TableText0"/>
              <w:keepNext w:val="0"/>
              <w:jc w:val="right"/>
            </w:pPr>
            <w:r>
              <w:t>-0.35</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1022F831" w14:textId="77777777" w:rsidR="005072DF" w:rsidRDefault="005072DF" w:rsidP="00D22060">
            <w:pPr>
              <w:pStyle w:val="TableText0"/>
              <w:keepNext w:val="0"/>
              <w:jc w:val="right"/>
            </w:pPr>
            <w:r>
              <w:t>DAC+abs is dominated*</w:t>
            </w:r>
          </w:p>
        </w:tc>
        <w:tc>
          <w:tcPr>
            <w:tcW w:w="611" w:type="pct"/>
            <w:tcBorders>
              <w:top w:val="single" w:sz="4" w:space="0" w:color="auto"/>
              <w:left w:val="single" w:sz="4" w:space="0" w:color="auto"/>
              <w:bottom w:val="single" w:sz="4" w:space="0" w:color="auto"/>
            </w:tcBorders>
            <w:shd w:val="clear" w:color="auto" w:fill="auto"/>
          </w:tcPr>
          <w:p w14:paraId="2898297F" w14:textId="77777777" w:rsidR="005072DF" w:rsidRPr="00050D84" w:rsidRDefault="005072DF" w:rsidP="00D22060">
            <w:pPr>
              <w:pStyle w:val="TableText0"/>
              <w:keepNext w:val="0"/>
              <w:jc w:val="right"/>
            </w:pPr>
            <w:r w:rsidRPr="00793BFB">
              <w:rPr>
                <w:bCs/>
                <w:snapToGrid w:val="0"/>
              </w:rPr>
              <w:t>NA</w:t>
            </w:r>
          </w:p>
        </w:tc>
      </w:tr>
      <w:tr w:rsidR="005072DF" w:rsidRPr="00050D84" w14:paraId="203784F2" w14:textId="77777777" w:rsidTr="00D22060">
        <w:trPr>
          <w:cantSplit/>
        </w:trPr>
        <w:tc>
          <w:tcPr>
            <w:tcW w:w="1024" w:type="pct"/>
            <w:vMerge w:val="restart"/>
            <w:tcBorders>
              <w:top w:val="single" w:sz="4" w:space="0" w:color="auto"/>
              <w:bottom w:val="single" w:sz="4" w:space="0" w:color="auto"/>
              <w:right w:val="single" w:sz="4" w:space="0" w:color="auto"/>
            </w:tcBorders>
            <w:shd w:val="clear" w:color="auto" w:fill="auto"/>
          </w:tcPr>
          <w:p w14:paraId="7D20FF8B" w14:textId="77777777" w:rsidR="005072DF" w:rsidRDefault="005072DF" w:rsidP="00D22060">
            <w:pPr>
              <w:pStyle w:val="TableText0"/>
              <w:keepNext w:val="0"/>
            </w:pPr>
            <w:r>
              <w:t>Capuano 2018</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5F864D0" w14:textId="77777777" w:rsidR="005072DF" w:rsidRDefault="005072DF" w:rsidP="00D22060">
            <w:pPr>
              <w:pStyle w:val="TableText0"/>
              <w:keepNext w:val="0"/>
            </w:pPr>
            <w:r>
              <w:t>RR estimate (0.67)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540805D" w14:textId="77777777" w:rsidR="005072DF" w:rsidRDefault="005072DF" w:rsidP="00D22060">
            <w:pPr>
              <w:pStyle w:val="TableText0"/>
              <w:keepNext w:val="0"/>
              <w:jc w:val="right"/>
            </w:pPr>
            <w:r w:rsidRPr="005B41D7">
              <w:t>$</w:t>
            </w:r>
            <w:r>
              <w:t>3,507</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268952EB" w14:textId="77777777" w:rsidR="005072DF" w:rsidRDefault="005072DF" w:rsidP="00D22060">
            <w:pPr>
              <w:pStyle w:val="TableText0"/>
              <w:keepNext w:val="0"/>
              <w:jc w:val="right"/>
            </w:pPr>
            <w:r>
              <w:t>0.088</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D3EC0C2" w14:textId="77777777" w:rsidR="005072DF" w:rsidRDefault="005072DF" w:rsidP="00D22060">
            <w:pPr>
              <w:pStyle w:val="TableText0"/>
              <w:keepNext w:val="0"/>
              <w:jc w:val="right"/>
            </w:pPr>
            <w:r w:rsidRPr="00014FB7">
              <w:t>$</w:t>
            </w:r>
            <w:r>
              <w:t>39,818*</w:t>
            </w:r>
          </w:p>
        </w:tc>
        <w:tc>
          <w:tcPr>
            <w:tcW w:w="611" w:type="pct"/>
            <w:tcBorders>
              <w:top w:val="single" w:sz="4" w:space="0" w:color="auto"/>
              <w:left w:val="single" w:sz="4" w:space="0" w:color="auto"/>
              <w:bottom w:val="single" w:sz="4" w:space="0" w:color="auto"/>
            </w:tcBorders>
            <w:shd w:val="clear" w:color="auto" w:fill="auto"/>
          </w:tcPr>
          <w:p w14:paraId="6B75C5F0" w14:textId="77777777" w:rsidR="005072DF" w:rsidRPr="00050D84" w:rsidRDefault="005072DF" w:rsidP="00D22060">
            <w:pPr>
              <w:pStyle w:val="TableText0"/>
              <w:keepNext w:val="0"/>
              <w:jc w:val="right"/>
            </w:pPr>
            <w:r w:rsidRPr="00793BFB">
              <w:rPr>
                <w:bCs/>
                <w:snapToGrid w:val="0"/>
              </w:rPr>
              <w:t>NA</w:t>
            </w:r>
          </w:p>
        </w:tc>
      </w:tr>
      <w:tr w:rsidR="005072DF" w:rsidRPr="00050D84" w14:paraId="55D8E74D"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0CF3FC07" w14:textId="77777777" w:rsidR="005072DF" w:rsidRDefault="005072DF" w:rsidP="00D22060">
            <w:pPr>
              <w:pStyle w:val="TableText0"/>
              <w:keepNext w:val="0"/>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718504B" w14:textId="77777777" w:rsidR="005072DF" w:rsidRDefault="005072DF" w:rsidP="00D22060">
            <w:pPr>
              <w:pStyle w:val="TableText0"/>
              <w:keepNext w:val="0"/>
            </w:pPr>
            <w:r>
              <w:t>lower 95% CI (0.12)</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ACD061E" w14:textId="77777777" w:rsidR="005072DF" w:rsidRDefault="005072DF" w:rsidP="00D22060">
            <w:pPr>
              <w:pStyle w:val="TableText0"/>
              <w:keepNext w:val="0"/>
              <w:jc w:val="right"/>
            </w:pPr>
            <w:r>
              <w:t>-</w:t>
            </w:r>
            <w:r w:rsidRPr="005B41D7">
              <w:t>$</w:t>
            </w:r>
            <w:r>
              <w:t>2,773</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6708191" w14:textId="77777777" w:rsidR="005072DF" w:rsidRDefault="005072DF" w:rsidP="00D22060">
            <w:pPr>
              <w:pStyle w:val="TableText0"/>
              <w:keepNext w:val="0"/>
              <w:jc w:val="right"/>
            </w:pPr>
            <w:r>
              <w:t>0.20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15277B42" w14:textId="77777777" w:rsidR="005072DF" w:rsidRDefault="005072DF" w:rsidP="00D22060">
            <w:pPr>
              <w:pStyle w:val="TableText0"/>
              <w:keepNext w:val="0"/>
              <w:jc w:val="right"/>
            </w:pPr>
            <w:r w:rsidRPr="000A5332">
              <w:t>DAC</w:t>
            </w:r>
            <w:r>
              <w:t>+abs</w:t>
            </w:r>
            <w:r w:rsidRPr="000A5332">
              <w:t xml:space="preserve"> is dominant</w:t>
            </w:r>
          </w:p>
        </w:tc>
        <w:tc>
          <w:tcPr>
            <w:tcW w:w="611" w:type="pct"/>
            <w:tcBorders>
              <w:top w:val="single" w:sz="4" w:space="0" w:color="auto"/>
              <w:left w:val="single" w:sz="4" w:space="0" w:color="auto"/>
              <w:bottom w:val="single" w:sz="4" w:space="0" w:color="auto"/>
            </w:tcBorders>
            <w:shd w:val="clear" w:color="auto" w:fill="auto"/>
          </w:tcPr>
          <w:p w14:paraId="26B055D1" w14:textId="77777777" w:rsidR="005072DF" w:rsidRPr="00050D84" w:rsidRDefault="005072DF" w:rsidP="00D22060">
            <w:pPr>
              <w:pStyle w:val="TableText0"/>
              <w:keepNext w:val="0"/>
              <w:jc w:val="right"/>
            </w:pPr>
            <w:r w:rsidRPr="00793BFB">
              <w:rPr>
                <w:bCs/>
                <w:snapToGrid w:val="0"/>
              </w:rPr>
              <w:t>NA</w:t>
            </w:r>
          </w:p>
        </w:tc>
      </w:tr>
      <w:tr w:rsidR="005072DF" w:rsidRPr="00050D84" w14:paraId="14FE1F82"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7D2E4D89" w14:textId="77777777" w:rsidR="005072DF" w:rsidRDefault="005072DF" w:rsidP="00D22060">
            <w:pPr>
              <w:pStyle w:val="TableText0"/>
              <w:keepNext w:val="0"/>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461756E" w14:textId="77777777" w:rsidR="005072DF" w:rsidRDefault="005072DF" w:rsidP="00D22060">
            <w:pPr>
              <w:pStyle w:val="TableText0"/>
              <w:keepNext w:val="0"/>
            </w:pPr>
            <w:r>
              <w:t>higher 95% CI (3.60)</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9E2F61E" w14:textId="77777777" w:rsidR="005072DF" w:rsidRDefault="005072DF" w:rsidP="00D22060">
            <w:pPr>
              <w:pStyle w:val="TableText0"/>
              <w:keepNext w:val="0"/>
              <w:jc w:val="right"/>
            </w:pPr>
            <w:r>
              <w:t>Model error</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308D229" w14:textId="77777777" w:rsidR="005072DF" w:rsidRDefault="005072DF" w:rsidP="00D22060">
            <w:pPr>
              <w:pStyle w:val="TableText0"/>
              <w:keepNext w:val="0"/>
              <w:jc w:val="right"/>
            </w:pPr>
            <w:r>
              <w:t>Model error</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4735300" w14:textId="77777777" w:rsidR="005072DF" w:rsidRDefault="005072DF" w:rsidP="00D22060">
            <w:pPr>
              <w:pStyle w:val="TableText0"/>
              <w:keepNext w:val="0"/>
              <w:jc w:val="right"/>
            </w:pPr>
            <w:r>
              <w:t>DAC+abs is dominated*</w:t>
            </w:r>
          </w:p>
        </w:tc>
        <w:tc>
          <w:tcPr>
            <w:tcW w:w="611" w:type="pct"/>
            <w:tcBorders>
              <w:top w:val="single" w:sz="4" w:space="0" w:color="auto"/>
              <w:left w:val="single" w:sz="4" w:space="0" w:color="auto"/>
              <w:bottom w:val="single" w:sz="4" w:space="0" w:color="auto"/>
            </w:tcBorders>
            <w:shd w:val="clear" w:color="auto" w:fill="auto"/>
          </w:tcPr>
          <w:p w14:paraId="4743F440" w14:textId="77777777" w:rsidR="005072DF" w:rsidRPr="00050D84" w:rsidRDefault="005072DF" w:rsidP="00D22060">
            <w:pPr>
              <w:pStyle w:val="TableText0"/>
              <w:keepNext w:val="0"/>
              <w:jc w:val="right"/>
            </w:pPr>
            <w:r w:rsidRPr="00793BFB">
              <w:rPr>
                <w:bCs/>
                <w:snapToGrid w:val="0"/>
              </w:rPr>
              <w:t>NA</w:t>
            </w:r>
          </w:p>
        </w:tc>
      </w:tr>
      <w:tr w:rsidR="005072DF" w14:paraId="764995BB" w14:textId="77777777" w:rsidTr="00D22060">
        <w:tc>
          <w:tcPr>
            <w:tcW w:w="5000" w:type="pct"/>
            <w:gridSpan w:val="7"/>
            <w:shd w:val="clear" w:color="auto" w:fill="auto"/>
          </w:tcPr>
          <w:p w14:paraId="740B730C" w14:textId="77777777" w:rsidR="005072DF" w:rsidRDefault="005072DF" w:rsidP="00D22060">
            <w:pPr>
              <w:pStyle w:val="TableText0"/>
              <w:keepNext w:val="0"/>
            </w:pPr>
            <w:r>
              <w:t>Probabilities</w:t>
            </w:r>
          </w:p>
        </w:tc>
      </w:tr>
      <w:tr w:rsidR="005072DF" w14:paraId="4921D7AF" w14:textId="77777777" w:rsidTr="00D22060">
        <w:tc>
          <w:tcPr>
            <w:tcW w:w="1024" w:type="pct"/>
            <w:vMerge w:val="restart"/>
            <w:tcBorders>
              <w:top w:val="single" w:sz="4" w:space="0" w:color="auto"/>
              <w:bottom w:val="single" w:sz="4" w:space="0" w:color="auto"/>
              <w:right w:val="single" w:sz="4" w:space="0" w:color="auto"/>
            </w:tcBorders>
            <w:shd w:val="clear" w:color="auto" w:fill="auto"/>
            <w:vAlign w:val="center"/>
          </w:tcPr>
          <w:p w14:paraId="0002293D" w14:textId="77777777" w:rsidR="005072DF" w:rsidRPr="00250965" w:rsidRDefault="005072DF" w:rsidP="00D22060">
            <w:pPr>
              <w:pStyle w:val="TableText0"/>
              <w:keepNext w:val="0"/>
              <w:rPr>
                <w:szCs w:val="20"/>
              </w:rPr>
            </w:pPr>
            <w:r w:rsidRPr="00250965">
              <w:rPr>
                <w:szCs w:val="20"/>
              </w:rPr>
              <w:t>Recurrent SSI</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6DF4B7D7" w14:textId="171BDF4F" w:rsidR="005072DF" w:rsidRDefault="005072DF" w:rsidP="00D22060">
            <w:pPr>
              <w:pStyle w:val="TableText0"/>
              <w:keepNext w:val="0"/>
            </w:pPr>
            <w:r>
              <w:t>+20% 1</w:t>
            </w:r>
            <w:r w:rsidRPr="005E284B">
              <w:rPr>
                <w:vertAlign w:val="superscript"/>
              </w:rPr>
              <w:t>st</w:t>
            </w:r>
            <w:r>
              <w:rPr>
                <w:vertAlign w:val="superscript"/>
              </w:rPr>
              <w:t xml:space="preserve"> </w:t>
            </w:r>
            <w:r>
              <w:t>cycle 39.19%</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03D932A" w14:textId="77777777" w:rsidR="005072DF" w:rsidRDefault="005072DF" w:rsidP="00D22060">
            <w:pPr>
              <w:pStyle w:val="TableText0"/>
              <w:keepNext w:val="0"/>
              <w:jc w:val="right"/>
            </w:pPr>
            <w:r>
              <w:t>-$5,458</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54394CA" w14:textId="77777777" w:rsidR="005072DF" w:rsidRDefault="005072DF" w:rsidP="00D22060">
            <w:pPr>
              <w:pStyle w:val="TableText0"/>
              <w:keepNext w:val="0"/>
              <w:jc w:val="right"/>
            </w:pPr>
            <w:r>
              <w:t>0.27</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CAFDDC0" w14:textId="77777777" w:rsidR="005072DF" w:rsidRPr="00431992" w:rsidRDefault="005072DF" w:rsidP="00D22060">
            <w:pPr>
              <w:pStyle w:val="TableText0"/>
              <w:keepNext w:val="0"/>
              <w:jc w:val="right"/>
              <w:rPr>
                <w:highlight w:val="green"/>
              </w:rPr>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01DAFCD3" w14:textId="77777777" w:rsidR="005072DF" w:rsidRDefault="005072DF" w:rsidP="00D22060">
            <w:pPr>
              <w:pStyle w:val="TableText0"/>
              <w:keepNext w:val="0"/>
              <w:jc w:val="right"/>
            </w:pPr>
            <w:r w:rsidRPr="00D230EA">
              <w:rPr>
                <w:bCs/>
                <w:snapToGrid w:val="0"/>
              </w:rPr>
              <w:t>NA</w:t>
            </w:r>
          </w:p>
        </w:tc>
      </w:tr>
      <w:tr w:rsidR="005072DF" w14:paraId="4221BA27" w14:textId="77777777" w:rsidTr="00D22060">
        <w:tc>
          <w:tcPr>
            <w:tcW w:w="1024" w:type="pct"/>
            <w:vMerge/>
            <w:tcBorders>
              <w:top w:val="single" w:sz="4" w:space="0" w:color="auto"/>
              <w:bottom w:val="single" w:sz="4" w:space="0" w:color="auto"/>
              <w:right w:val="single" w:sz="4" w:space="0" w:color="auto"/>
            </w:tcBorders>
            <w:shd w:val="clear" w:color="auto" w:fill="auto"/>
          </w:tcPr>
          <w:p w14:paraId="325C34C9"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661D631" w14:textId="13D62D63" w:rsidR="005072DF" w:rsidRDefault="005072DF" w:rsidP="00D22060">
            <w:pPr>
              <w:pStyle w:val="TableText0"/>
              <w:keepNext w:val="0"/>
            </w:pPr>
            <w:r>
              <w:t>+20% 2</w:t>
            </w:r>
            <w:r w:rsidRPr="005E284B">
              <w:rPr>
                <w:vertAlign w:val="superscript"/>
              </w:rPr>
              <w:t>nd</w:t>
            </w:r>
            <w:r>
              <w:t xml:space="preserve"> cycle 2.84%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262E11B" w14:textId="77777777" w:rsidR="005072DF" w:rsidRDefault="005072DF" w:rsidP="00D22060">
            <w:pPr>
              <w:pStyle w:val="TableText0"/>
              <w:keepNext w:val="0"/>
              <w:jc w:val="right"/>
            </w:pPr>
            <w:r>
              <w:t>-</w:t>
            </w:r>
            <w:r w:rsidRPr="00990AEF">
              <w:t>$</w:t>
            </w:r>
            <w:r>
              <w:t>3,335</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6629156"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6E6E89D9" w14:textId="77777777" w:rsidR="005072DF" w:rsidRPr="00C4562E" w:rsidRDefault="005072DF" w:rsidP="00D22060">
            <w:pPr>
              <w:pStyle w:val="TableText0"/>
              <w:keepNext w:val="0"/>
              <w:jc w:val="right"/>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21AB4278" w14:textId="77777777" w:rsidR="005072DF" w:rsidRDefault="005072DF" w:rsidP="00D22060">
            <w:pPr>
              <w:pStyle w:val="TableText0"/>
              <w:keepNext w:val="0"/>
              <w:jc w:val="right"/>
            </w:pPr>
            <w:r w:rsidRPr="00D230EA">
              <w:rPr>
                <w:bCs/>
                <w:snapToGrid w:val="0"/>
              </w:rPr>
              <w:t>NA</w:t>
            </w:r>
          </w:p>
        </w:tc>
      </w:tr>
      <w:tr w:rsidR="005072DF" w14:paraId="6EDB5C17" w14:textId="77777777" w:rsidTr="00D22060">
        <w:tc>
          <w:tcPr>
            <w:tcW w:w="1024" w:type="pct"/>
            <w:vMerge/>
            <w:tcBorders>
              <w:top w:val="single" w:sz="4" w:space="0" w:color="auto"/>
              <w:bottom w:val="single" w:sz="4" w:space="0" w:color="auto"/>
              <w:right w:val="single" w:sz="4" w:space="0" w:color="auto"/>
            </w:tcBorders>
            <w:shd w:val="clear" w:color="auto" w:fill="auto"/>
          </w:tcPr>
          <w:p w14:paraId="22EF4BBA"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138E514" w14:textId="5DFA85F0" w:rsidR="005072DF" w:rsidRDefault="005072DF" w:rsidP="00D22060">
            <w:pPr>
              <w:pStyle w:val="TableText0"/>
              <w:keepNext w:val="0"/>
            </w:pPr>
            <w:r>
              <w:t>+20% 3</w:t>
            </w:r>
            <w:r w:rsidRPr="00AF0A65">
              <w:rPr>
                <w:vertAlign w:val="superscript"/>
              </w:rPr>
              <w:t>rd</w:t>
            </w:r>
            <w:r>
              <w:t xml:space="preserve"> cycle 0.35%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EB90730" w14:textId="77777777" w:rsidR="005072DF" w:rsidRDefault="005072DF" w:rsidP="00D22060">
            <w:pPr>
              <w:pStyle w:val="TableText0"/>
              <w:keepNext w:val="0"/>
              <w:jc w:val="right"/>
            </w:pPr>
            <w:r>
              <w:t>-</w:t>
            </w:r>
            <w:r w:rsidRPr="00990AEF">
              <w:t>$</w:t>
            </w:r>
            <w:r>
              <w:t>3,375</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B556486"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45FE4956" w14:textId="77777777" w:rsidR="005072DF" w:rsidRPr="00C4562E" w:rsidRDefault="005072DF" w:rsidP="00D22060">
            <w:pPr>
              <w:pStyle w:val="TableText0"/>
              <w:keepNext w:val="0"/>
              <w:jc w:val="right"/>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47504E5F" w14:textId="77777777" w:rsidR="005072DF" w:rsidRDefault="005072DF" w:rsidP="00D22060">
            <w:pPr>
              <w:pStyle w:val="TableText0"/>
              <w:keepNext w:val="0"/>
              <w:jc w:val="right"/>
            </w:pPr>
            <w:r w:rsidRPr="00D230EA">
              <w:rPr>
                <w:bCs/>
                <w:snapToGrid w:val="0"/>
              </w:rPr>
              <w:t>NA</w:t>
            </w:r>
          </w:p>
        </w:tc>
      </w:tr>
      <w:tr w:rsidR="005072DF" w14:paraId="7169ACF3" w14:textId="77777777" w:rsidTr="00D22060">
        <w:tc>
          <w:tcPr>
            <w:tcW w:w="1024" w:type="pct"/>
            <w:vMerge/>
            <w:tcBorders>
              <w:top w:val="single" w:sz="4" w:space="0" w:color="auto"/>
              <w:bottom w:val="single" w:sz="4" w:space="0" w:color="auto"/>
              <w:right w:val="single" w:sz="4" w:space="0" w:color="auto"/>
            </w:tcBorders>
            <w:shd w:val="clear" w:color="auto" w:fill="auto"/>
          </w:tcPr>
          <w:p w14:paraId="7068C66E"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E914F56" w14:textId="34097456" w:rsidR="005072DF" w:rsidRDefault="005072DF" w:rsidP="00D22060">
            <w:pPr>
              <w:pStyle w:val="TableText0"/>
              <w:keepNext w:val="0"/>
            </w:pPr>
            <w:r>
              <w:t>+20% 4</w:t>
            </w:r>
            <w:r w:rsidRPr="00AF0A65">
              <w:rPr>
                <w:vertAlign w:val="superscript"/>
              </w:rPr>
              <w:t>th</w:t>
            </w:r>
            <w:r>
              <w:t xml:space="preserve"> cycle 1.44%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79D8D4E" w14:textId="77777777" w:rsidR="005072DF" w:rsidRDefault="005072DF" w:rsidP="00D22060">
            <w:pPr>
              <w:pStyle w:val="TableText0"/>
              <w:keepNext w:val="0"/>
              <w:jc w:val="right"/>
            </w:pPr>
            <w:r>
              <w:t>-$3,360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242B4F0"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4243F98" w14:textId="77777777" w:rsidR="005072DF" w:rsidRPr="00C4562E" w:rsidRDefault="005072DF" w:rsidP="00D22060">
            <w:pPr>
              <w:pStyle w:val="TableText0"/>
              <w:keepNext w:val="0"/>
              <w:jc w:val="right"/>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6DA86CFA" w14:textId="77777777" w:rsidR="005072DF" w:rsidRDefault="005072DF" w:rsidP="00D22060">
            <w:pPr>
              <w:pStyle w:val="TableText0"/>
              <w:keepNext w:val="0"/>
              <w:jc w:val="right"/>
            </w:pPr>
            <w:r w:rsidRPr="00D230EA">
              <w:rPr>
                <w:bCs/>
                <w:snapToGrid w:val="0"/>
              </w:rPr>
              <w:t>NA</w:t>
            </w:r>
          </w:p>
        </w:tc>
      </w:tr>
      <w:tr w:rsidR="005072DF" w14:paraId="44159AB6" w14:textId="77777777" w:rsidTr="00D22060">
        <w:tc>
          <w:tcPr>
            <w:tcW w:w="1024" w:type="pct"/>
            <w:vMerge/>
            <w:tcBorders>
              <w:top w:val="single" w:sz="4" w:space="0" w:color="auto"/>
              <w:bottom w:val="single" w:sz="4" w:space="0" w:color="auto"/>
              <w:right w:val="single" w:sz="4" w:space="0" w:color="auto"/>
            </w:tcBorders>
            <w:shd w:val="clear" w:color="auto" w:fill="auto"/>
          </w:tcPr>
          <w:p w14:paraId="7E1CE979"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3635C942" w14:textId="262EC3D2" w:rsidR="005072DF" w:rsidRDefault="005072DF" w:rsidP="00D22060">
            <w:pPr>
              <w:pStyle w:val="TableText0"/>
              <w:keepNext w:val="0"/>
            </w:pPr>
            <w:r>
              <w:t>-20% 1</w:t>
            </w:r>
            <w:r w:rsidRPr="005E284B">
              <w:rPr>
                <w:vertAlign w:val="superscript"/>
              </w:rPr>
              <w:t>st</w:t>
            </w:r>
            <w:r>
              <w:t xml:space="preserve"> cycle 26.13%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876BE05" w14:textId="77777777" w:rsidR="005072DF" w:rsidRDefault="005072DF" w:rsidP="00D22060">
            <w:pPr>
              <w:pStyle w:val="TableText0"/>
              <w:keepNext w:val="0"/>
              <w:jc w:val="right"/>
            </w:pPr>
            <w:r>
              <w:t>-</w:t>
            </w:r>
            <w:r w:rsidRPr="00990AEF">
              <w:t>$</w:t>
            </w:r>
            <w:r>
              <w:t>1,378</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0E64A5E1" w14:textId="77777777" w:rsidR="005072DF" w:rsidRDefault="005072DF" w:rsidP="00D22060">
            <w:pPr>
              <w:pStyle w:val="TableText0"/>
              <w:keepNext w:val="0"/>
              <w:jc w:val="right"/>
            </w:pPr>
            <w:r>
              <w:t>0.16</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463C56F8" w14:textId="77777777" w:rsidR="005072DF" w:rsidRPr="00431992" w:rsidRDefault="005072DF" w:rsidP="00D22060">
            <w:pPr>
              <w:pStyle w:val="TableText0"/>
              <w:keepNext w:val="0"/>
              <w:jc w:val="right"/>
              <w:rPr>
                <w:highlight w:val="green"/>
              </w:rPr>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13E144B5" w14:textId="77777777" w:rsidR="005072DF" w:rsidRDefault="005072DF" w:rsidP="00D22060">
            <w:pPr>
              <w:pStyle w:val="TableText0"/>
              <w:keepNext w:val="0"/>
              <w:jc w:val="right"/>
            </w:pPr>
            <w:r w:rsidRPr="00D230EA">
              <w:rPr>
                <w:bCs/>
                <w:snapToGrid w:val="0"/>
              </w:rPr>
              <w:t>NA</w:t>
            </w:r>
          </w:p>
        </w:tc>
      </w:tr>
      <w:tr w:rsidR="005072DF" w14:paraId="60DB1A40" w14:textId="77777777" w:rsidTr="00D22060">
        <w:tc>
          <w:tcPr>
            <w:tcW w:w="1024" w:type="pct"/>
            <w:vMerge/>
            <w:tcBorders>
              <w:top w:val="single" w:sz="4" w:space="0" w:color="auto"/>
              <w:bottom w:val="single" w:sz="4" w:space="0" w:color="auto"/>
              <w:right w:val="single" w:sz="4" w:space="0" w:color="auto"/>
            </w:tcBorders>
            <w:shd w:val="clear" w:color="auto" w:fill="auto"/>
          </w:tcPr>
          <w:p w14:paraId="0BDD127C"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3B1AD4C5" w14:textId="266D18FE" w:rsidR="005072DF" w:rsidRDefault="005072DF" w:rsidP="00D22060">
            <w:pPr>
              <w:pStyle w:val="TableText0"/>
              <w:keepNext w:val="0"/>
            </w:pPr>
            <w:r>
              <w:t>-20% 2</w:t>
            </w:r>
            <w:r w:rsidRPr="005E284B">
              <w:rPr>
                <w:vertAlign w:val="superscript"/>
              </w:rPr>
              <w:t>nd</w:t>
            </w:r>
            <w:r>
              <w:t xml:space="preserve"> cycle 1.90%</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F616C7A" w14:textId="77777777" w:rsidR="005072DF" w:rsidRDefault="005072DF" w:rsidP="00D22060">
            <w:pPr>
              <w:pStyle w:val="TableText0"/>
              <w:keepNext w:val="0"/>
              <w:jc w:val="right"/>
            </w:pPr>
            <w:r>
              <w:t>-$3,425</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278B2ECE"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218F6E4D" w14:textId="77777777" w:rsidR="005072DF" w:rsidRPr="00431992" w:rsidRDefault="005072DF" w:rsidP="00D22060">
            <w:pPr>
              <w:pStyle w:val="TableText0"/>
              <w:keepNext w:val="0"/>
              <w:jc w:val="right"/>
              <w:rPr>
                <w:highlight w:val="green"/>
              </w:rPr>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1687552B" w14:textId="77777777" w:rsidR="005072DF" w:rsidRDefault="005072DF" w:rsidP="00D22060">
            <w:pPr>
              <w:pStyle w:val="TableText0"/>
              <w:keepNext w:val="0"/>
              <w:jc w:val="right"/>
            </w:pPr>
            <w:r w:rsidRPr="00D230EA">
              <w:rPr>
                <w:bCs/>
                <w:snapToGrid w:val="0"/>
              </w:rPr>
              <w:t>NA</w:t>
            </w:r>
          </w:p>
        </w:tc>
      </w:tr>
      <w:tr w:rsidR="005072DF" w14:paraId="54C91522" w14:textId="77777777" w:rsidTr="00D22060">
        <w:tc>
          <w:tcPr>
            <w:tcW w:w="1024" w:type="pct"/>
            <w:vMerge/>
            <w:tcBorders>
              <w:top w:val="single" w:sz="4" w:space="0" w:color="auto"/>
              <w:bottom w:val="single" w:sz="4" w:space="0" w:color="auto"/>
              <w:right w:val="single" w:sz="4" w:space="0" w:color="auto"/>
            </w:tcBorders>
            <w:shd w:val="clear" w:color="auto" w:fill="auto"/>
          </w:tcPr>
          <w:p w14:paraId="508AFBF7"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EF11016" w14:textId="7C912EC9" w:rsidR="005072DF" w:rsidRDefault="005072DF" w:rsidP="00D22060">
            <w:pPr>
              <w:pStyle w:val="TableText0"/>
              <w:keepNext w:val="0"/>
            </w:pPr>
            <w:r>
              <w:t>-20% 3</w:t>
            </w:r>
            <w:r w:rsidRPr="00C4562E">
              <w:rPr>
                <w:vertAlign w:val="superscript"/>
              </w:rPr>
              <w:t>rd</w:t>
            </w:r>
            <w:r>
              <w:t xml:space="preserve"> cycle 0.23%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10328A3" w14:textId="77777777" w:rsidR="005072DF" w:rsidRDefault="005072DF" w:rsidP="00D22060">
            <w:pPr>
              <w:pStyle w:val="TableText0"/>
              <w:keepNext w:val="0"/>
              <w:jc w:val="right"/>
            </w:pPr>
            <w:r>
              <w:t>-</w:t>
            </w:r>
            <w:r w:rsidRPr="00990AEF">
              <w:t>$</w:t>
            </w:r>
            <w:r>
              <w:t>3,385</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13AA671"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21023DA" w14:textId="77777777" w:rsidR="005072DF" w:rsidRPr="00431992" w:rsidRDefault="005072DF" w:rsidP="00D22060">
            <w:pPr>
              <w:pStyle w:val="TableText0"/>
              <w:keepNext w:val="0"/>
              <w:jc w:val="right"/>
              <w:rPr>
                <w:highlight w:val="green"/>
              </w:rPr>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703C4FAA" w14:textId="77777777" w:rsidR="005072DF" w:rsidRDefault="005072DF" w:rsidP="00D22060">
            <w:pPr>
              <w:pStyle w:val="TableText0"/>
              <w:keepNext w:val="0"/>
              <w:jc w:val="right"/>
            </w:pPr>
            <w:r w:rsidRPr="00D230EA">
              <w:rPr>
                <w:bCs/>
                <w:snapToGrid w:val="0"/>
              </w:rPr>
              <w:t>NA</w:t>
            </w:r>
          </w:p>
        </w:tc>
      </w:tr>
      <w:tr w:rsidR="005072DF" w14:paraId="01ECBA32" w14:textId="77777777" w:rsidTr="00D22060">
        <w:tc>
          <w:tcPr>
            <w:tcW w:w="1024" w:type="pct"/>
            <w:vMerge/>
            <w:tcBorders>
              <w:top w:val="single" w:sz="4" w:space="0" w:color="auto"/>
              <w:bottom w:val="single" w:sz="4" w:space="0" w:color="auto"/>
              <w:right w:val="single" w:sz="4" w:space="0" w:color="auto"/>
            </w:tcBorders>
            <w:shd w:val="clear" w:color="auto" w:fill="auto"/>
          </w:tcPr>
          <w:p w14:paraId="413C943D"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4C0FCEA9" w14:textId="5BF93E0E" w:rsidR="005072DF" w:rsidRDefault="005072DF" w:rsidP="00D22060">
            <w:pPr>
              <w:pStyle w:val="TableText0"/>
              <w:keepNext w:val="0"/>
            </w:pPr>
            <w:r>
              <w:t>-20% 4</w:t>
            </w:r>
            <w:r w:rsidRPr="00C4562E">
              <w:rPr>
                <w:vertAlign w:val="superscript"/>
              </w:rPr>
              <w:t>th</w:t>
            </w:r>
            <w:r>
              <w:t xml:space="preserve"> cycle 0.96%</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57815D2" w14:textId="77777777" w:rsidR="005072DF" w:rsidRDefault="005072DF" w:rsidP="00D22060">
            <w:pPr>
              <w:pStyle w:val="TableText0"/>
              <w:keepNext w:val="0"/>
              <w:jc w:val="right"/>
            </w:pPr>
            <w:r w:rsidRPr="00990AEF">
              <w:t>$</w:t>
            </w:r>
            <w:r>
              <w:t>3,400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AE9C666"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56CF7DE" w14:textId="77777777" w:rsidR="005072DF" w:rsidRPr="00431992" w:rsidRDefault="005072DF" w:rsidP="00D22060">
            <w:pPr>
              <w:pStyle w:val="TableText0"/>
              <w:keepNext w:val="0"/>
              <w:jc w:val="right"/>
              <w:rPr>
                <w:highlight w:val="green"/>
              </w:rPr>
            </w:pPr>
            <w:r w:rsidRPr="00904F5D">
              <w:t>DAC</w:t>
            </w:r>
            <w:r>
              <w:t>+abs</w:t>
            </w:r>
            <w:r w:rsidRPr="00904F5D">
              <w:t xml:space="preserve"> is dominant</w:t>
            </w:r>
          </w:p>
        </w:tc>
        <w:tc>
          <w:tcPr>
            <w:tcW w:w="611" w:type="pct"/>
            <w:tcBorders>
              <w:top w:val="single" w:sz="4" w:space="0" w:color="auto"/>
              <w:left w:val="single" w:sz="4" w:space="0" w:color="auto"/>
              <w:bottom w:val="single" w:sz="4" w:space="0" w:color="auto"/>
            </w:tcBorders>
            <w:shd w:val="clear" w:color="auto" w:fill="auto"/>
          </w:tcPr>
          <w:p w14:paraId="306DDE0F" w14:textId="77777777" w:rsidR="005072DF" w:rsidRDefault="005072DF" w:rsidP="00D22060">
            <w:pPr>
              <w:pStyle w:val="TableText0"/>
              <w:keepNext w:val="0"/>
              <w:jc w:val="right"/>
            </w:pPr>
            <w:r w:rsidRPr="00D230EA">
              <w:rPr>
                <w:bCs/>
                <w:snapToGrid w:val="0"/>
              </w:rPr>
              <w:t>NA</w:t>
            </w:r>
          </w:p>
        </w:tc>
      </w:tr>
      <w:tr w:rsidR="005072DF" w14:paraId="32548A2B"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71AFD459" w14:textId="77777777" w:rsidR="005072DF" w:rsidRPr="00250965" w:rsidRDefault="005072DF" w:rsidP="00D22060">
            <w:pPr>
              <w:pStyle w:val="TableText0"/>
              <w:keepNext w:val="0"/>
              <w:rPr>
                <w:szCs w:val="20"/>
              </w:rPr>
            </w:pPr>
            <w:r w:rsidRPr="00250965">
              <w:rPr>
                <w:szCs w:val="20"/>
              </w:rPr>
              <w:t>Death revision first year</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1723F6B" w14:textId="70B8CF4F" w:rsidR="005072DF" w:rsidRDefault="005072DF" w:rsidP="00D22060">
            <w:pPr>
              <w:pStyle w:val="TableText0"/>
              <w:keepNext w:val="0"/>
            </w:pPr>
            <w:r>
              <w:t>+20% (3.23%)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6F79143" w14:textId="77777777" w:rsidR="005072DF" w:rsidRDefault="005072DF" w:rsidP="00D22060">
            <w:pPr>
              <w:pStyle w:val="TableText0"/>
              <w:keepNext w:val="0"/>
              <w:jc w:val="right"/>
            </w:pPr>
            <w:r>
              <w:t>-</w:t>
            </w:r>
            <w:r w:rsidRPr="00990AEF">
              <w:t>$</w:t>
            </w:r>
            <w:r>
              <w:t>3,374</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28C8352" w14:textId="77777777" w:rsidR="005072DF" w:rsidRDefault="005072DF" w:rsidP="00D22060">
            <w:pPr>
              <w:pStyle w:val="TableText0"/>
              <w:keepNext w:val="0"/>
              <w:jc w:val="right"/>
            </w:pPr>
            <w:r>
              <w:t>0.20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396A6CF" w14:textId="77777777" w:rsidR="005072DF" w:rsidRPr="00431992" w:rsidRDefault="005072DF" w:rsidP="00D22060">
            <w:pPr>
              <w:pStyle w:val="TableText0"/>
              <w:keepNext w:val="0"/>
              <w:jc w:val="right"/>
              <w:rPr>
                <w:highlight w:val="green"/>
              </w:rPr>
            </w:pPr>
            <w:r w:rsidRPr="008E22DF">
              <w:t>DAC</w:t>
            </w:r>
            <w:r>
              <w:t>+abs</w:t>
            </w:r>
            <w:r w:rsidRPr="008E22DF">
              <w:t xml:space="preserve"> is dominant</w:t>
            </w:r>
          </w:p>
        </w:tc>
        <w:tc>
          <w:tcPr>
            <w:tcW w:w="611" w:type="pct"/>
            <w:tcBorders>
              <w:top w:val="single" w:sz="4" w:space="0" w:color="auto"/>
              <w:left w:val="single" w:sz="4" w:space="0" w:color="auto"/>
              <w:bottom w:val="single" w:sz="4" w:space="0" w:color="auto"/>
            </w:tcBorders>
            <w:shd w:val="clear" w:color="auto" w:fill="auto"/>
          </w:tcPr>
          <w:p w14:paraId="558A365E" w14:textId="77777777" w:rsidR="005072DF" w:rsidRDefault="005072DF" w:rsidP="00D22060">
            <w:pPr>
              <w:pStyle w:val="TableText0"/>
              <w:keepNext w:val="0"/>
              <w:jc w:val="right"/>
            </w:pPr>
            <w:r w:rsidRPr="00D230EA">
              <w:rPr>
                <w:bCs/>
                <w:snapToGrid w:val="0"/>
              </w:rPr>
              <w:t>NA</w:t>
            </w:r>
          </w:p>
        </w:tc>
      </w:tr>
      <w:tr w:rsidR="005072DF" w14:paraId="2F5321D2" w14:textId="77777777" w:rsidTr="00D22060">
        <w:tc>
          <w:tcPr>
            <w:tcW w:w="1024" w:type="pct"/>
            <w:vMerge/>
            <w:tcBorders>
              <w:top w:val="single" w:sz="4" w:space="0" w:color="auto"/>
              <w:bottom w:val="single" w:sz="4" w:space="0" w:color="auto"/>
              <w:right w:val="single" w:sz="4" w:space="0" w:color="auto"/>
            </w:tcBorders>
            <w:shd w:val="clear" w:color="auto" w:fill="auto"/>
          </w:tcPr>
          <w:p w14:paraId="70455B2D"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FC7B919" w14:textId="38229AFD" w:rsidR="005072DF" w:rsidRDefault="005072DF" w:rsidP="00D22060">
            <w:pPr>
              <w:pStyle w:val="TableText0"/>
              <w:keepNext w:val="0"/>
            </w:pPr>
            <w:r>
              <w:t>-20% (2.15%)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C14AF5A" w14:textId="77777777" w:rsidR="005072DF" w:rsidRDefault="005072DF" w:rsidP="00D22060">
            <w:pPr>
              <w:pStyle w:val="TableText0"/>
              <w:keepNext w:val="0"/>
              <w:jc w:val="right"/>
            </w:pPr>
            <w:r>
              <w:t>-</w:t>
            </w:r>
            <w:r w:rsidRPr="00990AEF">
              <w:t>$</w:t>
            </w:r>
            <w:r>
              <w:t>3,386</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097DD2B" w14:textId="77777777" w:rsidR="005072DF" w:rsidRDefault="005072DF" w:rsidP="00D22060">
            <w:pPr>
              <w:pStyle w:val="TableText0"/>
              <w:keepNext w:val="0"/>
              <w:jc w:val="right"/>
            </w:pPr>
            <w:r>
              <w:t>0.20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D0CB3C8" w14:textId="77777777" w:rsidR="005072DF" w:rsidRPr="00431992" w:rsidRDefault="005072DF" w:rsidP="00D22060">
            <w:pPr>
              <w:pStyle w:val="TableText0"/>
              <w:keepNext w:val="0"/>
              <w:jc w:val="right"/>
              <w:rPr>
                <w:highlight w:val="green"/>
              </w:rPr>
            </w:pPr>
            <w:r w:rsidRPr="008E22DF">
              <w:t>DAC</w:t>
            </w:r>
            <w:r>
              <w:t>+abs</w:t>
            </w:r>
            <w:r w:rsidRPr="008E22DF">
              <w:t xml:space="preserve"> is dominant</w:t>
            </w:r>
          </w:p>
        </w:tc>
        <w:tc>
          <w:tcPr>
            <w:tcW w:w="611" w:type="pct"/>
            <w:tcBorders>
              <w:top w:val="single" w:sz="4" w:space="0" w:color="auto"/>
              <w:left w:val="single" w:sz="4" w:space="0" w:color="auto"/>
              <w:bottom w:val="single" w:sz="4" w:space="0" w:color="auto"/>
            </w:tcBorders>
            <w:shd w:val="clear" w:color="auto" w:fill="auto"/>
          </w:tcPr>
          <w:p w14:paraId="2B59CE7B" w14:textId="77777777" w:rsidR="005072DF" w:rsidRDefault="005072DF" w:rsidP="00D22060">
            <w:pPr>
              <w:pStyle w:val="TableText0"/>
              <w:keepNext w:val="0"/>
              <w:jc w:val="right"/>
            </w:pPr>
            <w:r w:rsidRPr="00D230EA">
              <w:rPr>
                <w:bCs/>
                <w:snapToGrid w:val="0"/>
              </w:rPr>
              <w:t>NA</w:t>
            </w:r>
          </w:p>
        </w:tc>
      </w:tr>
      <w:tr w:rsidR="005072DF" w14:paraId="01E480D6"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234546AA" w14:textId="77777777" w:rsidR="005072DF" w:rsidRPr="00250965" w:rsidRDefault="005072DF" w:rsidP="00D22060">
            <w:pPr>
              <w:pStyle w:val="TableText0"/>
              <w:keepNext w:val="0"/>
              <w:rPr>
                <w:szCs w:val="20"/>
              </w:rPr>
            </w:pPr>
            <w:r w:rsidRPr="00250965">
              <w:rPr>
                <w:szCs w:val="20"/>
              </w:rPr>
              <w:t>Death revision second year</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33B4A546" w14:textId="6A4687F2" w:rsidR="005072DF" w:rsidRDefault="005072DF" w:rsidP="00D22060">
            <w:pPr>
              <w:pStyle w:val="TableText0"/>
              <w:keepNext w:val="0"/>
            </w:pPr>
            <w:r>
              <w:t>+20% (1.61%)</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4354D24" w14:textId="77777777" w:rsidR="005072DF" w:rsidRDefault="005072DF" w:rsidP="00D22060">
            <w:pPr>
              <w:pStyle w:val="TableText0"/>
              <w:keepNext w:val="0"/>
              <w:jc w:val="right"/>
            </w:pPr>
            <w:r>
              <w:t>-</w:t>
            </w:r>
            <w:r w:rsidRPr="006D5642">
              <w:t>$</w:t>
            </w:r>
            <w:r>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BDD2854"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6E611EF1" w14:textId="77777777" w:rsidR="005072DF" w:rsidRPr="00431992" w:rsidRDefault="005072DF" w:rsidP="00D22060">
            <w:pPr>
              <w:pStyle w:val="TableText0"/>
              <w:keepNext w:val="0"/>
              <w:jc w:val="right"/>
              <w:rPr>
                <w:highlight w:val="green"/>
              </w:rPr>
            </w:pPr>
            <w:r w:rsidRPr="008E22DF">
              <w:t>DAC</w:t>
            </w:r>
            <w:r>
              <w:t>+abs</w:t>
            </w:r>
            <w:r w:rsidRPr="008E22DF">
              <w:t xml:space="preserve"> is dominant</w:t>
            </w:r>
          </w:p>
        </w:tc>
        <w:tc>
          <w:tcPr>
            <w:tcW w:w="611" w:type="pct"/>
            <w:tcBorders>
              <w:top w:val="single" w:sz="4" w:space="0" w:color="auto"/>
              <w:left w:val="single" w:sz="4" w:space="0" w:color="auto"/>
              <w:bottom w:val="single" w:sz="4" w:space="0" w:color="auto"/>
            </w:tcBorders>
            <w:shd w:val="clear" w:color="auto" w:fill="auto"/>
          </w:tcPr>
          <w:p w14:paraId="1EECEA48" w14:textId="77777777" w:rsidR="005072DF" w:rsidRDefault="005072DF" w:rsidP="00D22060">
            <w:pPr>
              <w:pStyle w:val="TableText0"/>
              <w:keepNext w:val="0"/>
              <w:jc w:val="right"/>
            </w:pPr>
            <w:r w:rsidRPr="00D230EA">
              <w:rPr>
                <w:bCs/>
                <w:snapToGrid w:val="0"/>
              </w:rPr>
              <w:t>NA</w:t>
            </w:r>
          </w:p>
        </w:tc>
      </w:tr>
      <w:tr w:rsidR="005072DF" w14:paraId="6BF1989D" w14:textId="77777777" w:rsidTr="00D22060">
        <w:tc>
          <w:tcPr>
            <w:tcW w:w="1024" w:type="pct"/>
            <w:vMerge/>
            <w:tcBorders>
              <w:top w:val="single" w:sz="4" w:space="0" w:color="auto"/>
              <w:bottom w:val="single" w:sz="4" w:space="0" w:color="auto"/>
              <w:right w:val="single" w:sz="4" w:space="0" w:color="auto"/>
            </w:tcBorders>
            <w:shd w:val="clear" w:color="auto" w:fill="auto"/>
          </w:tcPr>
          <w:p w14:paraId="362F3975"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4CBBFB52" w14:textId="04822CF5" w:rsidR="005072DF" w:rsidRDefault="005072DF" w:rsidP="00D22060">
            <w:pPr>
              <w:pStyle w:val="TableText0"/>
              <w:keepNext w:val="0"/>
            </w:pPr>
            <w:r>
              <w:t>-20% (1.07%)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2A56402" w14:textId="77777777" w:rsidR="005072DF" w:rsidRDefault="005072DF" w:rsidP="00D22060">
            <w:pPr>
              <w:pStyle w:val="TableText0"/>
              <w:keepNext w:val="0"/>
              <w:jc w:val="right"/>
            </w:pPr>
            <w:r>
              <w:t>-</w:t>
            </w:r>
            <w:r w:rsidRPr="006D5642">
              <w:t>$</w:t>
            </w:r>
            <w:r>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DFA9E27" w14:textId="77777777" w:rsidR="005072DF" w:rsidRDefault="005072DF" w:rsidP="00D22060">
            <w:pPr>
              <w:pStyle w:val="TableText0"/>
              <w:keepNext w:val="0"/>
              <w:jc w:val="right"/>
            </w:pPr>
            <w:r>
              <w:t>0.20</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129240EC" w14:textId="77777777" w:rsidR="005072DF" w:rsidRPr="00431992" w:rsidRDefault="005072DF" w:rsidP="00D22060">
            <w:pPr>
              <w:pStyle w:val="TableText0"/>
              <w:keepNext w:val="0"/>
              <w:jc w:val="right"/>
              <w:rPr>
                <w:highlight w:val="green"/>
              </w:rPr>
            </w:pPr>
            <w:r w:rsidRPr="008E22DF">
              <w:t>DAC</w:t>
            </w:r>
            <w:r>
              <w:t>+abs</w:t>
            </w:r>
            <w:r w:rsidRPr="008E22DF">
              <w:t xml:space="preserve"> is dominant</w:t>
            </w:r>
          </w:p>
        </w:tc>
        <w:tc>
          <w:tcPr>
            <w:tcW w:w="611" w:type="pct"/>
            <w:tcBorders>
              <w:top w:val="single" w:sz="4" w:space="0" w:color="auto"/>
              <w:left w:val="single" w:sz="4" w:space="0" w:color="auto"/>
              <w:bottom w:val="single" w:sz="4" w:space="0" w:color="auto"/>
            </w:tcBorders>
            <w:shd w:val="clear" w:color="auto" w:fill="auto"/>
          </w:tcPr>
          <w:p w14:paraId="0FD14FDD" w14:textId="77777777" w:rsidR="005072DF" w:rsidRDefault="005072DF" w:rsidP="00D22060">
            <w:pPr>
              <w:pStyle w:val="TableText0"/>
              <w:keepNext w:val="0"/>
              <w:jc w:val="right"/>
            </w:pPr>
            <w:r w:rsidRPr="00D230EA">
              <w:rPr>
                <w:bCs/>
                <w:snapToGrid w:val="0"/>
              </w:rPr>
              <w:t>NA</w:t>
            </w:r>
          </w:p>
        </w:tc>
      </w:tr>
      <w:tr w:rsidR="005072DF" w14:paraId="54D881EE"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2E78BC3E" w14:textId="77777777" w:rsidR="005072DF" w:rsidRPr="00250965" w:rsidRDefault="005072DF" w:rsidP="00D22060">
            <w:pPr>
              <w:pStyle w:val="TableText0"/>
              <w:keepNext w:val="0"/>
              <w:rPr>
                <w:szCs w:val="20"/>
              </w:rPr>
            </w:pPr>
            <w:r>
              <w:rPr>
                <w:szCs w:val="20"/>
              </w:rPr>
              <w:t>Removal SSI</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68DA5E14" w14:textId="36C2694C" w:rsidR="005072DF" w:rsidRDefault="005072DF" w:rsidP="00D22060">
            <w:pPr>
              <w:pStyle w:val="TableText0"/>
              <w:keepNext w:val="0"/>
            </w:pPr>
            <w:r>
              <w:t>+20% (1.69%)</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C581104" w14:textId="77777777" w:rsidR="005072DF" w:rsidRDefault="005072DF" w:rsidP="00D22060">
            <w:pPr>
              <w:pStyle w:val="TableText0"/>
              <w:keepNext w:val="0"/>
              <w:jc w:val="right"/>
            </w:pPr>
            <w:r>
              <w:t>-</w:t>
            </w:r>
            <w:r w:rsidRPr="006D5642">
              <w:t>$</w:t>
            </w:r>
            <w:r>
              <w:t>3,364</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9918192"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E24A3F1" w14:textId="77777777" w:rsidR="005072DF" w:rsidRPr="00431992" w:rsidRDefault="005072DF" w:rsidP="00D22060">
            <w:pPr>
              <w:pStyle w:val="TableText0"/>
              <w:keepNext w:val="0"/>
              <w:jc w:val="right"/>
              <w:rPr>
                <w:highlight w:val="green"/>
              </w:rPr>
            </w:pPr>
            <w:r w:rsidRPr="008E22DF">
              <w:t>DAC</w:t>
            </w:r>
            <w:r>
              <w:t>+abs</w:t>
            </w:r>
            <w:r w:rsidRPr="008E22DF">
              <w:t xml:space="preserve"> is dominant</w:t>
            </w:r>
          </w:p>
        </w:tc>
        <w:tc>
          <w:tcPr>
            <w:tcW w:w="611" w:type="pct"/>
            <w:tcBorders>
              <w:top w:val="single" w:sz="4" w:space="0" w:color="auto"/>
              <w:left w:val="single" w:sz="4" w:space="0" w:color="auto"/>
              <w:bottom w:val="single" w:sz="4" w:space="0" w:color="auto"/>
            </w:tcBorders>
            <w:shd w:val="clear" w:color="auto" w:fill="auto"/>
          </w:tcPr>
          <w:p w14:paraId="3EB22F97" w14:textId="77777777" w:rsidR="005072DF" w:rsidRDefault="005072DF" w:rsidP="00D22060">
            <w:pPr>
              <w:pStyle w:val="TableText0"/>
              <w:keepNext w:val="0"/>
              <w:jc w:val="right"/>
            </w:pPr>
            <w:r w:rsidRPr="00D230EA">
              <w:rPr>
                <w:bCs/>
                <w:snapToGrid w:val="0"/>
              </w:rPr>
              <w:t>NA</w:t>
            </w:r>
          </w:p>
        </w:tc>
      </w:tr>
      <w:tr w:rsidR="005072DF" w14:paraId="75D0AE14" w14:textId="77777777" w:rsidTr="00D22060">
        <w:tc>
          <w:tcPr>
            <w:tcW w:w="1024" w:type="pct"/>
            <w:vMerge/>
            <w:tcBorders>
              <w:top w:val="single" w:sz="4" w:space="0" w:color="auto"/>
              <w:bottom w:val="single" w:sz="4" w:space="0" w:color="auto"/>
              <w:right w:val="single" w:sz="4" w:space="0" w:color="auto"/>
            </w:tcBorders>
            <w:shd w:val="clear" w:color="auto" w:fill="auto"/>
          </w:tcPr>
          <w:p w14:paraId="10FD6BA5"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651746CC" w14:textId="6D4D4451" w:rsidR="005072DF" w:rsidRDefault="005072DF" w:rsidP="00D22060">
            <w:pPr>
              <w:pStyle w:val="TableText0"/>
              <w:keepNext w:val="0"/>
            </w:pPr>
            <w:r>
              <w:t>-20% (1.13%)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903E03E" w14:textId="77777777" w:rsidR="005072DF" w:rsidRDefault="005072DF" w:rsidP="00D22060">
            <w:pPr>
              <w:pStyle w:val="TableText0"/>
              <w:keepNext w:val="0"/>
              <w:jc w:val="right"/>
            </w:pPr>
            <w:r>
              <w:t>-</w:t>
            </w:r>
            <w:r w:rsidRPr="006D5642">
              <w:t>$</w:t>
            </w:r>
            <w:r>
              <w:t>3,396</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4BE8616"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0C2AD27C" w14:textId="77777777" w:rsidR="005072DF" w:rsidRPr="00431992" w:rsidRDefault="005072DF" w:rsidP="00D22060">
            <w:pPr>
              <w:pStyle w:val="TableText0"/>
              <w:keepNext w:val="0"/>
              <w:jc w:val="right"/>
              <w:rPr>
                <w:highlight w:val="green"/>
              </w:rPr>
            </w:pPr>
            <w:r w:rsidRPr="008E22DF">
              <w:t>DAC</w:t>
            </w:r>
            <w:r>
              <w:t>+abs</w:t>
            </w:r>
            <w:r w:rsidRPr="008E22DF">
              <w:t xml:space="preserve"> is dominant</w:t>
            </w:r>
          </w:p>
        </w:tc>
        <w:tc>
          <w:tcPr>
            <w:tcW w:w="611" w:type="pct"/>
            <w:tcBorders>
              <w:top w:val="single" w:sz="4" w:space="0" w:color="auto"/>
              <w:left w:val="single" w:sz="4" w:space="0" w:color="auto"/>
              <w:bottom w:val="single" w:sz="4" w:space="0" w:color="auto"/>
            </w:tcBorders>
            <w:shd w:val="clear" w:color="auto" w:fill="auto"/>
          </w:tcPr>
          <w:p w14:paraId="61D9A660" w14:textId="77777777" w:rsidR="005072DF" w:rsidRDefault="005072DF" w:rsidP="00D22060">
            <w:pPr>
              <w:pStyle w:val="TableText0"/>
              <w:keepNext w:val="0"/>
              <w:jc w:val="right"/>
            </w:pPr>
            <w:r w:rsidRPr="00D230EA">
              <w:rPr>
                <w:bCs/>
                <w:snapToGrid w:val="0"/>
              </w:rPr>
              <w:t>NA</w:t>
            </w:r>
          </w:p>
        </w:tc>
      </w:tr>
      <w:tr w:rsidR="005072DF" w14:paraId="3056CE1A" w14:textId="77777777" w:rsidTr="00D22060">
        <w:tc>
          <w:tcPr>
            <w:tcW w:w="5000" w:type="pct"/>
            <w:gridSpan w:val="7"/>
            <w:shd w:val="clear" w:color="auto" w:fill="auto"/>
            <w:vAlign w:val="center"/>
          </w:tcPr>
          <w:p w14:paraId="61B3231C" w14:textId="77777777" w:rsidR="005072DF" w:rsidRDefault="005072DF" w:rsidP="00D22060">
            <w:pPr>
              <w:pStyle w:val="TableText0"/>
              <w:keepNext w:val="0"/>
            </w:pPr>
            <w:r>
              <w:t>Health state costs</w:t>
            </w:r>
          </w:p>
        </w:tc>
      </w:tr>
      <w:tr w:rsidR="005072DF" w14:paraId="78D1D216"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0D2D88A0" w14:textId="77777777" w:rsidR="005072DF" w:rsidRPr="00250965" w:rsidRDefault="005072DF" w:rsidP="00D22060">
            <w:pPr>
              <w:pStyle w:val="TableText0"/>
              <w:keepNext w:val="0"/>
              <w:rPr>
                <w:szCs w:val="20"/>
              </w:rPr>
            </w:pPr>
            <w:r w:rsidRPr="00250965">
              <w:rPr>
                <w:szCs w:val="20"/>
              </w:rPr>
              <w:t>Revision</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26DF190D" w14:textId="64CD18DA" w:rsidR="005072DF" w:rsidRDefault="005072DF" w:rsidP="00D22060">
            <w:pPr>
              <w:pStyle w:val="TableText0"/>
              <w:keepNext w:val="0"/>
            </w:pPr>
            <w:r>
              <w:t>+20% ($35,368.37)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7D0C0AB" w14:textId="77777777" w:rsidR="005072DF" w:rsidRPr="00E062D0" w:rsidRDefault="005072DF" w:rsidP="00D22060">
            <w:pPr>
              <w:pStyle w:val="TableText0"/>
              <w:keepNext w:val="0"/>
              <w:jc w:val="right"/>
            </w:pPr>
            <w:r>
              <w:t>-</w:t>
            </w:r>
            <w:r w:rsidRPr="00575546">
              <w:t>$</w:t>
            </w:r>
            <w:r>
              <w:t>5,013</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7E7C3BC1" w14:textId="77777777" w:rsidR="005072DF" w:rsidRPr="00E062D0"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F0D60EF" w14:textId="77777777" w:rsidR="005072DF" w:rsidRPr="00E062D0" w:rsidRDefault="005072DF" w:rsidP="00D22060">
            <w:pPr>
              <w:pStyle w:val="TableText0"/>
              <w:keepNext w:val="0"/>
              <w:jc w:val="right"/>
            </w:pPr>
            <w:r w:rsidRPr="00BC51D4">
              <w:t>DAC</w:t>
            </w:r>
            <w:r>
              <w:t>+abs</w:t>
            </w:r>
            <w:r w:rsidRPr="00BC51D4">
              <w:t xml:space="preserve"> is dominant</w:t>
            </w:r>
          </w:p>
        </w:tc>
        <w:tc>
          <w:tcPr>
            <w:tcW w:w="611" w:type="pct"/>
            <w:tcBorders>
              <w:top w:val="single" w:sz="4" w:space="0" w:color="auto"/>
              <w:left w:val="single" w:sz="4" w:space="0" w:color="auto"/>
              <w:bottom w:val="single" w:sz="4" w:space="0" w:color="auto"/>
            </w:tcBorders>
            <w:shd w:val="clear" w:color="auto" w:fill="auto"/>
          </w:tcPr>
          <w:p w14:paraId="3F4C9A8C" w14:textId="77777777" w:rsidR="005072DF" w:rsidRDefault="005072DF" w:rsidP="00D22060">
            <w:pPr>
              <w:pStyle w:val="TableText0"/>
              <w:keepNext w:val="0"/>
              <w:jc w:val="right"/>
            </w:pPr>
            <w:r w:rsidRPr="00845946">
              <w:rPr>
                <w:bCs/>
                <w:snapToGrid w:val="0"/>
              </w:rPr>
              <w:t>NA</w:t>
            </w:r>
          </w:p>
        </w:tc>
      </w:tr>
      <w:tr w:rsidR="005072DF" w14:paraId="2611E937" w14:textId="77777777" w:rsidTr="00D22060">
        <w:tc>
          <w:tcPr>
            <w:tcW w:w="1024" w:type="pct"/>
            <w:vMerge/>
            <w:tcBorders>
              <w:top w:val="single" w:sz="4" w:space="0" w:color="auto"/>
              <w:bottom w:val="single" w:sz="4" w:space="0" w:color="auto"/>
              <w:right w:val="single" w:sz="4" w:space="0" w:color="auto"/>
            </w:tcBorders>
            <w:shd w:val="clear" w:color="auto" w:fill="auto"/>
          </w:tcPr>
          <w:p w14:paraId="24757F0B"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4A9795F2" w14:textId="010FCF96" w:rsidR="005072DF" w:rsidRDefault="005072DF" w:rsidP="00D22060">
            <w:pPr>
              <w:pStyle w:val="TableText0"/>
              <w:keepNext w:val="0"/>
            </w:pPr>
            <w:r>
              <w:t>-20% ($23,578.91)</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46053A9" w14:textId="77777777" w:rsidR="005072DF" w:rsidRPr="00E062D0" w:rsidRDefault="005072DF" w:rsidP="00D22060">
            <w:pPr>
              <w:pStyle w:val="TableText0"/>
              <w:keepNext w:val="0"/>
              <w:jc w:val="right"/>
            </w:pPr>
            <w:r>
              <w:t>-</w:t>
            </w:r>
            <w:r w:rsidRPr="00575546">
              <w:t>$</w:t>
            </w:r>
            <w:r>
              <w:t>1,747</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E763FB3" w14:textId="77777777" w:rsidR="005072DF" w:rsidRPr="00E062D0"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4976B6E7" w14:textId="77777777" w:rsidR="005072DF" w:rsidRPr="00E062D0" w:rsidRDefault="005072DF" w:rsidP="00D22060">
            <w:pPr>
              <w:pStyle w:val="TableText0"/>
              <w:keepNext w:val="0"/>
              <w:jc w:val="right"/>
            </w:pPr>
            <w:r w:rsidRPr="00BC51D4">
              <w:t>DAC</w:t>
            </w:r>
            <w:r>
              <w:t>+abs</w:t>
            </w:r>
            <w:r w:rsidRPr="00BC51D4">
              <w:t xml:space="preserve"> is dominant</w:t>
            </w:r>
          </w:p>
        </w:tc>
        <w:tc>
          <w:tcPr>
            <w:tcW w:w="611" w:type="pct"/>
            <w:tcBorders>
              <w:top w:val="single" w:sz="4" w:space="0" w:color="auto"/>
              <w:left w:val="single" w:sz="4" w:space="0" w:color="auto"/>
              <w:bottom w:val="single" w:sz="4" w:space="0" w:color="auto"/>
            </w:tcBorders>
            <w:shd w:val="clear" w:color="auto" w:fill="auto"/>
          </w:tcPr>
          <w:p w14:paraId="6A53A5F0" w14:textId="77777777" w:rsidR="005072DF" w:rsidRDefault="005072DF" w:rsidP="00D22060">
            <w:pPr>
              <w:pStyle w:val="TableText0"/>
              <w:keepNext w:val="0"/>
              <w:jc w:val="right"/>
            </w:pPr>
            <w:r w:rsidRPr="00845946">
              <w:rPr>
                <w:bCs/>
                <w:snapToGrid w:val="0"/>
              </w:rPr>
              <w:t>NA</w:t>
            </w:r>
          </w:p>
        </w:tc>
      </w:tr>
      <w:tr w:rsidR="005072DF" w14:paraId="4C585B8B"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182CB495" w14:textId="77777777" w:rsidR="005072DF" w:rsidRPr="00250965" w:rsidRDefault="005072DF" w:rsidP="00D22060">
            <w:pPr>
              <w:pStyle w:val="TableText0"/>
              <w:keepNext w:val="0"/>
              <w:rPr>
                <w:szCs w:val="20"/>
              </w:rPr>
            </w:pPr>
            <w:r w:rsidRPr="00250965">
              <w:rPr>
                <w:szCs w:val="20"/>
              </w:rPr>
              <w:t>Removal surgery</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6186431" w14:textId="4A61670F" w:rsidR="005072DF" w:rsidRDefault="005072DF" w:rsidP="00D22060">
            <w:pPr>
              <w:pStyle w:val="TableText0"/>
              <w:keepNext w:val="0"/>
            </w:pPr>
            <w:r>
              <w:t>+20% ($13,432.72)</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0C857C8" w14:textId="77777777" w:rsidR="005072DF" w:rsidRPr="00E062D0" w:rsidRDefault="005072DF" w:rsidP="00D22060">
            <w:pPr>
              <w:pStyle w:val="TableText0"/>
              <w:keepNext w:val="0"/>
              <w:jc w:val="right"/>
            </w:pPr>
            <w:r>
              <w:t>-</w:t>
            </w:r>
            <w:r w:rsidRPr="00575546">
              <w:t>$</w:t>
            </w:r>
            <w:r>
              <w:t>3,619</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50DC8566" w14:textId="77777777" w:rsidR="005072DF" w:rsidRPr="00E062D0"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6F669B4" w14:textId="77777777" w:rsidR="005072DF" w:rsidRPr="00E062D0" w:rsidRDefault="005072DF" w:rsidP="00D22060">
            <w:pPr>
              <w:pStyle w:val="TableText0"/>
              <w:keepNext w:val="0"/>
              <w:jc w:val="right"/>
            </w:pPr>
            <w:r w:rsidRPr="00BC51D4">
              <w:t>DAC</w:t>
            </w:r>
            <w:r>
              <w:t>+abs</w:t>
            </w:r>
            <w:r w:rsidRPr="00BC51D4">
              <w:t xml:space="preserve"> is dominant</w:t>
            </w:r>
          </w:p>
        </w:tc>
        <w:tc>
          <w:tcPr>
            <w:tcW w:w="611" w:type="pct"/>
            <w:tcBorders>
              <w:top w:val="single" w:sz="4" w:space="0" w:color="auto"/>
              <w:left w:val="single" w:sz="4" w:space="0" w:color="auto"/>
              <w:bottom w:val="single" w:sz="4" w:space="0" w:color="auto"/>
            </w:tcBorders>
            <w:shd w:val="clear" w:color="auto" w:fill="auto"/>
          </w:tcPr>
          <w:p w14:paraId="2641FB74" w14:textId="77777777" w:rsidR="005072DF" w:rsidRDefault="005072DF" w:rsidP="00D22060">
            <w:pPr>
              <w:pStyle w:val="TableText0"/>
              <w:keepNext w:val="0"/>
              <w:jc w:val="right"/>
            </w:pPr>
            <w:r w:rsidRPr="00845946">
              <w:rPr>
                <w:bCs/>
                <w:snapToGrid w:val="0"/>
              </w:rPr>
              <w:t>NA</w:t>
            </w:r>
          </w:p>
        </w:tc>
      </w:tr>
      <w:tr w:rsidR="005072DF" w14:paraId="36B81A35" w14:textId="77777777" w:rsidTr="00D22060">
        <w:tc>
          <w:tcPr>
            <w:tcW w:w="1024" w:type="pct"/>
            <w:vMerge/>
            <w:tcBorders>
              <w:top w:val="single" w:sz="4" w:space="0" w:color="auto"/>
              <w:bottom w:val="single" w:sz="4" w:space="0" w:color="auto"/>
              <w:right w:val="single" w:sz="4" w:space="0" w:color="auto"/>
            </w:tcBorders>
            <w:shd w:val="clear" w:color="auto" w:fill="auto"/>
          </w:tcPr>
          <w:p w14:paraId="74BCCB7E" w14:textId="77777777" w:rsidR="005072DF" w:rsidRPr="00250965"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09D7A57A" w14:textId="233FB053" w:rsidR="005072DF" w:rsidRDefault="005072DF" w:rsidP="00D22060">
            <w:pPr>
              <w:pStyle w:val="TableText0"/>
              <w:keepNext w:val="0"/>
            </w:pPr>
            <w:r>
              <w:t>-20% ($8,955.14)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0F3E0CF" w14:textId="77777777" w:rsidR="005072DF" w:rsidRPr="00E062D0" w:rsidRDefault="005072DF" w:rsidP="00D22060">
            <w:pPr>
              <w:pStyle w:val="TableText0"/>
              <w:keepNext w:val="0"/>
              <w:jc w:val="right"/>
            </w:pPr>
            <w:r>
              <w:t>-</w:t>
            </w:r>
            <w:r w:rsidRPr="00575546">
              <w:t>$</w:t>
            </w:r>
            <w:r>
              <w:t>3,141</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1704347A" w14:textId="77777777" w:rsidR="005072DF" w:rsidRPr="00E062D0"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175DE68B" w14:textId="77777777" w:rsidR="005072DF" w:rsidRPr="00E062D0" w:rsidRDefault="005072DF" w:rsidP="00D22060">
            <w:pPr>
              <w:pStyle w:val="TableText0"/>
              <w:keepNext w:val="0"/>
              <w:jc w:val="right"/>
            </w:pPr>
            <w:r w:rsidRPr="00BC51D4">
              <w:t>DAC</w:t>
            </w:r>
            <w:r>
              <w:t>+abs</w:t>
            </w:r>
            <w:r w:rsidRPr="00BC51D4">
              <w:t xml:space="preserve"> is dominant</w:t>
            </w:r>
          </w:p>
        </w:tc>
        <w:tc>
          <w:tcPr>
            <w:tcW w:w="611" w:type="pct"/>
            <w:tcBorders>
              <w:top w:val="single" w:sz="4" w:space="0" w:color="auto"/>
              <w:left w:val="single" w:sz="4" w:space="0" w:color="auto"/>
              <w:bottom w:val="single" w:sz="4" w:space="0" w:color="auto"/>
            </w:tcBorders>
            <w:shd w:val="clear" w:color="auto" w:fill="auto"/>
          </w:tcPr>
          <w:p w14:paraId="08621B25" w14:textId="77777777" w:rsidR="005072DF" w:rsidRDefault="005072DF" w:rsidP="00D22060">
            <w:pPr>
              <w:pStyle w:val="TableText0"/>
              <w:keepNext w:val="0"/>
              <w:jc w:val="right"/>
            </w:pPr>
            <w:r w:rsidRPr="00845946">
              <w:rPr>
                <w:bCs/>
                <w:snapToGrid w:val="0"/>
              </w:rPr>
              <w:t>NA</w:t>
            </w:r>
          </w:p>
        </w:tc>
      </w:tr>
      <w:tr w:rsidR="005072DF" w14:paraId="4D0ECF74" w14:textId="77777777" w:rsidTr="00D22060">
        <w:tc>
          <w:tcPr>
            <w:tcW w:w="5000" w:type="pct"/>
            <w:gridSpan w:val="7"/>
            <w:shd w:val="clear" w:color="auto" w:fill="auto"/>
            <w:vAlign w:val="center"/>
          </w:tcPr>
          <w:p w14:paraId="4FD22CD5" w14:textId="77777777" w:rsidR="005072DF" w:rsidRDefault="005072DF" w:rsidP="00D22060">
            <w:pPr>
              <w:pStyle w:val="TableText0"/>
              <w:keepNext w:val="0"/>
            </w:pPr>
            <w:r>
              <w:t>Other Costs</w:t>
            </w:r>
          </w:p>
        </w:tc>
      </w:tr>
      <w:tr w:rsidR="005072DF" w14:paraId="0AC00411"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4C397A71" w14:textId="5E388084" w:rsidR="005072DF" w:rsidRDefault="005072DF" w:rsidP="00D22060">
            <w:pPr>
              <w:pStyle w:val="TableText0"/>
              <w:keepNext w:val="0"/>
            </w:pPr>
            <w:r>
              <w:rPr>
                <w:szCs w:val="20"/>
              </w:rPr>
              <w:t xml:space="preserve">Cost for </w:t>
            </w:r>
            <w:r w:rsidR="00631974">
              <w:rPr>
                <w:szCs w:val="20"/>
              </w:rPr>
              <w:t xml:space="preserve">redacted </w:t>
            </w:r>
            <w:r>
              <w:rPr>
                <w:szCs w:val="20"/>
              </w:rPr>
              <w:t>DAC kit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41B3111" w14:textId="38A7417D" w:rsidR="005072DF" w:rsidRDefault="005072DF" w:rsidP="00D22060">
            <w:pPr>
              <w:pStyle w:val="TableText0"/>
              <w:keepNext w:val="0"/>
              <w:jc w:val="right"/>
            </w:pPr>
            <w:r>
              <w:t>-</w:t>
            </w:r>
            <w:r w:rsidRPr="00053D27">
              <w:t>$</w:t>
            </w:r>
            <w:r w:rsidR="007F5B73">
              <w:rPr>
                <w:b/>
                <w:bCs/>
              </w:rPr>
              <w:t>redacted</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2364838"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677D6D86" w14:textId="77777777" w:rsidR="005072DF" w:rsidRPr="00431992" w:rsidRDefault="005072DF" w:rsidP="00D22060">
            <w:pPr>
              <w:pStyle w:val="TableText0"/>
              <w:keepNext w:val="0"/>
              <w:jc w:val="right"/>
              <w:rPr>
                <w:highlight w:val="green"/>
              </w:rPr>
            </w:pPr>
            <w:r w:rsidRPr="00CB3FDE">
              <w:t>DAC</w:t>
            </w:r>
            <w:r>
              <w:t>+abs</w:t>
            </w:r>
            <w:r w:rsidRPr="00CB3FDE">
              <w:t xml:space="preserve"> is dominant</w:t>
            </w:r>
          </w:p>
        </w:tc>
        <w:tc>
          <w:tcPr>
            <w:tcW w:w="611" w:type="pct"/>
            <w:tcBorders>
              <w:top w:val="single" w:sz="4" w:space="0" w:color="auto"/>
              <w:left w:val="single" w:sz="4" w:space="0" w:color="auto"/>
              <w:bottom w:val="single" w:sz="4" w:space="0" w:color="auto"/>
            </w:tcBorders>
            <w:shd w:val="clear" w:color="auto" w:fill="auto"/>
          </w:tcPr>
          <w:p w14:paraId="51DF9E12" w14:textId="77777777" w:rsidR="005072DF" w:rsidRDefault="005072DF" w:rsidP="00D22060">
            <w:pPr>
              <w:pStyle w:val="TableText0"/>
              <w:keepNext w:val="0"/>
              <w:jc w:val="right"/>
            </w:pPr>
            <w:r>
              <w:rPr>
                <w:bCs/>
                <w:snapToGrid w:val="0"/>
              </w:rPr>
              <w:t>NA</w:t>
            </w:r>
          </w:p>
        </w:tc>
      </w:tr>
      <w:tr w:rsidR="005072DF" w14:paraId="5D06A82B"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0368A665" w14:textId="038823B8" w:rsidR="005072DF" w:rsidRDefault="005072DF" w:rsidP="00D22060">
            <w:pPr>
              <w:pStyle w:val="TableText0"/>
              <w:keepNext w:val="0"/>
            </w:pPr>
            <w:r>
              <w:rPr>
                <w:szCs w:val="20"/>
              </w:rPr>
              <w:t xml:space="preserve">Cost for </w:t>
            </w:r>
            <w:r w:rsidR="00631974">
              <w:rPr>
                <w:szCs w:val="20"/>
              </w:rPr>
              <w:t>redacted</w:t>
            </w:r>
            <w:r>
              <w:rPr>
                <w:szCs w:val="20"/>
              </w:rPr>
              <w:t xml:space="preserve"> DAC kits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0C4163B" w14:textId="18CEEC04" w:rsidR="005072DF" w:rsidRDefault="005072DF" w:rsidP="00D22060">
            <w:pPr>
              <w:pStyle w:val="TableText0"/>
              <w:keepNext w:val="0"/>
              <w:jc w:val="right"/>
            </w:pPr>
            <w:r>
              <w:t>-</w:t>
            </w:r>
            <w:r w:rsidRPr="00053D27">
              <w:t>$</w:t>
            </w:r>
            <w:r w:rsidR="007F5B73">
              <w:rPr>
                <w:b/>
                <w:bCs/>
              </w:rPr>
              <w:t xml:space="preserve"> redacted</w:t>
            </w:r>
            <w:r w:rsidR="007F5B73" w:rsidDel="007F5B73">
              <w:t xml:space="preserve"> </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5D95AF59"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274C1F9" w14:textId="77777777" w:rsidR="005072DF" w:rsidRPr="00431992" w:rsidRDefault="005072DF" w:rsidP="00D22060">
            <w:pPr>
              <w:pStyle w:val="TableText0"/>
              <w:keepNext w:val="0"/>
              <w:jc w:val="right"/>
              <w:rPr>
                <w:highlight w:val="green"/>
              </w:rPr>
            </w:pPr>
            <w:r w:rsidRPr="00CB3FDE">
              <w:t>DAC</w:t>
            </w:r>
            <w:r>
              <w:t>+abs</w:t>
            </w:r>
            <w:r w:rsidRPr="00CB3FDE">
              <w:t xml:space="preserve"> is dominant</w:t>
            </w:r>
          </w:p>
        </w:tc>
        <w:tc>
          <w:tcPr>
            <w:tcW w:w="611" w:type="pct"/>
            <w:tcBorders>
              <w:top w:val="single" w:sz="4" w:space="0" w:color="auto"/>
              <w:left w:val="single" w:sz="4" w:space="0" w:color="auto"/>
              <w:bottom w:val="single" w:sz="4" w:space="0" w:color="auto"/>
            </w:tcBorders>
            <w:shd w:val="clear" w:color="auto" w:fill="auto"/>
          </w:tcPr>
          <w:p w14:paraId="644242B9" w14:textId="77777777" w:rsidR="005072DF" w:rsidRDefault="005072DF" w:rsidP="00D22060">
            <w:pPr>
              <w:pStyle w:val="TableText0"/>
              <w:keepNext w:val="0"/>
              <w:jc w:val="right"/>
            </w:pPr>
            <w:r w:rsidRPr="00047E0F">
              <w:rPr>
                <w:bCs/>
                <w:snapToGrid w:val="0"/>
              </w:rPr>
              <w:t>NA</w:t>
            </w:r>
          </w:p>
        </w:tc>
      </w:tr>
      <w:tr w:rsidR="005072DF" w14:paraId="76A44654"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636E6837" w14:textId="55410256" w:rsidR="005072DF" w:rsidRDefault="005072DF" w:rsidP="00D22060">
            <w:pPr>
              <w:pStyle w:val="TableText0"/>
              <w:keepNext w:val="0"/>
            </w:pPr>
            <w:r>
              <w:rPr>
                <w:szCs w:val="20"/>
              </w:rPr>
              <w:t xml:space="preserve">Cost for </w:t>
            </w:r>
            <w:r w:rsidR="00631974">
              <w:rPr>
                <w:szCs w:val="20"/>
              </w:rPr>
              <w:t>redacted</w:t>
            </w:r>
            <w:r>
              <w:rPr>
                <w:szCs w:val="20"/>
              </w:rPr>
              <w:t xml:space="preserve"> DAC kits</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DA0E3B8" w14:textId="3A036F84" w:rsidR="005072DF" w:rsidRDefault="005072DF" w:rsidP="00D22060">
            <w:pPr>
              <w:pStyle w:val="TableText0"/>
              <w:keepNext w:val="0"/>
              <w:jc w:val="right"/>
            </w:pPr>
            <w:r>
              <w:t>-</w:t>
            </w:r>
            <w:r w:rsidRPr="00053D27">
              <w:t>$</w:t>
            </w:r>
            <w:r w:rsidR="007F5B73">
              <w:rPr>
                <w:b/>
                <w:bCs/>
              </w:rPr>
              <w:t xml:space="preserve"> redacted</w:t>
            </w:r>
            <w:r w:rsidR="007F5B73">
              <w:t xml:space="preserve"> </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404CC63C"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C5DD512" w14:textId="77777777" w:rsidR="005072DF" w:rsidRPr="00431992" w:rsidRDefault="005072DF" w:rsidP="00D22060">
            <w:pPr>
              <w:pStyle w:val="TableText0"/>
              <w:keepNext w:val="0"/>
              <w:jc w:val="right"/>
              <w:rPr>
                <w:highlight w:val="green"/>
              </w:rPr>
            </w:pPr>
            <w:r w:rsidRPr="00CB3FDE">
              <w:t>DAC</w:t>
            </w:r>
            <w:r>
              <w:t>+abs</w:t>
            </w:r>
            <w:r w:rsidRPr="00CB3FDE">
              <w:t xml:space="preserve"> is dominant</w:t>
            </w:r>
          </w:p>
        </w:tc>
        <w:tc>
          <w:tcPr>
            <w:tcW w:w="611" w:type="pct"/>
            <w:tcBorders>
              <w:top w:val="single" w:sz="4" w:space="0" w:color="auto"/>
              <w:left w:val="single" w:sz="4" w:space="0" w:color="auto"/>
              <w:bottom w:val="single" w:sz="4" w:space="0" w:color="auto"/>
            </w:tcBorders>
            <w:shd w:val="clear" w:color="auto" w:fill="auto"/>
          </w:tcPr>
          <w:p w14:paraId="16C3F540" w14:textId="77777777" w:rsidR="005072DF" w:rsidRDefault="005072DF" w:rsidP="00D22060">
            <w:pPr>
              <w:pStyle w:val="TableText0"/>
              <w:keepNext w:val="0"/>
              <w:jc w:val="right"/>
            </w:pPr>
            <w:r w:rsidRPr="00047E0F">
              <w:rPr>
                <w:bCs/>
                <w:snapToGrid w:val="0"/>
              </w:rPr>
              <w:t>NA</w:t>
            </w:r>
          </w:p>
        </w:tc>
      </w:tr>
      <w:tr w:rsidR="005072DF" w14:paraId="3E733107" w14:textId="77777777" w:rsidTr="005072DF">
        <w:tc>
          <w:tcPr>
            <w:tcW w:w="2144" w:type="pct"/>
            <w:gridSpan w:val="2"/>
            <w:tcBorders>
              <w:top w:val="single" w:sz="4" w:space="0" w:color="auto"/>
              <w:bottom w:val="single" w:sz="4" w:space="0" w:color="auto"/>
              <w:right w:val="single" w:sz="4" w:space="0" w:color="auto"/>
            </w:tcBorders>
            <w:shd w:val="clear" w:color="auto" w:fill="auto"/>
          </w:tcPr>
          <w:p w14:paraId="172AF98E" w14:textId="77777777" w:rsidR="005072DF" w:rsidRDefault="005072DF" w:rsidP="00D22060">
            <w:pPr>
              <w:pStyle w:val="TableText0"/>
              <w:keepNext w:val="0"/>
            </w:pPr>
            <w:r>
              <w:rPr>
                <w:szCs w:val="20"/>
              </w:rPr>
              <w:t>DAC price Franceschini 2020 lower range ($382.03)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6B48BEF" w14:textId="30D9DF5D" w:rsidR="005072DF" w:rsidRDefault="005072DF" w:rsidP="00D22060">
            <w:pPr>
              <w:pStyle w:val="TableText0"/>
              <w:keepNext w:val="0"/>
              <w:jc w:val="right"/>
            </w:pPr>
            <w:r>
              <w:t>-</w:t>
            </w:r>
            <w:r w:rsidRPr="00053D27">
              <w:t>$</w:t>
            </w:r>
            <w:r w:rsidR="007F5B73">
              <w:rPr>
                <w:b/>
                <w:bCs/>
              </w:rPr>
              <w:t xml:space="preserve"> redacted</w:t>
            </w:r>
            <w:r w:rsidR="007F5B73">
              <w:t xml:space="preserve"> </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7693760"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A7E38C3" w14:textId="77777777" w:rsidR="005072DF" w:rsidRPr="00431992" w:rsidRDefault="005072DF" w:rsidP="00D22060">
            <w:pPr>
              <w:pStyle w:val="TableText0"/>
              <w:keepNext w:val="0"/>
              <w:jc w:val="right"/>
              <w:rPr>
                <w:highlight w:val="green"/>
              </w:rPr>
            </w:pPr>
            <w:r w:rsidRPr="00CB3FDE">
              <w:t>DAC</w:t>
            </w:r>
            <w:r>
              <w:t>+abs</w:t>
            </w:r>
            <w:r w:rsidRPr="00CB3FDE">
              <w:t xml:space="preserve"> is dominant</w:t>
            </w:r>
          </w:p>
        </w:tc>
        <w:tc>
          <w:tcPr>
            <w:tcW w:w="611" w:type="pct"/>
            <w:tcBorders>
              <w:top w:val="single" w:sz="4" w:space="0" w:color="auto"/>
              <w:left w:val="single" w:sz="4" w:space="0" w:color="auto"/>
              <w:bottom w:val="single" w:sz="4" w:space="0" w:color="auto"/>
            </w:tcBorders>
            <w:shd w:val="clear" w:color="auto" w:fill="auto"/>
          </w:tcPr>
          <w:p w14:paraId="37547758" w14:textId="77777777" w:rsidR="005072DF" w:rsidRDefault="005072DF" w:rsidP="00D22060">
            <w:pPr>
              <w:pStyle w:val="TableText0"/>
              <w:keepNext w:val="0"/>
              <w:jc w:val="right"/>
            </w:pPr>
            <w:r w:rsidRPr="00047E0F">
              <w:rPr>
                <w:bCs/>
                <w:snapToGrid w:val="0"/>
              </w:rPr>
              <w:t>NA</w:t>
            </w:r>
          </w:p>
        </w:tc>
      </w:tr>
      <w:tr w:rsidR="005072DF" w14:paraId="20F63345" w14:textId="77777777" w:rsidTr="00D22060">
        <w:tc>
          <w:tcPr>
            <w:tcW w:w="5000" w:type="pct"/>
            <w:gridSpan w:val="7"/>
            <w:shd w:val="clear" w:color="auto" w:fill="auto"/>
            <w:vAlign w:val="center"/>
          </w:tcPr>
          <w:p w14:paraId="642CAD03" w14:textId="77777777" w:rsidR="005072DF" w:rsidRDefault="005072DF" w:rsidP="00D22060">
            <w:pPr>
              <w:pStyle w:val="TableText0"/>
              <w:keepNext w:val="0"/>
            </w:pPr>
            <w:r>
              <w:t>Utilities</w:t>
            </w:r>
          </w:p>
        </w:tc>
      </w:tr>
      <w:tr w:rsidR="005072DF" w14:paraId="38026222"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2019961D" w14:textId="77777777" w:rsidR="005072DF" w:rsidRPr="00250965" w:rsidRDefault="005072DF" w:rsidP="00D22060">
            <w:pPr>
              <w:pStyle w:val="TableText0"/>
              <w:keepNext w:val="0"/>
              <w:rPr>
                <w:szCs w:val="20"/>
              </w:rPr>
            </w:pPr>
            <w:r w:rsidRPr="00827D94">
              <w:rPr>
                <w:szCs w:val="20"/>
              </w:rPr>
              <w:t>Post treatment</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0A0AB48" w14:textId="35E6D320" w:rsidR="005072DF" w:rsidRDefault="005072DF" w:rsidP="00D22060">
            <w:pPr>
              <w:pStyle w:val="TableText0"/>
              <w:keepNext w:val="0"/>
            </w:pPr>
            <w:r>
              <w:t>Higher 95% CI (0.906)</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ED7AD56" w14:textId="77777777" w:rsidR="005072DF" w:rsidRDefault="005072DF" w:rsidP="00D22060">
            <w:pPr>
              <w:pStyle w:val="TableText0"/>
              <w:keepNext w:val="0"/>
              <w:jc w:val="right"/>
            </w:pPr>
            <w:r>
              <w:t>-</w:t>
            </w:r>
            <w:r w:rsidRPr="008163E2">
              <w:t>$</w:t>
            </w:r>
            <w:r>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321C7AF" w14:textId="77777777" w:rsidR="005072DF" w:rsidRDefault="005072DF" w:rsidP="00D22060">
            <w:pPr>
              <w:pStyle w:val="TableText0"/>
              <w:keepNext w:val="0"/>
              <w:jc w:val="right"/>
            </w:pPr>
            <w:r>
              <w:t>0.47</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1F65FC3" w14:textId="77777777" w:rsidR="005072DF" w:rsidRPr="00431992" w:rsidRDefault="005072DF" w:rsidP="00D22060">
            <w:pPr>
              <w:pStyle w:val="TableText0"/>
              <w:keepNext w:val="0"/>
              <w:jc w:val="right"/>
              <w:rPr>
                <w:highlight w:val="green"/>
              </w:rPr>
            </w:pPr>
            <w:r w:rsidRPr="00526BF5">
              <w:t>DAC</w:t>
            </w:r>
            <w:r>
              <w:t>+abs</w:t>
            </w:r>
            <w:r w:rsidRPr="00526BF5">
              <w:t xml:space="preserve"> is dominant</w:t>
            </w:r>
          </w:p>
        </w:tc>
        <w:tc>
          <w:tcPr>
            <w:tcW w:w="611" w:type="pct"/>
            <w:tcBorders>
              <w:top w:val="single" w:sz="4" w:space="0" w:color="auto"/>
              <w:left w:val="single" w:sz="4" w:space="0" w:color="auto"/>
              <w:bottom w:val="single" w:sz="4" w:space="0" w:color="auto"/>
            </w:tcBorders>
            <w:shd w:val="clear" w:color="auto" w:fill="auto"/>
          </w:tcPr>
          <w:p w14:paraId="53C497DA" w14:textId="77777777" w:rsidR="005072DF" w:rsidRDefault="005072DF" w:rsidP="00D22060">
            <w:pPr>
              <w:pStyle w:val="TableText0"/>
              <w:keepNext w:val="0"/>
              <w:jc w:val="right"/>
            </w:pPr>
            <w:r w:rsidRPr="00E428A4">
              <w:rPr>
                <w:bCs/>
                <w:snapToGrid w:val="0"/>
              </w:rPr>
              <w:t>NA</w:t>
            </w:r>
          </w:p>
        </w:tc>
      </w:tr>
      <w:tr w:rsidR="005072DF" w14:paraId="58FBBF11" w14:textId="77777777" w:rsidTr="00D22060">
        <w:tc>
          <w:tcPr>
            <w:tcW w:w="1024" w:type="pct"/>
            <w:vMerge/>
            <w:tcBorders>
              <w:top w:val="single" w:sz="4" w:space="0" w:color="auto"/>
              <w:bottom w:val="single" w:sz="4" w:space="0" w:color="auto"/>
              <w:right w:val="single" w:sz="4" w:space="0" w:color="auto"/>
            </w:tcBorders>
            <w:shd w:val="clear" w:color="auto" w:fill="auto"/>
          </w:tcPr>
          <w:p w14:paraId="4E7B8752" w14:textId="77777777" w:rsidR="005072DF" w:rsidRPr="00827D94"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4032DE0" w14:textId="41980840" w:rsidR="005072DF" w:rsidRDefault="005072DF" w:rsidP="00D22060">
            <w:pPr>
              <w:pStyle w:val="TableText0"/>
              <w:keepNext w:val="0"/>
            </w:pPr>
            <w:r>
              <w:t>Lower 95% CI (0.534)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903E974" w14:textId="77777777" w:rsidR="005072DF" w:rsidRDefault="005072DF" w:rsidP="00D22060">
            <w:pPr>
              <w:pStyle w:val="TableText0"/>
              <w:keepNext w:val="0"/>
              <w:jc w:val="right"/>
            </w:pPr>
            <w:r w:rsidRPr="008D2C61">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61FE360" w14:textId="77777777" w:rsidR="005072DF" w:rsidRDefault="005072DF" w:rsidP="00D22060">
            <w:pPr>
              <w:pStyle w:val="TableText0"/>
              <w:keepNext w:val="0"/>
              <w:jc w:val="right"/>
            </w:pPr>
            <w:r>
              <w:t>-0.056</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062CAB7" w14:textId="77777777" w:rsidR="005072DF" w:rsidRPr="00431992" w:rsidRDefault="005072DF" w:rsidP="00D22060">
            <w:pPr>
              <w:pStyle w:val="TableText0"/>
              <w:keepNext w:val="0"/>
              <w:jc w:val="right"/>
              <w:rPr>
                <w:highlight w:val="green"/>
              </w:rPr>
            </w:pPr>
            <w:r w:rsidRPr="00AF0A65">
              <w:t>$60,330</w:t>
            </w:r>
            <w:r>
              <w:t>*</w:t>
            </w:r>
          </w:p>
        </w:tc>
        <w:tc>
          <w:tcPr>
            <w:tcW w:w="611" w:type="pct"/>
            <w:tcBorders>
              <w:top w:val="single" w:sz="4" w:space="0" w:color="auto"/>
              <w:left w:val="single" w:sz="4" w:space="0" w:color="auto"/>
              <w:bottom w:val="single" w:sz="4" w:space="0" w:color="auto"/>
            </w:tcBorders>
            <w:shd w:val="clear" w:color="auto" w:fill="auto"/>
          </w:tcPr>
          <w:p w14:paraId="1907BD74" w14:textId="77777777" w:rsidR="005072DF" w:rsidRDefault="005072DF" w:rsidP="00D22060">
            <w:pPr>
              <w:pStyle w:val="TableText0"/>
              <w:keepNext w:val="0"/>
              <w:jc w:val="right"/>
            </w:pPr>
            <w:r w:rsidRPr="00E428A4">
              <w:rPr>
                <w:bCs/>
                <w:snapToGrid w:val="0"/>
              </w:rPr>
              <w:t>NA</w:t>
            </w:r>
          </w:p>
        </w:tc>
      </w:tr>
      <w:tr w:rsidR="005072DF" w14:paraId="3C604063"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4CDDC44B" w14:textId="77777777" w:rsidR="005072DF" w:rsidRPr="00250965" w:rsidRDefault="005072DF" w:rsidP="00D22060">
            <w:pPr>
              <w:pStyle w:val="TableText0"/>
              <w:keepNext w:val="0"/>
              <w:rPr>
                <w:szCs w:val="20"/>
              </w:rPr>
            </w:pPr>
            <w:r w:rsidRPr="00827D94">
              <w:rPr>
                <w:szCs w:val="20"/>
              </w:rPr>
              <w:t>Revision for infection</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72C05845" w14:textId="00816741" w:rsidR="005072DF" w:rsidRDefault="005072DF" w:rsidP="00D22060">
            <w:pPr>
              <w:pStyle w:val="TableText0"/>
              <w:keepNext w:val="0"/>
            </w:pPr>
            <w:r>
              <w:t>Higher 95% CI (0.976)</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80745E7" w14:textId="77777777" w:rsidR="005072DF" w:rsidRDefault="005072DF" w:rsidP="00D22060">
            <w:pPr>
              <w:pStyle w:val="TableText0"/>
              <w:keepNext w:val="0"/>
              <w:jc w:val="right"/>
            </w:pPr>
            <w:r w:rsidRPr="008D2C61">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2A118C0E" w14:textId="77777777" w:rsidR="005072DF" w:rsidRDefault="005072DF" w:rsidP="00D22060">
            <w:pPr>
              <w:pStyle w:val="TableText0"/>
              <w:keepNext w:val="0"/>
              <w:jc w:val="right"/>
            </w:pPr>
            <w:r>
              <w:t>0.098</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7E36C674" w14:textId="77777777" w:rsidR="005072DF" w:rsidRPr="00431992" w:rsidRDefault="005072DF" w:rsidP="00D22060">
            <w:pPr>
              <w:pStyle w:val="TableText0"/>
              <w:keepNext w:val="0"/>
              <w:jc w:val="right"/>
              <w:rPr>
                <w:highlight w:val="green"/>
              </w:rPr>
            </w:pPr>
            <w:r w:rsidRPr="00526BF5">
              <w:t>DAC</w:t>
            </w:r>
            <w:r>
              <w:t>+abs</w:t>
            </w:r>
            <w:r w:rsidRPr="00526BF5">
              <w:t xml:space="preserve"> is dominant</w:t>
            </w:r>
          </w:p>
        </w:tc>
        <w:tc>
          <w:tcPr>
            <w:tcW w:w="611" w:type="pct"/>
            <w:tcBorders>
              <w:top w:val="single" w:sz="4" w:space="0" w:color="auto"/>
              <w:left w:val="single" w:sz="4" w:space="0" w:color="auto"/>
              <w:bottom w:val="single" w:sz="4" w:space="0" w:color="auto"/>
            </w:tcBorders>
            <w:shd w:val="clear" w:color="auto" w:fill="auto"/>
          </w:tcPr>
          <w:p w14:paraId="16685A63" w14:textId="77777777" w:rsidR="005072DF" w:rsidRDefault="005072DF" w:rsidP="00D22060">
            <w:pPr>
              <w:pStyle w:val="TableText0"/>
              <w:keepNext w:val="0"/>
              <w:jc w:val="right"/>
            </w:pPr>
            <w:r w:rsidRPr="00E428A4">
              <w:rPr>
                <w:bCs/>
                <w:snapToGrid w:val="0"/>
              </w:rPr>
              <w:t>NA</w:t>
            </w:r>
          </w:p>
        </w:tc>
      </w:tr>
      <w:tr w:rsidR="005072DF" w14:paraId="2BB7819A" w14:textId="77777777" w:rsidTr="00D22060">
        <w:tc>
          <w:tcPr>
            <w:tcW w:w="1024" w:type="pct"/>
            <w:vMerge/>
            <w:tcBorders>
              <w:top w:val="single" w:sz="4" w:space="0" w:color="auto"/>
              <w:bottom w:val="single" w:sz="4" w:space="0" w:color="auto"/>
              <w:right w:val="single" w:sz="4" w:space="0" w:color="auto"/>
            </w:tcBorders>
            <w:shd w:val="clear" w:color="auto" w:fill="auto"/>
          </w:tcPr>
          <w:p w14:paraId="5392E730" w14:textId="77777777" w:rsidR="005072DF" w:rsidRPr="00827D94"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45BBF261" w14:textId="46FD12C0" w:rsidR="005072DF" w:rsidRDefault="005072DF" w:rsidP="00D22060">
            <w:pPr>
              <w:pStyle w:val="TableText0"/>
              <w:keepNext w:val="0"/>
            </w:pPr>
            <w:r>
              <w:t>Lower 95% CI (0.184)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64E5A30" w14:textId="77777777" w:rsidR="005072DF" w:rsidRDefault="005072DF" w:rsidP="00D22060">
            <w:pPr>
              <w:pStyle w:val="TableText0"/>
              <w:keepNext w:val="0"/>
              <w:jc w:val="right"/>
            </w:pPr>
            <w:r w:rsidRPr="008D2C61">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16E6D34F" w14:textId="77777777" w:rsidR="005072DF" w:rsidRDefault="005072DF" w:rsidP="00D22060">
            <w:pPr>
              <w:pStyle w:val="TableText0"/>
              <w:keepNext w:val="0"/>
              <w:jc w:val="right"/>
            </w:pPr>
            <w:r>
              <w:t>0.32</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30453872" w14:textId="77777777" w:rsidR="005072DF" w:rsidRPr="00431992" w:rsidRDefault="005072DF" w:rsidP="00D22060">
            <w:pPr>
              <w:pStyle w:val="TableText0"/>
              <w:keepNext w:val="0"/>
              <w:jc w:val="right"/>
              <w:rPr>
                <w:highlight w:val="green"/>
              </w:rPr>
            </w:pPr>
            <w:r w:rsidRPr="00526BF5">
              <w:t>DAC</w:t>
            </w:r>
            <w:r>
              <w:t>+abs</w:t>
            </w:r>
            <w:r w:rsidRPr="00526BF5">
              <w:t xml:space="preserve"> is dominant</w:t>
            </w:r>
          </w:p>
        </w:tc>
        <w:tc>
          <w:tcPr>
            <w:tcW w:w="611" w:type="pct"/>
            <w:tcBorders>
              <w:top w:val="single" w:sz="4" w:space="0" w:color="auto"/>
              <w:left w:val="single" w:sz="4" w:space="0" w:color="auto"/>
              <w:bottom w:val="single" w:sz="4" w:space="0" w:color="auto"/>
            </w:tcBorders>
            <w:shd w:val="clear" w:color="auto" w:fill="auto"/>
          </w:tcPr>
          <w:p w14:paraId="6A933079" w14:textId="77777777" w:rsidR="005072DF" w:rsidRDefault="005072DF" w:rsidP="00D22060">
            <w:pPr>
              <w:pStyle w:val="TableText0"/>
              <w:keepNext w:val="0"/>
              <w:jc w:val="right"/>
            </w:pPr>
            <w:r w:rsidRPr="00E428A4">
              <w:rPr>
                <w:bCs/>
                <w:snapToGrid w:val="0"/>
              </w:rPr>
              <w:t>NA</w:t>
            </w:r>
          </w:p>
        </w:tc>
      </w:tr>
      <w:tr w:rsidR="005072DF" w14:paraId="6F1189C3"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39F3BD26" w14:textId="77777777" w:rsidR="005072DF" w:rsidRPr="00250965" w:rsidRDefault="005072DF" w:rsidP="00D22060">
            <w:pPr>
              <w:pStyle w:val="TableText0"/>
              <w:keepNext w:val="0"/>
              <w:rPr>
                <w:szCs w:val="20"/>
              </w:rPr>
            </w:pPr>
            <w:r w:rsidRPr="00827D94">
              <w:rPr>
                <w:szCs w:val="20"/>
              </w:rPr>
              <w:t>Permanent implant removal</w:t>
            </w: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56AC2A3A" w14:textId="75C5277D" w:rsidR="005072DF" w:rsidRDefault="005072DF" w:rsidP="00D22060">
            <w:pPr>
              <w:pStyle w:val="TableText0"/>
              <w:keepNext w:val="0"/>
            </w:pPr>
            <w:r>
              <w:t>Higher 95% CI (0.677)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5DCE197" w14:textId="77777777" w:rsidR="005072DF" w:rsidRDefault="005072DF" w:rsidP="00D22060">
            <w:pPr>
              <w:pStyle w:val="TableText0"/>
              <w:keepNext w:val="0"/>
              <w:jc w:val="right"/>
            </w:pPr>
            <w:r w:rsidRPr="008D2C61">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25C734A0" w14:textId="77777777" w:rsidR="005072DF" w:rsidRDefault="005072DF" w:rsidP="00D22060">
            <w:pPr>
              <w:pStyle w:val="TableText0"/>
              <w:keepNext w:val="0"/>
              <w:jc w:val="right"/>
            </w:pPr>
            <w:r>
              <w:t>0.16</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663A9EA3" w14:textId="77777777" w:rsidR="005072DF" w:rsidRPr="00431992" w:rsidRDefault="005072DF" w:rsidP="00D22060">
            <w:pPr>
              <w:pStyle w:val="TableText0"/>
              <w:keepNext w:val="0"/>
              <w:jc w:val="right"/>
              <w:rPr>
                <w:highlight w:val="green"/>
              </w:rPr>
            </w:pPr>
            <w:r w:rsidRPr="00526BF5">
              <w:t>DAC</w:t>
            </w:r>
            <w:r>
              <w:t>+abs</w:t>
            </w:r>
            <w:r w:rsidRPr="00526BF5">
              <w:t xml:space="preserve"> is dominant</w:t>
            </w:r>
          </w:p>
        </w:tc>
        <w:tc>
          <w:tcPr>
            <w:tcW w:w="611" w:type="pct"/>
            <w:tcBorders>
              <w:top w:val="single" w:sz="4" w:space="0" w:color="auto"/>
              <w:left w:val="single" w:sz="4" w:space="0" w:color="auto"/>
              <w:bottom w:val="single" w:sz="4" w:space="0" w:color="auto"/>
            </w:tcBorders>
            <w:shd w:val="clear" w:color="auto" w:fill="auto"/>
          </w:tcPr>
          <w:p w14:paraId="71E4BC1D" w14:textId="77777777" w:rsidR="005072DF" w:rsidRDefault="005072DF" w:rsidP="00D22060">
            <w:pPr>
              <w:pStyle w:val="TableText0"/>
              <w:keepNext w:val="0"/>
              <w:jc w:val="right"/>
            </w:pPr>
            <w:r w:rsidRPr="00E428A4">
              <w:rPr>
                <w:bCs/>
                <w:snapToGrid w:val="0"/>
              </w:rPr>
              <w:t>NA</w:t>
            </w:r>
          </w:p>
        </w:tc>
      </w:tr>
      <w:tr w:rsidR="005072DF" w14:paraId="4128DAA7" w14:textId="77777777" w:rsidTr="00D22060">
        <w:tc>
          <w:tcPr>
            <w:tcW w:w="1024" w:type="pct"/>
            <w:vMerge/>
            <w:tcBorders>
              <w:top w:val="single" w:sz="4" w:space="0" w:color="auto"/>
              <w:bottom w:val="single" w:sz="4" w:space="0" w:color="auto"/>
              <w:right w:val="single" w:sz="4" w:space="0" w:color="auto"/>
            </w:tcBorders>
            <w:shd w:val="clear" w:color="auto" w:fill="auto"/>
          </w:tcPr>
          <w:p w14:paraId="0EDEE6F8" w14:textId="77777777" w:rsidR="005072DF" w:rsidRPr="00827D94" w:rsidRDefault="005072DF" w:rsidP="00D22060">
            <w:pPr>
              <w:pStyle w:val="TableText0"/>
              <w:keepNext w:val="0"/>
              <w:rPr>
                <w:szCs w:val="20"/>
              </w:rPr>
            </w:pPr>
          </w:p>
        </w:tc>
        <w:tc>
          <w:tcPr>
            <w:tcW w:w="1120" w:type="pct"/>
            <w:tcBorders>
              <w:top w:val="single" w:sz="4" w:space="0" w:color="auto"/>
              <w:left w:val="single" w:sz="4" w:space="0" w:color="auto"/>
              <w:bottom w:val="single" w:sz="4" w:space="0" w:color="auto"/>
              <w:right w:val="single" w:sz="4" w:space="0" w:color="auto"/>
            </w:tcBorders>
            <w:shd w:val="clear" w:color="auto" w:fill="auto"/>
          </w:tcPr>
          <w:p w14:paraId="184F6594" w14:textId="2788DB26" w:rsidR="005072DF" w:rsidRDefault="005072DF" w:rsidP="00D22060">
            <w:pPr>
              <w:pStyle w:val="TableText0"/>
              <w:keepNext w:val="0"/>
            </w:pPr>
            <w:r>
              <w:t>Lower 95% CI (0.587)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8F89C0F" w14:textId="77777777" w:rsidR="005072DF" w:rsidRDefault="005072DF" w:rsidP="00D22060">
            <w:pPr>
              <w:pStyle w:val="TableText0"/>
              <w:keepNext w:val="0"/>
              <w:jc w:val="right"/>
            </w:pPr>
            <w:r w:rsidRPr="008D2C61">
              <w:t>-$3,380</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3487B541" w14:textId="77777777" w:rsidR="005072DF" w:rsidRDefault="005072DF" w:rsidP="00D22060">
            <w:pPr>
              <w:pStyle w:val="TableText0"/>
              <w:keepNext w:val="0"/>
              <w:jc w:val="right"/>
            </w:pPr>
            <w:r>
              <w:t>0.26</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5541553B" w14:textId="77777777" w:rsidR="005072DF" w:rsidRPr="00431992" w:rsidRDefault="005072DF" w:rsidP="00D22060">
            <w:pPr>
              <w:pStyle w:val="TableText0"/>
              <w:keepNext w:val="0"/>
              <w:jc w:val="right"/>
              <w:rPr>
                <w:highlight w:val="green"/>
              </w:rPr>
            </w:pPr>
            <w:r w:rsidRPr="00526BF5">
              <w:t>DAC</w:t>
            </w:r>
            <w:r>
              <w:t>+abs</w:t>
            </w:r>
            <w:r w:rsidRPr="00526BF5">
              <w:t xml:space="preserve"> is dominant</w:t>
            </w:r>
          </w:p>
        </w:tc>
        <w:tc>
          <w:tcPr>
            <w:tcW w:w="611" w:type="pct"/>
            <w:tcBorders>
              <w:top w:val="single" w:sz="4" w:space="0" w:color="auto"/>
              <w:left w:val="single" w:sz="4" w:space="0" w:color="auto"/>
              <w:bottom w:val="single" w:sz="4" w:space="0" w:color="auto"/>
            </w:tcBorders>
            <w:shd w:val="clear" w:color="auto" w:fill="auto"/>
          </w:tcPr>
          <w:p w14:paraId="466F9160" w14:textId="77777777" w:rsidR="005072DF" w:rsidRDefault="005072DF" w:rsidP="00D22060">
            <w:pPr>
              <w:pStyle w:val="TableText0"/>
              <w:keepNext w:val="0"/>
              <w:jc w:val="right"/>
            </w:pPr>
            <w:r w:rsidRPr="00E428A4">
              <w:rPr>
                <w:bCs/>
                <w:snapToGrid w:val="0"/>
              </w:rPr>
              <w:t>NA</w:t>
            </w:r>
          </w:p>
        </w:tc>
      </w:tr>
      <w:tr w:rsidR="005072DF" w:rsidRPr="00050D84" w14:paraId="10C0048A" w14:textId="77777777" w:rsidTr="00D22060">
        <w:tc>
          <w:tcPr>
            <w:tcW w:w="5000" w:type="pct"/>
            <w:gridSpan w:val="7"/>
            <w:tcBorders>
              <w:top w:val="single" w:sz="4" w:space="0" w:color="auto"/>
            </w:tcBorders>
            <w:shd w:val="clear" w:color="auto" w:fill="auto"/>
          </w:tcPr>
          <w:p w14:paraId="57591D25" w14:textId="77777777" w:rsidR="005072DF" w:rsidRPr="00050D84" w:rsidRDefault="005072DF" w:rsidP="00D22060">
            <w:pPr>
              <w:pStyle w:val="TableText0"/>
              <w:keepNext w:val="0"/>
            </w:pPr>
            <w:r>
              <w:rPr>
                <w:szCs w:val="20"/>
              </w:rPr>
              <w:t>Other scenarios</w:t>
            </w:r>
          </w:p>
        </w:tc>
      </w:tr>
      <w:tr w:rsidR="005072DF" w:rsidRPr="000A4F96" w14:paraId="35668F7A" w14:textId="77777777" w:rsidTr="00D22060">
        <w:tc>
          <w:tcPr>
            <w:tcW w:w="1024" w:type="pct"/>
            <w:tcBorders>
              <w:right w:val="single" w:sz="4" w:space="0" w:color="auto"/>
            </w:tcBorders>
            <w:shd w:val="clear" w:color="auto" w:fill="auto"/>
          </w:tcPr>
          <w:p w14:paraId="317ACB6B" w14:textId="77777777" w:rsidR="005072DF" w:rsidRDefault="005072DF" w:rsidP="00D22060">
            <w:pPr>
              <w:pStyle w:val="TableText0"/>
              <w:keepNext w:val="0"/>
              <w:rPr>
                <w:szCs w:val="20"/>
              </w:rPr>
            </w:pPr>
            <w:r>
              <w:rPr>
                <w:szCs w:val="20"/>
              </w:rPr>
              <w:lastRenderedPageBreak/>
              <w:t>Post-operative follow-up costs (</w:t>
            </w:r>
            <w:r>
              <w:rPr>
                <w:szCs w:val="20"/>
              </w:rPr>
              <w:fldChar w:fldCharType="begin"/>
            </w:r>
            <w:r>
              <w:rPr>
                <w:szCs w:val="20"/>
              </w:rPr>
              <w:instrText xml:space="preserve"> REF _Ref67566252 \h  \* MERGEFORMAT </w:instrText>
            </w:r>
            <w:r>
              <w:rPr>
                <w:szCs w:val="20"/>
              </w:rPr>
            </w:r>
            <w:r>
              <w:rPr>
                <w:szCs w:val="20"/>
              </w:rPr>
              <w:fldChar w:fldCharType="separate"/>
            </w:r>
            <w:r w:rsidRPr="00BB246A">
              <w:rPr>
                <w:szCs w:val="20"/>
              </w:rPr>
              <w:t>Table 67</w:t>
            </w:r>
            <w:r>
              <w:rPr>
                <w:szCs w:val="20"/>
              </w:rPr>
              <w:fldChar w:fldCharType="end"/>
            </w:r>
            <w:r>
              <w:rPr>
                <w:szCs w:val="20"/>
              </w:rPr>
              <w:t>)</w:t>
            </w:r>
          </w:p>
        </w:tc>
        <w:tc>
          <w:tcPr>
            <w:tcW w:w="1120" w:type="pct"/>
            <w:tcBorders>
              <w:right w:val="single" w:sz="4" w:space="0" w:color="auto"/>
            </w:tcBorders>
            <w:shd w:val="clear" w:color="auto" w:fill="auto"/>
          </w:tcPr>
          <w:p w14:paraId="4EDAA4EE" w14:textId="484C1AA5" w:rsidR="005072DF" w:rsidRDefault="005072DF" w:rsidP="00D22060">
            <w:pPr>
              <w:pStyle w:val="TableText0"/>
              <w:keepNext w:val="0"/>
              <w:rPr>
                <w:szCs w:val="20"/>
              </w:rPr>
            </w:pPr>
            <w:r w:rsidRPr="00DB76BB">
              <w:rPr>
                <w:szCs w:val="20"/>
              </w:rPr>
              <w:t>$835.11</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4F62F3B" w14:textId="77777777" w:rsidR="005072DF" w:rsidRDefault="005072DF" w:rsidP="00D22060">
            <w:pPr>
              <w:pStyle w:val="TableText0"/>
              <w:keepNext w:val="0"/>
              <w:jc w:val="right"/>
            </w:pPr>
            <w:r>
              <w:t>-$3,458</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637EAC12"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0D9C0CE1" w14:textId="77777777" w:rsidR="005072DF" w:rsidRPr="00B522D9" w:rsidRDefault="005072DF" w:rsidP="00D22060">
            <w:pPr>
              <w:pStyle w:val="TableText0"/>
              <w:keepNext w:val="0"/>
              <w:jc w:val="right"/>
            </w:pPr>
            <w:r w:rsidRPr="006A2B7C">
              <w:t>DAC</w:t>
            </w:r>
            <w:r>
              <w:t>+abs</w:t>
            </w:r>
            <w:r w:rsidRPr="006A2B7C">
              <w:t xml:space="preserve"> is dominant</w:t>
            </w:r>
          </w:p>
        </w:tc>
        <w:tc>
          <w:tcPr>
            <w:tcW w:w="611" w:type="pct"/>
            <w:tcBorders>
              <w:left w:val="single" w:sz="4" w:space="0" w:color="auto"/>
            </w:tcBorders>
            <w:shd w:val="clear" w:color="auto" w:fill="auto"/>
            <w:vAlign w:val="bottom"/>
          </w:tcPr>
          <w:p w14:paraId="36A6BB27" w14:textId="77777777" w:rsidR="005072DF" w:rsidRPr="000A4F96" w:rsidRDefault="005072DF" w:rsidP="00D22060">
            <w:pPr>
              <w:pStyle w:val="TableText0"/>
              <w:keepNext w:val="0"/>
              <w:jc w:val="right"/>
            </w:pPr>
            <w:r>
              <w:rPr>
                <w:bCs/>
                <w:snapToGrid w:val="0"/>
              </w:rPr>
              <w:t>NA</w:t>
            </w:r>
          </w:p>
        </w:tc>
      </w:tr>
      <w:tr w:rsidR="005072DF" w:rsidRPr="00050D84" w14:paraId="02BCBD4D" w14:textId="77777777" w:rsidTr="005072DF">
        <w:tc>
          <w:tcPr>
            <w:tcW w:w="2144" w:type="pct"/>
            <w:gridSpan w:val="2"/>
            <w:tcBorders>
              <w:right w:val="single" w:sz="4" w:space="0" w:color="auto"/>
            </w:tcBorders>
            <w:shd w:val="clear" w:color="auto" w:fill="auto"/>
          </w:tcPr>
          <w:p w14:paraId="3A9AF9A9" w14:textId="77777777" w:rsidR="005072DF" w:rsidRDefault="005072DF" w:rsidP="00D22060">
            <w:pPr>
              <w:pStyle w:val="TableText0"/>
              <w:keepNext w:val="0"/>
              <w:rPr>
                <w:szCs w:val="20"/>
              </w:rPr>
            </w:pPr>
            <w:r>
              <w:rPr>
                <w:szCs w:val="20"/>
              </w:rPr>
              <w:t>NWAU and NEP surgical procedures costs (</w:t>
            </w:r>
            <w:r>
              <w:rPr>
                <w:szCs w:val="20"/>
              </w:rPr>
              <w:fldChar w:fldCharType="begin"/>
            </w:r>
            <w:r>
              <w:rPr>
                <w:szCs w:val="20"/>
              </w:rPr>
              <w:instrText xml:space="preserve"> REF _Ref66978184 \h  \* MERGEFORMAT </w:instrText>
            </w:r>
            <w:r>
              <w:rPr>
                <w:szCs w:val="20"/>
              </w:rPr>
            </w:r>
            <w:r>
              <w:rPr>
                <w:szCs w:val="20"/>
              </w:rPr>
              <w:fldChar w:fldCharType="separate"/>
            </w:r>
            <w:r w:rsidRPr="00BB246A">
              <w:rPr>
                <w:szCs w:val="20"/>
              </w:rPr>
              <w:t>Table 64</w:t>
            </w:r>
            <w:r>
              <w:rPr>
                <w:szCs w:val="20"/>
              </w:rPr>
              <w:fldChar w:fldCharType="end"/>
            </w:r>
            <w:r>
              <w:rPr>
                <w:szCs w:val="20"/>
              </w:rPr>
              <w:t>)</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668A707" w14:textId="77777777" w:rsidR="005072DF" w:rsidRDefault="005072DF" w:rsidP="00D22060">
            <w:pPr>
              <w:pStyle w:val="TableText0"/>
              <w:keepNext w:val="0"/>
              <w:jc w:val="right"/>
            </w:pPr>
            <w:r>
              <w:t>-$3,664</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tcPr>
          <w:p w14:paraId="57DCA131" w14:textId="77777777" w:rsidR="005072DF" w:rsidRDefault="005072DF" w:rsidP="00D22060">
            <w:pPr>
              <w:pStyle w:val="TableText0"/>
              <w:keepNext w:val="0"/>
              <w:jc w:val="right"/>
            </w:pPr>
            <w:r>
              <w:t>0.21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4620B2FC" w14:textId="77777777" w:rsidR="005072DF" w:rsidRPr="003E1712" w:rsidRDefault="005072DF" w:rsidP="00D22060">
            <w:pPr>
              <w:pStyle w:val="TableText0"/>
              <w:keepNext w:val="0"/>
              <w:jc w:val="right"/>
              <w:rPr>
                <w:highlight w:val="cyan"/>
              </w:rPr>
            </w:pPr>
            <w:r w:rsidRPr="006A2B7C">
              <w:t>DAC</w:t>
            </w:r>
            <w:r>
              <w:t>+abs</w:t>
            </w:r>
            <w:r w:rsidRPr="006A2B7C">
              <w:t xml:space="preserve"> is dominant</w:t>
            </w:r>
          </w:p>
        </w:tc>
        <w:tc>
          <w:tcPr>
            <w:tcW w:w="611" w:type="pct"/>
            <w:tcBorders>
              <w:left w:val="single" w:sz="4" w:space="0" w:color="auto"/>
            </w:tcBorders>
            <w:shd w:val="clear" w:color="auto" w:fill="auto"/>
            <w:vAlign w:val="bottom"/>
          </w:tcPr>
          <w:p w14:paraId="6F7F53BF" w14:textId="77777777" w:rsidR="005072DF" w:rsidRPr="00050D84" w:rsidRDefault="005072DF" w:rsidP="00D22060">
            <w:pPr>
              <w:pStyle w:val="TableText0"/>
              <w:keepNext w:val="0"/>
              <w:jc w:val="right"/>
            </w:pPr>
            <w:r>
              <w:rPr>
                <w:bCs/>
                <w:snapToGrid w:val="0"/>
              </w:rPr>
              <w:t>NA</w:t>
            </w:r>
          </w:p>
        </w:tc>
      </w:tr>
    </w:tbl>
    <w:p w14:paraId="3BBEE622" w14:textId="176F3C88" w:rsidR="005072DF" w:rsidRDefault="005072DF" w:rsidP="005072DF">
      <w:pPr>
        <w:pStyle w:val="Tablenotes0"/>
      </w:pPr>
      <w:r>
        <w:t>Source: Table 99, pg 230 of MSAC 1629 DCAR</w:t>
      </w:r>
    </w:p>
    <w:p w14:paraId="1DB6F0A4" w14:textId="77777777" w:rsidR="005072DF" w:rsidRDefault="005072DF" w:rsidP="005072DF">
      <w:pPr>
        <w:pStyle w:val="Tablenotes0"/>
      </w:pPr>
      <w:r>
        <w:t xml:space="preserve">Abbreviations: CI=confidence interval; DAC=Defensive Antibacterial Coating; DAC+abs=Defensive Antibacterial Coating loaded with antibioticits; DAIR=Debridement, antibiotics and implant retention; epTJA=elective primary total joint arthroplasty; </w:t>
      </w:r>
      <w:r w:rsidRPr="00183E4D">
        <w:t>ICER=</w:t>
      </w:r>
      <w:r>
        <w:t>i</w:t>
      </w:r>
      <w:r w:rsidRPr="00183E4D">
        <w:t xml:space="preserve">ncremental </w:t>
      </w:r>
      <w:r>
        <w:t>c</w:t>
      </w:r>
      <w:r w:rsidRPr="00183E4D">
        <w:t>ost</w:t>
      </w:r>
      <w:r>
        <w:t>-e</w:t>
      </w:r>
      <w:r w:rsidRPr="00183E4D">
        <w:t xml:space="preserve">ffectiveness </w:t>
      </w:r>
      <w:r>
        <w:t>r</w:t>
      </w:r>
      <w:r w:rsidRPr="00183E4D">
        <w:t>atio</w:t>
      </w:r>
      <w:r>
        <w:t>; SSI=surgical site infection</w:t>
      </w:r>
    </w:p>
    <w:p w14:paraId="0E3A89DE" w14:textId="77777777" w:rsidR="005072DF" w:rsidRPr="00C4562E" w:rsidRDefault="005072DF" w:rsidP="005072DF">
      <w:pPr>
        <w:pStyle w:val="Tablenotes0"/>
      </w:pPr>
      <w:r>
        <w:t xml:space="preserve">Notes: </w:t>
      </w:r>
      <w:r w:rsidRPr="00C4562E">
        <w:t>DAC</w:t>
      </w:r>
      <w:r w:rsidRPr="00985971">
        <w:t>+antibiotics</w:t>
      </w:r>
      <w:r w:rsidRPr="00C4562E">
        <w:t xml:space="preserve"> is dominated by no DAC</w:t>
      </w:r>
      <w:r w:rsidRPr="00985971">
        <w:t>+antibiotics</w:t>
      </w:r>
      <w:r>
        <w:t>:</w:t>
      </w:r>
      <w:r w:rsidRPr="00C4562E">
        <w:t xml:space="preserve"> surgery with DAC</w:t>
      </w:r>
      <w:r w:rsidRPr="00985971">
        <w:t>+antibiotics</w:t>
      </w:r>
      <w:r w:rsidRPr="00C4562E">
        <w:t xml:space="preserve"> is more costly and less effective than surgery without DAC</w:t>
      </w:r>
      <w:r w:rsidRPr="00985971">
        <w:t>+antibiotics</w:t>
      </w:r>
      <w:r>
        <w:t xml:space="preserve">; </w:t>
      </w:r>
      <w:r w:rsidRPr="00C4562E">
        <w:t>DAC</w:t>
      </w:r>
      <w:r w:rsidRPr="00985971">
        <w:t>+antibiotics</w:t>
      </w:r>
      <w:r w:rsidRPr="00C4562E">
        <w:t xml:space="preserve"> dominates no DAC</w:t>
      </w:r>
      <w:r w:rsidRPr="00985971">
        <w:t>+antibiotics</w:t>
      </w:r>
      <w:r>
        <w:t>:</w:t>
      </w:r>
      <w:r w:rsidRPr="00C4562E">
        <w:t xml:space="preserve"> surgery with DAC</w:t>
      </w:r>
      <w:r w:rsidRPr="00985971">
        <w:t>+antibiotics</w:t>
      </w:r>
      <w:r w:rsidRPr="00C4562E">
        <w:t xml:space="preserve"> is </w:t>
      </w:r>
      <w:r>
        <w:t>less</w:t>
      </w:r>
      <w:r w:rsidRPr="00C4562E">
        <w:t xml:space="preserve"> costly and </w:t>
      </w:r>
      <w:r>
        <w:t>more</w:t>
      </w:r>
      <w:r w:rsidRPr="00C4562E">
        <w:t xml:space="preserve"> effective than surgery without DAC</w:t>
      </w:r>
      <w:r w:rsidRPr="00985971">
        <w:t>+antibiotics</w:t>
      </w:r>
    </w:p>
    <w:p w14:paraId="76C7BC4C" w14:textId="77777777" w:rsidR="005072DF" w:rsidRDefault="005072DF" w:rsidP="00791836">
      <w:pPr>
        <w:pStyle w:val="Tablenotes0"/>
        <w:spacing w:after="240"/>
        <w:contextualSpacing w:val="0"/>
      </w:pPr>
      <w:r>
        <w:t xml:space="preserve">* </w:t>
      </w:r>
      <w:r w:rsidRPr="00C4562E">
        <w:t>Considerable change in the ICER</w:t>
      </w:r>
    </w:p>
    <w:p w14:paraId="7F6F4672" w14:textId="150E84B4" w:rsidR="005072DF" w:rsidRDefault="005072DF" w:rsidP="005072DF">
      <w:pPr>
        <w:pStyle w:val="Caption"/>
        <w:keepNext/>
      </w:pPr>
      <w:bookmarkStart w:id="97" w:name="_Ref67941861"/>
      <w:bookmarkStart w:id="98" w:name="_Toc73971302"/>
      <w:bookmarkStart w:id="99" w:name="_Toc74729185"/>
      <w:bookmarkStart w:id="100" w:name="_Toc112076717"/>
      <w:r>
        <w:t xml:space="preserve">Table </w:t>
      </w:r>
      <w:r>
        <w:fldChar w:fldCharType="begin"/>
      </w:r>
      <w:r>
        <w:instrText>SEQ Table \* ARABIC</w:instrText>
      </w:r>
      <w:r>
        <w:fldChar w:fldCharType="separate"/>
      </w:r>
      <w:r>
        <w:rPr>
          <w:noProof/>
        </w:rPr>
        <w:t>11</w:t>
      </w:r>
      <w:r>
        <w:fldChar w:fldCharType="end"/>
      </w:r>
      <w:bookmarkEnd w:id="97"/>
      <w:r>
        <w:tab/>
        <w:t>Sensitivity analyses</w:t>
      </w:r>
      <w:r w:rsidRPr="00AF4BB9">
        <w:t xml:space="preserve"> </w:t>
      </w:r>
      <w:r>
        <w:t>of the economic model (Population 3, knee)</w:t>
      </w:r>
      <w:bookmarkEnd w:id="98"/>
      <w:bookmarkEnd w:id="99"/>
      <w:bookmarkEnd w:id="100"/>
    </w:p>
    <w:tbl>
      <w:tblPr>
        <w:tblStyle w:val="TableGrid1"/>
        <w:tblW w:w="5000" w:type="pct"/>
        <w:tblCellMar>
          <w:left w:w="28" w:type="dxa"/>
          <w:right w:w="28" w:type="dxa"/>
        </w:tblCellMar>
        <w:tblLook w:val="04A0" w:firstRow="1" w:lastRow="0" w:firstColumn="1" w:lastColumn="0" w:noHBand="0" w:noVBand="1"/>
        <w:tblCaption w:val="Sensitivity analyses of the economic model (Population 3, knee)"/>
        <w:tblDescription w:val="This table presents the sensitivity analysis on dicosunt rate, time horizon, DAC effect, transition probabilities, costs, utilities, and other scenarios for Population 3, knee."/>
      </w:tblPr>
      <w:tblGrid>
        <w:gridCol w:w="1847"/>
        <w:gridCol w:w="2108"/>
        <w:gridCol w:w="1172"/>
        <w:gridCol w:w="1260"/>
        <w:gridCol w:w="1617"/>
        <w:gridCol w:w="1012"/>
      </w:tblGrid>
      <w:tr w:rsidR="005072DF" w:rsidRPr="00050D84" w14:paraId="4A2237FA" w14:textId="77777777" w:rsidTr="00D22060">
        <w:trPr>
          <w:cnfStyle w:val="100000000000" w:firstRow="1" w:lastRow="0" w:firstColumn="0" w:lastColumn="0" w:oddVBand="0" w:evenVBand="0" w:oddHBand="0" w:evenHBand="0" w:firstRowFirstColumn="0" w:firstRowLastColumn="0" w:lastRowFirstColumn="0" w:lastRowLastColumn="0"/>
          <w:tblHeader/>
        </w:trPr>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6AEE851D" w14:textId="77777777" w:rsidR="005072DF" w:rsidRPr="00050D84" w:rsidRDefault="005072DF" w:rsidP="00D22060">
            <w:pPr>
              <w:pStyle w:val="TableText0"/>
              <w:rPr>
                <w:b/>
                <w:snapToGrid w:val="0"/>
              </w:rPr>
            </w:pPr>
            <w:r w:rsidRPr="00050D84">
              <w:rPr>
                <w:b/>
                <w:snapToGrid w:val="0"/>
              </w:rPr>
              <w:t>Description</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B75938F" w14:textId="77777777" w:rsidR="005072DF" w:rsidRPr="00050D84" w:rsidRDefault="005072DF" w:rsidP="00D22060">
            <w:pPr>
              <w:pStyle w:val="TableText0"/>
              <w:rPr>
                <w:b/>
                <w:snapToGrid w:val="0"/>
              </w:rPr>
            </w:pPr>
            <w:r w:rsidRPr="00050D84">
              <w:rPr>
                <w:b/>
                <w:snapToGrid w:val="0"/>
              </w:rPr>
              <w:t>Incremental cost</w:t>
            </w:r>
          </w:p>
        </w:tc>
        <w:tc>
          <w:tcPr>
            <w:tcW w:w="699" w:type="pct"/>
            <w:tcBorders>
              <w:top w:val="single" w:sz="4" w:space="0" w:color="auto"/>
              <w:left w:val="single" w:sz="4" w:space="0" w:color="auto"/>
              <w:bottom w:val="single" w:sz="4" w:space="0" w:color="auto"/>
              <w:right w:val="single" w:sz="4" w:space="0" w:color="auto"/>
            </w:tcBorders>
          </w:tcPr>
          <w:p w14:paraId="48AAAFB0" w14:textId="77777777" w:rsidR="005072DF" w:rsidRPr="00050D84" w:rsidRDefault="005072DF" w:rsidP="00D22060">
            <w:pPr>
              <w:pStyle w:val="TableText0"/>
              <w:rPr>
                <w:b/>
                <w:snapToGrid w:val="0"/>
              </w:rPr>
            </w:pPr>
            <w:r w:rsidRPr="00050D84">
              <w:rPr>
                <w:b/>
                <w:snapToGrid w:val="0"/>
              </w:rPr>
              <w:t xml:space="preserve">Incremental </w:t>
            </w:r>
            <w:r>
              <w:rPr>
                <w:b/>
                <w:snapToGrid w:val="0"/>
              </w:rPr>
              <w:t xml:space="preserve">QALYs </w:t>
            </w:r>
          </w:p>
        </w:tc>
        <w:tc>
          <w:tcPr>
            <w:tcW w:w="897" w:type="pct"/>
            <w:tcBorders>
              <w:top w:val="single" w:sz="4" w:space="0" w:color="auto"/>
              <w:left w:val="single" w:sz="4" w:space="0" w:color="auto"/>
              <w:bottom w:val="single" w:sz="4" w:space="0" w:color="auto"/>
              <w:right w:val="single" w:sz="4" w:space="0" w:color="auto"/>
            </w:tcBorders>
          </w:tcPr>
          <w:p w14:paraId="5722CB80" w14:textId="77777777" w:rsidR="005072DF" w:rsidRPr="00050D84" w:rsidRDefault="005072DF" w:rsidP="00D22060">
            <w:pPr>
              <w:pStyle w:val="TableText0"/>
              <w:rPr>
                <w:b/>
                <w:snapToGrid w:val="0"/>
              </w:rPr>
            </w:pPr>
            <w:r w:rsidRPr="00050D84">
              <w:rPr>
                <w:b/>
                <w:snapToGrid w:val="0"/>
              </w:rPr>
              <w:t>ICER</w:t>
            </w:r>
            <w:r>
              <w:rPr>
                <w:b/>
                <w:snapToGrid w:val="0"/>
              </w:rPr>
              <w:t xml:space="preserve"> </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6CE5E229" w14:textId="77777777" w:rsidR="005072DF" w:rsidRPr="00050D84" w:rsidRDefault="005072DF" w:rsidP="00D22060">
            <w:pPr>
              <w:pStyle w:val="TableText0"/>
              <w:rPr>
                <w:b/>
                <w:snapToGrid w:val="0"/>
              </w:rPr>
            </w:pPr>
            <w:r w:rsidRPr="00050D84">
              <w:rPr>
                <w:b/>
                <w:snapToGrid w:val="0"/>
              </w:rPr>
              <w:t>% change to IC</w:t>
            </w:r>
            <w:r>
              <w:rPr>
                <w:b/>
                <w:snapToGrid w:val="0"/>
              </w:rPr>
              <w:t>ER</w:t>
            </w:r>
          </w:p>
        </w:tc>
      </w:tr>
      <w:tr w:rsidR="005072DF" w:rsidRPr="00050D84" w14:paraId="32027CC7" w14:textId="77777777" w:rsidTr="00D22060">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1DCA600B" w14:textId="77777777" w:rsidR="005072DF" w:rsidRPr="00E86B65" w:rsidRDefault="005072DF" w:rsidP="00D22060">
            <w:pPr>
              <w:pStyle w:val="TableText0"/>
              <w:rPr>
                <w:b/>
                <w:snapToGrid w:val="0"/>
              </w:rPr>
            </w:pPr>
            <w:r w:rsidRPr="00E86B65">
              <w:rPr>
                <w:b/>
                <w:snapToGrid w:val="0"/>
              </w:rPr>
              <w:t>Base Case</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77D340E3" w14:textId="77777777" w:rsidR="005072DF" w:rsidRPr="00E86B65" w:rsidRDefault="005072DF" w:rsidP="00D22060">
            <w:pPr>
              <w:pStyle w:val="TableText0"/>
              <w:jc w:val="right"/>
              <w:rPr>
                <w:b/>
                <w:snapToGrid w:val="0"/>
              </w:rPr>
            </w:pPr>
            <w:r>
              <w:t>-$1,707</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7E6D3BD2" w14:textId="77777777" w:rsidR="005072DF" w:rsidRPr="00E86B65" w:rsidRDefault="005072DF" w:rsidP="00D22060">
            <w:pPr>
              <w:pStyle w:val="TableText0"/>
              <w:jc w:val="right"/>
              <w:rPr>
                <w:b/>
                <w:snapToGrid w:val="0"/>
              </w:rPr>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F9CF521" w14:textId="77777777" w:rsidR="005072DF" w:rsidRPr="00E86B65" w:rsidRDefault="005072DF" w:rsidP="00D22060">
            <w:pPr>
              <w:pStyle w:val="TableText0"/>
              <w:jc w:val="right"/>
              <w:rPr>
                <w:b/>
                <w:snapToGrid w:val="0"/>
              </w:rPr>
            </w:pPr>
            <w:r w:rsidRPr="00F03A50">
              <w:t>DAC is dominant</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0374C6FD" w14:textId="77777777" w:rsidR="005072DF" w:rsidRPr="00AF0A65" w:rsidRDefault="005072DF" w:rsidP="00D22060">
            <w:pPr>
              <w:pStyle w:val="TableText0"/>
              <w:jc w:val="right"/>
              <w:rPr>
                <w:bCs/>
                <w:snapToGrid w:val="0"/>
              </w:rPr>
            </w:pPr>
            <w:r w:rsidRPr="00AF0A65">
              <w:rPr>
                <w:bCs/>
                <w:snapToGrid w:val="0"/>
              </w:rPr>
              <w:t>NA</w:t>
            </w:r>
          </w:p>
        </w:tc>
      </w:tr>
      <w:tr w:rsidR="005072DF" w:rsidRPr="00B62878" w14:paraId="68F66BEC" w14:textId="77777777" w:rsidTr="00D22060">
        <w:tc>
          <w:tcPr>
            <w:tcW w:w="5000" w:type="pct"/>
            <w:gridSpan w:val="6"/>
            <w:shd w:val="clear" w:color="auto" w:fill="auto"/>
          </w:tcPr>
          <w:p w14:paraId="24799FDB" w14:textId="77777777" w:rsidR="005072DF" w:rsidRPr="00B62878" w:rsidRDefault="005072DF" w:rsidP="00D22060">
            <w:pPr>
              <w:pStyle w:val="TableText0"/>
              <w:keepNext w:val="0"/>
              <w:rPr>
                <w:b/>
              </w:rPr>
            </w:pPr>
            <w:r w:rsidRPr="00B62878">
              <w:rPr>
                <w:b/>
              </w:rPr>
              <w:t>Univariate analyses</w:t>
            </w:r>
          </w:p>
        </w:tc>
      </w:tr>
      <w:tr w:rsidR="005072DF" w:rsidRPr="00050D84" w14:paraId="53D8E291" w14:textId="77777777" w:rsidTr="00D22060">
        <w:tc>
          <w:tcPr>
            <w:tcW w:w="5000" w:type="pct"/>
            <w:gridSpan w:val="6"/>
            <w:shd w:val="clear" w:color="auto" w:fill="auto"/>
          </w:tcPr>
          <w:p w14:paraId="509734FE" w14:textId="77777777" w:rsidR="005072DF" w:rsidRPr="00050D84" w:rsidRDefault="005072DF" w:rsidP="00D22060">
            <w:pPr>
              <w:pStyle w:val="TableText0"/>
              <w:keepNext w:val="0"/>
            </w:pPr>
            <w:r w:rsidRPr="00050D84">
              <w:t>Discount rate (base case 5% costs and outcomes)</w:t>
            </w:r>
          </w:p>
        </w:tc>
      </w:tr>
      <w:tr w:rsidR="005072DF" w:rsidRPr="00050D84" w14:paraId="75A8A351"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4278BCE7" w14:textId="77777777" w:rsidR="005072DF" w:rsidRPr="006933E7" w:rsidRDefault="005072DF" w:rsidP="00D22060">
            <w:pPr>
              <w:pStyle w:val="TableText0"/>
              <w:keepNext w:val="0"/>
            </w:pPr>
            <w:r w:rsidRPr="006933E7">
              <w:t>0% costs and outcomes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CF3B6CC" w14:textId="77777777" w:rsidR="005072DF" w:rsidRPr="00050D84" w:rsidRDefault="005072DF" w:rsidP="00D22060">
            <w:pPr>
              <w:pStyle w:val="TableText0"/>
              <w:keepNext w:val="0"/>
              <w:jc w:val="right"/>
            </w:pPr>
            <w:r>
              <w:t>-$2,117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CB87186" w14:textId="77777777" w:rsidR="005072DF" w:rsidRPr="00050D84" w:rsidRDefault="005072DF" w:rsidP="00D22060">
            <w:pPr>
              <w:pStyle w:val="TableText0"/>
              <w:keepNext w:val="0"/>
              <w:jc w:val="right"/>
            </w:pPr>
            <w:r>
              <w:t>0.37</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AE7EB1B" w14:textId="77777777" w:rsidR="005072DF" w:rsidRPr="00050D84" w:rsidRDefault="005072DF" w:rsidP="00D22060">
            <w:pPr>
              <w:pStyle w:val="TableText0"/>
              <w:keepNext w:val="0"/>
              <w:jc w:val="right"/>
            </w:pPr>
            <w:r w:rsidRPr="00F03A50">
              <w:t>DAC is dominant</w:t>
            </w:r>
          </w:p>
        </w:tc>
        <w:tc>
          <w:tcPr>
            <w:tcW w:w="561" w:type="pct"/>
            <w:tcBorders>
              <w:top w:val="single" w:sz="4" w:space="0" w:color="auto"/>
              <w:left w:val="single" w:sz="4" w:space="0" w:color="auto"/>
              <w:bottom w:val="single" w:sz="4" w:space="0" w:color="auto"/>
            </w:tcBorders>
            <w:shd w:val="clear" w:color="auto" w:fill="auto"/>
          </w:tcPr>
          <w:p w14:paraId="5E336B4F" w14:textId="77777777" w:rsidR="005072DF" w:rsidRPr="00050D84" w:rsidRDefault="005072DF" w:rsidP="00D22060">
            <w:pPr>
              <w:pStyle w:val="TableText0"/>
              <w:keepNext w:val="0"/>
              <w:jc w:val="right"/>
            </w:pPr>
            <w:r w:rsidRPr="00CE4479">
              <w:rPr>
                <w:bCs/>
                <w:snapToGrid w:val="0"/>
              </w:rPr>
              <w:t>NA</w:t>
            </w:r>
          </w:p>
        </w:tc>
      </w:tr>
      <w:tr w:rsidR="005072DF" w:rsidRPr="00050D84" w14:paraId="234311E0"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618E50A9" w14:textId="77777777" w:rsidR="005072DF" w:rsidRPr="00050D84" w:rsidRDefault="005072DF" w:rsidP="00D22060">
            <w:pPr>
              <w:pStyle w:val="TableText0"/>
              <w:keepNext w:val="0"/>
            </w:pPr>
            <w:r w:rsidRPr="00050D84">
              <w:t>3.5% costs and outcomes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BB95583" w14:textId="77777777" w:rsidR="005072DF" w:rsidRPr="00050D84" w:rsidRDefault="005072DF" w:rsidP="00D22060">
            <w:pPr>
              <w:pStyle w:val="TableText0"/>
              <w:keepNext w:val="0"/>
              <w:jc w:val="right"/>
            </w:pPr>
            <w:r>
              <w:t>-$1,826</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0124E92" w14:textId="77777777" w:rsidR="005072DF" w:rsidRPr="00050D84" w:rsidRDefault="005072DF" w:rsidP="00D22060">
            <w:pPr>
              <w:pStyle w:val="TableText0"/>
              <w:keepNext w:val="0"/>
              <w:jc w:val="right"/>
            </w:pPr>
            <w:r>
              <w:t>0.28</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595CF18F" w14:textId="77777777" w:rsidR="005072DF" w:rsidRPr="00050D84" w:rsidRDefault="005072DF" w:rsidP="00D22060">
            <w:pPr>
              <w:pStyle w:val="TableText0"/>
              <w:keepNext w:val="0"/>
              <w:jc w:val="right"/>
            </w:pPr>
            <w:r w:rsidRPr="00F03A50">
              <w:t>DAC is dominant</w:t>
            </w:r>
          </w:p>
        </w:tc>
        <w:tc>
          <w:tcPr>
            <w:tcW w:w="561" w:type="pct"/>
            <w:tcBorders>
              <w:top w:val="single" w:sz="4" w:space="0" w:color="auto"/>
              <w:left w:val="single" w:sz="4" w:space="0" w:color="auto"/>
              <w:bottom w:val="single" w:sz="4" w:space="0" w:color="auto"/>
            </w:tcBorders>
            <w:shd w:val="clear" w:color="auto" w:fill="auto"/>
          </w:tcPr>
          <w:p w14:paraId="5DABCF78" w14:textId="77777777" w:rsidR="005072DF" w:rsidRPr="00050D84" w:rsidRDefault="005072DF" w:rsidP="00D22060">
            <w:pPr>
              <w:pStyle w:val="TableText0"/>
              <w:keepNext w:val="0"/>
              <w:jc w:val="right"/>
            </w:pPr>
            <w:r w:rsidRPr="00CE4479">
              <w:rPr>
                <w:bCs/>
                <w:snapToGrid w:val="0"/>
              </w:rPr>
              <w:t>NA</w:t>
            </w:r>
          </w:p>
        </w:tc>
      </w:tr>
      <w:tr w:rsidR="005072DF" w:rsidRPr="00050D84" w14:paraId="3F293D40" w14:textId="77777777" w:rsidTr="00D22060">
        <w:tc>
          <w:tcPr>
            <w:tcW w:w="5000" w:type="pct"/>
            <w:gridSpan w:val="6"/>
            <w:shd w:val="clear" w:color="auto" w:fill="auto"/>
          </w:tcPr>
          <w:p w14:paraId="5F118BB3" w14:textId="77777777" w:rsidR="005072DF" w:rsidRPr="00050D84" w:rsidRDefault="005072DF" w:rsidP="00D22060">
            <w:pPr>
              <w:pStyle w:val="TableText0"/>
              <w:keepNext w:val="0"/>
            </w:pPr>
            <w:r w:rsidRPr="00050D84">
              <w:t xml:space="preserve">Time horizon (base case </w:t>
            </w:r>
            <w:r>
              <w:t>2</w:t>
            </w:r>
            <w:r w:rsidRPr="00050D84">
              <w:t>0 years)</w:t>
            </w:r>
          </w:p>
        </w:tc>
      </w:tr>
      <w:tr w:rsidR="005072DF" w:rsidRPr="00050D84" w14:paraId="07A0D4EA"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2C1F9751" w14:textId="77777777" w:rsidR="005072DF" w:rsidRPr="00050D84" w:rsidRDefault="005072DF" w:rsidP="00D22060">
            <w:pPr>
              <w:pStyle w:val="TableText0"/>
              <w:keepNext w:val="0"/>
            </w:pPr>
            <w:r w:rsidRPr="00050D84">
              <w:t>1 year</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2FCDAD0" w14:textId="77777777" w:rsidR="005072DF" w:rsidRPr="00050D84" w:rsidRDefault="005072DF" w:rsidP="00D22060">
            <w:pPr>
              <w:pStyle w:val="TableText0"/>
              <w:keepNext w:val="0"/>
              <w:jc w:val="right"/>
            </w:pPr>
            <w:r>
              <w:t>$2,383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96335FA" w14:textId="77777777" w:rsidR="005072DF" w:rsidRPr="00050D84" w:rsidRDefault="005072DF" w:rsidP="00D22060">
            <w:pPr>
              <w:pStyle w:val="TableText0"/>
              <w:keepNext w:val="0"/>
              <w:jc w:val="right"/>
            </w:pPr>
            <w:r>
              <w:t>0.033</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E1A9E8B" w14:textId="77777777" w:rsidR="005072DF" w:rsidRPr="00973B00" w:rsidRDefault="005072DF" w:rsidP="00D22060">
            <w:pPr>
              <w:pStyle w:val="TableText0"/>
              <w:keepNext w:val="0"/>
              <w:jc w:val="right"/>
            </w:pPr>
            <w:r>
              <w:t>$72,070*</w:t>
            </w:r>
          </w:p>
        </w:tc>
        <w:tc>
          <w:tcPr>
            <w:tcW w:w="561" w:type="pct"/>
            <w:tcBorders>
              <w:top w:val="single" w:sz="4" w:space="0" w:color="auto"/>
              <w:left w:val="single" w:sz="4" w:space="0" w:color="auto"/>
              <w:bottom w:val="single" w:sz="4" w:space="0" w:color="auto"/>
            </w:tcBorders>
            <w:shd w:val="clear" w:color="auto" w:fill="auto"/>
          </w:tcPr>
          <w:p w14:paraId="5E413BD2" w14:textId="77777777" w:rsidR="005072DF" w:rsidRPr="00050D84" w:rsidRDefault="005072DF" w:rsidP="00D22060">
            <w:pPr>
              <w:pStyle w:val="TableText0"/>
              <w:keepNext w:val="0"/>
              <w:jc w:val="right"/>
            </w:pPr>
            <w:r w:rsidRPr="004C1512">
              <w:rPr>
                <w:bCs/>
                <w:snapToGrid w:val="0"/>
              </w:rPr>
              <w:t>NA</w:t>
            </w:r>
          </w:p>
        </w:tc>
      </w:tr>
      <w:tr w:rsidR="005072DF" w:rsidRPr="00050D84" w14:paraId="16FBDD3F"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4014BE85" w14:textId="77777777" w:rsidR="005072DF" w:rsidRPr="00050D84" w:rsidRDefault="005072DF" w:rsidP="00D22060">
            <w:pPr>
              <w:pStyle w:val="TableText0"/>
              <w:keepNext w:val="0"/>
            </w:pPr>
            <w:r>
              <w:t>2</w:t>
            </w:r>
            <w:r w:rsidRPr="00050D84">
              <w:t xml:space="preserve"> years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76DDBFEB" w14:textId="77777777" w:rsidR="005072DF" w:rsidRPr="00050D84" w:rsidRDefault="005072DF" w:rsidP="00D22060">
            <w:pPr>
              <w:pStyle w:val="TableText0"/>
              <w:keepNext w:val="0"/>
              <w:jc w:val="right"/>
            </w:pPr>
            <w:r>
              <w:t>-$709</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4187EC7" w14:textId="77777777" w:rsidR="005072DF" w:rsidRPr="00050D84" w:rsidRDefault="005072DF" w:rsidP="00D22060">
            <w:pPr>
              <w:pStyle w:val="TableText0"/>
              <w:keepNext w:val="0"/>
              <w:jc w:val="right"/>
            </w:pPr>
            <w:r>
              <w:t>0.067</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AC45B0E" w14:textId="77777777" w:rsidR="005072DF" w:rsidRPr="00973B00"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49E5FBDB" w14:textId="77777777" w:rsidR="005072DF" w:rsidRPr="00050D84" w:rsidRDefault="005072DF" w:rsidP="00D22060">
            <w:pPr>
              <w:pStyle w:val="TableText0"/>
              <w:keepNext w:val="0"/>
              <w:jc w:val="right"/>
            </w:pPr>
            <w:r w:rsidRPr="004C1512">
              <w:rPr>
                <w:bCs/>
                <w:snapToGrid w:val="0"/>
              </w:rPr>
              <w:t>NA</w:t>
            </w:r>
          </w:p>
        </w:tc>
      </w:tr>
      <w:tr w:rsidR="005072DF" w:rsidRPr="00050D84" w14:paraId="0FF0C214"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576387D0" w14:textId="77777777" w:rsidR="005072DF" w:rsidRPr="00050D84" w:rsidRDefault="005072DF" w:rsidP="00D22060">
            <w:pPr>
              <w:pStyle w:val="TableText0"/>
              <w:keepNext w:val="0"/>
            </w:pPr>
            <w:r>
              <w:t>5</w:t>
            </w:r>
            <w:r w:rsidRPr="00050D84">
              <w:t xml:space="preserve"> years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05E0CCF" w14:textId="77777777" w:rsidR="005072DF" w:rsidRPr="00050D84" w:rsidRDefault="005072DF" w:rsidP="00D22060">
            <w:pPr>
              <w:pStyle w:val="TableText0"/>
              <w:keepNext w:val="0"/>
              <w:jc w:val="right"/>
            </w:pPr>
            <w:r w:rsidRPr="00050E7C">
              <w:t>-$</w:t>
            </w:r>
            <w:r>
              <w:t>1,705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31E174C" w14:textId="77777777" w:rsidR="005072DF" w:rsidRPr="00050D84" w:rsidRDefault="005072DF" w:rsidP="00D22060">
            <w:pPr>
              <w:pStyle w:val="TableText0"/>
              <w:keepNext w:val="0"/>
              <w:jc w:val="right"/>
            </w:pPr>
            <w:r>
              <w:t>0.11</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4709DFE" w14:textId="77777777" w:rsidR="005072DF" w:rsidRPr="00973B00"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2F69FBE1" w14:textId="77777777" w:rsidR="005072DF" w:rsidRPr="00050D84" w:rsidRDefault="005072DF" w:rsidP="00D22060">
            <w:pPr>
              <w:pStyle w:val="TableText0"/>
              <w:keepNext w:val="0"/>
              <w:jc w:val="right"/>
            </w:pPr>
            <w:r w:rsidRPr="004C1512">
              <w:rPr>
                <w:bCs/>
                <w:snapToGrid w:val="0"/>
              </w:rPr>
              <w:t>NA</w:t>
            </w:r>
          </w:p>
        </w:tc>
      </w:tr>
      <w:tr w:rsidR="005072DF" w:rsidRPr="00050D84" w14:paraId="715119C9"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22523CDA" w14:textId="77777777" w:rsidR="005072DF" w:rsidRPr="00050D84" w:rsidRDefault="005072DF" w:rsidP="00D22060">
            <w:pPr>
              <w:pStyle w:val="TableText0"/>
              <w:keepNext w:val="0"/>
            </w:pPr>
            <w:r>
              <w:t>10</w:t>
            </w:r>
            <w:r w:rsidRPr="00050D84">
              <w:t xml:space="preserve"> years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47F54AE4" w14:textId="77777777" w:rsidR="005072DF" w:rsidRPr="00050D84" w:rsidRDefault="005072DF" w:rsidP="00D22060">
            <w:pPr>
              <w:pStyle w:val="TableText0"/>
              <w:keepNext w:val="0"/>
              <w:jc w:val="right"/>
            </w:pPr>
            <w:r w:rsidRPr="00050E7C">
              <w:t>-$</w:t>
            </w:r>
            <w:r>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846E28C" w14:textId="77777777" w:rsidR="005072DF" w:rsidRPr="00050D84" w:rsidRDefault="005072DF" w:rsidP="00D22060">
            <w:pPr>
              <w:pStyle w:val="TableText0"/>
              <w:keepNext w:val="0"/>
              <w:jc w:val="right"/>
            </w:pPr>
            <w:r>
              <w:t>0.18</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26DE6E8" w14:textId="77777777" w:rsidR="005072DF" w:rsidRPr="00973B00"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0D402827" w14:textId="77777777" w:rsidR="005072DF" w:rsidRPr="00050D84" w:rsidRDefault="005072DF" w:rsidP="00D22060">
            <w:pPr>
              <w:pStyle w:val="TableText0"/>
              <w:keepNext w:val="0"/>
              <w:jc w:val="right"/>
            </w:pPr>
            <w:r w:rsidRPr="004C1512">
              <w:rPr>
                <w:bCs/>
                <w:snapToGrid w:val="0"/>
              </w:rPr>
              <w:t>NA</w:t>
            </w:r>
          </w:p>
        </w:tc>
      </w:tr>
      <w:tr w:rsidR="005072DF" w:rsidRPr="00050D84" w14:paraId="5DA6B575" w14:textId="77777777" w:rsidTr="00D22060">
        <w:tc>
          <w:tcPr>
            <w:tcW w:w="5000" w:type="pct"/>
            <w:gridSpan w:val="6"/>
            <w:shd w:val="clear" w:color="auto" w:fill="auto"/>
          </w:tcPr>
          <w:p w14:paraId="4F572802" w14:textId="77777777" w:rsidR="005072DF" w:rsidRPr="00050D84" w:rsidRDefault="005072DF" w:rsidP="00D22060">
            <w:pPr>
              <w:pStyle w:val="TableText0"/>
              <w:keepNext w:val="0"/>
            </w:pPr>
            <w:r>
              <w:t>Relative risk DAC+abs vs. no DAC+abs</w:t>
            </w:r>
          </w:p>
        </w:tc>
      </w:tr>
      <w:tr w:rsidR="005072DF" w:rsidRPr="00050D84" w14:paraId="739D634C"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5F8C3673" w14:textId="77777777" w:rsidR="005072DF" w:rsidRPr="00050D84" w:rsidRDefault="005072DF" w:rsidP="00D22060">
            <w:pPr>
              <w:pStyle w:val="TableText0"/>
              <w:keepNext w:val="0"/>
            </w:pPr>
            <w:r w:rsidRPr="00E27DDD">
              <w:t>Romanò 2016</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2111B7AA" w14:textId="77777777" w:rsidR="005072DF" w:rsidRPr="00050D84" w:rsidRDefault="005072DF" w:rsidP="00D22060">
            <w:pPr>
              <w:pStyle w:val="TableText0"/>
              <w:keepNext w:val="0"/>
            </w:pPr>
            <w:r>
              <w:t>lower 95% CI (0.004)</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FBFBF16" w14:textId="77777777" w:rsidR="005072DF" w:rsidRPr="00050D84" w:rsidRDefault="005072DF" w:rsidP="00D22060">
            <w:pPr>
              <w:pStyle w:val="TableText0"/>
              <w:keepNext w:val="0"/>
              <w:jc w:val="right"/>
            </w:pPr>
            <w:r>
              <w:t>-$1,925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A129006" w14:textId="77777777" w:rsidR="005072DF" w:rsidRPr="00050D84" w:rsidRDefault="005072DF" w:rsidP="00D22060">
            <w:pPr>
              <w:pStyle w:val="TableText0"/>
              <w:keepNext w:val="0"/>
              <w:jc w:val="right"/>
            </w:pPr>
            <w:r>
              <w:t>0.26</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52C18A2" w14:textId="77777777" w:rsidR="005072DF" w:rsidRPr="00050D84"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37B9F29E" w14:textId="77777777" w:rsidR="005072DF" w:rsidRPr="00050D84" w:rsidRDefault="005072DF" w:rsidP="00D22060">
            <w:pPr>
              <w:pStyle w:val="TableText0"/>
              <w:keepNext w:val="0"/>
              <w:jc w:val="right"/>
            </w:pPr>
            <w:r w:rsidRPr="00887FE1">
              <w:rPr>
                <w:bCs/>
                <w:snapToGrid w:val="0"/>
              </w:rPr>
              <w:t>NA</w:t>
            </w:r>
          </w:p>
        </w:tc>
      </w:tr>
      <w:tr w:rsidR="005072DF" w:rsidRPr="00050D84" w14:paraId="4C897E15"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77F75AE2" w14:textId="77777777" w:rsidR="005072DF" w:rsidRDefault="005072DF" w:rsidP="00D22060">
            <w:pPr>
              <w:pStyle w:val="TableText0"/>
              <w:keepNext w:val="0"/>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67668F1A" w14:textId="77777777" w:rsidR="005072DF" w:rsidRDefault="005072DF" w:rsidP="00D22060">
            <w:pPr>
              <w:pStyle w:val="TableText0"/>
              <w:keepNext w:val="0"/>
            </w:pPr>
            <w:r>
              <w:t>higher 95% CI (1.10)</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48CD426" w14:textId="77777777" w:rsidR="005072DF" w:rsidRPr="00050D84" w:rsidRDefault="005072DF" w:rsidP="00D22060">
            <w:pPr>
              <w:pStyle w:val="TableText0"/>
              <w:keepNext w:val="0"/>
              <w:jc w:val="right"/>
            </w:pPr>
            <w:r>
              <w:t>$8,903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9B3B1BD" w14:textId="77777777" w:rsidR="005072DF" w:rsidRPr="00050D84" w:rsidRDefault="005072DF" w:rsidP="00D22060">
            <w:pPr>
              <w:pStyle w:val="TableText0"/>
              <w:keepNext w:val="0"/>
              <w:jc w:val="right"/>
            </w:pPr>
            <w:r>
              <w:t>-0.035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DB663C5" w14:textId="77777777" w:rsidR="005072DF" w:rsidRPr="00050D84" w:rsidRDefault="005072DF" w:rsidP="00D22060">
            <w:pPr>
              <w:pStyle w:val="TableText0"/>
              <w:keepNext w:val="0"/>
              <w:jc w:val="right"/>
            </w:pPr>
            <w:r>
              <w:t>DAC+abs is dominated*</w:t>
            </w:r>
          </w:p>
        </w:tc>
        <w:tc>
          <w:tcPr>
            <w:tcW w:w="561" w:type="pct"/>
            <w:tcBorders>
              <w:top w:val="single" w:sz="4" w:space="0" w:color="auto"/>
              <w:left w:val="single" w:sz="4" w:space="0" w:color="auto"/>
              <w:bottom w:val="single" w:sz="4" w:space="0" w:color="auto"/>
            </w:tcBorders>
            <w:shd w:val="clear" w:color="auto" w:fill="auto"/>
          </w:tcPr>
          <w:p w14:paraId="691E5AAD" w14:textId="77777777" w:rsidR="005072DF" w:rsidRPr="00050D84" w:rsidRDefault="005072DF" w:rsidP="00D22060">
            <w:pPr>
              <w:pStyle w:val="TableText0"/>
              <w:keepNext w:val="0"/>
              <w:jc w:val="right"/>
            </w:pPr>
            <w:r w:rsidRPr="00887FE1">
              <w:rPr>
                <w:bCs/>
                <w:snapToGrid w:val="0"/>
              </w:rPr>
              <w:t>NA</w:t>
            </w:r>
          </w:p>
        </w:tc>
      </w:tr>
      <w:tr w:rsidR="005072DF" w:rsidRPr="00050D84" w14:paraId="31DE064F" w14:textId="77777777" w:rsidTr="00D22060">
        <w:trPr>
          <w:cantSplit/>
        </w:trPr>
        <w:tc>
          <w:tcPr>
            <w:tcW w:w="1024" w:type="pct"/>
            <w:vMerge w:val="restart"/>
            <w:tcBorders>
              <w:top w:val="single" w:sz="4" w:space="0" w:color="auto"/>
              <w:bottom w:val="single" w:sz="4" w:space="0" w:color="auto"/>
              <w:right w:val="single" w:sz="4" w:space="0" w:color="auto"/>
            </w:tcBorders>
            <w:shd w:val="clear" w:color="auto" w:fill="auto"/>
          </w:tcPr>
          <w:p w14:paraId="51B6C04C" w14:textId="77777777" w:rsidR="005072DF" w:rsidRDefault="005072DF" w:rsidP="00D22060">
            <w:pPr>
              <w:pStyle w:val="TableText0"/>
              <w:keepNext w:val="0"/>
            </w:pPr>
            <w:r>
              <w:t>Zagra 2019</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6AFC0730" w14:textId="77777777" w:rsidR="005072DF" w:rsidRDefault="005072DF" w:rsidP="00D22060">
            <w:pPr>
              <w:pStyle w:val="TableText0"/>
              <w:keepNext w:val="0"/>
            </w:pPr>
            <w:r>
              <w:t>RR estimate (0.11)</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1ACA5A3" w14:textId="77777777" w:rsidR="005072DF" w:rsidRDefault="005072DF" w:rsidP="00D22060">
            <w:pPr>
              <w:pStyle w:val="TableText0"/>
              <w:keepNext w:val="0"/>
              <w:jc w:val="right"/>
            </w:pPr>
            <w:r>
              <w:t>-$1286</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75B38F4" w14:textId="77777777" w:rsidR="005072DF" w:rsidRDefault="005072DF" w:rsidP="00D22060">
            <w:pPr>
              <w:pStyle w:val="TableText0"/>
              <w:keepNext w:val="0"/>
              <w:jc w:val="right"/>
            </w:pPr>
            <w:r>
              <w:t>0.24</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1A4C135" w14:textId="77777777" w:rsidR="005072DF"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6894DC8D" w14:textId="77777777" w:rsidR="005072DF" w:rsidRPr="00050D84" w:rsidRDefault="005072DF" w:rsidP="00D22060">
            <w:pPr>
              <w:pStyle w:val="TableText0"/>
              <w:keepNext w:val="0"/>
              <w:jc w:val="right"/>
            </w:pPr>
            <w:r w:rsidRPr="0073078D">
              <w:rPr>
                <w:bCs/>
                <w:snapToGrid w:val="0"/>
              </w:rPr>
              <w:t>NA</w:t>
            </w:r>
          </w:p>
        </w:tc>
      </w:tr>
      <w:tr w:rsidR="005072DF" w:rsidRPr="00050D84" w14:paraId="47FABEA7"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2DA4CC8F" w14:textId="77777777" w:rsidR="005072DF" w:rsidRDefault="005072DF" w:rsidP="00D22060">
            <w:pPr>
              <w:pStyle w:val="TableText0"/>
              <w:keepNext w:val="0"/>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264844D8" w14:textId="77777777" w:rsidR="005072DF" w:rsidRDefault="005072DF" w:rsidP="00D22060">
            <w:pPr>
              <w:pStyle w:val="TableText0"/>
              <w:keepNext w:val="0"/>
            </w:pPr>
            <w:r>
              <w:t>lower 95% CI (0.0063)</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D85E377" w14:textId="77777777" w:rsidR="005072DF" w:rsidRDefault="005072DF" w:rsidP="00D22060">
            <w:pPr>
              <w:pStyle w:val="TableText0"/>
              <w:keepNext w:val="0"/>
              <w:jc w:val="right"/>
            </w:pPr>
            <w:r>
              <w:t>-$2,225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47433A1" w14:textId="77777777" w:rsidR="005072DF" w:rsidRDefault="005072DF" w:rsidP="00D22060">
            <w:pPr>
              <w:pStyle w:val="TableText0"/>
              <w:keepNext w:val="0"/>
              <w:jc w:val="right"/>
            </w:pPr>
            <w:r>
              <w:t>0.26</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8ED9ACE" w14:textId="77777777" w:rsidR="005072DF"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1E589938" w14:textId="77777777" w:rsidR="005072DF" w:rsidRPr="00050D84" w:rsidRDefault="005072DF" w:rsidP="00D22060">
            <w:pPr>
              <w:pStyle w:val="TableText0"/>
              <w:keepNext w:val="0"/>
              <w:jc w:val="right"/>
            </w:pPr>
            <w:r w:rsidRPr="0073078D">
              <w:rPr>
                <w:bCs/>
                <w:snapToGrid w:val="0"/>
              </w:rPr>
              <w:t>NA</w:t>
            </w:r>
          </w:p>
        </w:tc>
      </w:tr>
      <w:tr w:rsidR="005072DF" w:rsidRPr="00050D84" w14:paraId="689B7DCB"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7970E72E" w14:textId="77777777" w:rsidR="005072DF" w:rsidRDefault="005072DF" w:rsidP="00D22060">
            <w:pPr>
              <w:pStyle w:val="TableText0"/>
              <w:keepNext w:val="0"/>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7B61B9BB" w14:textId="77777777" w:rsidR="005072DF" w:rsidRDefault="005072DF" w:rsidP="00D22060">
            <w:pPr>
              <w:pStyle w:val="TableText0"/>
              <w:keepNext w:val="0"/>
            </w:pPr>
            <w:r>
              <w:t>higher 95% CI (1.97)</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F1F3C08" w14:textId="77777777" w:rsidR="005072DF" w:rsidRDefault="005072DF" w:rsidP="00D22060">
            <w:pPr>
              <w:pStyle w:val="TableText0"/>
              <w:keepNext w:val="0"/>
              <w:jc w:val="right"/>
            </w:pPr>
            <w:r>
              <w:t>$19639</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C4EFDEA" w14:textId="77777777" w:rsidR="005072DF" w:rsidRDefault="005072DF" w:rsidP="00D22060">
            <w:pPr>
              <w:pStyle w:val="TableText0"/>
              <w:keepNext w:val="0"/>
              <w:jc w:val="right"/>
            </w:pPr>
            <w:r>
              <w:t>-0.40</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D6FA8FE" w14:textId="77777777" w:rsidR="005072DF" w:rsidRDefault="005072DF" w:rsidP="00D22060">
            <w:pPr>
              <w:pStyle w:val="TableText0"/>
              <w:keepNext w:val="0"/>
              <w:jc w:val="right"/>
            </w:pPr>
            <w:r>
              <w:t>DAC+abs is dominated*</w:t>
            </w:r>
          </w:p>
        </w:tc>
        <w:tc>
          <w:tcPr>
            <w:tcW w:w="561" w:type="pct"/>
            <w:tcBorders>
              <w:top w:val="single" w:sz="4" w:space="0" w:color="auto"/>
              <w:left w:val="single" w:sz="4" w:space="0" w:color="auto"/>
              <w:bottom w:val="single" w:sz="4" w:space="0" w:color="auto"/>
            </w:tcBorders>
            <w:shd w:val="clear" w:color="auto" w:fill="auto"/>
          </w:tcPr>
          <w:p w14:paraId="5FB2C77A" w14:textId="77777777" w:rsidR="005072DF" w:rsidRPr="00050D84" w:rsidRDefault="005072DF" w:rsidP="00D22060">
            <w:pPr>
              <w:pStyle w:val="TableText0"/>
              <w:keepNext w:val="0"/>
              <w:jc w:val="right"/>
            </w:pPr>
            <w:r w:rsidRPr="0073078D">
              <w:rPr>
                <w:bCs/>
                <w:snapToGrid w:val="0"/>
              </w:rPr>
              <w:t>NA</w:t>
            </w:r>
          </w:p>
        </w:tc>
      </w:tr>
      <w:tr w:rsidR="005072DF" w:rsidRPr="00050D84" w14:paraId="2277BDB3" w14:textId="77777777" w:rsidTr="00D22060">
        <w:trPr>
          <w:cantSplit/>
        </w:trPr>
        <w:tc>
          <w:tcPr>
            <w:tcW w:w="1024" w:type="pct"/>
            <w:vMerge w:val="restart"/>
            <w:tcBorders>
              <w:top w:val="single" w:sz="4" w:space="0" w:color="auto"/>
              <w:bottom w:val="single" w:sz="4" w:space="0" w:color="auto"/>
              <w:right w:val="single" w:sz="4" w:space="0" w:color="auto"/>
            </w:tcBorders>
            <w:shd w:val="clear" w:color="auto" w:fill="auto"/>
          </w:tcPr>
          <w:p w14:paraId="3035B2DB" w14:textId="77777777" w:rsidR="005072DF" w:rsidRDefault="005072DF" w:rsidP="00D22060">
            <w:pPr>
              <w:pStyle w:val="TableText0"/>
              <w:keepNext w:val="0"/>
            </w:pPr>
            <w:r>
              <w:t>Capuano 2018</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171B5ACC" w14:textId="77777777" w:rsidR="005072DF" w:rsidRDefault="005072DF" w:rsidP="00D22060">
            <w:pPr>
              <w:pStyle w:val="TableText0"/>
              <w:keepNext w:val="0"/>
            </w:pPr>
            <w:r>
              <w:t>RR estimate (0.67)</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F76F26B" w14:textId="77777777" w:rsidR="005072DF" w:rsidRDefault="005072DF" w:rsidP="00D22060">
            <w:pPr>
              <w:pStyle w:val="TableText0"/>
              <w:keepNext w:val="0"/>
              <w:jc w:val="right"/>
            </w:pPr>
            <w:r>
              <w:t>$4,212</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13EB016" w14:textId="77777777" w:rsidR="005072DF" w:rsidRDefault="005072DF" w:rsidP="00D22060">
            <w:pPr>
              <w:pStyle w:val="TableText0"/>
              <w:keepNext w:val="0"/>
              <w:jc w:val="right"/>
            </w:pPr>
            <w:r>
              <w:t>0.104</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CF62531" w14:textId="77777777" w:rsidR="005072DF" w:rsidRDefault="005072DF" w:rsidP="00D22060">
            <w:pPr>
              <w:pStyle w:val="TableText0"/>
              <w:keepNext w:val="0"/>
              <w:jc w:val="right"/>
            </w:pPr>
            <w:r>
              <w:t>$40,605*</w:t>
            </w:r>
          </w:p>
        </w:tc>
        <w:tc>
          <w:tcPr>
            <w:tcW w:w="561" w:type="pct"/>
            <w:tcBorders>
              <w:top w:val="single" w:sz="4" w:space="0" w:color="auto"/>
              <w:left w:val="single" w:sz="4" w:space="0" w:color="auto"/>
              <w:bottom w:val="single" w:sz="4" w:space="0" w:color="auto"/>
            </w:tcBorders>
            <w:shd w:val="clear" w:color="auto" w:fill="auto"/>
          </w:tcPr>
          <w:p w14:paraId="49FDA38A" w14:textId="77777777" w:rsidR="005072DF" w:rsidRPr="00050D84" w:rsidRDefault="005072DF" w:rsidP="00D22060">
            <w:pPr>
              <w:pStyle w:val="TableText0"/>
              <w:keepNext w:val="0"/>
              <w:jc w:val="right"/>
            </w:pPr>
            <w:r w:rsidRPr="0073078D">
              <w:rPr>
                <w:bCs/>
                <w:snapToGrid w:val="0"/>
              </w:rPr>
              <w:t>NA</w:t>
            </w:r>
          </w:p>
        </w:tc>
      </w:tr>
      <w:tr w:rsidR="005072DF" w:rsidRPr="00050D84" w14:paraId="5FB40712"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66B54A53" w14:textId="77777777" w:rsidR="005072DF" w:rsidRDefault="005072DF" w:rsidP="00D22060">
            <w:pPr>
              <w:pStyle w:val="TableText0"/>
              <w:keepNext w:val="0"/>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53F14B3C" w14:textId="77777777" w:rsidR="005072DF" w:rsidRDefault="005072DF" w:rsidP="00D22060">
            <w:pPr>
              <w:pStyle w:val="TableText0"/>
              <w:keepNext w:val="0"/>
            </w:pPr>
            <w:r>
              <w:t>lower 95% CI (0.12)</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AE02B04" w14:textId="77777777" w:rsidR="005072DF" w:rsidRDefault="005072DF" w:rsidP="00D22060">
            <w:pPr>
              <w:pStyle w:val="TableText0"/>
              <w:keepNext w:val="0"/>
              <w:jc w:val="right"/>
            </w:pPr>
            <w:r>
              <w:t>-$1,194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4DF19B6" w14:textId="77777777" w:rsidR="005072DF" w:rsidRDefault="005072DF" w:rsidP="00D22060">
            <w:pPr>
              <w:pStyle w:val="TableText0"/>
              <w:keepNext w:val="0"/>
              <w:jc w:val="right"/>
            </w:pPr>
            <w:r>
              <w:t>0.24</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DEA2C43" w14:textId="77777777" w:rsidR="005072DF" w:rsidRDefault="005072DF" w:rsidP="00D22060">
            <w:pPr>
              <w:pStyle w:val="TableText0"/>
              <w:keepNext w:val="0"/>
              <w:jc w:val="right"/>
            </w:pPr>
            <w:r w:rsidRPr="003C25B6">
              <w:t>DAC</w:t>
            </w:r>
            <w:r>
              <w:t>+abs</w:t>
            </w:r>
            <w:r w:rsidRPr="003C25B6">
              <w:t xml:space="preserve"> is dominant</w:t>
            </w:r>
          </w:p>
        </w:tc>
        <w:tc>
          <w:tcPr>
            <w:tcW w:w="561" w:type="pct"/>
            <w:tcBorders>
              <w:top w:val="single" w:sz="4" w:space="0" w:color="auto"/>
              <w:left w:val="single" w:sz="4" w:space="0" w:color="auto"/>
              <w:bottom w:val="single" w:sz="4" w:space="0" w:color="auto"/>
            </w:tcBorders>
            <w:shd w:val="clear" w:color="auto" w:fill="auto"/>
          </w:tcPr>
          <w:p w14:paraId="4BB0FBAD" w14:textId="77777777" w:rsidR="005072DF" w:rsidRPr="00050D84" w:rsidRDefault="005072DF" w:rsidP="00D22060">
            <w:pPr>
              <w:pStyle w:val="TableText0"/>
              <w:keepNext w:val="0"/>
              <w:jc w:val="right"/>
            </w:pPr>
            <w:r w:rsidRPr="0073078D">
              <w:rPr>
                <w:bCs/>
                <w:snapToGrid w:val="0"/>
              </w:rPr>
              <w:t>NA</w:t>
            </w:r>
          </w:p>
        </w:tc>
      </w:tr>
      <w:tr w:rsidR="005072DF" w:rsidRPr="00050D84" w14:paraId="4AB95B01" w14:textId="77777777" w:rsidTr="00D22060">
        <w:trPr>
          <w:cantSplit/>
        </w:trPr>
        <w:tc>
          <w:tcPr>
            <w:tcW w:w="1024" w:type="pct"/>
            <w:vMerge/>
            <w:tcBorders>
              <w:top w:val="single" w:sz="4" w:space="0" w:color="auto"/>
              <w:bottom w:val="single" w:sz="4" w:space="0" w:color="auto"/>
              <w:right w:val="single" w:sz="4" w:space="0" w:color="auto"/>
            </w:tcBorders>
            <w:shd w:val="clear" w:color="auto" w:fill="auto"/>
          </w:tcPr>
          <w:p w14:paraId="1880149C" w14:textId="77777777" w:rsidR="005072DF" w:rsidRDefault="005072DF" w:rsidP="00D22060">
            <w:pPr>
              <w:pStyle w:val="TableText0"/>
              <w:keepNext w:val="0"/>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4A35AB3" w14:textId="77777777" w:rsidR="005072DF" w:rsidRDefault="005072DF" w:rsidP="00D22060">
            <w:pPr>
              <w:pStyle w:val="TableText0"/>
              <w:keepNext w:val="0"/>
            </w:pPr>
            <w:r>
              <w:t>higher 95% CI (3.60)</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9DB3715" w14:textId="77777777" w:rsidR="005072DF" w:rsidRDefault="005072DF" w:rsidP="00D22060">
            <w:pPr>
              <w:pStyle w:val="TableText0"/>
              <w:keepNext w:val="0"/>
              <w:jc w:val="right"/>
            </w:pPr>
            <w:r>
              <w:t>Model error</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9DCE0FE" w14:textId="77777777" w:rsidR="005072DF" w:rsidRDefault="005072DF" w:rsidP="00D22060">
            <w:pPr>
              <w:pStyle w:val="TableText0"/>
              <w:keepNext w:val="0"/>
              <w:jc w:val="right"/>
            </w:pPr>
            <w:r>
              <w:t>Model error</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9B04B3C" w14:textId="77777777" w:rsidR="005072DF" w:rsidRDefault="005072DF" w:rsidP="00D22060">
            <w:pPr>
              <w:pStyle w:val="TableText0"/>
              <w:keepNext w:val="0"/>
              <w:jc w:val="right"/>
            </w:pPr>
            <w:r>
              <w:t>DAC+abs is dominated*</w:t>
            </w:r>
          </w:p>
        </w:tc>
        <w:tc>
          <w:tcPr>
            <w:tcW w:w="561" w:type="pct"/>
            <w:tcBorders>
              <w:top w:val="single" w:sz="4" w:space="0" w:color="auto"/>
              <w:left w:val="single" w:sz="4" w:space="0" w:color="auto"/>
              <w:bottom w:val="single" w:sz="4" w:space="0" w:color="auto"/>
            </w:tcBorders>
            <w:shd w:val="clear" w:color="auto" w:fill="auto"/>
          </w:tcPr>
          <w:p w14:paraId="2B432A45" w14:textId="77777777" w:rsidR="005072DF" w:rsidRPr="00050D84" w:rsidRDefault="005072DF" w:rsidP="00D22060">
            <w:pPr>
              <w:pStyle w:val="TableText0"/>
              <w:keepNext w:val="0"/>
              <w:jc w:val="right"/>
            </w:pPr>
            <w:r w:rsidRPr="0073078D">
              <w:rPr>
                <w:bCs/>
                <w:snapToGrid w:val="0"/>
              </w:rPr>
              <w:t>NA</w:t>
            </w:r>
          </w:p>
        </w:tc>
      </w:tr>
      <w:tr w:rsidR="005072DF" w14:paraId="449F19E9" w14:textId="77777777" w:rsidTr="00D22060">
        <w:tc>
          <w:tcPr>
            <w:tcW w:w="5000" w:type="pct"/>
            <w:gridSpan w:val="6"/>
            <w:shd w:val="clear" w:color="auto" w:fill="auto"/>
          </w:tcPr>
          <w:p w14:paraId="43E50935" w14:textId="77777777" w:rsidR="005072DF" w:rsidRDefault="005072DF" w:rsidP="00D22060">
            <w:pPr>
              <w:pStyle w:val="TableText0"/>
              <w:keepNext w:val="0"/>
            </w:pPr>
            <w:r>
              <w:t>Probabilities</w:t>
            </w:r>
          </w:p>
        </w:tc>
      </w:tr>
      <w:tr w:rsidR="005072DF" w14:paraId="5DF9644D" w14:textId="77777777" w:rsidTr="00D22060">
        <w:tc>
          <w:tcPr>
            <w:tcW w:w="1024" w:type="pct"/>
            <w:vMerge w:val="restart"/>
            <w:tcBorders>
              <w:top w:val="single" w:sz="4" w:space="0" w:color="auto"/>
              <w:bottom w:val="single" w:sz="4" w:space="0" w:color="auto"/>
              <w:right w:val="single" w:sz="4" w:space="0" w:color="auto"/>
            </w:tcBorders>
            <w:shd w:val="clear" w:color="auto" w:fill="auto"/>
            <w:vAlign w:val="center"/>
          </w:tcPr>
          <w:p w14:paraId="26B1C973" w14:textId="77777777" w:rsidR="005072DF" w:rsidRPr="00250965" w:rsidRDefault="005072DF" w:rsidP="00D22060">
            <w:pPr>
              <w:pStyle w:val="TableText0"/>
              <w:keepNext w:val="0"/>
              <w:rPr>
                <w:szCs w:val="20"/>
              </w:rPr>
            </w:pPr>
            <w:r w:rsidRPr="00250965">
              <w:rPr>
                <w:szCs w:val="20"/>
              </w:rPr>
              <w:t>Recurrent SSI</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D8A1766" w14:textId="5D93DCC8" w:rsidR="005072DF" w:rsidRDefault="005072DF" w:rsidP="00D22060">
            <w:pPr>
              <w:pStyle w:val="TableText0"/>
              <w:keepNext w:val="0"/>
            </w:pPr>
            <w:r>
              <w:t>+20% 1</w:t>
            </w:r>
            <w:r w:rsidRPr="005E284B">
              <w:rPr>
                <w:vertAlign w:val="superscript"/>
              </w:rPr>
              <w:t>st</w:t>
            </w:r>
            <w:r>
              <w:rPr>
                <w:vertAlign w:val="superscript"/>
              </w:rPr>
              <w:t xml:space="preserve"> </w:t>
            </w:r>
            <w:r>
              <w:t>cycle 42.40%</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5B056A3" w14:textId="77777777" w:rsidR="005072DF" w:rsidRDefault="005072DF" w:rsidP="00D22060">
            <w:pPr>
              <w:pStyle w:val="TableText0"/>
              <w:keepNext w:val="0"/>
              <w:jc w:val="right"/>
            </w:pPr>
            <w:r>
              <w:t>-$3,505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8F84FA1" w14:textId="77777777" w:rsidR="005072DF" w:rsidRDefault="005072DF" w:rsidP="00D22060">
            <w:pPr>
              <w:pStyle w:val="TableText0"/>
              <w:keepNext w:val="0"/>
              <w:jc w:val="right"/>
            </w:pPr>
            <w:r>
              <w:t>0.32</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913B7F8" w14:textId="77777777" w:rsidR="005072DF" w:rsidRPr="00431992" w:rsidRDefault="005072DF" w:rsidP="00D22060">
            <w:pPr>
              <w:pStyle w:val="TableText0"/>
              <w:keepNext w:val="0"/>
              <w:jc w:val="right"/>
              <w:rPr>
                <w:highlight w:val="green"/>
              </w:rPr>
            </w:pPr>
            <w:r w:rsidRPr="003F2CD3">
              <w:t>DAC</w:t>
            </w:r>
            <w:r>
              <w:t>+abs</w:t>
            </w:r>
            <w:r w:rsidRPr="003F2CD3">
              <w:t xml:space="preserve"> is dominant</w:t>
            </w:r>
          </w:p>
        </w:tc>
        <w:tc>
          <w:tcPr>
            <w:tcW w:w="561" w:type="pct"/>
            <w:tcBorders>
              <w:top w:val="single" w:sz="4" w:space="0" w:color="auto"/>
              <w:left w:val="single" w:sz="4" w:space="0" w:color="auto"/>
              <w:bottom w:val="single" w:sz="4" w:space="0" w:color="auto"/>
            </w:tcBorders>
            <w:shd w:val="clear" w:color="auto" w:fill="auto"/>
          </w:tcPr>
          <w:p w14:paraId="14856ED3" w14:textId="77777777" w:rsidR="005072DF" w:rsidRDefault="005072DF" w:rsidP="00D22060">
            <w:pPr>
              <w:pStyle w:val="TableText0"/>
              <w:keepNext w:val="0"/>
              <w:jc w:val="right"/>
            </w:pPr>
            <w:r w:rsidRPr="0017422A">
              <w:rPr>
                <w:bCs/>
                <w:snapToGrid w:val="0"/>
              </w:rPr>
              <w:t>NA</w:t>
            </w:r>
          </w:p>
        </w:tc>
      </w:tr>
      <w:tr w:rsidR="005072DF" w14:paraId="152B4234" w14:textId="77777777" w:rsidTr="00D22060">
        <w:tc>
          <w:tcPr>
            <w:tcW w:w="1024" w:type="pct"/>
            <w:vMerge/>
            <w:tcBorders>
              <w:top w:val="single" w:sz="4" w:space="0" w:color="auto"/>
              <w:bottom w:val="single" w:sz="4" w:space="0" w:color="auto"/>
              <w:right w:val="single" w:sz="4" w:space="0" w:color="auto"/>
            </w:tcBorders>
            <w:shd w:val="clear" w:color="auto" w:fill="auto"/>
          </w:tcPr>
          <w:p w14:paraId="4389BB09"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15D912AD" w14:textId="1FCD4CBA" w:rsidR="005072DF" w:rsidRDefault="005072DF" w:rsidP="00D22060">
            <w:pPr>
              <w:pStyle w:val="TableText0"/>
              <w:keepNext w:val="0"/>
            </w:pPr>
            <w:r>
              <w:t>+20% 2</w:t>
            </w:r>
            <w:r w:rsidRPr="005E284B">
              <w:rPr>
                <w:vertAlign w:val="superscript"/>
              </w:rPr>
              <w:t>nd</w:t>
            </w:r>
            <w:r>
              <w:t xml:space="preserve"> cycle 4.50%</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43AE387C" w14:textId="77777777" w:rsidR="005072DF" w:rsidRDefault="005072DF" w:rsidP="00D22060">
            <w:pPr>
              <w:pStyle w:val="TableText0"/>
              <w:keepNext w:val="0"/>
              <w:jc w:val="right"/>
            </w:pPr>
            <w:r w:rsidRPr="00CB7FC8">
              <w:t>-$</w:t>
            </w:r>
            <w:r>
              <w:t>1,647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DB9CB63"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BBC3C61" w14:textId="77777777" w:rsidR="005072DF" w:rsidRPr="00C4562E" w:rsidRDefault="005072DF" w:rsidP="00D22060">
            <w:pPr>
              <w:pStyle w:val="TableText0"/>
              <w:keepNext w:val="0"/>
              <w:jc w:val="right"/>
            </w:pPr>
            <w:r w:rsidRPr="003F2CD3">
              <w:t>DAC</w:t>
            </w:r>
            <w:r>
              <w:t>+abs</w:t>
            </w:r>
            <w:r w:rsidRPr="003F2CD3">
              <w:t xml:space="preserve"> is dominant</w:t>
            </w:r>
          </w:p>
        </w:tc>
        <w:tc>
          <w:tcPr>
            <w:tcW w:w="561" w:type="pct"/>
            <w:tcBorders>
              <w:top w:val="single" w:sz="4" w:space="0" w:color="auto"/>
              <w:left w:val="single" w:sz="4" w:space="0" w:color="auto"/>
              <w:bottom w:val="single" w:sz="4" w:space="0" w:color="auto"/>
            </w:tcBorders>
            <w:shd w:val="clear" w:color="auto" w:fill="auto"/>
          </w:tcPr>
          <w:p w14:paraId="6F651D8B" w14:textId="77777777" w:rsidR="005072DF" w:rsidRDefault="005072DF" w:rsidP="00D22060">
            <w:pPr>
              <w:pStyle w:val="TableText0"/>
              <w:keepNext w:val="0"/>
              <w:jc w:val="right"/>
            </w:pPr>
            <w:r w:rsidRPr="0017422A">
              <w:rPr>
                <w:bCs/>
                <w:snapToGrid w:val="0"/>
              </w:rPr>
              <w:t>NA</w:t>
            </w:r>
          </w:p>
        </w:tc>
      </w:tr>
      <w:tr w:rsidR="005072DF" w14:paraId="6170334F" w14:textId="77777777" w:rsidTr="00D22060">
        <w:tc>
          <w:tcPr>
            <w:tcW w:w="1024" w:type="pct"/>
            <w:vMerge/>
            <w:tcBorders>
              <w:top w:val="single" w:sz="4" w:space="0" w:color="auto"/>
              <w:bottom w:val="single" w:sz="4" w:space="0" w:color="auto"/>
              <w:right w:val="single" w:sz="4" w:space="0" w:color="auto"/>
            </w:tcBorders>
            <w:shd w:val="clear" w:color="auto" w:fill="auto"/>
          </w:tcPr>
          <w:p w14:paraId="37977D2A"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49A9778B" w14:textId="3F1DEC2C" w:rsidR="005072DF" w:rsidRDefault="005072DF" w:rsidP="00D22060">
            <w:pPr>
              <w:pStyle w:val="TableText0"/>
              <w:keepNext w:val="0"/>
            </w:pPr>
            <w:r>
              <w:t>+20% 3</w:t>
            </w:r>
            <w:r w:rsidRPr="00C4562E">
              <w:rPr>
                <w:vertAlign w:val="superscript"/>
              </w:rPr>
              <w:t>rd</w:t>
            </w:r>
            <w:r>
              <w:t xml:space="preserve"> cycle 1.99%</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55BEDAF" w14:textId="77777777" w:rsidR="005072DF" w:rsidRDefault="005072DF" w:rsidP="00D22060">
            <w:pPr>
              <w:pStyle w:val="TableText0"/>
              <w:keepNext w:val="0"/>
              <w:jc w:val="right"/>
            </w:pPr>
            <w:r w:rsidRPr="00CB7FC8">
              <w:t>-$</w:t>
            </w:r>
            <w:r>
              <w:t>1,683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2BA126A"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7613D0F" w14:textId="77777777" w:rsidR="005072DF" w:rsidRPr="00C4562E" w:rsidRDefault="005072DF" w:rsidP="00D22060">
            <w:pPr>
              <w:pStyle w:val="TableText0"/>
              <w:keepNext w:val="0"/>
              <w:jc w:val="right"/>
            </w:pPr>
            <w:r w:rsidRPr="003F2CD3">
              <w:t>DAC</w:t>
            </w:r>
            <w:r>
              <w:t>+abs</w:t>
            </w:r>
            <w:r w:rsidRPr="003F2CD3">
              <w:t xml:space="preserve"> is dominant</w:t>
            </w:r>
          </w:p>
        </w:tc>
        <w:tc>
          <w:tcPr>
            <w:tcW w:w="561" w:type="pct"/>
            <w:tcBorders>
              <w:top w:val="single" w:sz="4" w:space="0" w:color="auto"/>
              <w:left w:val="single" w:sz="4" w:space="0" w:color="auto"/>
              <w:bottom w:val="single" w:sz="4" w:space="0" w:color="auto"/>
            </w:tcBorders>
            <w:shd w:val="clear" w:color="auto" w:fill="auto"/>
          </w:tcPr>
          <w:p w14:paraId="5870260A" w14:textId="77777777" w:rsidR="005072DF" w:rsidRDefault="005072DF" w:rsidP="00D22060">
            <w:pPr>
              <w:pStyle w:val="TableText0"/>
              <w:keepNext w:val="0"/>
              <w:jc w:val="right"/>
            </w:pPr>
            <w:r w:rsidRPr="0017422A">
              <w:rPr>
                <w:bCs/>
                <w:snapToGrid w:val="0"/>
              </w:rPr>
              <w:t>NA</w:t>
            </w:r>
          </w:p>
        </w:tc>
      </w:tr>
      <w:tr w:rsidR="005072DF" w14:paraId="657E7B2E" w14:textId="77777777" w:rsidTr="00D22060">
        <w:tc>
          <w:tcPr>
            <w:tcW w:w="1024" w:type="pct"/>
            <w:vMerge/>
            <w:tcBorders>
              <w:top w:val="single" w:sz="4" w:space="0" w:color="auto"/>
              <w:bottom w:val="single" w:sz="4" w:space="0" w:color="auto"/>
              <w:right w:val="single" w:sz="4" w:space="0" w:color="auto"/>
            </w:tcBorders>
            <w:shd w:val="clear" w:color="auto" w:fill="auto"/>
          </w:tcPr>
          <w:p w14:paraId="286D4A32"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3C43A9B" w14:textId="0FE1D0A0" w:rsidR="005072DF" w:rsidRDefault="005072DF" w:rsidP="00D22060">
            <w:pPr>
              <w:pStyle w:val="TableText0"/>
              <w:keepNext w:val="0"/>
            </w:pPr>
            <w:r>
              <w:t>+20% 4</w:t>
            </w:r>
            <w:r w:rsidRPr="00C4562E">
              <w:rPr>
                <w:vertAlign w:val="superscript"/>
              </w:rPr>
              <w:t>th</w:t>
            </w:r>
            <w:r>
              <w:t xml:space="preserve"> cycle 0.38%</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A090901" w14:textId="77777777" w:rsidR="005072DF" w:rsidRDefault="005072DF" w:rsidP="00D22060">
            <w:pPr>
              <w:pStyle w:val="TableText0"/>
              <w:keepNext w:val="0"/>
              <w:jc w:val="right"/>
            </w:pPr>
            <w:r w:rsidRPr="00CB7FC8">
              <w:t>-$</w:t>
            </w:r>
            <w:r>
              <w:t>1,703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7AB23C8"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B88A73E" w14:textId="77777777" w:rsidR="005072DF" w:rsidRPr="00C4562E" w:rsidRDefault="005072DF" w:rsidP="00D22060">
            <w:pPr>
              <w:pStyle w:val="TableText0"/>
              <w:keepNext w:val="0"/>
              <w:jc w:val="right"/>
            </w:pPr>
            <w:r w:rsidRPr="003F2CD3">
              <w:t>DAC</w:t>
            </w:r>
            <w:r>
              <w:t>+abs</w:t>
            </w:r>
            <w:r w:rsidRPr="003F2CD3">
              <w:t xml:space="preserve"> is dominant</w:t>
            </w:r>
          </w:p>
        </w:tc>
        <w:tc>
          <w:tcPr>
            <w:tcW w:w="561" w:type="pct"/>
            <w:tcBorders>
              <w:top w:val="single" w:sz="4" w:space="0" w:color="auto"/>
              <w:left w:val="single" w:sz="4" w:space="0" w:color="auto"/>
              <w:bottom w:val="single" w:sz="4" w:space="0" w:color="auto"/>
            </w:tcBorders>
            <w:shd w:val="clear" w:color="auto" w:fill="auto"/>
          </w:tcPr>
          <w:p w14:paraId="3484CB78" w14:textId="77777777" w:rsidR="005072DF" w:rsidRDefault="005072DF" w:rsidP="00D22060">
            <w:pPr>
              <w:pStyle w:val="TableText0"/>
              <w:keepNext w:val="0"/>
              <w:jc w:val="right"/>
            </w:pPr>
            <w:r w:rsidRPr="0017422A">
              <w:rPr>
                <w:bCs/>
                <w:snapToGrid w:val="0"/>
              </w:rPr>
              <w:t>NA</w:t>
            </w:r>
          </w:p>
        </w:tc>
      </w:tr>
      <w:tr w:rsidR="005072DF" w14:paraId="6BFDF86C" w14:textId="77777777" w:rsidTr="00D22060">
        <w:tc>
          <w:tcPr>
            <w:tcW w:w="1024" w:type="pct"/>
            <w:vMerge/>
            <w:tcBorders>
              <w:top w:val="single" w:sz="4" w:space="0" w:color="auto"/>
              <w:bottom w:val="single" w:sz="4" w:space="0" w:color="auto"/>
              <w:right w:val="single" w:sz="4" w:space="0" w:color="auto"/>
            </w:tcBorders>
            <w:shd w:val="clear" w:color="auto" w:fill="auto"/>
          </w:tcPr>
          <w:p w14:paraId="40488394"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38ECA5E0" w14:textId="4AB8AF52" w:rsidR="005072DF" w:rsidRDefault="005072DF" w:rsidP="00D22060">
            <w:pPr>
              <w:pStyle w:val="TableText0"/>
              <w:keepNext w:val="0"/>
            </w:pPr>
            <w:r>
              <w:t>-20% 1</w:t>
            </w:r>
            <w:r w:rsidRPr="005E284B">
              <w:rPr>
                <w:vertAlign w:val="superscript"/>
              </w:rPr>
              <w:t>st</w:t>
            </w:r>
            <w:r>
              <w:t xml:space="preserve"> cycle 28.26%</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9A4456F" w14:textId="77777777" w:rsidR="005072DF" w:rsidRDefault="005072DF" w:rsidP="00D22060">
            <w:pPr>
              <w:pStyle w:val="TableText0"/>
              <w:keepNext w:val="0"/>
              <w:jc w:val="right"/>
            </w:pPr>
            <w:r>
              <w:t>$3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E08A2F7" w14:textId="77777777" w:rsidR="005072DF" w:rsidRDefault="005072DF" w:rsidP="00D22060">
            <w:pPr>
              <w:pStyle w:val="TableText0"/>
              <w:keepNext w:val="0"/>
              <w:jc w:val="right"/>
            </w:pPr>
            <w:r>
              <w:t>0.189</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C60D04D" w14:textId="77777777" w:rsidR="005072DF" w:rsidRPr="00AF0A65" w:rsidRDefault="005072DF" w:rsidP="00D22060">
            <w:pPr>
              <w:pStyle w:val="TableText0"/>
              <w:keepNext w:val="0"/>
              <w:jc w:val="right"/>
            </w:pPr>
            <w:r w:rsidRPr="00AF0A65">
              <w:t>$18*</w:t>
            </w:r>
          </w:p>
        </w:tc>
        <w:tc>
          <w:tcPr>
            <w:tcW w:w="561" w:type="pct"/>
            <w:tcBorders>
              <w:top w:val="single" w:sz="4" w:space="0" w:color="auto"/>
              <w:left w:val="single" w:sz="4" w:space="0" w:color="auto"/>
              <w:bottom w:val="single" w:sz="4" w:space="0" w:color="auto"/>
            </w:tcBorders>
            <w:shd w:val="clear" w:color="auto" w:fill="auto"/>
          </w:tcPr>
          <w:p w14:paraId="7923C308" w14:textId="77777777" w:rsidR="005072DF" w:rsidRPr="00063ACD" w:rsidRDefault="005072DF" w:rsidP="00D22060">
            <w:pPr>
              <w:pStyle w:val="TableText0"/>
              <w:keepNext w:val="0"/>
              <w:jc w:val="right"/>
            </w:pPr>
            <w:r w:rsidRPr="00063ACD">
              <w:rPr>
                <w:bCs/>
                <w:snapToGrid w:val="0"/>
              </w:rPr>
              <w:t>NA</w:t>
            </w:r>
          </w:p>
        </w:tc>
      </w:tr>
      <w:tr w:rsidR="005072DF" w14:paraId="2433A8CE" w14:textId="77777777" w:rsidTr="00D22060">
        <w:tc>
          <w:tcPr>
            <w:tcW w:w="1024" w:type="pct"/>
            <w:vMerge/>
            <w:tcBorders>
              <w:top w:val="single" w:sz="4" w:space="0" w:color="auto"/>
              <w:bottom w:val="single" w:sz="4" w:space="0" w:color="auto"/>
              <w:right w:val="single" w:sz="4" w:space="0" w:color="auto"/>
            </w:tcBorders>
            <w:shd w:val="clear" w:color="auto" w:fill="auto"/>
          </w:tcPr>
          <w:p w14:paraId="09304471"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1BBE6A9C" w14:textId="1529D1D8" w:rsidR="005072DF" w:rsidRDefault="005072DF" w:rsidP="00D22060">
            <w:pPr>
              <w:pStyle w:val="TableText0"/>
              <w:keepNext w:val="0"/>
            </w:pPr>
            <w:r>
              <w:t>-20% 2</w:t>
            </w:r>
            <w:r w:rsidRPr="005E284B">
              <w:rPr>
                <w:vertAlign w:val="superscript"/>
              </w:rPr>
              <w:t>nd</w:t>
            </w:r>
            <w:r>
              <w:t xml:space="preserve"> cycle 3.00%</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730CA80D" w14:textId="77777777" w:rsidR="005072DF" w:rsidRDefault="005072DF" w:rsidP="00D22060">
            <w:pPr>
              <w:pStyle w:val="TableText0"/>
              <w:keepNext w:val="0"/>
              <w:jc w:val="right"/>
            </w:pPr>
            <w:r w:rsidRPr="00F45255">
              <w:t>-$</w:t>
            </w:r>
            <w:r>
              <w:t>1,767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47980291"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DA75AA8" w14:textId="77777777" w:rsidR="005072DF" w:rsidRPr="00431992" w:rsidRDefault="005072DF" w:rsidP="00D22060">
            <w:pPr>
              <w:pStyle w:val="TableText0"/>
              <w:keepNext w:val="0"/>
              <w:jc w:val="right"/>
              <w:rPr>
                <w:highlight w:val="green"/>
              </w:rPr>
            </w:pPr>
            <w:r w:rsidRPr="002C7CA4">
              <w:t>DAC</w:t>
            </w:r>
            <w:r>
              <w:t>+abs</w:t>
            </w:r>
            <w:r w:rsidRPr="002C7CA4">
              <w:t xml:space="preserve"> is dominant</w:t>
            </w:r>
          </w:p>
        </w:tc>
        <w:tc>
          <w:tcPr>
            <w:tcW w:w="561" w:type="pct"/>
            <w:tcBorders>
              <w:top w:val="single" w:sz="4" w:space="0" w:color="auto"/>
              <w:left w:val="single" w:sz="4" w:space="0" w:color="auto"/>
              <w:bottom w:val="single" w:sz="4" w:space="0" w:color="auto"/>
            </w:tcBorders>
            <w:shd w:val="clear" w:color="auto" w:fill="auto"/>
          </w:tcPr>
          <w:p w14:paraId="084D9AAE" w14:textId="77777777" w:rsidR="005072DF" w:rsidRDefault="005072DF" w:rsidP="00D22060">
            <w:pPr>
              <w:pStyle w:val="TableText0"/>
              <w:keepNext w:val="0"/>
              <w:jc w:val="right"/>
            </w:pPr>
            <w:r w:rsidRPr="0017422A">
              <w:rPr>
                <w:bCs/>
                <w:snapToGrid w:val="0"/>
              </w:rPr>
              <w:t>NA</w:t>
            </w:r>
          </w:p>
        </w:tc>
      </w:tr>
      <w:tr w:rsidR="005072DF" w14:paraId="2DD52763" w14:textId="77777777" w:rsidTr="00D22060">
        <w:tc>
          <w:tcPr>
            <w:tcW w:w="1024" w:type="pct"/>
            <w:vMerge/>
            <w:tcBorders>
              <w:top w:val="single" w:sz="4" w:space="0" w:color="auto"/>
              <w:bottom w:val="single" w:sz="4" w:space="0" w:color="auto"/>
              <w:right w:val="single" w:sz="4" w:space="0" w:color="auto"/>
            </w:tcBorders>
            <w:shd w:val="clear" w:color="auto" w:fill="auto"/>
          </w:tcPr>
          <w:p w14:paraId="6CDFA506"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5ACACE3D" w14:textId="6C1A0593" w:rsidR="005072DF" w:rsidRDefault="005072DF" w:rsidP="00D22060">
            <w:pPr>
              <w:pStyle w:val="TableText0"/>
              <w:keepNext w:val="0"/>
            </w:pPr>
            <w:r>
              <w:t>-20% 3</w:t>
            </w:r>
            <w:r w:rsidRPr="00C4562E">
              <w:rPr>
                <w:vertAlign w:val="superscript"/>
              </w:rPr>
              <w:t>rd</w:t>
            </w:r>
            <w:r>
              <w:t xml:space="preserve"> cycle 1.33%</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156EC21" w14:textId="77777777" w:rsidR="005072DF" w:rsidRDefault="005072DF" w:rsidP="00D22060">
            <w:pPr>
              <w:pStyle w:val="TableText0"/>
              <w:keepNext w:val="0"/>
              <w:jc w:val="right"/>
            </w:pPr>
            <w:r w:rsidRPr="00F45255">
              <w:t>-$</w:t>
            </w:r>
            <w:r>
              <w:t>1,731</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EAD6C07"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E1631AC" w14:textId="77777777" w:rsidR="005072DF" w:rsidRPr="00431992" w:rsidRDefault="005072DF" w:rsidP="00D22060">
            <w:pPr>
              <w:pStyle w:val="TableText0"/>
              <w:keepNext w:val="0"/>
              <w:jc w:val="right"/>
              <w:rPr>
                <w:highlight w:val="green"/>
              </w:rPr>
            </w:pPr>
            <w:r w:rsidRPr="002C7CA4">
              <w:t>DAC</w:t>
            </w:r>
            <w:r>
              <w:t>+abs</w:t>
            </w:r>
            <w:r w:rsidRPr="002C7CA4">
              <w:t xml:space="preserve"> is dominant</w:t>
            </w:r>
          </w:p>
        </w:tc>
        <w:tc>
          <w:tcPr>
            <w:tcW w:w="561" w:type="pct"/>
            <w:tcBorders>
              <w:top w:val="single" w:sz="4" w:space="0" w:color="auto"/>
              <w:left w:val="single" w:sz="4" w:space="0" w:color="auto"/>
              <w:bottom w:val="single" w:sz="4" w:space="0" w:color="auto"/>
            </w:tcBorders>
            <w:shd w:val="clear" w:color="auto" w:fill="auto"/>
          </w:tcPr>
          <w:p w14:paraId="047C40F8" w14:textId="77777777" w:rsidR="005072DF" w:rsidRDefault="005072DF" w:rsidP="00D22060">
            <w:pPr>
              <w:pStyle w:val="TableText0"/>
              <w:keepNext w:val="0"/>
              <w:jc w:val="right"/>
            </w:pPr>
            <w:r w:rsidRPr="0017422A">
              <w:rPr>
                <w:bCs/>
                <w:snapToGrid w:val="0"/>
              </w:rPr>
              <w:t>NA</w:t>
            </w:r>
          </w:p>
        </w:tc>
      </w:tr>
      <w:tr w:rsidR="005072DF" w14:paraId="13CB1377" w14:textId="77777777" w:rsidTr="00D22060">
        <w:tc>
          <w:tcPr>
            <w:tcW w:w="1024" w:type="pct"/>
            <w:vMerge/>
            <w:tcBorders>
              <w:top w:val="single" w:sz="4" w:space="0" w:color="auto"/>
              <w:bottom w:val="single" w:sz="4" w:space="0" w:color="auto"/>
              <w:right w:val="single" w:sz="4" w:space="0" w:color="auto"/>
            </w:tcBorders>
            <w:shd w:val="clear" w:color="auto" w:fill="auto"/>
          </w:tcPr>
          <w:p w14:paraId="6554CAC4"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0F3BE30" w14:textId="7AB327E1" w:rsidR="005072DF" w:rsidRDefault="005072DF" w:rsidP="00D22060">
            <w:pPr>
              <w:pStyle w:val="TableText0"/>
              <w:keepNext w:val="0"/>
            </w:pPr>
            <w:r>
              <w:t>-20% 4</w:t>
            </w:r>
            <w:r w:rsidRPr="00C4562E">
              <w:rPr>
                <w:vertAlign w:val="superscript"/>
              </w:rPr>
              <w:t>th</w:t>
            </w:r>
            <w:r>
              <w:t xml:space="preserve"> cycle 0.26%</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1D3EA04" w14:textId="77777777" w:rsidR="005072DF" w:rsidRDefault="005072DF" w:rsidP="00D22060">
            <w:pPr>
              <w:pStyle w:val="TableText0"/>
              <w:keepNext w:val="0"/>
              <w:jc w:val="right"/>
            </w:pPr>
            <w:r w:rsidRPr="00F45255">
              <w:t>-$</w:t>
            </w:r>
            <w:r>
              <w:t>1,711</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9C5663B"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4EFD56B" w14:textId="77777777" w:rsidR="005072DF" w:rsidRPr="00431992" w:rsidRDefault="005072DF" w:rsidP="00D22060">
            <w:pPr>
              <w:pStyle w:val="TableText0"/>
              <w:keepNext w:val="0"/>
              <w:jc w:val="right"/>
              <w:rPr>
                <w:highlight w:val="green"/>
              </w:rPr>
            </w:pPr>
            <w:r w:rsidRPr="002C7CA4">
              <w:t>DAC</w:t>
            </w:r>
            <w:r>
              <w:t>+abs</w:t>
            </w:r>
            <w:r w:rsidRPr="002C7CA4">
              <w:t xml:space="preserve"> is dominant</w:t>
            </w:r>
          </w:p>
        </w:tc>
        <w:tc>
          <w:tcPr>
            <w:tcW w:w="561" w:type="pct"/>
            <w:tcBorders>
              <w:top w:val="single" w:sz="4" w:space="0" w:color="auto"/>
              <w:left w:val="single" w:sz="4" w:space="0" w:color="auto"/>
              <w:bottom w:val="single" w:sz="4" w:space="0" w:color="auto"/>
            </w:tcBorders>
            <w:shd w:val="clear" w:color="auto" w:fill="auto"/>
          </w:tcPr>
          <w:p w14:paraId="7FDB1BEB" w14:textId="77777777" w:rsidR="005072DF" w:rsidRDefault="005072DF" w:rsidP="00D22060">
            <w:pPr>
              <w:pStyle w:val="TableText0"/>
              <w:keepNext w:val="0"/>
              <w:jc w:val="right"/>
            </w:pPr>
            <w:r w:rsidRPr="0017422A">
              <w:rPr>
                <w:bCs/>
                <w:snapToGrid w:val="0"/>
              </w:rPr>
              <w:t>NA</w:t>
            </w:r>
          </w:p>
        </w:tc>
      </w:tr>
      <w:tr w:rsidR="005072DF" w14:paraId="6BFDB221"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70B670E7" w14:textId="77777777" w:rsidR="005072DF" w:rsidRPr="00250965" w:rsidRDefault="005072DF" w:rsidP="00D22060">
            <w:pPr>
              <w:pStyle w:val="TableText0"/>
              <w:keepNext w:val="0"/>
              <w:rPr>
                <w:szCs w:val="20"/>
              </w:rPr>
            </w:pPr>
            <w:r w:rsidRPr="00250965">
              <w:rPr>
                <w:szCs w:val="20"/>
              </w:rPr>
              <w:t>Death revision first year</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2216425C" w14:textId="1AB74CAE" w:rsidR="005072DF" w:rsidRDefault="005072DF" w:rsidP="00D22060">
            <w:pPr>
              <w:pStyle w:val="TableText0"/>
              <w:keepNext w:val="0"/>
            </w:pPr>
            <w:r>
              <w:t>+20% (2.71%)</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4AFC8163" w14:textId="77777777" w:rsidR="005072DF" w:rsidRDefault="005072DF" w:rsidP="00D22060">
            <w:pPr>
              <w:pStyle w:val="TableText0"/>
              <w:keepNext w:val="0"/>
              <w:jc w:val="right"/>
            </w:pPr>
            <w:r w:rsidRPr="00A02978">
              <w:t>-$</w:t>
            </w:r>
            <w:r>
              <w:t>1,700</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3FC951F" w14:textId="77777777" w:rsidR="005072DF" w:rsidRDefault="005072DF" w:rsidP="00D22060">
            <w:pPr>
              <w:pStyle w:val="TableText0"/>
              <w:keepNext w:val="0"/>
              <w:jc w:val="right"/>
            </w:pPr>
            <w:r>
              <w:t>0.26</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BF19E28" w14:textId="77777777" w:rsidR="005072DF" w:rsidRPr="00431992" w:rsidRDefault="005072DF" w:rsidP="00D22060">
            <w:pPr>
              <w:pStyle w:val="TableText0"/>
              <w:keepNext w:val="0"/>
              <w:jc w:val="right"/>
              <w:rPr>
                <w:highlight w:val="green"/>
              </w:rPr>
            </w:pPr>
            <w:r w:rsidRPr="000D34F6">
              <w:t>DAC</w:t>
            </w:r>
            <w:r>
              <w:t>+abs</w:t>
            </w:r>
            <w:r w:rsidRPr="000D34F6">
              <w:t xml:space="preserve"> is dominant</w:t>
            </w:r>
          </w:p>
        </w:tc>
        <w:tc>
          <w:tcPr>
            <w:tcW w:w="561" w:type="pct"/>
            <w:tcBorders>
              <w:top w:val="single" w:sz="4" w:space="0" w:color="auto"/>
              <w:left w:val="single" w:sz="4" w:space="0" w:color="auto"/>
              <w:bottom w:val="single" w:sz="4" w:space="0" w:color="auto"/>
            </w:tcBorders>
            <w:shd w:val="clear" w:color="auto" w:fill="auto"/>
          </w:tcPr>
          <w:p w14:paraId="1F4D1A7B" w14:textId="77777777" w:rsidR="005072DF" w:rsidRDefault="005072DF" w:rsidP="00D22060">
            <w:pPr>
              <w:pStyle w:val="TableText0"/>
              <w:keepNext w:val="0"/>
              <w:jc w:val="right"/>
            </w:pPr>
            <w:r w:rsidRPr="0017422A">
              <w:rPr>
                <w:bCs/>
                <w:snapToGrid w:val="0"/>
              </w:rPr>
              <w:t>NA</w:t>
            </w:r>
          </w:p>
        </w:tc>
      </w:tr>
      <w:tr w:rsidR="005072DF" w14:paraId="7F339A22" w14:textId="77777777" w:rsidTr="00D22060">
        <w:tc>
          <w:tcPr>
            <w:tcW w:w="1024" w:type="pct"/>
            <w:vMerge/>
            <w:tcBorders>
              <w:top w:val="single" w:sz="4" w:space="0" w:color="auto"/>
              <w:bottom w:val="single" w:sz="4" w:space="0" w:color="auto"/>
              <w:right w:val="single" w:sz="4" w:space="0" w:color="auto"/>
            </w:tcBorders>
            <w:shd w:val="clear" w:color="auto" w:fill="auto"/>
          </w:tcPr>
          <w:p w14:paraId="7EA786D5"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7BEC9A7A" w14:textId="41345CE5" w:rsidR="005072DF" w:rsidRDefault="005072DF" w:rsidP="00D22060">
            <w:pPr>
              <w:pStyle w:val="TableText0"/>
              <w:keepNext w:val="0"/>
            </w:pPr>
            <w:r>
              <w:t>-20% (1.81%)</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EEF3953" w14:textId="77777777" w:rsidR="005072DF" w:rsidRDefault="005072DF" w:rsidP="00D22060">
            <w:pPr>
              <w:pStyle w:val="TableText0"/>
              <w:keepNext w:val="0"/>
              <w:jc w:val="right"/>
            </w:pPr>
            <w:r w:rsidRPr="00A02978">
              <w:t>-$</w:t>
            </w:r>
            <w:r>
              <w:t>1,713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A76FA7E" w14:textId="77777777" w:rsidR="005072DF" w:rsidRDefault="005072DF" w:rsidP="00D22060">
            <w:pPr>
              <w:pStyle w:val="TableText0"/>
              <w:keepNext w:val="0"/>
              <w:jc w:val="right"/>
            </w:pPr>
            <w:r>
              <w:t>0.24</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174AFB5" w14:textId="77777777" w:rsidR="005072DF" w:rsidRPr="00431992" w:rsidRDefault="005072DF" w:rsidP="00D22060">
            <w:pPr>
              <w:pStyle w:val="TableText0"/>
              <w:keepNext w:val="0"/>
              <w:jc w:val="right"/>
              <w:rPr>
                <w:highlight w:val="green"/>
              </w:rPr>
            </w:pPr>
            <w:r w:rsidRPr="000D34F6">
              <w:t>DAC</w:t>
            </w:r>
            <w:r>
              <w:t>+abs</w:t>
            </w:r>
            <w:r w:rsidRPr="000D34F6">
              <w:t xml:space="preserve"> is dominant</w:t>
            </w:r>
          </w:p>
        </w:tc>
        <w:tc>
          <w:tcPr>
            <w:tcW w:w="561" w:type="pct"/>
            <w:tcBorders>
              <w:top w:val="single" w:sz="4" w:space="0" w:color="auto"/>
              <w:left w:val="single" w:sz="4" w:space="0" w:color="auto"/>
              <w:bottom w:val="single" w:sz="4" w:space="0" w:color="auto"/>
            </w:tcBorders>
            <w:shd w:val="clear" w:color="auto" w:fill="auto"/>
          </w:tcPr>
          <w:p w14:paraId="34857704" w14:textId="77777777" w:rsidR="005072DF" w:rsidRDefault="005072DF" w:rsidP="00D22060">
            <w:pPr>
              <w:pStyle w:val="TableText0"/>
              <w:keepNext w:val="0"/>
              <w:jc w:val="right"/>
            </w:pPr>
            <w:r w:rsidRPr="0017422A">
              <w:rPr>
                <w:bCs/>
                <w:snapToGrid w:val="0"/>
              </w:rPr>
              <w:t>NA</w:t>
            </w:r>
          </w:p>
        </w:tc>
      </w:tr>
      <w:tr w:rsidR="005072DF" w14:paraId="575154CC"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79AD07B4" w14:textId="77777777" w:rsidR="005072DF" w:rsidRPr="00250965" w:rsidRDefault="005072DF" w:rsidP="00D22060">
            <w:pPr>
              <w:pStyle w:val="TableText0"/>
              <w:keepNext w:val="0"/>
              <w:rPr>
                <w:szCs w:val="20"/>
              </w:rPr>
            </w:pPr>
            <w:r w:rsidRPr="00250965">
              <w:rPr>
                <w:szCs w:val="20"/>
              </w:rPr>
              <w:t>Death revision second year</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7E0D803E" w14:textId="5EE43406" w:rsidR="005072DF" w:rsidRDefault="005072DF" w:rsidP="00D22060">
            <w:pPr>
              <w:pStyle w:val="TableText0"/>
              <w:keepNext w:val="0"/>
            </w:pPr>
            <w:r>
              <w:t>+20% (2.77%)</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6FDD477" w14:textId="77777777" w:rsidR="005072DF" w:rsidRDefault="005072DF" w:rsidP="00D22060">
            <w:pPr>
              <w:pStyle w:val="TableText0"/>
              <w:keepNext w:val="0"/>
              <w:jc w:val="right"/>
            </w:pPr>
            <w:r w:rsidRPr="00A02978">
              <w:t>-$</w:t>
            </w:r>
            <w:r>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2CCC281" w14:textId="77777777" w:rsidR="005072DF" w:rsidRDefault="005072DF" w:rsidP="00D22060">
            <w:pPr>
              <w:pStyle w:val="TableText0"/>
              <w:keepNext w:val="0"/>
              <w:jc w:val="right"/>
            </w:pPr>
            <w:r>
              <w:t>0.26</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44EB091" w14:textId="77777777" w:rsidR="005072DF" w:rsidRPr="00431992" w:rsidRDefault="005072DF" w:rsidP="00D22060">
            <w:pPr>
              <w:pStyle w:val="TableText0"/>
              <w:keepNext w:val="0"/>
              <w:jc w:val="right"/>
              <w:rPr>
                <w:highlight w:val="green"/>
              </w:rPr>
            </w:pPr>
            <w:r w:rsidRPr="000D34F6">
              <w:t>DAC</w:t>
            </w:r>
            <w:r>
              <w:t>+abs</w:t>
            </w:r>
            <w:r w:rsidRPr="000D34F6">
              <w:t xml:space="preserve"> is dominant</w:t>
            </w:r>
          </w:p>
        </w:tc>
        <w:tc>
          <w:tcPr>
            <w:tcW w:w="561" w:type="pct"/>
            <w:tcBorders>
              <w:top w:val="single" w:sz="4" w:space="0" w:color="auto"/>
              <w:left w:val="single" w:sz="4" w:space="0" w:color="auto"/>
              <w:bottom w:val="single" w:sz="4" w:space="0" w:color="auto"/>
            </w:tcBorders>
            <w:shd w:val="clear" w:color="auto" w:fill="auto"/>
          </w:tcPr>
          <w:p w14:paraId="09D8A57D" w14:textId="77777777" w:rsidR="005072DF" w:rsidRDefault="005072DF" w:rsidP="00D22060">
            <w:pPr>
              <w:pStyle w:val="TableText0"/>
              <w:keepNext w:val="0"/>
              <w:jc w:val="right"/>
            </w:pPr>
            <w:r w:rsidRPr="0017422A">
              <w:rPr>
                <w:bCs/>
                <w:snapToGrid w:val="0"/>
              </w:rPr>
              <w:t>NA</w:t>
            </w:r>
          </w:p>
        </w:tc>
      </w:tr>
      <w:tr w:rsidR="005072DF" w14:paraId="07A41F69" w14:textId="77777777" w:rsidTr="00D22060">
        <w:tc>
          <w:tcPr>
            <w:tcW w:w="1024" w:type="pct"/>
            <w:vMerge/>
            <w:tcBorders>
              <w:top w:val="single" w:sz="4" w:space="0" w:color="auto"/>
              <w:bottom w:val="single" w:sz="4" w:space="0" w:color="auto"/>
              <w:right w:val="single" w:sz="4" w:space="0" w:color="auto"/>
            </w:tcBorders>
            <w:shd w:val="clear" w:color="auto" w:fill="auto"/>
          </w:tcPr>
          <w:p w14:paraId="662EEC46"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312B354A" w14:textId="10D57DCB" w:rsidR="005072DF" w:rsidRDefault="005072DF" w:rsidP="00D22060">
            <w:pPr>
              <w:pStyle w:val="TableText0"/>
              <w:keepNext w:val="0"/>
            </w:pPr>
            <w:r>
              <w:t>-20% (1.85%)</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1A81506" w14:textId="77777777" w:rsidR="005072DF" w:rsidRDefault="005072DF" w:rsidP="00D22060">
            <w:pPr>
              <w:pStyle w:val="TableText0"/>
              <w:keepNext w:val="0"/>
              <w:jc w:val="right"/>
            </w:pPr>
            <w:r w:rsidRPr="00A02978">
              <w:t>-$</w:t>
            </w:r>
            <w:r>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83B696A" w14:textId="77777777" w:rsidR="005072DF" w:rsidRDefault="005072DF" w:rsidP="00D22060">
            <w:pPr>
              <w:pStyle w:val="TableText0"/>
              <w:keepNext w:val="0"/>
              <w:jc w:val="right"/>
            </w:pPr>
            <w:r>
              <w:t>0.24</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A47C000" w14:textId="77777777" w:rsidR="005072DF" w:rsidRPr="00431992" w:rsidRDefault="005072DF" w:rsidP="00D22060">
            <w:pPr>
              <w:pStyle w:val="TableText0"/>
              <w:keepNext w:val="0"/>
              <w:jc w:val="right"/>
              <w:rPr>
                <w:highlight w:val="green"/>
              </w:rPr>
            </w:pPr>
            <w:r w:rsidRPr="000D34F6">
              <w:t>DAC</w:t>
            </w:r>
            <w:r>
              <w:t>+abs</w:t>
            </w:r>
            <w:r w:rsidRPr="000D34F6">
              <w:t xml:space="preserve"> is dominant</w:t>
            </w:r>
          </w:p>
        </w:tc>
        <w:tc>
          <w:tcPr>
            <w:tcW w:w="561" w:type="pct"/>
            <w:tcBorders>
              <w:top w:val="single" w:sz="4" w:space="0" w:color="auto"/>
              <w:left w:val="single" w:sz="4" w:space="0" w:color="auto"/>
              <w:bottom w:val="single" w:sz="4" w:space="0" w:color="auto"/>
            </w:tcBorders>
            <w:shd w:val="clear" w:color="auto" w:fill="auto"/>
          </w:tcPr>
          <w:p w14:paraId="5D9DBE8D" w14:textId="77777777" w:rsidR="005072DF" w:rsidRDefault="005072DF" w:rsidP="00D22060">
            <w:pPr>
              <w:pStyle w:val="TableText0"/>
              <w:keepNext w:val="0"/>
              <w:jc w:val="right"/>
            </w:pPr>
            <w:r w:rsidRPr="0017422A">
              <w:rPr>
                <w:bCs/>
                <w:snapToGrid w:val="0"/>
              </w:rPr>
              <w:t>NA</w:t>
            </w:r>
          </w:p>
        </w:tc>
      </w:tr>
      <w:tr w:rsidR="005072DF" w14:paraId="7AB7B827" w14:textId="77777777" w:rsidTr="00D22060">
        <w:tc>
          <w:tcPr>
            <w:tcW w:w="5000" w:type="pct"/>
            <w:gridSpan w:val="6"/>
            <w:shd w:val="clear" w:color="auto" w:fill="auto"/>
            <w:vAlign w:val="center"/>
          </w:tcPr>
          <w:p w14:paraId="3E55C01C" w14:textId="77777777" w:rsidR="005072DF" w:rsidRDefault="005072DF" w:rsidP="00D22060">
            <w:pPr>
              <w:pStyle w:val="TableText0"/>
              <w:keepNext w:val="0"/>
            </w:pPr>
            <w:r>
              <w:t>Health state costs</w:t>
            </w:r>
          </w:p>
        </w:tc>
      </w:tr>
      <w:tr w:rsidR="005072DF" w14:paraId="70155B4F"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7520A308" w14:textId="77777777" w:rsidR="005072DF" w:rsidRPr="00250965" w:rsidRDefault="005072DF" w:rsidP="00D22060">
            <w:pPr>
              <w:pStyle w:val="TableText0"/>
              <w:keepNext w:val="0"/>
              <w:rPr>
                <w:szCs w:val="20"/>
              </w:rPr>
            </w:pPr>
            <w:r w:rsidRPr="00250965">
              <w:rPr>
                <w:szCs w:val="20"/>
              </w:rPr>
              <w:t>Revision</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01B5548" w14:textId="70C60FA3" w:rsidR="005072DF" w:rsidRDefault="005072DF" w:rsidP="00D22060">
            <w:pPr>
              <w:pStyle w:val="TableText0"/>
              <w:keepNext w:val="0"/>
            </w:pPr>
            <w:r>
              <w:t>+20% ($25,641.96)</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3A369DF" w14:textId="77777777" w:rsidR="005072DF" w:rsidRPr="00E062D0" w:rsidRDefault="005072DF" w:rsidP="00D22060">
            <w:pPr>
              <w:pStyle w:val="TableText0"/>
              <w:keepNext w:val="0"/>
              <w:jc w:val="right"/>
            </w:pPr>
            <w:r w:rsidRPr="004F63C6">
              <w:t>-$</w:t>
            </w:r>
            <w:r>
              <w:t>2,982</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F216B21" w14:textId="77777777" w:rsidR="005072DF" w:rsidRPr="00E062D0"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0178E0E" w14:textId="77777777" w:rsidR="005072DF" w:rsidRPr="00E062D0" w:rsidRDefault="005072DF" w:rsidP="00D22060">
            <w:pPr>
              <w:pStyle w:val="TableText0"/>
              <w:keepNext w:val="0"/>
              <w:jc w:val="right"/>
            </w:pPr>
            <w:r w:rsidRPr="00082E10">
              <w:t>DAC</w:t>
            </w:r>
            <w:r>
              <w:t>+abs</w:t>
            </w:r>
            <w:r w:rsidRPr="00082E10">
              <w:t xml:space="preserve"> is dominant</w:t>
            </w:r>
          </w:p>
        </w:tc>
        <w:tc>
          <w:tcPr>
            <w:tcW w:w="561" w:type="pct"/>
            <w:tcBorders>
              <w:top w:val="single" w:sz="4" w:space="0" w:color="auto"/>
              <w:left w:val="single" w:sz="4" w:space="0" w:color="auto"/>
              <w:bottom w:val="single" w:sz="4" w:space="0" w:color="auto"/>
            </w:tcBorders>
            <w:shd w:val="clear" w:color="auto" w:fill="auto"/>
          </w:tcPr>
          <w:p w14:paraId="02B18A5A" w14:textId="77777777" w:rsidR="005072DF" w:rsidRDefault="005072DF" w:rsidP="00D22060">
            <w:pPr>
              <w:pStyle w:val="TableText0"/>
              <w:keepNext w:val="0"/>
              <w:jc w:val="right"/>
            </w:pPr>
            <w:r w:rsidRPr="00C65A23">
              <w:rPr>
                <w:bCs/>
                <w:snapToGrid w:val="0"/>
              </w:rPr>
              <w:t>NA</w:t>
            </w:r>
          </w:p>
        </w:tc>
      </w:tr>
      <w:tr w:rsidR="005072DF" w14:paraId="292D3E30" w14:textId="77777777" w:rsidTr="00D22060">
        <w:tc>
          <w:tcPr>
            <w:tcW w:w="1024" w:type="pct"/>
            <w:vMerge/>
            <w:tcBorders>
              <w:top w:val="single" w:sz="4" w:space="0" w:color="auto"/>
              <w:bottom w:val="single" w:sz="4" w:space="0" w:color="auto"/>
              <w:right w:val="single" w:sz="4" w:space="0" w:color="auto"/>
            </w:tcBorders>
            <w:shd w:val="clear" w:color="auto" w:fill="auto"/>
          </w:tcPr>
          <w:p w14:paraId="7E5CE3E1"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4C9F1B29" w14:textId="235BADC9" w:rsidR="005072DF" w:rsidRDefault="005072DF" w:rsidP="00D22060">
            <w:pPr>
              <w:pStyle w:val="TableText0"/>
              <w:keepNext w:val="0"/>
            </w:pPr>
            <w:r>
              <w:t>-20% ($17,094.64)</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EE1C771" w14:textId="77777777" w:rsidR="005072DF" w:rsidRPr="00E062D0" w:rsidRDefault="005072DF" w:rsidP="00D22060">
            <w:pPr>
              <w:pStyle w:val="TableText0"/>
              <w:keepNext w:val="0"/>
              <w:jc w:val="right"/>
            </w:pPr>
            <w:r w:rsidRPr="004F63C6">
              <w:t>-$</w:t>
            </w:r>
            <w:r>
              <w:t>432</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6AD01D6" w14:textId="77777777" w:rsidR="005072DF" w:rsidRPr="00E062D0"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62C22AB" w14:textId="77777777" w:rsidR="005072DF" w:rsidRPr="00E062D0" w:rsidRDefault="005072DF" w:rsidP="00D22060">
            <w:pPr>
              <w:pStyle w:val="TableText0"/>
              <w:keepNext w:val="0"/>
              <w:jc w:val="right"/>
            </w:pPr>
            <w:r w:rsidRPr="00082E10">
              <w:t>DAC</w:t>
            </w:r>
            <w:r>
              <w:t>+abs</w:t>
            </w:r>
            <w:r w:rsidRPr="00082E10">
              <w:t xml:space="preserve"> is dominant</w:t>
            </w:r>
          </w:p>
        </w:tc>
        <w:tc>
          <w:tcPr>
            <w:tcW w:w="561" w:type="pct"/>
            <w:tcBorders>
              <w:top w:val="single" w:sz="4" w:space="0" w:color="auto"/>
              <w:left w:val="single" w:sz="4" w:space="0" w:color="auto"/>
              <w:bottom w:val="single" w:sz="4" w:space="0" w:color="auto"/>
            </w:tcBorders>
            <w:shd w:val="clear" w:color="auto" w:fill="auto"/>
          </w:tcPr>
          <w:p w14:paraId="563ACF3D" w14:textId="77777777" w:rsidR="005072DF" w:rsidRDefault="005072DF" w:rsidP="00D22060">
            <w:pPr>
              <w:pStyle w:val="TableText0"/>
              <w:keepNext w:val="0"/>
              <w:jc w:val="right"/>
            </w:pPr>
            <w:r w:rsidRPr="00C65A23">
              <w:rPr>
                <w:bCs/>
                <w:snapToGrid w:val="0"/>
              </w:rPr>
              <w:t>NA</w:t>
            </w:r>
          </w:p>
        </w:tc>
      </w:tr>
      <w:tr w:rsidR="005072DF" w14:paraId="478B14DF"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47B787E9" w14:textId="77777777" w:rsidR="005072DF" w:rsidRPr="00250965" w:rsidRDefault="005072DF" w:rsidP="00D22060">
            <w:pPr>
              <w:pStyle w:val="TableText0"/>
              <w:keepNext w:val="0"/>
              <w:rPr>
                <w:szCs w:val="20"/>
              </w:rPr>
            </w:pPr>
            <w:r w:rsidRPr="00250965">
              <w:rPr>
                <w:szCs w:val="20"/>
              </w:rPr>
              <w:t>Removal surgery</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66E5D2A1" w14:textId="03656266" w:rsidR="005072DF" w:rsidRDefault="005072DF" w:rsidP="00D22060">
            <w:pPr>
              <w:pStyle w:val="TableText0"/>
              <w:keepNext w:val="0"/>
            </w:pPr>
            <w:r>
              <w:t>+20% ($13,451.98)</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9CE544A" w14:textId="77777777" w:rsidR="005072DF" w:rsidRPr="00E062D0" w:rsidRDefault="005072DF" w:rsidP="00D22060">
            <w:pPr>
              <w:pStyle w:val="TableText0"/>
              <w:keepNext w:val="0"/>
              <w:jc w:val="right"/>
            </w:pPr>
            <w:r w:rsidRPr="004F63C6">
              <w:t>-$</w:t>
            </w:r>
            <w:r>
              <w:t>1,989</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B8460A5" w14:textId="77777777" w:rsidR="005072DF" w:rsidRPr="00E062D0"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07C518A" w14:textId="77777777" w:rsidR="005072DF" w:rsidRPr="00E062D0" w:rsidRDefault="005072DF" w:rsidP="00D22060">
            <w:pPr>
              <w:pStyle w:val="TableText0"/>
              <w:keepNext w:val="0"/>
              <w:jc w:val="right"/>
            </w:pPr>
            <w:r w:rsidRPr="00082E10">
              <w:t>DAC</w:t>
            </w:r>
            <w:r>
              <w:t>+abs</w:t>
            </w:r>
            <w:r w:rsidRPr="00082E10">
              <w:t xml:space="preserve"> is dominant</w:t>
            </w:r>
          </w:p>
        </w:tc>
        <w:tc>
          <w:tcPr>
            <w:tcW w:w="561" w:type="pct"/>
            <w:tcBorders>
              <w:top w:val="single" w:sz="4" w:space="0" w:color="auto"/>
              <w:left w:val="single" w:sz="4" w:space="0" w:color="auto"/>
              <w:bottom w:val="single" w:sz="4" w:space="0" w:color="auto"/>
            </w:tcBorders>
            <w:shd w:val="clear" w:color="auto" w:fill="auto"/>
          </w:tcPr>
          <w:p w14:paraId="7C50EC6D" w14:textId="77777777" w:rsidR="005072DF" w:rsidRDefault="005072DF" w:rsidP="00D22060">
            <w:pPr>
              <w:pStyle w:val="TableText0"/>
              <w:keepNext w:val="0"/>
              <w:jc w:val="right"/>
            </w:pPr>
            <w:r w:rsidRPr="00C65A23">
              <w:rPr>
                <w:bCs/>
                <w:snapToGrid w:val="0"/>
              </w:rPr>
              <w:t>NA</w:t>
            </w:r>
          </w:p>
        </w:tc>
      </w:tr>
      <w:tr w:rsidR="005072DF" w14:paraId="63D99838" w14:textId="77777777" w:rsidTr="00D22060">
        <w:tc>
          <w:tcPr>
            <w:tcW w:w="1024" w:type="pct"/>
            <w:vMerge/>
            <w:tcBorders>
              <w:top w:val="single" w:sz="4" w:space="0" w:color="auto"/>
              <w:bottom w:val="single" w:sz="4" w:space="0" w:color="auto"/>
              <w:right w:val="single" w:sz="4" w:space="0" w:color="auto"/>
            </w:tcBorders>
            <w:shd w:val="clear" w:color="auto" w:fill="auto"/>
          </w:tcPr>
          <w:p w14:paraId="3DAC91D8" w14:textId="77777777" w:rsidR="005072DF" w:rsidRPr="00250965"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2063D55A" w14:textId="566D1E9C" w:rsidR="005072DF" w:rsidRDefault="005072DF" w:rsidP="00D22060">
            <w:pPr>
              <w:pStyle w:val="TableText0"/>
              <w:keepNext w:val="0"/>
            </w:pPr>
            <w:r>
              <w:t>-20% ($8,967.98)</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0FC94EB" w14:textId="77777777" w:rsidR="005072DF" w:rsidRPr="00E062D0" w:rsidRDefault="005072DF" w:rsidP="00D22060">
            <w:pPr>
              <w:pStyle w:val="TableText0"/>
              <w:keepNext w:val="0"/>
              <w:jc w:val="right"/>
            </w:pPr>
            <w:r w:rsidRPr="004F63C6">
              <w:t>-$</w:t>
            </w:r>
            <w:r>
              <w:t>1,425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4E9D030" w14:textId="77777777" w:rsidR="005072DF" w:rsidRPr="00E062D0"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8E4B2F3" w14:textId="77777777" w:rsidR="005072DF" w:rsidRPr="00E062D0" w:rsidRDefault="005072DF" w:rsidP="00D22060">
            <w:pPr>
              <w:pStyle w:val="TableText0"/>
              <w:keepNext w:val="0"/>
              <w:jc w:val="right"/>
            </w:pPr>
            <w:r w:rsidRPr="00082E10">
              <w:t>DAC</w:t>
            </w:r>
            <w:r>
              <w:t>+abs</w:t>
            </w:r>
            <w:r w:rsidRPr="00082E10">
              <w:t xml:space="preserve"> is dominant</w:t>
            </w:r>
          </w:p>
        </w:tc>
        <w:tc>
          <w:tcPr>
            <w:tcW w:w="561" w:type="pct"/>
            <w:tcBorders>
              <w:top w:val="single" w:sz="4" w:space="0" w:color="auto"/>
              <w:left w:val="single" w:sz="4" w:space="0" w:color="auto"/>
              <w:bottom w:val="single" w:sz="4" w:space="0" w:color="auto"/>
            </w:tcBorders>
            <w:shd w:val="clear" w:color="auto" w:fill="auto"/>
          </w:tcPr>
          <w:p w14:paraId="78B21B98" w14:textId="77777777" w:rsidR="005072DF" w:rsidRDefault="005072DF" w:rsidP="00D22060">
            <w:pPr>
              <w:pStyle w:val="TableText0"/>
              <w:keepNext w:val="0"/>
              <w:jc w:val="right"/>
            </w:pPr>
            <w:r w:rsidRPr="00C65A23">
              <w:rPr>
                <w:bCs/>
                <w:snapToGrid w:val="0"/>
              </w:rPr>
              <w:t>NA</w:t>
            </w:r>
          </w:p>
        </w:tc>
      </w:tr>
      <w:tr w:rsidR="005072DF" w14:paraId="0CEA30EC" w14:textId="77777777" w:rsidTr="00D22060">
        <w:tc>
          <w:tcPr>
            <w:tcW w:w="5000" w:type="pct"/>
            <w:gridSpan w:val="6"/>
            <w:shd w:val="clear" w:color="auto" w:fill="auto"/>
            <w:vAlign w:val="center"/>
          </w:tcPr>
          <w:p w14:paraId="2DB17BE1" w14:textId="77777777" w:rsidR="005072DF" w:rsidRDefault="005072DF" w:rsidP="00D22060">
            <w:pPr>
              <w:pStyle w:val="TableText0"/>
              <w:keepNext w:val="0"/>
            </w:pPr>
            <w:r>
              <w:t>Other Costs</w:t>
            </w:r>
          </w:p>
        </w:tc>
      </w:tr>
      <w:tr w:rsidR="005072DF" w14:paraId="3265204F"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0F637A78" w14:textId="315AC668" w:rsidR="005072DF" w:rsidRDefault="005072DF" w:rsidP="00D22060">
            <w:pPr>
              <w:pStyle w:val="TableText0"/>
              <w:keepNext w:val="0"/>
            </w:pPr>
            <w:r>
              <w:rPr>
                <w:szCs w:val="20"/>
              </w:rPr>
              <w:t xml:space="preserve">Cost for </w:t>
            </w:r>
            <w:r w:rsidR="00631974">
              <w:rPr>
                <w:szCs w:val="20"/>
              </w:rPr>
              <w:t xml:space="preserve">redacted </w:t>
            </w:r>
            <w:r>
              <w:rPr>
                <w:szCs w:val="20"/>
              </w:rPr>
              <w:t>DAC kit</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765E11ED" w14:textId="027A5289" w:rsidR="005072DF" w:rsidRDefault="005072DF" w:rsidP="00D22060">
            <w:pPr>
              <w:pStyle w:val="TableText0"/>
              <w:keepNext w:val="0"/>
              <w:jc w:val="right"/>
            </w:pPr>
            <w:r w:rsidRPr="004F63C6">
              <w:t>-$</w:t>
            </w:r>
            <w:r w:rsidR="007F5B73">
              <w:rPr>
                <w:b/>
                <w:bCs/>
              </w:rPr>
              <w:t>redacted</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1E2A41E"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EBEBF7B" w14:textId="77777777" w:rsidR="005072DF" w:rsidRPr="00431992" w:rsidRDefault="005072DF" w:rsidP="00D22060">
            <w:pPr>
              <w:pStyle w:val="TableText0"/>
              <w:keepNext w:val="0"/>
              <w:jc w:val="right"/>
              <w:rPr>
                <w:highlight w:val="green"/>
              </w:rPr>
            </w:pPr>
            <w:r w:rsidRPr="00F70113">
              <w:t>DAC</w:t>
            </w:r>
            <w:r>
              <w:t>+abs</w:t>
            </w:r>
            <w:r w:rsidRPr="00F70113">
              <w:t xml:space="preserve"> is dominant</w:t>
            </w:r>
          </w:p>
        </w:tc>
        <w:tc>
          <w:tcPr>
            <w:tcW w:w="561" w:type="pct"/>
            <w:tcBorders>
              <w:top w:val="single" w:sz="4" w:space="0" w:color="auto"/>
              <w:left w:val="single" w:sz="4" w:space="0" w:color="auto"/>
              <w:bottom w:val="single" w:sz="4" w:space="0" w:color="auto"/>
            </w:tcBorders>
            <w:shd w:val="clear" w:color="auto" w:fill="auto"/>
          </w:tcPr>
          <w:p w14:paraId="36C4AE72" w14:textId="77777777" w:rsidR="005072DF" w:rsidRDefault="005072DF" w:rsidP="00D22060">
            <w:pPr>
              <w:pStyle w:val="TableText0"/>
              <w:keepNext w:val="0"/>
              <w:jc w:val="right"/>
            </w:pPr>
            <w:r w:rsidRPr="00217306">
              <w:rPr>
                <w:bCs/>
                <w:snapToGrid w:val="0"/>
              </w:rPr>
              <w:t>NA</w:t>
            </w:r>
          </w:p>
        </w:tc>
      </w:tr>
      <w:tr w:rsidR="005072DF" w14:paraId="34B0419A"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6C9548D1" w14:textId="29BD0193" w:rsidR="005072DF" w:rsidRDefault="005072DF" w:rsidP="00D22060">
            <w:pPr>
              <w:pStyle w:val="TableText0"/>
              <w:keepNext w:val="0"/>
            </w:pPr>
            <w:r>
              <w:rPr>
                <w:szCs w:val="20"/>
              </w:rPr>
              <w:t xml:space="preserve">Cost for </w:t>
            </w:r>
            <w:r w:rsidR="00631974">
              <w:rPr>
                <w:szCs w:val="20"/>
              </w:rPr>
              <w:t xml:space="preserve">redacted </w:t>
            </w:r>
            <w:r>
              <w:rPr>
                <w:szCs w:val="20"/>
              </w:rPr>
              <w:t>DAC kits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6177D20" w14:textId="52F239E6" w:rsidR="005072DF" w:rsidRDefault="005072DF" w:rsidP="00D22060">
            <w:pPr>
              <w:pStyle w:val="TableText0"/>
              <w:keepNext w:val="0"/>
              <w:jc w:val="right"/>
            </w:pPr>
            <w:r w:rsidRPr="000409E6">
              <w:t>-$</w:t>
            </w:r>
            <w:r w:rsidR="007F5B73">
              <w:rPr>
                <w:b/>
                <w:bCs/>
              </w:rPr>
              <w:t xml:space="preserve"> redacted</w:t>
            </w:r>
            <w:r w:rsidR="007F5B73">
              <w:t xml:space="preserve"> </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E281090"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2103949" w14:textId="77777777" w:rsidR="005072DF" w:rsidRPr="00431992" w:rsidRDefault="005072DF" w:rsidP="00D22060">
            <w:pPr>
              <w:pStyle w:val="TableText0"/>
              <w:keepNext w:val="0"/>
              <w:jc w:val="right"/>
              <w:rPr>
                <w:highlight w:val="green"/>
              </w:rPr>
            </w:pPr>
            <w:r w:rsidRPr="00F70113">
              <w:t>DAC</w:t>
            </w:r>
            <w:r>
              <w:t>+abs</w:t>
            </w:r>
            <w:r w:rsidRPr="00F70113">
              <w:t xml:space="preserve"> is dominant</w:t>
            </w:r>
          </w:p>
        </w:tc>
        <w:tc>
          <w:tcPr>
            <w:tcW w:w="561" w:type="pct"/>
            <w:tcBorders>
              <w:top w:val="single" w:sz="4" w:space="0" w:color="auto"/>
              <w:left w:val="single" w:sz="4" w:space="0" w:color="auto"/>
              <w:bottom w:val="single" w:sz="4" w:space="0" w:color="auto"/>
            </w:tcBorders>
            <w:shd w:val="clear" w:color="auto" w:fill="auto"/>
          </w:tcPr>
          <w:p w14:paraId="6372583F" w14:textId="77777777" w:rsidR="005072DF" w:rsidRDefault="005072DF" w:rsidP="00D22060">
            <w:pPr>
              <w:pStyle w:val="TableText0"/>
              <w:keepNext w:val="0"/>
              <w:jc w:val="right"/>
            </w:pPr>
            <w:r w:rsidRPr="00217306">
              <w:rPr>
                <w:bCs/>
                <w:snapToGrid w:val="0"/>
              </w:rPr>
              <w:t>NA</w:t>
            </w:r>
          </w:p>
        </w:tc>
      </w:tr>
      <w:tr w:rsidR="005072DF" w14:paraId="33AB6A18"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68D18D2E" w14:textId="31A400B3" w:rsidR="005072DF" w:rsidRDefault="005072DF" w:rsidP="00D22060">
            <w:pPr>
              <w:pStyle w:val="TableText0"/>
              <w:keepNext w:val="0"/>
            </w:pPr>
            <w:r>
              <w:rPr>
                <w:szCs w:val="20"/>
              </w:rPr>
              <w:t xml:space="preserve">Cost for </w:t>
            </w:r>
            <w:r w:rsidR="00631974">
              <w:rPr>
                <w:szCs w:val="20"/>
              </w:rPr>
              <w:t xml:space="preserve">redacted </w:t>
            </w:r>
            <w:r>
              <w:rPr>
                <w:szCs w:val="20"/>
              </w:rPr>
              <w:t>DAC kits</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4A220E8D" w14:textId="7BBBAC30" w:rsidR="005072DF" w:rsidRDefault="005072DF" w:rsidP="00D22060">
            <w:pPr>
              <w:pStyle w:val="TableText0"/>
              <w:keepNext w:val="0"/>
              <w:jc w:val="right"/>
            </w:pPr>
            <w:r w:rsidRPr="000409E6">
              <w:t>-$</w:t>
            </w:r>
            <w:r w:rsidR="007F5B73">
              <w:rPr>
                <w:b/>
                <w:bCs/>
              </w:rPr>
              <w:t xml:space="preserve"> redacted</w:t>
            </w:r>
            <w:r w:rsidR="007F5B73">
              <w:t xml:space="preserve"> </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7952632"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4FE70004" w14:textId="77777777" w:rsidR="005072DF" w:rsidRPr="00431992" w:rsidRDefault="005072DF" w:rsidP="00D22060">
            <w:pPr>
              <w:pStyle w:val="TableText0"/>
              <w:keepNext w:val="0"/>
              <w:jc w:val="right"/>
              <w:rPr>
                <w:highlight w:val="green"/>
              </w:rPr>
            </w:pPr>
            <w:r w:rsidRPr="00F70113">
              <w:t>DAC</w:t>
            </w:r>
            <w:r>
              <w:t>+abs</w:t>
            </w:r>
            <w:r w:rsidRPr="00F70113">
              <w:t xml:space="preserve"> is dominant</w:t>
            </w:r>
          </w:p>
        </w:tc>
        <w:tc>
          <w:tcPr>
            <w:tcW w:w="561" w:type="pct"/>
            <w:tcBorders>
              <w:top w:val="single" w:sz="4" w:space="0" w:color="auto"/>
              <w:left w:val="single" w:sz="4" w:space="0" w:color="auto"/>
              <w:bottom w:val="single" w:sz="4" w:space="0" w:color="auto"/>
            </w:tcBorders>
            <w:shd w:val="clear" w:color="auto" w:fill="auto"/>
          </w:tcPr>
          <w:p w14:paraId="6BF8679A" w14:textId="77777777" w:rsidR="005072DF" w:rsidRDefault="005072DF" w:rsidP="00D22060">
            <w:pPr>
              <w:pStyle w:val="TableText0"/>
              <w:keepNext w:val="0"/>
              <w:jc w:val="right"/>
            </w:pPr>
            <w:r w:rsidRPr="00217306">
              <w:rPr>
                <w:bCs/>
                <w:snapToGrid w:val="0"/>
              </w:rPr>
              <w:t>NA</w:t>
            </w:r>
          </w:p>
        </w:tc>
      </w:tr>
      <w:tr w:rsidR="005072DF" w14:paraId="5CA4ED5E" w14:textId="77777777" w:rsidTr="00D22060">
        <w:tc>
          <w:tcPr>
            <w:tcW w:w="2193" w:type="pct"/>
            <w:gridSpan w:val="2"/>
            <w:tcBorders>
              <w:top w:val="single" w:sz="4" w:space="0" w:color="auto"/>
              <w:bottom w:val="single" w:sz="4" w:space="0" w:color="auto"/>
              <w:right w:val="single" w:sz="4" w:space="0" w:color="auto"/>
            </w:tcBorders>
            <w:shd w:val="clear" w:color="auto" w:fill="auto"/>
          </w:tcPr>
          <w:p w14:paraId="5211EAF7" w14:textId="77777777" w:rsidR="005072DF" w:rsidRDefault="005072DF" w:rsidP="00D22060">
            <w:pPr>
              <w:pStyle w:val="TableText0"/>
              <w:keepNext w:val="0"/>
            </w:pPr>
            <w:r>
              <w:rPr>
                <w:szCs w:val="20"/>
              </w:rPr>
              <w:t>DAC price Franceschini 2020 lower range ($382.03)</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146FF42E" w14:textId="69C9B37B" w:rsidR="005072DF" w:rsidRDefault="005072DF" w:rsidP="00D22060">
            <w:pPr>
              <w:pStyle w:val="TableText0"/>
              <w:keepNext w:val="0"/>
              <w:jc w:val="right"/>
            </w:pPr>
            <w:r w:rsidRPr="004F63C6">
              <w:t>-$</w:t>
            </w:r>
            <w:r w:rsidR="007F5B73">
              <w:rPr>
                <w:b/>
                <w:bCs/>
              </w:rPr>
              <w:t xml:space="preserve"> redacted</w:t>
            </w:r>
            <w:r w:rsidR="007F5B73">
              <w:t xml:space="preserve"> </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5F73226"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74BA071" w14:textId="77777777" w:rsidR="005072DF" w:rsidRPr="00431992" w:rsidRDefault="005072DF" w:rsidP="00D22060">
            <w:pPr>
              <w:pStyle w:val="TableText0"/>
              <w:keepNext w:val="0"/>
              <w:jc w:val="right"/>
              <w:rPr>
                <w:highlight w:val="green"/>
              </w:rPr>
            </w:pPr>
            <w:r w:rsidRPr="00F70113">
              <w:t>DAC</w:t>
            </w:r>
            <w:r>
              <w:t>+abs</w:t>
            </w:r>
            <w:r w:rsidRPr="00F70113">
              <w:t xml:space="preserve"> is dominant</w:t>
            </w:r>
          </w:p>
        </w:tc>
        <w:tc>
          <w:tcPr>
            <w:tcW w:w="561" w:type="pct"/>
            <w:tcBorders>
              <w:top w:val="single" w:sz="4" w:space="0" w:color="auto"/>
              <w:left w:val="single" w:sz="4" w:space="0" w:color="auto"/>
              <w:bottom w:val="single" w:sz="4" w:space="0" w:color="auto"/>
            </w:tcBorders>
            <w:shd w:val="clear" w:color="auto" w:fill="auto"/>
          </w:tcPr>
          <w:p w14:paraId="4B56D136" w14:textId="77777777" w:rsidR="005072DF" w:rsidRDefault="005072DF" w:rsidP="00D22060">
            <w:pPr>
              <w:pStyle w:val="TableText0"/>
              <w:keepNext w:val="0"/>
              <w:jc w:val="right"/>
            </w:pPr>
            <w:r w:rsidRPr="00217306">
              <w:rPr>
                <w:bCs/>
                <w:snapToGrid w:val="0"/>
              </w:rPr>
              <w:t>NA</w:t>
            </w:r>
          </w:p>
        </w:tc>
      </w:tr>
      <w:tr w:rsidR="005072DF" w14:paraId="468AE7FB" w14:textId="77777777" w:rsidTr="00D22060">
        <w:tc>
          <w:tcPr>
            <w:tcW w:w="5000" w:type="pct"/>
            <w:gridSpan w:val="6"/>
            <w:shd w:val="clear" w:color="auto" w:fill="auto"/>
            <w:vAlign w:val="center"/>
          </w:tcPr>
          <w:p w14:paraId="3E330671" w14:textId="77777777" w:rsidR="005072DF" w:rsidRDefault="005072DF" w:rsidP="00D22060">
            <w:pPr>
              <w:pStyle w:val="TableText0"/>
              <w:keepNext w:val="0"/>
            </w:pPr>
            <w:r>
              <w:t>Utilities</w:t>
            </w:r>
          </w:p>
        </w:tc>
      </w:tr>
      <w:tr w:rsidR="005072DF" w14:paraId="22575E6A"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59F2543C" w14:textId="77777777" w:rsidR="005072DF" w:rsidRPr="00250965" w:rsidRDefault="005072DF" w:rsidP="00D22060">
            <w:pPr>
              <w:pStyle w:val="TableText0"/>
              <w:keepNext w:val="0"/>
              <w:rPr>
                <w:szCs w:val="20"/>
              </w:rPr>
            </w:pPr>
            <w:r w:rsidRPr="00827D94">
              <w:rPr>
                <w:szCs w:val="20"/>
              </w:rPr>
              <w:t>Post treatment</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409669A6" w14:textId="46D97D87" w:rsidR="005072DF" w:rsidRDefault="005072DF" w:rsidP="00D22060">
            <w:pPr>
              <w:pStyle w:val="TableText0"/>
              <w:keepNext w:val="0"/>
            </w:pPr>
            <w:r>
              <w:t>Higher 95% CI (0.923)</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655FD5B3" w14:textId="77777777" w:rsidR="005072DF" w:rsidRDefault="005072DF" w:rsidP="00D22060">
            <w:pPr>
              <w:pStyle w:val="TableText0"/>
              <w:keepNext w:val="0"/>
              <w:jc w:val="right"/>
            </w:pPr>
            <w:r w:rsidRPr="004F63C6">
              <w:t>-$</w:t>
            </w:r>
            <w:r>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8963069" w14:textId="77777777" w:rsidR="005072DF" w:rsidRDefault="005072DF" w:rsidP="00D22060">
            <w:pPr>
              <w:pStyle w:val="TableText0"/>
              <w:keepNext w:val="0"/>
              <w:jc w:val="right"/>
            </w:pPr>
            <w:r>
              <w:t>0.60</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4CBF3B4" w14:textId="77777777" w:rsidR="005072DF" w:rsidRPr="00431992" w:rsidRDefault="005072DF" w:rsidP="00D22060">
            <w:pPr>
              <w:pStyle w:val="TableText0"/>
              <w:keepNext w:val="0"/>
              <w:jc w:val="right"/>
              <w:rPr>
                <w:highlight w:val="green"/>
              </w:rPr>
            </w:pPr>
            <w:r w:rsidRPr="00F70113">
              <w:t>DAC</w:t>
            </w:r>
            <w:r>
              <w:t>+abs</w:t>
            </w:r>
            <w:r w:rsidRPr="00F70113">
              <w:t xml:space="preserve"> is dominant</w:t>
            </w:r>
          </w:p>
        </w:tc>
        <w:tc>
          <w:tcPr>
            <w:tcW w:w="561" w:type="pct"/>
            <w:tcBorders>
              <w:top w:val="single" w:sz="4" w:space="0" w:color="auto"/>
              <w:left w:val="single" w:sz="4" w:space="0" w:color="auto"/>
              <w:bottom w:val="single" w:sz="4" w:space="0" w:color="auto"/>
            </w:tcBorders>
            <w:shd w:val="clear" w:color="auto" w:fill="auto"/>
          </w:tcPr>
          <w:p w14:paraId="3F5105C6" w14:textId="77777777" w:rsidR="005072DF" w:rsidRDefault="005072DF" w:rsidP="00D22060">
            <w:pPr>
              <w:pStyle w:val="TableText0"/>
              <w:keepNext w:val="0"/>
              <w:jc w:val="right"/>
            </w:pPr>
            <w:r w:rsidRPr="004A4066">
              <w:rPr>
                <w:bCs/>
                <w:snapToGrid w:val="0"/>
              </w:rPr>
              <w:t>NA</w:t>
            </w:r>
          </w:p>
        </w:tc>
      </w:tr>
      <w:tr w:rsidR="005072DF" w14:paraId="769FFCB8" w14:textId="77777777" w:rsidTr="00D22060">
        <w:tc>
          <w:tcPr>
            <w:tcW w:w="1024" w:type="pct"/>
            <w:vMerge/>
            <w:tcBorders>
              <w:top w:val="single" w:sz="4" w:space="0" w:color="auto"/>
              <w:bottom w:val="single" w:sz="4" w:space="0" w:color="auto"/>
              <w:right w:val="single" w:sz="4" w:space="0" w:color="auto"/>
            </w:tcBorders>
            <w:shd w:val="clear" w:color="auto" w:fill="auto"/>
          </w:tcPr>
          <w:p w14:paraId="0CCDC80D" w14:textId="77777777" w:rsidR="005072DF" w:rsidRPr="00827D94"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4D804F66" w14:textId="193083ED" w:rsidR="005072DF" w:rsidRDefault="005072DF" w:rsidP="00D22060">
            <w:pPr>
              <w:pStyle w:val="TableText0"/>
              <w:keepNext w:val="0"/>
            </w:pPr>
            <w:r>
              <w:t>Lower 95% CI (0.517)</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4E72CA21" w14:textId="77777777" w:rsidR="005072DF" w:rsidRDefault="005072DF" w:rsidP="00D22060">
            <w:pPr>
              <w:pStyle w:val="TableText0"/>
              <w:keepNext w:val="0"/>
              <w:jc w:val="right"/>
            </w:pPr>
            <w:r w:rsidRPr="003B6921">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4C1382B" w14:textId="77777777" w:rsidR="005072DF" w:rsidRDefault="005072DF" w:rsidP="00D22060">
            <w:pPr>
              <w:pStyle w:val="TableText0"/>
              <w:keepNext w:val="0"/>
              <w:jc w:val="right"/>
            </w:pPr>
            <w:r>
              <w:t>-0.068</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3949DD8" w14:textId="77777777" w:rsidR="005072DF" w:rsidRPr="00431992" w:rsidRDefault="005072DF" w:rsidP="00D22060">
            <w:pPr>
              <w:pStyle w:val="TableText0"/>
              <w:keepNext w:val="0"/>
              <w:jc w:val="right"/>
              <w:rPr>
                <w:highlight w:val="green"/>
              </w:rPr>
            </w:pPr>
            <w:r w:rsidRPr="00AF0A65">
              <w:t>$25,145</w:t>
            </w:r>
            <w:r>
              <w:t>*</w:t>
            </w:r>
          </w:p>
        </w:tc>
        <w:tc>
          <w:tcPr>
            <w:tcW w:w="561" w:type="pct"/>
            <w:tcBorders>
              <w:top w:val="single" w:sz="4" w:space="0" w:color="auto"/>
              <w:left w:val="single" w:sz="4" w:space="0" w:color="auto"/>
              <w:bottom w:val="single" w:sz="4" w:space="0" w:color="auto"/>
            </w:tcBorders>
            <w:shd w:val="clear" w:color="auto" w:fill="auto"/>
          </w:tcPr>
          <w:p w14:paraId="1778213E" w14:textId="77777777" w:rsidR="005072DF" w:rsidRDefault="005072DF" w:rsidP="00D22060">
            <w:pPr>
              <w:pStyle w:val="TableText0"/>
              <w:keepNext w:val="0"/>
              <w:jc w:val="right"/>
            </w:pPr>
            <w:r w:rsidRPr="004A4066">
              <w:rPr>
                <w:bCs/>
                <w:snapToGrid w:val="0"/>
              </w:rPr>
              <w:t>NA</w:t>
            </w:r>
          </w:p>
        </w:tc>
      </w:tr>
      <w:tr w:rsidR="005072DF" w14:paraId="00F467EB"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72AF1DB2" w14:textId="77777777" w:rsidR="005072DF" w:rsidRPr="00250965" w:rsidRDefault="005072DF" w:rsidP="00D22060">
            <w:pPr>
              <w:pStyle w:val="TableText0"/>
              <w:keepNext w:val="0"/>
              <w:rPr>
                <w:szCs w:val="20"/>
              </w:rPr>
            </w:pPr>
            <w:r w:rsidRPr="00827D94">
              <w:rPr>
                <w:szCs w:val="20"/>
              </w:rPr>
              <w:t>Revision for infection</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4313236F" w14:textId="7C3B2119" w:rsidR="005072DF" w:rsidRDefault="005072DF" w:rsidP="00D22060">
            <w:pPr>
              <w:pStyle w:val="TableText0"/>
              <w:keepNext w:val="0"/>
            </w:pPr>
            <w:r>
              <w:t>Higher 95% CI (0.741)</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0433735" w14:textId="77777777" w:rsidR="005072DF" w:rsidRDefault="005072DF" w:rsidP="00D22060">
            <w:pPr>
              <w:pStyle w:val="TableText0"/>
              <w:keepNext w:val="0"/>
              <w:jc w:val="right"/>
            </w:pPr>
            <w:r w:rsidRPr="003B6921">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DA9DCF2" w14:textId="77777777" w:rsidR="005072DF" w:rsidRDefault="005072DF" w:rsidP="00D22060">
            <w:pPr>
              <w:pStyle w:val="TableText0"/>
              <w:keepNext w:val="0"/>
              <w:jc w:val="right"/>
            </w:pPr>
            <w:r>
              <w:t>0.18</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88E10F2" w14:textId="77777777" w:rsidR="005072DF" w:rsidRPr="00431992" w:rsidRDefault="005072DF" w:rsidP="00D22060">
            <w:pPr>
              <w:pStyle w:val="TableText0"/>
              <w:keepNext w:val="0"/>
              <w:jc w:val="right"/>
              <w:rPr>
                <w:highlight w:val="green"/>
              </w:rPr>
            </w:pPr>
            <w:r w:rsidRPr="003009BB">
              <w:t>DAC</w:t>
            </w:r>
            <w:r>
              <w:t>+abs</w:t>
            </w:r>
            <w:r w:rsidRPr="003009BB">
              <w:t xml:space="preserve"> is dominant</w:t>
            </w:r>
          </w:p>
        </w:tc>
        <w:tc>
          <w:tcPr>
            <w:tcW w:w="561" w:type="pct"/>
            <w:tcBorders>
              <w:top w:val="single" w:sz="4" w:space="0" w:color="auto"/>
              <w:left w:val="single" w:sz="4" w:space="0" w:color="auto"/>
              <w:bottom w:val="single" w:sz="4" w:space="0" w:color="auto"/>
            </w:tcBorders>
            <w:shd w:val="clear" w:color="auto" w:fill="auto"/>
          </w:tcPr>
          <w:p w14:paraId="3D2CF65F" w14:textId="77777777" w:rsidR="005072DF" w:rsidRDefault="005072DF" w:rsidP="00D22060">
            <w:pPr>
              <w:pStyle w:val="TableText0"/>
              <w:keepNext w:val="0"/>
              <w:jc w:val="right"/>
            </w:pPr>
            <w:r w:rsidRPr="004A4066">
              <w:rPr>
                <w:bCs/>
                <w:snapToGrid w:val="0"/>
              </w:rPr>
              <w:t>NA</w:t>
            </w:r>
          </w:p>
        </w:tc>
      </w:tr>
      <w:tr w:rsidR="005072DF" w14:paraId="3EDC1503" w14:textId="77777777" w:rsidTr="00D22060">
        <w:tc>
          <w:tcPr>
            <w:tcW w:w="1024" w:type="pct"/>
            <w:vMerge/>
            <w:tcBorders>
              <w:top w:val="single" w:sz="4" w:space="0" w:color="auto"/>
              <w:bottom w:val="single" w:sz="4" w:space="0" w:color="auto"/>
              <w:right w:val="single" w:sz="4" w:space="0" w:color="auto"/>
            </w:tcBorders>
            <w:shd w:val="clear" w:color="auto" w:fill="auto"/>
          </w:tcPr>
          <w:p w14:paraId="3B4347D6" w14:textId="77777777" w:rsidR="005072DF" w:rsidRPr="00827D94"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1F27AFB1" w14:textId="0371C7AD" w:rsidR="005072DF" w:rsidRDefault="005072DF" w:rsidP="00D22060">
            <w:pPr>
              <w:pStyle w:val="TableText0"/>
              <w:keepNext w:val="0"/>
            </w:pPr>
            <w:r>
              <w:t>Lower 95% CI (0.259)</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508BDB29" w14:textId="77777777" w:rsidR="005072DF" w:rsidRDefault="005072DF" w:rsidP="00D22060">
            <w:pPr>
              <w:pStyle w:val="TableText0"/>
              <w:keepNext w:val="0"/>
              <w:jc w:val="right"/>
            </w:pPr>
            <w:r w:rsidRPr="003B6921">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2063A723" w14:textId="77777777" w:rsidR="005072DF" w:rsidRDefault="005072DF" w:rsidP="00D22060">
            <w:pPr>
              <w:pStyle w:val="TableText0"/>
              <w:keepNext w:val="0"/>
              <w:jc w:val="right"/>
            </w:pPr>
            <w:r>
              <w:t>0.32</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A0FAB21" w14:textId="77777777" w:rsidR="005072DF" w:rsidRPr="00431992" w:rsidRDefault="005072DF" w:rsidP="00D22060">
            <w:pPr>
              <w:pStyle w:val="TableText0"/>
              <w:keepNext w:val="0"/>
              <w:jc w:val="right"/>
              <w:rPr>
                <w:highlight w:val="green"/>
              </w:rPr>
            </w:pPr>
            <w:r w:rsidRPr="003009BB">
              <w:t>DAC</w:t>
            </w:r>
            <w:r>
              <w:t>+abs</w:t>
            </w:r>
            <w:r w:rsidRPr="003009BB">
              <w:t xml:space="preserve"> is dominant</w:t>
            </w:r>
          </w:p>
        </w:tc>
        <w:tc>
          <w:tcPr>
            <w:tcW w:w="561" w:type="pct"/>
            <w:tcBorders>
              <w:top w:val="single" w:sz="4" w:space="0" w:color="auto"/>
              <w:left w:val="single" w:sz="4" w:space="0" w:color="auto"/>
              <w:bottom w:val="single" w:sz="4" w:space="0" w:color="auto"/>
            </w:tcBorders>
            <w:shd w:val="clear" w:color="auto" w:fill="auto"/>
          </w:tcPr>
          <w:p w14:paraId="3624DA6B" w14:textId="77777777" w:rsidR="005072DF" w:rsidRDefault="005072DF" w:rsidP="00D22060">
            <w:pPr>
              <w:pStyle w:val="TableText0"/>
              <w:keepNext w:val="0"/>
              <w:jc w:val="right"/>
            </w:pPr>
            <w:r w:rsidRPr="004A4066">
              <w:rPr>
                <w:bCs/>
                <w:snapToGrid w:val="0"/>
              </w:rPr>
              <w:t>NA</w:t>
            </w:r>
          </w:p>
        </w:tc>
      </w:tr>
      <w:tr w:rsidR="005072DF" w14:paraId="19A0BE08" w14:textId="77777777" w:rsidTr="00D22060">
        <w:tc>
          <w:tcPr>
            <w:tcW w:w="1024" w:type="pct"/>
            <w:vMerge w:val="restart"/>
            <w:tcBorders>
              <w:top w:val="single" w:sz="4" w:space="0" w:color="auto"/>
              <w:bottom w:val="single" w:sz="4" w:space="0" w:color="auto"/>
              <w:right w:val="single" w:sz="4" w:space="0" w:color="auto"/>
            </w:tcBorders>
            <w:shd w:val="clear" w:color="auto" w:fill="auto"/>
          </w:tcPr>
          <w:p w14:paraId="1C1EDB46" w14:textId="77777777" w:rsidR="005072DF" w:rsidRPr="00250965" w:rsidRDefault="005072DF" w:rsidP="00D22060">
            <w:pPr>
              <w:pStyle w:val="TableText0"/>
              <w:keepNext w:val="0"/>
              <w:rPr>
                <w:szCs w:val="20"/>
              </w:rPr>
            </w:pPr>
            <w:r w:rsidRPr="00827D94">
              <w:rPr>
                <w:szCs w:val="20"/>
              </w:rPr>
              <w:lastRenderedPageBreak/>
              <w:t>Permanent implant removal</w:t>
            </w: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66CED555" w14:textId="1FA38622" w:rsidR="005072DF" w:rsidRDefault="005072DF" w:rsidP="00D22060">
            <w:pPr>
              <w:pStyle w:val="TableText0"/>
              <w:keepNext w:val="0"/>
            </w:pPr>
            <w:r>
              <w:t>Higher 95% CI (0.677)</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7DB13F8" w14:textId="77777777" w:rsidR="005072DF" w:rsidRDefault="005072DF" w:rsidP="00D22060">
            <w:pPr>
              <w:pStyle w:val="TableText0"/>
              <w:keepNext w:val="0"/>
              <w:jc w:val="right"/>
            </w:pPr>
            <w:r w:rsidRPr="003B6921">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A99CEC3" w14:textId="77777777" w:rsidR="005072DF" w:rsidRDefault="005072DF" w:rsidP="00D22060">
            <w:pPr>
              <w:pStyle w:val="TableText0"/>
              <w:keepNext w:val="0"/>
              <w:jc w:val="right"/>
            </w:pPr>
            <w:r>
              <w:t>0.20</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99DD520" w14:textId="77777777" w:rsidR="005072DF" w:rsidRPr="00431992" w:rsidRDefault="005072DF" w:rsidP="00D22060">
            <w:pPr>
              <w:pStyle w:val="TableText0"/>
              <w:keepNext w:val="0"/>
              <w:jc w:val="right"/>
              <w:rPr>
                <w:highlight w:val="green"/>
              </w:rPr>
            </w:pPr>
            <w:r w:rsidRPr="003009BB">
              <w:t>DAC</w:t>
            </w:r>
            <w:r>
              <w:t>+abs</w:t>
            </w:r>
            <w:r w:rsidRPr="003009BB">
              <w:t xml:space="preserve"> is dominant</w:t>
            </w:r>
          </w:p>
        </w:tc>
        <w:tc>
          <w:tcPr>
            <w:tcW w:w="561" w:type="pct"/>
            <w:tcBorders>
              <w:top w:val="single" w:sz="4" w:space="0" w:color="auto"/>
              <w:left w:val="single" w:sz="4" w:space="0" w:color="auto"/>
              <w:bottom w:val="single" w:sz="4" w:space="0" w:color="auto"/>
            </w:tcBorders>
            <w:shd w:val="clear" w:color="auto" w:fill="auto"/>
          </w:tcPr>
          <w:p w14:paraId="5705EEA3" w14:textId="77777777" w:rsidR="005072DF" w:rsidRDefault="005072DF" w:rsidP="00D22060">
            <w:pPr>
              <w:pStyle w:val="TableText0"/>
              <w:keepNext w:val="0"/>
              <w:jc w:val="right"/>
            </w:pPr>
            <w:r w:rsidRPr="004A4066">
              <w:rPr>
                <w:bCs/>
                <w:snapToGrid w:val="0"/>
              </w:rPr>
              <w:t>NA</w:t>
            </w:r>
          </w:p>
        </w:tc>
      </w:tr>
      <w:tr w:rsidR="005072DF" w14:paraId="2342C98F" w14:textId="77777777" w:rsidTr="00D22060">
        <w:tc>
          <w:tcPr>
            <w:tcW w:w="1024" w:type="pct"/>
            <w:vMerge/>
            <w:tcBorders>
              <w:top w:val="single" w:sz="4" w:space="0" w:color="auto"/>
              <w:bottom w:val="single" w:sz="4" w:space="0" w:color="auto"/>
              <w:right w:val="single" w:sz="4" w:space="0" w:color="auto"/>
            </w:tcBorders>
            <w:shd w:val="clear" w:color="auto" w:fill="auto"/>
          </w:tcPr>
          <w:p w14:paraId="46A6F214" w14:textId="77777777" w:rsidR="005072DF" w:rsidRPr="00827D94" w:rsidRDefault="005072DF" w:rsidP="00D22060">
            <w:pPr>
              <w:pStyle w:val="TableText0"/>
              <w:keepNext w:val="0"/>
              <w:rPr>
                <w:szCs w:val="20"/>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DA1B373" w14:textId="5F5D9C11" w:rsidR="005072DF" w:rsidRDefault="005072DF" w:rsidP="00D22060">
            <w:pPr>
              <w:pStyle w:val="TableText0"/>
              <w:keepNext w:val="0"/>
            </w:pPr>
            <w:r>
              <w:t>Lower 95% CI (0.587)</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0F6DEF83" w14:textId="77777777" w:rsidR="005072DF" w:rsidRDefault="005072DF" w:rsidP="00D22060">
            <w:pPr>
              <w:pStyle w:val="TableText0"/>
              <w:keepNext w:val="0"/>
              <w:jc w:val="right"/>
            </w:pPr>
            <w:r w:rsidRPr="003B6921">
              <w:t>-$1,707</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78A38EE" w14:textId="77777777" w:rsidR="005072DF" w:rsidRDefault="005072DF" w:rsidP="00D22060">
            <w:pPr>
              <w:pStyle w:val="TableText0"/>
              <w:keepNext w:val="0"/>
              <w:jc w:val="right"/>
            </w:pPr>
            <w:r>
              <w:t>0.31</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5CB6A8BF" w14:textId="77777777" w:rsidR="005072DF" w:rsidRPr="00431992" w:rsidRDefault="005072DF" w:rsidP="00D22060">
            <w:pPr>
              <w:pStyle w:val="TableText0"/>
              <w:keepNext w:val="0"/>
              <w:jc w:val="right"/>
              <w:rPr>
                <w:highlight w:val="green"/>
              </w:rPr>
            </w:pPr>
            <w:r w:rsidRPr="00F70113">
              <w:t>DAC</w:t>
            </w:r>
            <w:r>
              <w:t>+abs</w:t>
            </w:r>
            <w:r w:rsidRPr="00F70113">
              <w:t xml:space="preserve"> is dominant</w:t>
            </w:r>
          </w:p>
        </w:tc>
        <w:tc>
          <w:tcPr>
            <w:tcW w:w="561" w:type="pct"/>
            <w:tcBorders>
              <w:top w:val="single" w:sz="4" w:space="0" w:color="auto"/>
              <w:left w:val="single" w:sz="4" w:space="0" w:color="auto"/>
              <w:bottom w:val="single" w:sz="4" w:space="0" w:color="auto"/>
            </w:tcBorders>
            <w:shd w:val="clear" w:color="auto" w:fill="auto"/>
          </w:tcPr>
          <w:p w14:paraId="6674A09E" w14:textId="77777777" w:rsidR="005072DF" w:rsidRDefault="005072DF" w:rsidP="00D22060">
            <w:pPr>
              <w:pStyle w:val="TableText0"/>
              <w:keepNext w:val="0"/>
              <w:jc w:val="right"/>
            </w:pPr>
            <w:r w:rsidRPr="004A4066">
              <w:rPr>
                <w:bCs/>
                <w:snapToGrid w:val="0"/>
              </w:rPr>
              <w:t>NA</w:t>
            </w:r>
          </w:p>
        </w:tc>
      </w:tr>
      <w:tr w:rsidR="005072DF" w:rsidRPr="00050D84" w14:paraId="7C1E56B0" w14:textId="77777777" w:rsidTr="00D22060">
        <w:tc>
          <w:tcPr>
            <w:tcW w:w="5000" w:type="pct"/>
            <w:gridSpan w:val="6"/>
            <w:tcBorders>
              <w:top w:val="single" w:sz="4" w:space="0" w:color="auto"/>
            </w:tcBorders>
            <w:shd w:val="clear" w:color="auto" w:fill="auto"/>
          </w:tcPr>
          <w:p w14:paraId="543B259A" w14:textId="77777777" w:rsidR="005072DF" w:rsidRPr="00050D84" w:rsidRDefault="005072DF" w:rsidP="00D22060">
            <w:pPr>
              <w:pStyle w:val="TableText0"/>
              <w:keepNext w:val="0"/>
            </w:pPr>
            <w:r>
              <w:rPr>
                <w:szCs w:val="20"/>
              </w:rPr>
              <w:t>Other scenarios</w:t>
            </w:r>
          </w:p>
        </w:tc>
      </w:tr>
      <w:tr w:rsidR="005072DF" w:rsidRPr="000A4F96" w14:paraId="635D8D03" w14:textId="77777777" w:rsidTr="00D22060">
        <w:tc>
          <w:tcPr>
            <w:tcW w:w="1024" w:type="pct"/>
            <w:tcBorders>
              <w:right w:val="single" w:sz="4" w:space="0" w:color="auto"/>
            </w:tcBorders>
            <w:shd w:val="clear" w:color="auto" w:fill="auto"/>
          </w:tcPr>
          <w:p w14:paraId="32F0A4A9" w14:textId="77777777" w:rsidR="005072DF" w:rsidRDefault="005072DF" w:rsidP="00D22060">
            <w:pPr>
              <w:pStyle w:val="TableText0"/>
              <w:keepNext w:val="0"/>
              <w:rPr>
                <w:szCs w:val="20"/>
              </w:rPr>
            </w:pPr>
            <w:r>
              <w:rPr>
                <w:szCs w:val="20"/>
              </w:rPr>
              <w:t>Post-operative follow-up costs (</w:t>
            </w:r>
            <w:r>
              <w:rPr>
                <w:szCs w:val="20"/>
              </w:rPr>
              <w:fldChar w:fldCharType="begin"/>
            </w:r>
            <w:r>
              <w:rPr>
                <w:szCs w:val="20"/>
              </w:rPr>
              <w:instrText xml:space="preserve"> REF _Ref67566252 \h  \* MERGEFORMAT </w:instrText>
            </w:r>
            <w:r>
              <w:rPr>
                <w:szCs w:val="20"/>
              </w:rPr>
            </w:r>
            <w:r>
              <w:rPr>
                <w:szCs w:val="20"/>
              </w:rPr>
              <w:fldChar w:fldCharType="separate"/>
            </w:r>
            <w:r w:rsidRPr="00BB246A">
              <w:rPr>
                <w:szCs w:val="20"/>
              </w:rPr>
              <w:t>Table 67</w:t>
            </w:r>
            <w:r>
              <w:rPr>
                <w:szCs w:val="20"/>
              </w:rPr>
              <w:fldChar w:fldCharType="end"/>
            </w:r>
            <w:r>
              <w:rPr>
                <w:szCs w:val="20"/>
              </w:rPr>
              <w:t>)</w:t>
            </w:r>
          </w:p>
        </w:tc>
        <w:tc>
          <w:tcPr>
            <w:tcW w:w="1169" w:type="pct"/>
            <w:tcBorders>
              <w:right w:val="single" w:sz="4" w:space="0" w:color="auto"/>
            </w:tcBorders>
            <w:shd w:val="clear" w:color="auto" w:fill="auto"/>
          </w:tcPr>
          <w:p w14:paraId="54E9B1A6" w14:textId="25393096" w:rsidR="005072DF" w:rsidRDefault="005072DF" w:rsidP="00D22060">
            <w:pPr>
              <w:pStyle w:val="TableText0"/>
              <w:keepNext w:val="0"/>
              <w:rPr>
                <w:szCs w:val="20"/>
              </w:rPr>
            </w:pPr>
            <w:r w:rsidRPr="00DB76BB">
              <w:rPr>
                <w:szCs w:val="20"/>
              </w:rPr>
              <w:t>$851.16</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2451075F" w14:textId="77777777" w:rsidR="005072DF" w:rsidRDefault="005072DF" w:rsidP="00D22060">
            <w:pPr>
              <w:pStyle w:val="TableText0"/>
              <w:keepNext w:val="0"/>
              <w:jc w:val="right"/>
            </w:pPr>
            <w:r>
              <w:t>-$1,793</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39487B9"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427B79A" w14:textId="77777777" w:rsidR="005072DF" w:rsidRPr="00B522D9" w:rsidRDefault="005072DF" w:rsidP="00D22060">
            <w:pPr>
              <w:pStyle w:val="TableText0"/>
              <w:keepNext w:val="0"/>
              <w:jc w:val="right"/>
            </w:pPr>
            <w:r w:rsidRPr="00F70113">
              <w:t>DAC</w:t>
            </w:r>
            <w:r>
              <w:t>+abs</w:t>
            </w:r>
            <w:r w:rsidRPr="00F70113">
              <w:t xml:space="preserve"> is dominant</w:t>
            </w:r>
          </w:p>
        </w:tc>
        <w:tc>
          <w:tcPr>
            <w:tcW w:w="561" w:type="pct"/>
            <w:tcBorders>
              <w:left w:val="single" w:sz="4" w:space="0" w:color="auto"/>
            </w:tcBorders>
            <w:shd w:val="clear" w:color="auto" w:fill="auto"/>
            <w:vAlign w:val="bottom"/>
          </w:tcPr>
          <w:p w14:paraId="02BB37EF" w14:textId="77777777" w:rsidR="005072DF" w:rsidRPr="000A4F96" w:rsidRDefault="005072DF" w:rsidP="00D22060">
            <w:pPr>
              <w:pStyle w:val="TableText0"/>
              <w:keepNext w:val="0"/>
              <w:jc w:val="right"/>
            </w:pPr>
            <w:r w:rsidRPr="00C4562E">
              <w:rPr>
                <w:bCs/>
                <w:snapToGrid w:val="0"/>
              </w:rPr>
              <w:t>NA</w:t>
            </w:r>
          </w:p>
        </w:tc>
      </w:tr>
      <w:tr w:rsidR="005072DF" w:rsidRPr="00050D84" w14:paraId="451BA950" w14:textId="77777777" w:rsidTr="00D22060">
        <w:tc>
          <w:tcPr>
            <w:tcW w:w="2193" w:type="pct"/>
            <w:gridSpan w:val="2"/>
            <w:tcBorders>
              <w:right w:val="single" w:sz="4" w:space="0" w:color="auto"/>
            </w:tcBorders>
            <w:shd w:val="clear" w:color="auto" w:fill="auto"/>
          </w:tcPr>
          <w:p w14:paraId="16F786FC" w14:textId="77777777" w:rsidR="005072DF" w:rsidRDefault="005072DF" w:rsidP="00D22060">
            <w:pPr>
              <w:pStyle w:val="TableText0"/>
              <w:keepNext w:val="0"/>
              <w:rPr>
                <w:szCs w:val="20"/>
              </w:rPr>
            </w:pPr>
            <w:r>
              <w:rPr>
                <w:szCs w:val="20"/>
              </w:rPr>
              <w:t>NWAU and NEP surgical procedures costs (</w:t>
            </w:r>
            <w:r>
              <w:rPr>
                <w:szCs w:val="20"/>
              </w:rPr>
              <w:fldChar w:fldCharType="begin"/>
            </w:r>
            <w:r>
              <w:rPr>
                <w:szCs w:val="20"/>
              </w:rPr>
              <w:instrText xml:space="preserve"> REF _Ref66978184 \h  \* MERGEFORMAT </w:instrText>
            </w:r>
            <w:r>
              <w:rPr>
                <w:szCs w:val="20"/>
              </w:rPr>
            </w:r>
            <w:r>
              <w:rPr>
                <w:szCs w:val="20"/>
              </w:rPr>
              <w:fldChar w:fldCharType="separate"/>
            </w:r>
            <w:r w:rsidRPr="00BB246A">
              <w:rPr>
                <w:szCs w:val="20"/>
              </w:rPr>
              <w:t>Table 64</w:t>
            </w:r>
            <w:r>
              <w:rPr>
                <w:szCs w:val="20"/>
              </w:rPr>
              <w:fldChar w:fldCharType="end"/>
            </w:r>
            <w:r>
              <w:rPr>
                <w:szCs w:val="20"/>
              </w:rPr>
              <w:t>)</w:t>
            </w:r>
          </w:p>
        </w:tc>
        <w:tc>
          <w:tcPr>
            <w:tcW w:w="650" w:type="pct"/>
            <w:tcBorders>
              <w:top w:val="single" w:sz="4" w:space="0" w:color="auto"/>
              <w:left w:val="single" w:sz="4" w:space="0" w:color="auto"/>
              <w:bottom w:val="single" w:sz="4" w:space="0" w:color="auto"/>
              <w:right w:val="single" w:sz="4" w:space="0" w:color="auto"/>
            </w:tcBorders>
            <w:shd w:val="clear" w:color="auto" w:fill="auto"/>
          </w:tcPr>
          <w:p w14:paraId="31022254" w14:textId="77777777" w:rsidR="005072DF" w:rsidRDefault="005072DF" w:rsidP="00D22060">
            <w:pPr>
              <w:pStyle w:val="TableText0"/>
              <w:keepNext w:val="0"/>
              <w:jc w:val="right"/>
            </w:pPr>
            <w:r>
              <w:t>-$2,379</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9EBAD82" w14:textId="77777777" w:rsidR="005072DF" w:rsidRDefault="005072DF" w:rsidP="00D22060">
            <w:pPr>
              <w:pStyle w:val="TableText0"/>
              <w:keepNext w:val="0"/>
              <w:jc w:val="right"/>
            </w:pPr>
            <w:r>
              <w:t>0.25</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16C2886" w14:textId="77777777" w:rsidR="005072DF" w:rsidRPr="003E1712" w:rsidRDefault="005072DF" w:rsidP="00D22060">
            <w:pPr>
              <w:pStyle w:val="TableText0"/>
              <w:keepNext w:val="0"/>
              <w:jc w:val="right"/>
              <w:rPr>
                <w:highlight w:val="cyan"/>
              </w:rPr>
            </w:pPr>
            <w:r w:rsidRPr="00F70113">
              <w:t>DAC</w:t>
            </w:r>
            <w:r>
              <w:t>+abs</w:t>
            </w:r>
            <w:r w:rsidRPr="00F70113">
              <w:t xml:space="preserve"> is dominant</w:t>
            </w:r>
          </w:p>
        </w:tc>
        <w:tc>
          <w:tcPr>
            <w:tcW w:w="561" w:type="pct"/>
            <w:tcBorders>
              <w:left w:val="single" w:sz="4" w:space="0" w:color="auto"/>
            </w:tcBorders>
            <w:shd w:val="clear" w:color="auto" w:fill="auto"/>
            <w:vAlign w:val="bottom"/>
          </w:tcPr>
          <w:p w14:paraId="4D5B5D6B" w14:textId="77777777" w:rsidR="005072DF" w:rsidRPr="00050D84" w:rsidRDefault="005072DF" w:rsidP="00D22060">
            <w:pPr>
              <w:pStyle w:val="TableText0"/>
              <w:keepNext w:val="0"/>
              <w:jc w:val="right"/>
            </w:pPr>
            <w:r w:rsidRPr="00C4562E">
              <w:rPr>
                <w:bCs/>
                <w:snapToGrid w:val="0"/>
              </w:rPr>
              <w:t>NA</w:t>
            </w:r>
          </w:p>
        </w:tc>
      </w:tr>
    </w:tbl>
    <w:p w14:paraId="1E1A754F" w14:textId="3F789D66" w:rsidR="006B6785" w:rsidRDefault="006B6785" w:rsidP="006B6785">
      <w:pPr>
        <w:pStyle w:val="Tablenotes0"/>
      </w:pPr>
      <w:r>
        <w:t>Source: Table 100, pg 232 of MSAC 1629 DCAR</w:t>
      </w:r>
    </w:p>
    <w:p w14:paraId="513B3AED" w14:textId="77777777" w:rsidR="005072DF" w:rsidRDefault="005072DF" w:rsidP="005072DF">
      <w:pPr>
        <w:pStyle w:val="Tablenotes0"/>
      </w:pPr>
      <w:r>
        <w:t xml:space="preserve">Abbreviations: CI=confidence interval; DAC=Defensive Antibacterial Coating; DAC+abs=Defensive Antibacterial Coating loaded with antibiotics; DAIR=Debridement, antibiotics and implant retention; epTJA=elective primary total joint arthroplasty; </w:t>
      </w:r>
      <w:r w:rsidRPr="00183E4D">
        <w:t>ICER = Incremental Cost Effectiveness Ratio</w:t>
      </w:r>
      <w:r>
        <w:t>; SSI=surgical site infection</w:t>
      </w:r>
    </w:p>
    <w:p w14:paraId="68508045" w14:textId="77777777" w:rsidR="005072DF" w:rsidRPr="00C4562E" w:rsidRDefault="005072DF" w:rsidP="005072DF">
      <w:pPr>
        <w:pStyle w:val="Tablenotes0"/>
      </w:pPr>
      <w:r>
        <w:t xml:space="preserve">Notes: </w:t>
      </w:r>
      <w:r w:rsidRPr="00C4562E">
        <w:t>DAC</w:t>
      </w:r>
      <w:r>
        <w:t>+antibiotics</w:t>
      </w:r>
      <w:r w:rsidRPr="00C4562E">
        <w:t xml:space="preserve"> is dominated by no DAC</w:t>
      </w:r>
      <w:r>
        <w:t>+antibiotics:</w:t>
      </w:r>
      <w:r w:rsidRPr="00C4562E">
        <w:t xml:space="preserve"> surgery with DAC</w:t>
      </w:r>
      <w:r>
        <w:t>+antibiotics</w:t>
      </w:r>
      <w:r w:rsidRPr="00C4562E">
        <w:t xml:space="preserve"> is more costly and less effective than surgery without DAC</w:t>
      </w:r>
      <w:r>
        <w:t xml:space="preserve">+antibiotics; </w:t>
      </w:r>
      <w:r w:rsidRPr="00C4562E">
        <w:t>DAC</w:t>
      </w:r>
      <w:r>
        <w:t>+antibotics</w:t>
      </w:r>
      <w:r w:rsidRPr="00C4562E">
        <w:t xml:space="preserve"> dominates no DAC</w:t>
      </w:r>
      <w:r>
        <w:t>+antibiotics:</w:t>
      </w:r>
      <w:r w:rsidRPr="00C4562E">
        <w:t xml:space="preserve"> surgery with DAC</w:t>
      </w:r>
      <w:r>
        <w:t>+antibiotics</w:t>
      </w:r>
      <w:r w:rsidRPr="00C4562E">
        <w:t xml:space="preserve"> is </w:t>
      </w:r>
      <w:r>
        <w:t>less</w:t>
      </w:r>
      <w:r w:rsidRPr="00C4562E">
        <w:t xml:space="preserve"> costly and </w:t>
      </w:r>
      <w:r>
        <w:t>more</w:t>
      </w:r>
      <w:r w:rsidRPr="00C4562E">
        <w:t xml:space="preserve"> effective than surgery without DAC</w:t>
      </w:r>
      <w:r>
        <w:t>+antibiotics</w:t>
      </w:r>
    </w:p>
    <w:p w14:paraId="7355BFAA" w14:textId="77777777" w:rsidR="005072DF" w:rsidRDefault="005072DF" w:rsidP="005072DF">
      <w:pPr>
        <w:pStyle w:val="Tablenotes0"/>
      </w:pPr>
      <w:r>
        <w:t xml:space="preserve">* </w:t>
      </w:r>
      <w:r w:rsidRPr="00C4562E">
        <w:t>Considerable change in the ICER</w:t>
      </w:r>
    </w:p>
    <w:p w14:paraId="4E7BAB64" w14:textId="30E6FAB4" w:rsidR="00D201BA" w:rsidRPr="00D201BA" w:rsidRDefault="00D201BA" w:rsidP="00607722">
      <w:pPr>
        <w:pStyle w:val="ESNumberedSectionHeading"/>
      </w:pPr>
      <w:bookmarkStart w:id="101" w:name="_Toc72335283"/>
      <w:bookmarkStart w:id="102" w:name="_Toc112076492"/>
      <w:bookmarkStart w:id="103" w:name="_Hlk107408701"/>
      <w:bookmarkStart w:id="104" w:name="_Toc259437725"/>
      <w:bookmarkStart w:id="105" w:name="_Toc50109850"/>
      <w:bookmarkStart w:id="106" w:name="_Toc395200753"/>
      <w:bookmarkStart w:id="107" w:name="_Toc59114071"/>
      <w:bookmarkStart w:id="108" w:name="_Ref73604972"/>
      <w:r w:rsidRPr="00D201BA">
        <w:t>1</w:t>
      </w:r>
      <w:r w:rsidR="00681B6B">
        <w:t>4</w:t>
      </w:r>
      <w:r w:rsidRPr="00D201BA">
        <w:t>.</w:t>
      </w:r>
      <w:r w:rsidRPr="00D201BA">
        <w:tab/>
        <w:t>Financial/budgetary impacts</w:t>
      </w:r>
      <w:bookmarkEnd w:id="101"/>
      <w:bookmarkEnd w:id="102"/>
    </w:p>
    <w:bookmarkEnd w:id="3"/>
    <w:bookmarkEnd w:id="4"/>
    <w:bookmarkEnd w:id="103"/>
    <w:bookmarkEnd w:id="104"/>
    <w:bookmarkEnd w:id="105"/>
    <w:bookmarkEnd w:id="106"/>
    <w:bookmarkEnd w:id="107"/>
    <w:bookmarkEnd w:id="108"/>
    <w:p w14:paraId="13470276" w14:textId="6C3F0F6D" w:rsidR="00066A6C" w:rsidRPr="00D201BA" w:rsidRDefault="00066A6C" w:rsidP="00607722">
      <w:pPr>
        <w:pStyle w:val="Execsummnormal"/>
      </w:pPr>
      <w:r w:rsidRPr="00D201BA">
        <w:t>The PICO</w:t>
      </w:r>
      <w:r w:rsidR="00F10B1F">
        <w:t xml:space="preserve"> Confirmation for MSAC 1629</w:t>
      </w:r>
      <w:r w:rsidRPr="00D201BA">
        <w:t xml:space="preserve"> indicated that the infection rate for Population 1 would be approximately 1% for all patients with total joint replacement, especially total hip and knee joint replacements. It also considered that the primary population size could be further defined by the Australian Orthopaedic Association National Joint Replacement Registry (AOANJRR). </w:t>
      </w:r>
    </w:p>
    <w:p w14:paraId="2636281C" w14:textId="5EA1A9FB" w:rsidR="00066A6C" w:rsidRPr="00D201BA" w:rsidRDefault="00066A6C" w:rsidP="00A94954">
      <w:pPr>
        <w:pStyle w:val="Execsummnormal"/>
      </w:pPr>
      <w:r w:rsidRPr="00D201BA">
        <w:t xml:space="preserve">A mixed approach (market share approach: Populations 1, 2 and 4, epidemiological approach: Population 3) was adopted for the budget impact analysis. </w:t>
      </w:r>
    </w:p>
    <w:p w14:paraId="06AD7957" w14:textId="7636EEC9" w:rsidR="00066A6C" w:rsidRPr="00D201BA" w:rsidRDefault="00066A6C" w:rsidP="00A94954">
      <w:pPr>
        <w:pStyle w:val="Execsummnormal"/>
      </w:pPr>
      <w:r w:rsidRPr="00D201BA">
        <w:t>The number of patients eligible to receive DAC</w:t>
      </w:r>
      <w:r w:rsidR="006B444C">
        <w:t>+antibiotics</w:t>
      </w:r>
      <w:r w:rsidRPr="00D201BA">
        <w:t xml:space="preserve"> in Australia, including those not using DAC</w:t>
      </w:r>
      <w:r w:rsidR="006B444C">
        <w:t>+antibiotics</w:t>
      </w:r>
      <w:r w:rsidRPr="00D201BA">
        <w:t>, is uncertain. Similarly, data relating to the uptake rates of DAC</w:t>
      </w:r>
      <w:r w:rsidR="006B444C">
        <w:t>+antibiotics</w:t>
      </w:r>
      <w:r w:rsidRPr="00D201BA">
        <w:t xml:space="preserve"> are also not available. It was assumed that there would be a 50% uptake rate at the base case. However, since this rate was highly uncertain, sensitivity analyses were conducted assuming varying uptake proportions.</w:t>
      </w:r>
    </w:p>
    <w:p w14:paraId="4814B6CD" w14:textId="06677417" w:rsidR="00066A6C" w:rsidRPr="00D201BA" w:rsidRDefault="00066A6C" w:rsidP="00FC3571">
      <w:pPr>
        <w:pStyle w:val="Execsummnormal"/>
      </w:pPr>
      <w:r w:rsidRPr="00D201BA">
        <w:t xml:space="preserve">The current assessment is only relevant to private patients as, if PLAC approves a device for listing, private health insurers must pay for it when used in association with an MBS procedure in a hospital on a privately insured patient. The private patients without appropriate hospital cover will be required to pay the cost of the treatment themselves. The proportion of private patients for each subpopulation was estimated based on the AOANJRR annual report 2020. The average number of DAC 5mL kits required per surgical procedure was estimated separately for each population by modelling the distribution function of the DAC volume across patients. On average, each surgical procedure was estimated to require </w:t>
      </w:r>
      <w:r w:rsidR="00CA1410">
        <w:rPr>
          <w:b/>
          <w:bCs/>
        </w:rPr>
        <w:t>redacted</w:t>
      </w:r>
      <w:r w:rsidRPr="00D201BA">
        <w:t xml:space="preserve">, </w:t>
      </w:r>
      <w:r w:rsidR="00CA1410">
        <w:rPr>
          <w:b/>
          <w:bCs/>
        </w:rPr>
        <w:t>redacted</w:t>
      </w:r>
      <w:r w:rsidRPr="00D201BA">
        <w:t xml:space="preserve">, </w:t>
      </w:r>
      <w:r w:rsidR="00CA1410">
        <w:rPr>
          <w:b/>
          <w:bCs/>
        </w:rPr>
        <w:t>redacted</w:t>
      </w:r>
      <w:r w:rsidRPr="00D201BA">
        <w:t xml:space="preserve"> and </w:t>
      </w:r>
      <w:r w:rsidR="00CA1410">
        <w:rPr>
          <w:b/>
          <w:bCs/>
        </w:rPr>
        <w:t>redacted</w:t>
      </w:r>
      <w:r w:rsidRPr="00D201BA">
        <w:t xml:space="preserve"> DAC 5mL kits for Populations 1, 2, 3 and 4, respectively.</w:t>
      </w:r>
    </w:p>
    <w:p w14:paraId="15F6BB98" w14:textId="0F6AC8D7" w:rsidR="00066A6C" w:rsidRPr="00D201BA" w:rsidRDefault="00066A6C" w:rsidP="00FC3571">
      <w:pPr>
        <w:pStyle w:val="Execsummnormal"/>
      </w:pPr>
      <w:r w:rsidRPr="00D201BA">
        <w:t>Since the DAC</w:t>
      </w:r>
      <w:r w:rsidR="006B444C">
        <w:t>+antibiotics</w:t>
      </w:r>
      <w:r w:rsidRPr="00D201BA">
        <w:t xml:space="preserve"> is to be used in conjunction with the existing MBS items, the DAC</w:t>
      </w:r>
      <w:r w:rsidR="006B444C">
        <w:t>+antibiotic</w:t>
      </w:r>
      <w:r w:rsidRPr="00D201BA">
        <w:t xml:space="preserve"> hydrogel has no separate financial implications for the MBS. The total financial implication to the MBS was due to the extra time required to prepare and apply the DAC (anaesthesia). The cost to the PBS was primarily due to the use of antibiotics when loading the DAC hydrogel.</w:t>
      </w:r>
    </w:p>
    <w:p w14:paraId="6E2B4225" w14:textId="77777777" w:rsidR="00066A6C" w:rsidRPr="00D201BA" w:rsidRDefault="00066A6C" w:rsidP="00FC3571">
      <w:pPr>
        <w:pStyle w:val="ExecSummHeading3"/>
      </w:pPr>
      <w:bookmarkStart w:id="109" w:name="_Toc112076493"/>
      <w:r w:rsidRPr="00D201BA">
        <w:lastRenderedPageBreak/>
        <w:t>Population 1</w:t>
      </w:r>
      <w:bookmarkEnd w:id="109"/>
    </w:p>
    <w:p w14:paraId="0C956611" w14:textId="77777777" w:rsidR="00066A6C" w:rsidRPr="00D201BA" w:rsidRDefault="00066A6C" w:rsidP="00FC3571">
      <w:pPr>
        <w:pStyle w:val="Execsummnormal"/>
      </w:pPr>
      <w:r w:rsidRPr="00D201BA">
        <w:t>Population 1 included patients undergoing an elective primary joint implant at increased risk of infection due to the presence of comorbidities (ASA score ≥ 3; and BMI &gt; 30; and cementless components). Due to a lack of data for other joints, this assessment report focused on only hip and knee joints.</w:t>
      </w:r>
    </w:p>
    <w:p w14:paraId="5A794329" w14:textId="77777777" w:rsidR="00066A6C" w:rsidRPr="00D201BA" w:rsidRDefault="00066A6C" w:rsidP="00761439">
      <w:pPr>
        <w:pStyle w:val="ExecSummheading4"/>
      </w:pPr>
      <w:r w:rsidRPr="00D201BA">
        <w:t>Population 1 (hip)</w:t>
      </w:r>
    </w:p>
    <w:p w14:paraId="661F5B8C" w14:textId="49E4BC5C" w:rsidR="00066A6C" w:rsidRPr="00D201BA" w:rsidRDefault="00066A6C" w:rsidP="00761439">
      <w:pPr>
        <w:pStyle w:val="Execsummnormal"/>
      </w:pPr>
      <w:r w:rsidRPr="00D201BA">
        <w:t>The estimated cost to private health insurance was $</w:t>
      </w:r>
      <w:r w:rsidR="00CA1410">
        <w:rPr>
          <w:b/>
          <w:bCs/>
        </w:rPr>
        <w:t>redacted</w:t>
      </w:r>
      <w:r w:rsidRPr="00D201BA">
        <w:t xml:space="preserve"> in</w:t>
      </w:r>
      <w:r w:rsidR="006D4F60">
        <w:t xml:space="preserve"> </w:t>
      </w:r>
      <w:r w:rsidR="006B444C">
        <w:t>Year 1</w:t>
      </w:r>
      <w:r w:rsidRPr="00D201BA">
        <w:t xml:space="preserve"> and is expected to remain approximately steady </w:t>
      </w:r>
      <w:r w:rsidR="003B7856" w:rsidRPr="00D201BA">
        <w:t xml:space="preserve">until </w:t>
      </w:r>
      <w:r w:rsidR="006B444C">
        <w:t>Year 5</w:t>
      </w:r>
      <w:r w:rsidRPr="00D201BA">
        <w:t>, with a total cost of $</w:t>
      </w:r>
      <w:r w:rsidR="00CA1410">
        <w:rPr>
          <w:b/>
          <w:bCs/>
        </w:rPr>
        <w:t>redacted</w:t>
      </w:r>
      <w:r w:rsidRPr="00D201BA">
        <w:t xml:space="preserve"> over five years.</w:t>
      </w:r>
    </w:p>
    <w:p w14:paraId="5C07FD3F" w14:textId="3B6593FA" w:rsidR="00066A6C" w:rsidRPr="00D201BA" w:rsidRDefault="00066A6C" w:rsidP="000A4AD3">
      <w:pPr>
        <w:pStyle w:val="Execsummnormal"/>
      </w:pPr>
      <w:r w:rsidRPr="00D201BA">
        <w:t>The financial implication to the MBS was $75,000 in</w:t>
      </w:r>
      <w:r w:rsidR="006D4F60">
        <w:t xml:space="preserve"> </w:t>
      </w:r>
      <w:r w:rsidR="006B444C">
        <w:t>Year 1</w:t>
      </w:r>
      <w:r w:rsidRPr="00D201BA">
        <w:t xml:space="preserve">, which remained approximately steady until </w:t>
      </w:r>
      <w:r w:rsidR="006B444C">
        <w:t>Year 5</w:t>
      </w:r>
      <w:r w:rsidRPr="00D201BA">
        <w:t>. The total financial implication to the MBS was estimated to be $390,000 (</w:t>
      </w:r>
      <w:r w:rsidRPr="00D201BA">
        <w:fldChar w:fldCharType="begin"/>
      </w:r>
      <w:r w:rsidRPr="00D201BA">
        <w:instrText xml:space="preserve"> REF _Ref71701435 \h </w:instrText>
      </w:r>
      <w:r w:rsidR="00D201BA">
        <w:instrText xml:space="preserve"> \* MERGEFORMAT </w:instrText>
      </w:r>
      <w:r w:rsidRPr="00D201BA">
        <w:fldChar w:fldCharType="separate"/>
      </w:r>
      <w:r w:rsidR="000E6255">
        <w:t xml:space="preserve">Table </w:t>
      </w:r>
      <w:r w:rsidR="000E6255">
        <w:rPr>
          <w:noProof/>
        </w:rPr>
        <w:t>12</w:t>
      </w:r>
      <w:r w:rsidRPr="00D201BA">
        <w:fldChar w:fldCharType="end"/>
      </w:r>
      <w:r w:rsidRPr="00D201BA">
        <w:t>).</w:t>
      </w:r>
    </w:p>
    <w:p w14:paraId="398B4F9A" w14:textId="6923DA0A" w:rsidR="00066A6C" w:rsidRDefault="00066A6C" w:rsidP="00E50C67">
      <w:pPr>
        <w:pStyle w:val="Caption"/>
      </w:pPr>
      <w:bookmarkStart w:id="110" w:name="_Ref71701435"/>
      <w:bookmarkStart w:id="111" w:name="_Toc71718459"/>
      <w:bookmarkStart w:id="112" w:name="_Toc112076628"/>
      <w:r>
        <w:t xml:space="preserve">Table </w:t>
      </w:r>
      <w:r w:rsidR="00000000">
        <w:fldChar w:fldCharType="begin"/>
      </w:r>
      <w:r w:rsidR="00000000">
        <w:instrText xml:space="preserve"> SEQ Table \* ARABIC </w:instrText>
      </w:r>
      <w:r w:rsidR="00000000">
        <w:fldChar w:fldCharType="separate"/>
      </w:r>
      <w:r w:rsidR="000E6255">
        <w:rPr>
          <w:noProof/>
        </w:rPr>
        <w:t>12</w:t>
      </w:r>
      <w:r w:rsidR="00000000">
        <w:rPr>
          <w:noProof/>
        </w:rPr>
        <w:fldChar w:fldCharType="end"/>
      </w:r>
      <w:bookmarkEnd w:id="110"/>
      <w:r w:rsidR="00761439">
        <w:rPr>
          <w:noProof/>
        </w:rPr>
        <w:t xml:space="preserve"> </w:t>
      </w:r>
      <w:r>
        <w:t>Estimated number of Population 1 (hip) that are likely to receive the DAC</w:t>
      </w:r>
      <w:r w:rsidR="006B444C">
        <w:t>+antibiotics</w:t>
      </w:r>
      <w:r>
        <w:t xml:space="preserve"> and the total financial implication to the private health insurance, MBS, PBS, and the Government</w:t>
      </w:r>
      <w:bookmarkEnd w:id="111"/>
      <w:bookmarkEnd w:id="112"/>
      <w:r>
        <w:t xml:space="preserve"> </w:t>
      </w:r>
    </w:p>
    <w:tbl>
      <w:tblPr>
        <w:tblStyle w:val="TableGrid"/>
        <w:tblW w:w="8783" w:type="dxa"/>
        <w:tblLayout w:type="fixed"/>
        <w:tblCellMar>
          <w:left w:w="28" w:type="dxa"/>
          <w:right w:w="28" w:type="dxa"/>
        </w:tblCellMar>
        <w:tblLook w:val="04A0" w:firstRow="1" w:lastRow="0" w:firstColumn="1" w:lastColumn="0" w:noHBand="0" w:noVBand="1"/>
        <w:tblCaption w:val="Estimated number of Population 1 (hip) that are likely to receive the DAC and the total financial implication to the private health insurance, MBS, PBS, and the Government "/>
        <w:tblDescription w:val="This table includes the stimated number of Population 1 (hip)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830"/>
        <w:gridCol w:w="992"/>
        <w:gridCol w:w="992"/>
        <w:gridCol w:w="993"/>
        <w:gridCol w:w="992"/>
        <w:gridCol w:w="992"/>
        <w:gridCol w:w="992"/>
      </w:tblGrid>
      <w:tr w:rsidR="002A6DEE" w14:paraId="62E82F54" w14:textId="77777777" w:rsidTr="00450F52">
        <w:tc>
          <w:tcPr>
            <w:tcW w:w="2830" w:type="dxa"/>
            <w:tcBorders>
              <w:top w:val="single" w:sz="4" w:space="0" w:color="auto"/>
              <w:left w:val="single" w:sz="4" w:space="0" w:color="auto"/>
              <w:bottom w:val="single" w:sz="4" w:space="0" w:color="auto"/>
              <w:right w:val="single" w:sz="4" w:space="0" w:color="auto"/>
            </w:tcBorders>
            <w:vAlign w:val="center"/>
            <w:hideMark/>
          </w:tcPr>
          <w:p w14:paraId="794B6DED"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992" w:type="dxa"/>
            <w:tcBorders>
              <w:top w:val="single" w:sz="4" w:space="0" w:color="auto"/>
              <w:left w:val="single" w:sz="4" w:space="0" w:color="auto"/>
              <w:bottom w:val="single" w:sz="4" w:space="0" w:color="auto"/>
              <w:right w:val="single" w:sz="4" w:space="0" w:color="auto"/>
            </w:tcBorders>
            <w:hideMark/>
          </w:tcPr>
          <w:p w14:paraId="5DC51941"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1</w:t>
            </w:r>
          </w:p>
        </w:tc>
        <w:tc>
          <w:tcPr>
            <w:tcW w:w="992" w:type="dxa"/>
            <w:tcBorders>
              <w:top w:val="single" w:sz="4" w:space="0" w:color="auto"/>
              <w:left w:val="single" w:sz="4" w:space="0" w:color="auto"/>
              <w:bottom w:val="single" w:sz="4" w:space="0" w:color="auto"/>
              <w:right w:val="single" w:sz="4" w:space="0" w:color="auto"/>
            </w:tcBorders>
            <w:hideMark/>
          </w:tcPr>
          <w:p w14:paraId="6D66ABB3"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993" w:type="dxa"/>
            <w:tcBorders>
              <w:top w:val="single" w:sz="4" w:space="0" w:color="auto"/>
              <w:left w:val="single" w:sz="4" w:space="0" w:color="auto"/>
              <w:bottom w:val="single" w:sz="4" w:space="0" w:color="auto"/>
              <w:right w:val="single" w:sz="4" w:space="0" w:color="auto"/>
            </w:tcBorders>
            <w:hideMark/>
          </w:tcPr>
          <w:p w14:paraId="16D5F11C"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3</w:t>
            </w:r>
          </w:p>
        </w:tc>
        <w:tc>
          <w:tcPr>
            <w:tcW w:w="992" w:type="dxa"/>
            <w:tcBorders>
              <w:top w:val="single" w:sz="4" w:space="0" w:color="auto"/>
              <w:left w:val="single" w:sz="4" w:space="0" w:color="auto"/>
              <w:bottom w:val="single" w:sz="4" w:space="0" w:color="auto"/>
              <w:right w:val="single" w:sz="4" w:space="0" w:color="auto"/>
            </w:tcBorders>
            <w:hideMark/>
          </w:tcPr>
          <w:p w14:paraId="288F750C"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4</w:t>
            </w:r>
          </w:p>
        </w:tc>
        <w:tc>
          <w:tcPr>
            <w:tcW w:w="992" w:type="dxa"/>
            <w:tcBorders>
              <w:top w:val="single" w:sz="4" w:space="0" w:color="auto"/>
              <w:left w:val="single" w:sz="4" w:space="0" w:color="auto"/>
              <w:bottom w:val="single" w:sz="4" w:space="0" w:color="auto"/>
              <w:right w:val="single" w:sz="4" w:space="0" w:color="auto"/>
            </w:tcBorders>
            <w:hideMark/>
          </w:tcPr>
          <w:p w14:paraId="228A17D7"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5</w:t>
            </w:r>
          </w:p>
        </w:tc>
        <w:tc>
          <w:tcPr>
            <w:tcW w:w="992" w:type="dxa"/>
            <w:tcBorders>
              <w:top w:val="single" w:sz="4" w:space="0" w:color="auto"/>
              <w:left w:val="single" w:sz="4" w:space="0" w:color="auto"/>
              <w:bottom w:val="single" w:sz="4" w:space="0" w:color="auto"/>
              <w:right w:val="single" w:sz="4" w:space="0" w:color="auto"/>
            </w:tcBorders>
            <w:hideMark/>
          </w:tcPr>
          <w:p w14:paraId="26C15BB6"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2A6DEE" w14:paraId="77D018E5" w14:textId="77777777" w:rsidTr="00450F52">
        <w:tc>
          <w:tcPr>
            <w:tcW w:w="2830" w:type="dxa"/>
            <w:tcBorders>
              <w:top w:val="single" w:sz="4" w:space="0" w:color="auto"/>
              <w:left w:val="single" w:sz="4" w:space="0" w:color="auto"/>
              <w:bottom w:val="single" w:sz="4" w:space="0" w:color="auto"/>
              <w:right w:val="single" w:sz="4" w:space="0" w:color="auto"/>
            </w:tcBorders>
            <w:vAlign w:val="center"/>
            <w:hideMark/>
          </w:tcPr>
          <w:p w14:paraId="006C9E09" w14:textId="77777777" w:rsidR="00761439" w:rsidRDefault="00761439" w:rsidP="00D22060">
            <w:pPr>
              <w:pStyle w:val="Tabletext1"/>
              <w:spacing w:before="0" w:after="0"/>
              <w:ind w:left="34"/>
            </w:pPr>
            <w:r>
              <w:t>Eligible population size</w:t>
            </w:r>
          </w:p>
        </w:tc>
        <w:tc>
          <w:tcPr>
            <w:tcW w:w="992" w:type="dxa"/>
            <w:tcBorders>
              <w:top w:val="single" w:sz="4" w:space="0" w:color="auto"/>
              <w:left w:val="single" w:sz="4" w:space="0" w:color="auto"/>
              <w:bottom w:val="single" w:sz="4" w:space="0" w:color="auto"/>
              <w:right w:val="single" w:sz="4" w:space="0" w:color="auto"/>
            </w:tcBorders>
            <w:hideMark/>
          </w:tcPr>
          <w:p w14:paraId="61F75DB0" w14:textId="136A70EB"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69D21F66" w14:textId="757AAB8E" w:rsidR="00761439" w:rsidRDefault="00CA1410" w:rsidP="00D22060">
            <w:pPr>
              <w:pStyle w:val="Tabletext1"/>
              <w:spacing w:before="0" w:after="0"/>
              <w:ind w:left="34"/>
            </w:pPr>
            <w:r>
              <w:rPr>
                <w:b/>
                <w:bCs/>
              </w:rPr>
              <w:t>redacted</w:t>
            </w:r>
          </w:p>
        </w:tc>
        <w:tc>
          <w:tcPr>
            <w:tcW w:w="993" w:type="dxa"/>
            <w:tcBorders>
              <w:top w:val="single" w:sz="4" w:space="0" w:color="auto"/>
              <w:left w:val="single" w:sz="4" w:space="0" w:color="auto"/>
              <w:bottom w:val="single" w:sz="4" w:space="0" w:color="auto"/>
              <w:right w:val="single" w:sz="4" w:space="0" w:color="auto"/>
            </w:tcBorders>
            <w:hideMark/>
          </w:tcPr>
          <w:p w14:paraId="3D0B7807" w14:textId="7E144BA9"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7C087490" w14:textId="6BA793F1"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6B6CB836" w14:textId="16E38701"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44E3F238" w14:textId="31BEEDFB" w:rsidR="00761439" w:rsidRDefault="00CA1410" w:rsidP="00D22060">
            <w:pPr>
              <w:pStyle w:val="Tabletext1"/>
              <w:spacing w:before="0" w:after="0"/>
              <w:ind w:left="34"/>
            </w:pPr>
            <w:r>
              <w:rPr>
                <w:b/>
                <w:bCs/>
              </w:rPr>
              <w:t>redacted</w:t>
            </w:r>
          </w:p>
        </w:tc>
      </w:tr>
      <w:tr w:rsidR="002A6DEE" w14:paraId="22A163BD" w14:textId="77777777" w:rsidTr="00450F52">
        <w:tc>
          <w:tcPr>
            <w:tcW w:w="2830" w:type="dxa"/>
            <w:tcBorders>
              <w:top w:val="single" w:sz="4" w:space="0" w:color="auto"/>
              <w:left w:val="single" w:sz="4" w:space="0" w:color="auto"/>
              <w:bottom w:val="single" w:sz="4" w:space="0" w:color="auto"/>
              <w:right w:val="single" w:sz="4" w:space="0" w:color="auto"/>
            </w:tcBorders>
            <w:hideMark/>
          </w:tcPr>
          <w:p w14:paraId="0557FF22" w14:textId="77777777" w:rsidR="00761439" w:rsidRPr="00E452CF" w:rsidRDefault="00761439" w:rsidP="00D22060">
            <w:pPr>
              <w:pStyle w:val="Tabletext1"/>
              <w:spacing w:before="0" w:after="0"/>
              <w:ind w:left="34"/>
              <w:rPr>
                <w:vertAlign w:val="superscript"/>
              </w:rPr>
            </w:pPr>
            <w:r>
              <w:t>Number of patients eligible in private setting (60.21%)</w:t>
            </w:r>
            <w:r>
              <w:rPr>
                <w:vertAlign w:val="superscript"/>
              </w:rPr>
              <w:t>a</w:t>
            </w:r>
          </w:p>
        </w:tc>
        <w:tc>
          <w:tcPr>
            <w:tcW w:w="992" w:type="dxa"/>
            <w:tcBorders>
              <w:top w:val="single" w:sz="4" w:space="0" w:color="auto"/>
              <w:left w:val="single" w:sz="4" w:space="0" w:color="auto"/>
              <w:bottom w:val="single" w:sz="4" w:space="0" w:color="auto"/>
              <w:right w:val="single" w:sz="4" w:space="0" w:color="auto"/>
            </w:tcBorders>
            <w:hideMark/>
          </w:tcPr>
          <w:p w14:paraId="1BE36B3C" w14:textId="5667CEF0"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7E9592E4" w14:textId="677AADD8" w:rsidR="00761439" w:rsidRDefault="00CA1410" w:rsidP="00D22060">
            <w:pPr>
              <w:pStyle w:val="Tabletext1"/>
              <w:spacing w:before="0" w:after="0"/>
              <w:ind w:left="34"/>
            </w:pPr>
            <w:r>
              <w:rPr>
                <w:b/>
                <w:bCs/>
              </w:rPr>
              <w:t>redacted</w:t>
            </w:r>
          </w:p>
        </w:tc>
        <w:tc>
          <w:tcPr>
            <w:tcW w:w="993" w:type="dxa"/>
            <w:tcBorders>
              <w:top w:val="single" w:sz="4" w:space="0" w:color="auto"/>
              <w:left w:val="single" w:sz="4" w:space="0" w:color="auto"/>
              <w:bottom w:val="single" w:sz="4" w:space="0" w:color="auto"/>
              <w:right w:val="single" w:sz="4" w:space="0" w:color="auto"/>
            </w:tcBorders>
            <w:hideMark/>
          </w:tcPr>
          <w:p w14:paraId="4B313A93" w14:textId="686C1D72"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3AA0FC15" w14:textId="16B2806C"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4CF393EF" w14:textId="58F57930"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377F1DA7" w14:textId="5C370AFD" w:rsidR="00761439" w:rsidRDefault="00CA1410" w:rsidP="00D22060">
            <w:pPr>
              <w:pStyle w:val="Tabletext1"/>
              <w:spacing w:before="0" w:after="0"/>
              <w:ind w:left="34"/>
            </w:pPr>
            <w:r>
              <w:rPr>
                <w:b/>
                <w:bCs/>
              </w:rPr>
              <w:t>redacted</w:t>
            </w:r>
          </w:p>
        </w:tc>
      </w:tr>
      <w:tr w:rsidR="002A6DEE" w14:paraId="6D1B1AA3" w14:textId="77777777" w:rsidTr="00450F52">
        <w:tc>
          <w:tcPr>
            <w:tcW w:w="2830" w:type="dxa"/>
            <w:tcBorders>
              <w:top w:val="single" w:sz="4" w:space="0" w:color="auto"/>
              <w:left w:val="single" w:sz="4" w:space="0" w:color="auto"/>
              <w:bottom w:val="single" w:sz="4" w:space="0" w:color="auto"/>
              <w:right w:val="single" w:sz="4" w:space="0" w:color="auto"/>
            </w:tcBorders>
            <w:hideMark/>
          </w:tcPr>
          <w:p w14:paraId="247C1BDC" w14:textId="77777777" w:rsidR="00761439" w:rsidRPr="00E452CF" w:rsidRDefault="00761439" w:rsidP="00D22060">
            <w:pPr>
              <w:pStyle w:val="Tabletext1"/>
              <w:spacing w:before="0" w:after="0"/>
              <w:ind w:left="34"/>
              <w:rPr>
                <w:vertAlign w:val="superscript"/>
              </w:rPr>
            </w:pPr>
            <w:r>
              <w:t>Assumed uptake of DAC+abs (assumed 50% in base case)</w:t>
            </w:r>
          </w:p>
        </w:tc>
        <w:tc>
          <w:tcPr>
            <w:tcW w:w="992" w:type="dxa"/>
            <w:tcBorders>
              <w:top w:val="single" w:sz="4" w:space="0" w:color="auto"/>
              <w:left w:val="single" w:sz="4" w:space="0" w:color="auto"/>
              <w:bottom w:val="single" w:sz="4" w:space="0" w:color="auto"/>
              <w:right w:val="single" w:sz="4" w:space="0" w:color="auto"/>
            </w:tcBorders>
            <w:hideMark/>
          </w:tcPr>
          <w:p w14:paraId="4845845D" w14:textId="39F45959"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2DF3BB87" w14:textId="6E148EFC" w:rsidR="00761439" w:rsidRDefault="00CA1410" w:rsidP="00D22060">
            <w:pPr>
              <w:pStyle w:val="Tabletext1"/>
              <w:spacing w:before="0" w:after="0"/>
              <w:ind w:left="34"/>
            </w:pPr>
            <w:r>
              <w:rPr>
                <w:b/>
                <w:bCs/>
              </w:rPr>
              <w:t>redacted</w:t>
            </w:r>
          </w:p>
        </w:tc>
        <w:tc>
          <w:tcPr>
            <w:tcW w:w="993" w:type="dxa"/>
            <w:tcBorders>
              <w:top w:val="single" w:sz="4" w:space="0" w:color="auto"/>
              <w:left w:val="single" w:sz="4" w:space="0" w:color="auto"/>
              <w:bottom w:val="single" w:sz="4" w:space="0" w:color="auto"/>
              <w:right w:val="single" w:sz="4" w:space="0" w:color="auto"/>
            </w:tcBorders>
            <w:hideMark/>
          </w:tcPr>
          <w:p w14:paraId="7A6DF86A" w14:textId="25BE49B7"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67DFFA8F" w14:textId="101EC82D"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169C2A20" w14:textId="07F21FE5" w:rsidR="00761439" w:rsidRDefault="00CA1410" w:rsidP="00D22060">
            <w:pPr>
              <w:pStyle w:val="Tabletext1"/>
              <w:spacing w:before="0" w:after="0"/>
              <w:ind w:left="34"/>
            </w:pPr>
            <w:r>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0008CFDE" w14:textId="6EBE5AD9" w:rsidR="00761439" w:rsidRDefault="00CA1410" w:rsidP="00D22060">
            <w:pPr>
              <w:pStyle w:val="Tabletext1"/>
              <w:spacing w:before="0" w:after="0"/>
              <w:ind w:left="34"/>
            </w:pPr>
            <w:r>
              <w:rPr>
                <w:b/>
                <w:bCs/>
              </w:rPr>
              <w:t>redacted</w:t>
            </w:r>
          </w:p>
        </w:tc>
      </w:tr>
      <w:tr w:rsidR="002A6DEE" w14:paraId="5DB88472" w14:textId="77777777" w:rsidTr="00450F52">
        <w:tc>
          <w:tcPr>
            <w:tcW w:w="2830" w:type="dxa"/>
            <w:tcBorders>
              <w:top w:val="single" w:sz="4" w:space="0" w:color="auto"/>
              <w:left w:val="single" w:sz="4" w:space="0" w:color="auto"/>
              <w:bottom w:val="single" w:sz="4" w:space="0" w:color="auto"/>
              <w:right w:val="single" w:sz="4" w:space="0" w:color="auto"/>
            </w:tcBorders>
            <w:hideMark/>
          </w:tcPr>
          <w:p w14:paraId="43D9D8C0" w14:textId="77777777" w:rsidR="00761439" w:rsidRDefault="00761439" w:rsidP="00D22060">
            <w:pPr>
              <w:pStyle w:val="Tabletext1"/>
              <w:spacing w:before="0" w:after="0"/>
              <w:ind w:left="34"/>
            </w:pPr>
            <w:r>
              <w:t>Cost to private health insurance</w:t>
            </w:r>
            <w:r w:rsidRPr="00E452CF">
              <w:rPr>
                <w:vertAlign w:val="superscript"/>
              </w:rPr>
              <w:t>b</w:t>
            </w:r>
          </w:p>
        </w:tc>
        <w:tc>
          <w:tcPr>
            <w:tcW w:w="992" w:type="dxa"/>
            <w:tcBorders>
              <w:top w:val="single" w:sz="4" w:space="0" w:color="auto"/>
              <w:left w:val="single" w:sz="4" w:space="0" w:color="auto"/>
              <w:bottom w:val="single" w:sz="4" w:space="0" w:color="auto"/>
              <w:right w:val="single" w:sz="4" w:space="0" w:color="auto"/>
            </w:tcBorders>
            <w:hideMark/>
          </w:tcPr>
          <w:p w14:paraId="175D16D8" w14:textId="67AAA6B9" w:rsidR="00761439" w:rsidRDefault="00761439" w:rsidP="00D22060">
            <w:pPr>
              <w:pStyle w:val="Tabletext1"/>
              <w:spacing w:before="0" w:after="0"/>
              <w:ind w:left="34"/>
            </w:pPr>
            <w:r>
              <w:t>$</w:t>
            </w:r>
            <w:r w:rsidR="00CA1410">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69420ED2" w14:textId="18CAF80D" w:rsidR="00761439" w:rsidRDefault="00761439" w:rsidP="00D22060">
            <w:pPr>
              <w:pStyle w:val="Tabletext1"/>
              <w:spacing w:before="0" w:after="0"/>
              <w:ind w:left="34"/>
            </w:pPr>
            <w:r>
              <w:t>$</w:t>
            </w:r>
            <w:r w:rsidR="00CA1410">
              <w:rPr>
                <w:b/>
                <w:bCs/>
              </w:rPr>
              <w:t>redacted</w:t>
            </w:r>
          </w:p>
        </w:tc>
        <w:tc>
          <w:tcPr>
            <w:tcW w:w="993" w:type="dxa"/>
            <w:tcBorders>
              <w:top w:val="single" w:sz="4" w:space="0" w:color="auto"/>
              <w:left w:val="single" w:sz="4" w:space="0" w:color="auto"/>
              <w:bottom w:val="single" w:sz="4" w:space="0" w:color="auto"/>
              <w:right w:val="single" w:sz="4" w:space="0" w:color="auto"/>
            </w:tcBorders>
            <w:hideMark/>
          </w:tcPr>
          <w:p w14:paraId="263F6A87" w14:textId="3D9AD354" w:rsidR="00761439" w:rsidRDefault="00761439" w:rsidP="00D22060">
            <w:pPr>
              <w:pStyle w:val="Tabletext1"/>
              <w:spacing w:before="0" w:after="0"/>
              <w:ind w:left="34"/>
            </w:pPr>
            <w:r>
              <w:t>$</w:t>
            </w:r>
            <w:r w:rsidR="00CA1410">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69E68785" w14:textId="77AA17BA" w:rsidR="00761439" w:rsidRDefault="00761439" w:rsidP="00D22060">
            <w:pPr>
              <w:pStyle w:val="Tabletext1"/>
              <w:spacing w:before="0" w:after="0"/>
              <w:ind w:left="34"/>
            </w:pPr>
            <w:r>
              <w:t>$</w:t>
            </w:r>
            <w:r w:rsidR="00CA1410">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4BE9E849" w14:textId="535D2F15" w:rsidR="00761439" w:rsidRDefault="00761439" w:rsidP="00D22060">
            <w:pPr>
              <w:pStyle w:val="Tabletext1"/>
              <w:spacing w:before="0" w:after="0"/>
              <w:ind w:left="34"/>
            </w:pPr>
            <w:r>
              <w:t>$</w:t>
            </w:r>
            <w:r w:rsidR="00CA1410">
              <w:rPr>
                <w:b/>
                <w:bCs/>
              </w:rPr>
              <w:t>redacted</w:t>
            </w:r>
          </w:p>
        </w:tc>
        <w:tc>
          <w:tcPr>
            <w:tcW w:w="992" w:type="dxa"/>
            <w:tcBorders>
              <w:top w:val="single" w:sz="4" w:space="0" w:color="auto"/>
              <w:left w:val="single" w:sz="4" w:space="0" w:color="auto"/>
              <w:bottom w:val="single" w:sz="4" w:space="0" w:color="auto"/>
              <w:right w:val="single" w:sz="4" w:space="0" w:color="auto"/>
            </w:tcBorders>
            <w:hideMark/>
          </w:tcPr>
          <w:p w14:paraId="678112BB" w14:textId="38E423DA" w:rsidR="00761439" w:rsidRDefault="00761439" w:rsidP="00D22060">
            <w:pPr>
              <w:pStyle w:val="Tabletext1"/>
              <w:spacing w:before="0" w:after="0"/>
              <w:ind w:left="34"/>
            </w:pPr>
            <w:r>
              <w:t>$</w:t>
            </w:r>
            <w:r w:rsidR="00CA1410">
              <w:rPr>
                <w:b/>
                <w:bCs/>
              </w:rPr>
              <w:t>redacted</w:t>
            </w:r>
          </w:p>
        </w:tc>
      </w:tr>
      <w:tr w:rsidR="002A6DEE" w14:paraId="1949E9FA" w14:textId="77777777" w:rsidTr="00450F52">
        <w:tc>
          <w:tcPr>
            <w:tcW w:w="2830" w:type="dxa"/>
            <w:tcBorders>
              <w:top w:val="single" w:sz="4" w:space="0" w:color="auto"/>
              <w:left w:val="single" w:sz="4" w:space="0" w:color="auto"/>
              <w:bottom w:val="single" w:sz="4" w:space="0" w:color="auto"/>
              <w:right w:val="single" w:sz="4" w:space="0" w:color="auto"/>
            </w:tcBorders>
            <w:hideMark/>
          </w:tcPr>
          <w:p w14:paraId="0ABDF491" w14:textId="77777777" w:rsidR="00761439" w:rsidRDefault="00761439" w:rsidP="00D22060">
            <w:pPr>
              <w:pStyle w:val="Tabletext1"/>
              <w:spacing w:before="0" w:after="0"/>
              <w:ind w:left="34"/>
            </w:pPr>
            <w:r>
              <w:t>Total financial implication to the MBS</w:t>
            </w:r>
            <w:r>
              <w:rPr>
                <w:vertAlign w:val="superscript"/>
              </w:rPr>
              <w:t>c</w:t>
            </w:r>
          </w:p>
        </w:tc>
        <w:tc>
          <w:tcPr>
            <w:tcW w:w="992" w:type="dxa"/>
            <w:tcBorders>
              <w:top w:val="single" w:sz="4" w:space="0" w:color="auto"/>
              <w:left w:val="single" w:sz="4" w:space="0" w:color="auto"/>
              <w:bottom w:val="single" w:sz="4" w:space="0" w:color="auto"/>
              <w:right w:val="single" w:sz="4" w:space="0" w:color="auto"/>
            </w:tcBorders>
            <w:hideMark/>
          </w:tcPr>
          <w:p w14:paraId="345C0869" w14:textId="77777777" w:rsidR="00761439" w:rsidRDefault="00761439" w:rsidP="00D22060">
            <w:pPr>
              <w:pStyle w:val="Tabletext1"/>
              <w:spacing w:before="0" w:after="0"/>
              <w:ind w:left="34"/>
            </w:pPr>
            <w:r>
              <w:t>$75,608</w:t>
            </w:r>
          </w:p>
        </w:tc>
        <w:tc>
          <w:tcPr>
            <w:tcW w:w="992" w:type="dxa"/>
            <w:tcBorders>
              <w:top w:val="single" w:sz="4" w:space="0" w:color="auto"/>
              <w:left w:val="single" w:sz="4" w:space="0" w:color="auto"/>
              <w:bottom w:val="single" w:sz="4" w:space="0" w:color="auto"/>
              <w:right w:val="single" w:sz="4" w:space="0" w:color="auto"/>
            </w:tcBorders>
            <w:hideMark/>
          </w:tcPr>
          <w:p w14:paraId="49BB84A7" w14:textId="77777777" w:rsidR="00761439" w:rsidRDefault="00761439" w:rsidP="00D22060">
            <w:pPr>
              <w:pStyle w:val="Tabletext1"/>
              <w:spacing w:before="0" w:after="0"/>
              <w:ind w:left="34"/>
            </w:pPr>
            <w:r>
              <w:t>$76,788</w:t>
            </w:r>
          </w:p>
        </w:tc>
        <w:tc>
          <w:tcPr>
            <w:tcW w:w="993" w:type="dxa"/>
            <w:tcBorders>
              <w:top w:val="single" w:sz="4" w:space="0" w:color="auto"/>
              <w:left w:val="single" w:sz="4" w:space="0" w:color="auto"/>
              <w:bottom w:val="single" w:sz="4" w:space="0" w:color="auto"/>
              <w:right w:val="single" w:sz="4" w:space="0" w:color="auto"/>
            </w:tcBorders>
            <w:hideMark/>
          </w:tcPr>
          <w:p w14:paraId="39DCD2B6" w14:textId="77777777" w:rsidR="00761439" w:rsidRDefault="00761439" w:rsidP="00D22060">
            <w:pPr>
              <w:pStyle w:val="Tabletext1"/>
              <w:spacing w:before="0" w:after="0"/>
              <w:ind w:left="34"/>
            </w:pPr>
            <w:r>
              <w:t>$77,986</w:t>
            </w:r>
          </w:p>
        </w:tc>
        <w:tc>
          <w:tcPr>
            <w:tcW w:w="992" w:type="dxa"/>
            <w:tcBorders>
              <w:top w:val="single" w:sz="4" w:space="0" w:color="auto"/>
              <w:left w:val="single" w:sz="4" w:space="0" w:color="auto"/>
              <w:bottom w:val="single" w:sz="4" w:space="0" w:color="auto"/>
              <w:right w:val="single" w:sz="4" w:space="0" w:color="auto"/>
            </w:tcBorders>
            <w:hideMark/>
          </w:tcPr>
          <w:p w14:paraId="678C5400" w14:textId="77777777" w:rsidR="00761439" w:rsidRDefault="00761439" w:rsidP="00D22060">
            <w:pPr>
              <w:pStyle w:val="Tabletext1"/>
              <w:spacing w:before="0" w:after="0"/>
              <w:ind w:left="34"/>
            </w:pPr>
            <w:r>
              <w:t>$79,203</w:t>
            </w:r>
          </w:p>
        </w:tc>
        <w:tc>
          <w:tcPr>
            <w:tcW w:w="992" w:type="dxa"/>
            <w:tcBorders>
              <w:top w:val="single" w:sz="4" w:space="0" w:color="auto"/>
              <w:left w:val="single" w:sz="4" w:space="0" w:color="auto"/>
              <w:bottom w:val="single" w:sz="4" w:space="0" w:color="auto"/>
              <w:right w:val="single" w:sz="4" w:space="0" w:color="auto"/>
            </w:tcBorders>
            <w:hideMark/>
          </w:tcPr>
          <w:p w14:paraId="0D7F7392" w14:textId="77777777" w:rsidR="00761439" w:rsidRDefault="00761439" w:rsidP="00D22060">
            <w:pPr>
              <w:pStyle w:val="Tabletext1"/>
              <w:spacing w:before="0" w:after="0"/>
              <w:ind w:left="34"/>
            </w:pPr>
            <w:r>
              <w:t>$80,439</w:t>
            </w:r>
          </w:p>
        </w:tc>
        <w:tc>
          <w:tcPr>
            <w:tcW w:w="992" w:type="dxa"/>
            <w:tcBorders>
              <w:top w:val="single" w:sz="4" w:space="0" w:color="auto"/>
              <w:left w:val="single" w:sz="4" w:space="0" w:color="auto"/>
              <w:bottom w:val="single" w:sz="4" w:space="0" w:color="auto"/>
              <w:right w:val="single" w:sz="4" w:space="0" w:color="auto"/>
            </w:tcBorders>
            <w:hideMark/>
          </w:tcPr>
          <w:p w14:paraId="6D816D45" w14:textId="77777777" w:rsidR="00761439" w:rsidRDefault="00761439" w:rsidP="00D22060">
            <w:pPr>
              <w:pStyle w:val="Tabletext1"/>
              <w:spacing w:before="0" w:after="0"/>
              <w:ind w:left="34"/>
            </w:pPr>
            <w:r>
              <w:t>$390,023</w:t>
            </w:r>
          </w:p>
        </w:tc>
      </w:tr>
      <w:tr w:rsidR="002A6DEE" w14:paraId="561CC7C4" w14:textId="77777777" w:rsidTr="00450F52">
        <w:tc>
          <w:tcPr>
            <w:tcW w:w="2830" w:type="dxa"/>
            <w:tcBorders>
              <w:top w:val="single" w:sz="4" w:space="0" w:color="auto"/>
              <w:left w:val="single" w:sz="4" w:space="0" w:color="auto"/>
              <w:bottom w:val="single" w:sz="4" w:space="0" w:color="auto"/>
              <w:right w:val="single" w:sz="4" w:space="0" w:color="auto"/>
            </w:tcBorders>
            <w:hideMark/>
          </w:tcPr>
          <w:p w14:paraId="43A1E3AD" w14:textId="77777777" w:rsidR="00761439" w:rsidRPr="00224619" w:rsidRDefault="00761439" w:rsidP="00D22060">
            <w:pPr>
              <w:pStyle w:val="Tabletext1"/>
              <w:spacing w:before="0" w:after="0"/>
              <w:ind w:left="34"/>
            </w:pPr>
            <w:r>
              <w:t>Total financial implication to the PBS</w:t>
            </w:r>
            <w:r>
              <w:rPr>
                <w:vertAlign w:val="superscript"/>
              </w:rPr>
              <w:t>d</w:t>
            </w:r>
          </w:p>
        </w:tc>
        <w:tc>
          <w:tcPr>
            <w:tcW w:w="992" w:type="dxa"/>
            <w:tcBorders>
              <w:top w:val="single" w:sz="4" w:space="0" w:color="auto"/>
              <w:left w:val="single" w:sz="4" w:space="0" w:color="auto"/>
              <w:bottom w:val="single" w:sz="4" w:space="0" w:color="auto"/>
              <w:right w:val="single" w:sz="4" w:space="0" w:color="auto"/>
            </w:tcBorders>
            <w:hideMark/>
          </w:tcPr>
          <w:p w14:paraId="34A8451B" w14:textId="77777777" w:rsidR="00761439" w:rsidRDefault="00761439" w:rsidP="00D22060">
            <w:pPr>
              <w:pStyle w:val="Tabletext1"/>
              <w:spacing w:before="0" w:after="0"/>
              <w:ind w:left="34"/>
            </w:pPr>
            <w:r>
              <w:t>$16,072</w:t>
            </w:r>
          </w:p>
        </w:tc>
        <w:tc>
          <w:tcPr>
            <w:tcW w:w="992" w:type="dxa"/>
            <w:tcBorders>
              <w:top w:val="single" w:sz="4" w:space="0" w:color="auto"/>
              <w:left w:val="single" w:sz="4" w:space="0" w:color="auto"/>
              <w:bottom w:val="single" w:sz="4" w:space="0" w:color="auto"/>
              <w:right w:val="single" w:sz="4" w:space="0" w:color="auto"/>
            </w:tcBorders>
            <w:hideMark/>
          </w:tcPr>
          <w:p w14:paraId="366FEDCF" w14:textId="77777777" w:rsidR="00761439" w:rsidRDefault="00761439" w:rsidP="00D22060">
            <w:pPr>
              <w:pStyle w:val="Tabletext1"/>
              <w:spacing w:before="0" w:after="0"/>
              <w:ind w:left="34"/>
            </w:pPr>
            <w:r>
              <w:t>$16,323</w:t>
            </w:r>
          </w:p>
        </w:tc>
        <w:tc>
          <w:tcPr>
            <w:tcW w:w="993" w:type="dxa"/>
            <w:tcBorders>
              <w:top w:val="single" w:sz="4" w:space="0" w:color="auto"/>
              <w:left w:val="single" w:sz="4" w:space="0" w:color="auto"/>
              <w:bottom w:val="single" w:sz="4" w:space="0" w:color="auto"/>
              <w:right w:val="single" w:sz="4" w:space="0" w:color="auto"/>
            </w:tcBorders>
            <w:hideMark/>
          </w:tcPr>
          <w:p w14:paraId="7F02DF3C" w14:textId="77777777" w:rsidR="00761439" w:rsidRDefault="00761439" w:rsidP="00D22060">
            <w:pPr>
              <w:pStyle w:val="Tabletext1"/>
              <w:spacing w:before="0" w:after="0"/>
              <w:ind w:left="34"/>
            </w:pPr>
            <w:r>
              <w:t>$16,578</w:t>
            </w:r>
          </w:p>
        </w:tc>
        <w:tc>
          <w:tcPr>
            <w:tcW w:w="992" w:type="dxa"/>
            <w:tcBorders>
              <w:top w:val="single" w:sz="4" w:space="0" w:color="auto"/>
              <w:left w:val="single" w:sz="4" w:space="0" w:color="auto"/>
              <w:bottom w:val="single" w:sz="4" w:space="0" w:color="auto"/>
              <w:right w:val="single" w:sz="4" w:space="0" w:color="auto"/>
            </w:tcBorders>
            <w:hideMark/>
          </w:tcPr>
          <w:p w14:paraId="2C3AF41D" w14:textId="77777777" w:rsidR="00761439" w:rsidRDefault="00761439" w:rsidP="00D22060">
            <w:pPr>
              <w:pStyle w:val="Tabletext1"/>
              <w:spacing w:before="0" w:after="0"/>
              <w:ind w:left="34"/>
            </w:pPr>
            <w:r>
              <w:t>$16,837</w:t>
            </w:r>
          </w:p>
        </w:tc>
        <w:tc>
          <w:tcPr>
            <w:tcW w:w="992" w:type="dxa"/>
            <w:tcBorders>
              <w:top w:val="single" w:sz="4" w:space="0" w:color="auto"/>
              <w:left w:val="single" w:sz="4" w:space="0" w:color="auto"/>
              <w:bottom w:val="single" w:sz="4" w:space="0" w:color="auto"/>
              <w:right w:val="single" w:sz="4" w:space="0" w:color="auto"/>
            </w:tcBorders>
            <w:hideMark/>
          </w:tcPr>
          <w:p w14:paraId="6CB3C4FD" w14:textId="77777777" w:rsidR="00761439" w:rsidRDefault="00761439" w:rsidP="00D22060">
            <w:pPr>
              <w:pStyle w:val="Tabletext1"/>
              <w:spacing w:before="0" w:after="0"/>
              <w:ind w:left="34"/>
            </w:pPr>
            <w:r>
              <w:t>$17,099</w:t>
            </w:r>
          </w:p>
        </w:tc>
        <w:tc>
          <w:tcPr>
            <w:tcW w:w="992" w:type="dxa"/>
            <w:tcBorders>
              <w:top w:val="single" w:sz="4" w:space="0" w:color="auto"/>
              <w:left w:val="single" w:sz="4" w:space="0" w:color="auto"/>
              <w:bottom w:val="single" w:sz="4" w:space="0" w:color="auto"/>
              <w:right w:val="single" w:sz="4" w:space="0" w:color="auto"/>
            </w:tcBorders>
            <w:hideMark/>
          </w:tcPr>
          <w:p w14:paraId="4799108D" w14:textId="77777777" w:rsidR="00761439" w:rsidRDefault="00761439" w:rsidP="00D22060">
            <w:pPr>
              <w:pStyle w:val="Tabletext1"/>
              <w:spacing w:before="0" w:after="0"/>
              <w:ind w:left="34"/>
            </w:pPr>
            <w:r>
              <w:t>$82,909</w:t>
            </w:r>
          </w:p>
        </w:tc>
      </w:tr>
      <w:tr w:rsidR="002A6DEE" w14:paraId="3A147A62" w14:textId="77777777" w:rsidTr="00450F52">
        <w:tc>
          <w:tcPr>
            <w:tcW w:w="2830" w:type="dxa"/>
            <w:tcBorders>
              <w:top w:val="single" w:sz="4" w:space="0" w:color="auto"/>
              <w:left w:val="single" w:sz="4" w:space="0" w:color="auto"/>
              <w:bottom w:val="single" w:sz="4" w:space="0" w:color="auto"/>
              <w:right w:val="single" w:sz="4" w:space="0" w:color="auto"/>
            </w:tcBorders>
            <w:hideMark/>
          </w:tcPr>
          <w:p w14:paraId="29287C2D" w14:textId="77777777" w:rsidR="00761439" w:rsidRDefault="00761439" w:rsidP="00D22060">
            <w:pPr>
              <w:pStyle w:val="Tabletext1"/>
              <w:spacing w:before="0" w:after="0"/>
              <w:ind w:left="34"/>
            </w:pPr>
            <w:r>
              <w:t>Total financial implication to the Government</w:t>
            </w:r>
            <w:r>
              <w:rPr>
                <w:vertAlign w:val="superscript"/>
              </w:rPr>
              <w:t>e</w:t>
            </w:r>
          </w:p>
        </w:tc>
        <w:tc>
          <w:tcPr>
            <w:tcW w:w="992" w:type="dxa"/>
            <w:tcBorders>
              <w:top w:val="single" w:sz="4" w:space="0" w:color="auto"/>
              <w:left w:val="single" w:sz="4" w:space="0" w:color="auto"/>
              <w:bottom w:val="single" w:sz="4" w:space="0" w:color="auto"/>
              <w:right w:val="single" w:sz="4" w:space="0" w:color="auto"/>
            </w:tcBorders>
            <w:hideMark/>
          </w:tcPr>
          <w:p w14:paraId="11309940" w14:textId="77777777" w:rsidR="00761439" w:rsidRDefault="00761439" w:rsidP="00D22060">
            <w:pPr>
              <w:pStyle w:val="Tabletext1"/>
              <w:spacing w:before="0" w:after="0"/>
              <w:ind w:left="34"/>
            </w:pPr>
            <w:r>
              <w:t>$91,680</w:t>
            </w:r>
          </w:p>
        </w:tc>
        <w:tc>
          <w:tcPr>
            <w:tcW w:w="992" w:type="dxa"/>
            <w:tcBorders>
              <w:top w:val="single" w:sz="4" w:space="0" w:color="auto"/>
              <w:left w:val="single" w:sz="4" w:space="0" w:color="auto"/>
              <w:bottom w:val="single" w:sz="4" w:space="0" w:color="auto"/>
              <w:right w:val="single" w:sz="4" w:space="0" w:color="auto"/>
            </w:tcBorders>
            <w:hideMark/>
          </w:tcPr>
          <w:p w14:paraId="1073E9FF" w14:textId="77777777" w:rsidR="00761439" w:rsidRDefault="00761439" w:rsidP="00D22060">
            <w:pPr>
              <w:pStyle w:val="Tabletext1"/>
              <w:spacing w:before="0" w:after="0"/>
              <w:ind w:left="34"/>
            </w:pPr>
            <w:r>
              <w:t>$93,111</w:t>
            </w:r>
          </w:p>
        </w:tc>
        <w:tc>
          <w:tcPr>
            <w:tcW w:w="993" w:type="dxa"/>
            <w:tcBorders>
              <w:top w:val="single" w:sz="4" w:space="0" w:color="auto"/>
              <w:left w:val="single" w:sz="4" w:space="0" w:color="auto"/>
              <w:bottom w:val="single" w:sz="4" w:space="0" w:color="auto"/>
              <w:right w:val="single" w:sz="4" w:space="0" w:color="auto"/>
            </w:tcBorders>
            <w:hideMark/>
          </w:tcPr>
          <w:p w14:paraId="49E48286" w14:textId="77777777" w:rsidR="00761439" w:rsidRDefault="00761439" w:rsidP="00D22060">
            <w:pPr>
              <w:pStyle w:val="Tabletext1"/>
              <w:spacing w:before="0" w:after="0"/>
              <w:ind w:left="34"/>
            </w:pPr>
            <w:r>
              <w:t>$94,564</w:t>
            </w:r>
          </w:p>
        </w:tc>
        <w:tc>
          <w:tcPr>
            <w:tcW w:w="992" w:type="dxa"/>
            <w:tcBorders>
              <w:top w:val="single" w:sz="4" w:space="0" w:color="auto"/>
              <w:left w:val="single" w:sz="4" w:space="0" w:color="auto"/>
              <w:bottom w:val="single" w:sz="4" w:space="0" w:color="auto"/>
              <w:right w:val="single" w:sz="4" w:space="0" w:color="auto"/>
            </w:tcBorders>
            <w:hideMark/>
          </w:tcPr>
          <w:p w14:paraId="5E7032EF" w14:textId="77777777" w:rsidR="00761439" w:rsidRDefault="00761439" w:rsidP="00D22060">
            <w:pPr>
              <w:pStyle w:val="Tabletext1"/>
              <w:spacing w:before="0" w:after="0"/>
              <w:ind w:left="34"/>
            </w:pPr>
            <w:r>
              <w:t>$96,039</w:t>
            </w:r>
          </w:p>
        </w:tc>
        <w:tc>
          <w:tcPr>
            <w:tcW w:w="992" w:type="dxa"/>
            <w:tcBorders>
              <w:top w:val="single" w:sz="4" w:space="0" w:color="auto"/>
              <w:left w:val="single" w:sz="4" w:space="0" w:color="auto"/>
              <w:bottom w:val="single" w:sz="4" w:space="0" w:color="auto"/>
              <w:right w:val="single" w:sz="4" w:space="0" w:color="auto"/>
            </w:tcBorders>
            <w:hideMark/>
          </w:tcPr>
          <w:p w14:paraId="115ED604" w14:textId="77777777" w:rsidR="00761439" w:rsidRDefault="00761439" w:rsidP="00D22060">
            <w:pPr>
              <w:pStyle w:val="Tabletext1"/>
              <w:spacing w:before="0" w:after="0"/>
              <w:ind w:left="34"/>
            </w:pPr>
            <w:r>
              <w:t>$97,538</w:t>
            </w:r>
          </w:p>
        </w:tc>
        <w:tc>
          <w:tcPr>
            <w:tcW w:w="992" w:type="dxa"/>
            <w:tcBorders>
              <w:top w:val="single" w:sz="4" w:space="0" w:color="auto"/>
              <w:left w:val="single" w:sz="4" w:space="0" w:color="auto"/>
              <w:bottom w:val="single" w:sz="4" w:space="0" w:color="auto"/>
              <w:right w:val="single" w:sz="4" w:space="0" w:color="auto"/>
            </w:tcBorders>
            <w:hideMark/>
          </w:tcPr>
          <w:p w14:paraId="7E450D19" w14:textId="77777777" w:rsidR="00761439" w:rsidRDefault="00761439" w:rsidP="00D22060">
            <w:pPr>
              <w:pStyle w:val="Tabletext1"/>
              <w:spacing w:before="0" w:after="0"/>
              <w:ind w:left="34"/>
            </w:pPr>
            <w:r>
              <w:t>$472,932</w:t>
            </w:r>
          </w:p>
        </w:tc>
      </w:tr>
    </w:tbl>
    <w:p w14:paraId="3020A63A" w14:textId="6B4AAC81" w:rsidR="00761439" w:rsidRDefault="00761439" w:rsidP="00607722">
      <w:pPr>
        <w:pStyle w:val="Tablenotes0"/>
      </w:pPr>
      <w:r>
        <w:t>Source: Table 11, pg 46 of MSAC 1629 DCAR</w:t>
      </w:r>
    </w:p>
    <w:p w14:paraId="0AEF1B86" w14:textId="568B1139" w:rsidR="00066A6C" w:rsidRDefault="00066A6C" w:rsidP="00607722">
      <w:pPr>
        <w:pStyle w:val="Tablenotes0"/>
        <w:rPr>
          <w:szCs w:val="18"/>
        </w:rPr>
      </w:pPr>
      <w:r>
        <w:t>Abbreviations: DAC</w:t>
      </w:r>
      <w:r w:rsidR="006B444C">
        <w:t>+abs</w:t>
      </w:r>
      <w:r>
        <w:t>= Defensive Antibacterial Coating</w:t>
      </w:r>
      <w:r w:rsidR="006B444C">
        <w:t xml:space="preserve"> loaded with antiotics</w:t>
      </w:r>
      <w:r>
        <w:t xml:space="preserve">, </w:t>
      </w:r>
      <w:r>
        <w:rPr>
          <w:szCs w:val="18"/>
        </w:rPr>
        <w:t>MBS= Medicare benefits Schedule; PBS=Pharmaceutical Benefits Schedule</w:t>
      </w:r>
    </w:p>
    <w:p w14:paraId="11FF8FBE" w14:textId="77777777" w:rsidR="00066A6C" w:rsidRDefault="00066A6C" w:rsidP="00607722">
      <w:pPr>
        <w:pStyle w:val="Tablenotes0"/>
      </w:pPr>
      <w:r>
        <w:rPr>
          <w:vertAlign w:val="superscript"/>
        </w:rPr>
        <w:t xml:space="preserve">a </w:t>
      </w:r>
      <w:r w:rsidRPr="00394BBE">
        <w:t>Estimated based on AOANJRR Annual report 2020</w:t>
      </w:r>
    </w:p>
    <w:p w14:paraId="143A1802" w14:textId="081E4063" w:rsidR="00066A6C" w:rsidRDefault="00066A6C" w:rsidP="00607722">
      <w:pPr>
        <w:pStyle w:val="Tablenotes0"/>
      </w:pPr>
      <w:r w:rsidRPr="00E452CF">
        <w:rPr>
          <w:vertAlign w:val="superscript"/>
        </w:rPr>
        <w:t>b</w:t>
      </w:r>
      <w:r>
        <w:rPr>
          <w:vertAlign w:val="superscript"/>
        </w:rPr>
        <w:t xml:space="preserve"> </w:t>
      </w:r>
      <w:r>
        <w:t xml:space="preserve">Cost to private health insurance is due to </w:t>
      </w:r>
      <w:r w:rsidR="003B7856">
        <w:t xml:space="preserve">the </w:t>
      </w:r>
      <w:r>
        <w:t xml:space="preserve">acquisition of DAC kits. These costs were obtained as the product of </w:t>
      </w:r>
      <w:r w:rsidR="003B7856">
        <w:t xml:space="preserve">the </w:t>
      </w:r>
      <w:r>
        <w:t xml:space="preserve">assumed number of private patients * </w:t>
      </w:r>
      <w:r w:rsidR="003B7856">
        <w:t xml:space="preserve">the </w:t>
      </w:r>
      <w:r>
        <w:t xml:space="preserve">number of kits required per surgical procedure * unit cost of DAC 5ml. The estimated number of kits per surgical procedure for Population 1 was </w:t>
      </w:r>
      <w:r w:rsidR="00CA1410">
        <w:rPr>
          <w:b/>
          <w:bCs/>
        </w:rPr>
        <w:t>redacted</w:t>
      </w:r>
      <w:r>
        <w:t>.</w:t>
      </w:r>
      <w:r w:rsidRPr="00BF08AC">
        <w:t xml:space="preserve"> Further, </w:t>
      </w:r>
      <w:r w:rsidR="003B7856">
        <w:t xml:space="preserve">the </w:t>
      </w:r>
      <w:r w:rsidRPr="00BF08AC">
        <w:t>unit cost of DAC 5ml was $</w:t>
      </w:r>
      <w:r w:rsidR="00270D7C">
        <w:rPr>
          <w:b/>
          <w:bCs/>
        </w:rPr>
        <w:t>redacted</w:t>
      </w:r>
      <w:r w:rsidRPr="00BF08AC">
        <w:t>.</w:t>
      </w:r>
    </w:p>
    <w:p w14:paraId="13B7D01C" w14:textId="0B98D043" w:rsidR="00066A6C" w:rsidRPr="00BF08AC" w:rsidRDefault="00066A6C" w:rsidP="00A94954">
      <w:pPr>
        <w:pStyle w:val="Tablenotes0"/>
      </w:pPr>
      <w:r w:rsidRPr="00BF08AC">
        <w:t>c Financial implication to MBS was due to costs associated with extra time required to prepare and apply the DAC</w:t>
      </w:r>
      <w:r w:rsidR="00FF140A">
        <w:t>+antibiotics</w:t>
      </w:r>
      <w:r w:rsidRPr="00BF08AC">
        <w:t xml:space="preserve">. </w:t>
      </w:r>
      <w:r w:rsidR="003B7856">
        <w:t>The e</w:t>
      </w:r>
      <w:r w:rsidRPr="00BF08AC">
        <w:t>stimated cost of extra time per procedure for Population 1 (Hip) was $</w:t>
      </w:r>
      <w:r w:rsidR="002A6DEE">
        <w:rPr>
          <w:b/>
          <w:bCs/>
        </w:rPr>
        <w:t>redacted</w:t>
      </w:r>
      <w:r w:rsidRPr="00BF08AC">
        <w:t xml:space="preserve">. </w:t>
      </w:r>
    </w:p>
    <w:p w14:paraId="0DB76B50" w14:textId="007A59F5" w:rsidR="00066A6C" w:rsidRDefault="00066A6C" w:rsidP="00A94954">
      <w:pPr>
        <w:pStyle w:val="Tablenotes0"/>
      </w:pPr>
      <w:r w:rsidRPr="00BF08AC">
        <w:t xml:space="preserve">d Financial implication to PBS was due to costs associated with </w:t>
      </w:r>
      <w:r w:rsidR="003B7856">
        <w:t xml:space="preserve">the </w:t>
      </w:r>
      <w:r w:rsidRPr="00BF08AC">
        <w:t xml:space="preserve">cost of antibiotics for preloading DAC. </w:t>
      </w:r>
      <w:r w:rsidR="00FF140A">
        <w:t>The estimated</w:t>
      </w:r>
      <w:r w:rsidRPr="00BF08AC">
        <w:t xml:space="preserve"> cost per procedure for Population 1 (Hip) was </w:t>
      </w:r>
      <w:r w:rsidR="002A6DEE">
        <w:t>$</w:t>
      </w:r>
      <w:r w:rsidR="002A6DEE">
        <w:rPr>
          <w:b/>
          <w:bCs/>
        </w:rPr>
        <w:t>redacted</w:t>
      </w:r>
      <w:r w:rsidRPr="00BF08AC">
        <w:t xml:space="preserve">. </w:t>
      </w:r>
    </w:p>
    <w:p w14:paraId="509C84D3" w14:textId="77777777" w:rsidR="00066A6C" w:rsidRPr="00711DF6" w:rsidRDefault="00066A6C" w:rsidP="00FC3571">
      <w:pPr>
        <w:pStyle w:val="Tablenotes0"/>
      </w:pPr>
      <w:r>
        <w:rPr>
          <w:vertAlign w:val="superscript"/>
        </w:rPr>
        <w:t>e</w:t>
      </w:r>
      <w:r>
        <w:t xml:space="preserve"> Cost to the Government = Cost to MBS + Cost to PBS</w:t>
      </w:r>
    </w:p>
    <w:p w14:paraId="1FA0654D" w14:textId="77777777" w:rsidR="00066A6C" w:rsidRPr="00D201BA" w:rsidRDefault="00066A6C" w:rsidP="00FC3571">
      <w:pPr>
        <w:pStyle w:val="ExecSummheading4"/>
      </w:pPr>
      <w:r w:rsidRPr="00D201BA">
        <w:t>Population 1 (knee)</w:t>
      </w:r>
    </w:p>
    <w:p w14:paraId="604DB698" w14:textId="6DCCF542" w:rsidR="00066A6C" w:rsidRPr="00D201BA" w:rsidRDefault="00066A6C" w:rsidP="00FC3571">
      <w:pPr>
        <w:pStyle w:val="Execsummnormal"/>
      </w:pPr>
      <w:r w:rsidRPr="00D201BA">
        <w:t>The estimated cost to private health insurance was $</w:t>
      </w:r>
      <w:r w:rsidR="00CA1410">
        <w:rPr>
          <w:b/>
          <w:bCs/>
        </w:rPr>
        <w:t>redacted</w:t>
      </w:r>
      <w:r w:rsidR="00CA1410" w:rsidRPr="00D201BA">
        <w:t xml:space="preserve"> </w:t>
      </w:r>
      <w:r w:rsidRPr="00D201BA">
        <w:t xml:space="preserve"> in </w:t>
      </w:r>
      <w:r w:rsidR="00FF140A">
        <w:t>Year 1</w:t>
      </w:r>
      <w:r w:rsidR="00FF140A" w:rsidRPr="00D201BA">
        <w:t xml:space="preserve"> </w:t>
      </w:r>
      <w:r w:rsidRPr="00D201BA">
        <w:t xml:space="preserve">and is expected to remain approximately steady to </w:t>
      </w:r>
      <w:r w:rsidR="00FF140A">
        <w:t>Year 5</w:t>
      </w:r>
      <w:r w:rsidRPr="00D201BA">
        <w:t>, with a total cost of $</w:t>
      </w:r>
      <w:r w:rsidR="00CA1410">
        <w:rPr>
          <w:b/>
          <w:bCs/>
        </w:rPr>
        <w:t>redacted</w:t>
      </w:r>
      <w:r w:rsidR="00CA1410" w:rsidRPr="00D201BA">
        <w:t xml:space="preserve"> </w:t>
      </w:r>
      <w:r w:rsidRPr="00D201BA">
        <w:t xml:space="preserve"> million over five years.</w:t>
      </w:r>
    </w:p>
    <w:p w14:paraId="2062D025" w14:textId="2953BC16" w:rsidR="00066A6C" w:rsidRPr="00D201BA" w:rsidRDefault="00066A6C" w:rsidP="00761439">
      <w:pPr>
        <w:pStyle w:val="Execsummnormal"/>
      </w:pPr>
      <w:r w:rsidRPr="00D201BA">
        <w:t xml:space="preserve">The financial implication to the MBS was $49,000 in </w:t>
      </w:r>
      <w:r w:rsidR="00FF140A">
        <w:t>Year 1</w:t>
      </w:r>
      <w:r w:rsidRPr="00D201BA">
        <w:t xml:space="preserve">, which remained approximately steady until </w:t>
      </w:r>
      <w:r w:rsidR="00FF140A">
        <w:t>Year 5</w:t>
      </w:r>
      <w:r w:rsidRPr="00D201BA">
        <w:t>. The total financial implication to the MBS was estimated to be $245,000 (</w:t>
      </w:r>
      <w:r w:rsidRPr="00D201BA">
        <w:fldChar w:fldCharType="begin"/>
      </w:r>
      <w:r w:rsidRPr="00D201BA">
        <w:instrText xml:space="preserve"> REF _Ref71701510 \h </w:instrText>
      </w:r>
      <w:r w:rsidR="00D201BA">
        <w:instrText xml:space="preserve"> \* MERGEFORMAT </w:instrText>
      </w:r>
      <w:r w:rsidRPr="00D201BA">
        <w:fldChar w:fldCharType="separate"/>
      </w:r>
      <w:r w:rsidR="000E6255">
        <w:t xml:space="preserve">Table </w:t>
      </w:r>
      <w:r w:rsidR="000E6255">
        <w:rPr>
          <w:noProof/>
        </w:rPr>
        <w:t>13</w:t>
      </w:r>
      <w:r w:rsidRPr="00D201BA">
        <w:fldChar w:fldCharType="end"/>
      </w:r>
      <w:r w:rsidRPr="00D201BA">
        <w:t>).</w:t>
      </w:r>
    </w:p>
    <w:p w14:paraId="09D7D6A3" w14:textId="0C636E8A" w:rsidR="00066A6C" w:rsidRDefault="00066A6C" w:rsidP="00A32CC1">
      <w:pPr>
        <w:pStyle w:val="Caption"/>
        <w:keepNext/>
      </w:pPr>
      <w:bookmarkStart w:id="113" w:name="_Ref71701510"/>
      <w:bookmarkStart w:id="114" w:name="_Toc71718460"/>
      <w:bookmarkStart w:id="115" w:name="_Toc112076629"/>
      <w:r>
        <w:lastRenderedPageBreak/>
        <w:t xml:space="preserve">Table </w:t>
      </w:r>
      <w:r w:rsidR="00000000">
        <w:fldChar w:fldCharType="begin"/>
      </w:r>
      <w:r w:rsidR="00000000">
        <w:instrText xml:space="preserve"> SEQ Table \* ARABIC </w:instrText>
      </w:r>
      <w:r w:rsidR="00000000">
        <w:fldChar w:fldCharType="separate"/>
      </w:r>
      <w:r w:rsidR="000E6255">
        <w:rPr>
          <w:noProof/>
        </w:rPr>
        <w:t>13</w:t>
      </w:r>
      <w:r w:rsidR="00000000">
        <w:rPr>
          <w:noProof/>
        </w:rPr>
        <w:fldChar w:fldCharType="end"/>
      </w:r>
      <w:bookmarkEnd w:id="113"/>
      <w:r w:rsidR="00761439">
        <w:rPr>
          <w:noProof/>
        </w:rPr>
        <w:t xml:space="preserve"> </w:t>
      </w:r>
      <w:r>
        <w:t>Estimated number of Population 1 (knee) that are likely to receive the DAC</w:t>
      </w:r>
      <w:r w:rsidR="00FF140A">
        <w:t>+antibiotics</w:t>
      </w:r>
      <w:r>
        <w:t xml:space="preserve"> and the total financial implication to the private health insurance, MBS, PBS, and the Government</w:t>
      </w:r>
      <w:bookmarkEnd w:id="114"/>
      <w:bookmarkEnd w:id="115"/>
      <w:r>
        <w:t xml:space="preserve"> </w:t>
      </w:r>
    </w:p>
    <w:tbl>
      <w:tblPr>
        <w:tblStyle w:val="TableGrid"/>
        <w:tblW w:w="8820" w:type="dxa"/>
        <w:tblLayout w:type="fixed"/>
        <w:tblLook w:val="04A0" w:firstRow="1" w:lastRow="0" w:firstColumn="1" w:lastColumn="0" w:noHBand="0" w:noVBand="1"/>
        <w:tblCaption w:val="Estimated number of Population 1 (knee) that are likely to receive the DAC and the total financial implication to the private health insurance, MBS, PBS, and the Government"/>
        <w:tblDescription w:val="This table includes the stimated number of Population 1 (knee)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122"/>
        <w:gridCol w:w="1040"/>
        <w:gridCol w:w="1122"/>
        <w:gridCol w:w="1134"/>
        <w:gridCol w:w="1134"/>
        <w:gridCol w:w="1134"/>
        <w:gridCol w:w="1134"/>
      </w:tblGrid>
      <w:tr w:rsidR="002A6DEE" w14:paraId="38406216" w14:textId="77777777" w:rsidTr="00450F52">
        <w:tc>
          <w:tcPr>
            <w:tcW w:w="2122" w:type="dxa"/>
            <w:tcBorders>
              <w:top w:val="single" w:sz="4" w:space="0" w:color="auto"/>
              <w:left w:val="single" w:sz="4" w:space="0" w:color="auto"/>
              <w:bottom w:val="single" w:sz="4" w:space="0" w:color="auto"/>
              <w:right w:val="single" w:sz="4" w:space="0" w:color="auto"/>
            </w:tcBorders>
            <w:vAlign w:val="center"/>
            <w:hideMark/>
          </w:tcPr>
          <w:p w14:paraId="589A4FE1"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1040" w:type="dxa"/>
            <w:tcBorders>
              <w:top w:val="single" w:sz="4" w:space="0" w:color="auto"/>
              <w:left w:val="single" w:sz="4" w:space="0" w:color="auto"/>
              <w:bottom w:val="single" w:sz="4" w:space="0" w:color="auto"/>
              <w:right w:val="single" w:sz="4" w:space="0" w:color="auto"/>
            </w:tcBorders>
            <w:hideMark/>
          </w:tcPr>
          <w:p w14:paraId="32F757AF"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1</w:t>
            </w:r>
          </w:p>
        </w:tc>
        <w:tc>
          <w:tcPr>
            <w:tcW w:w="1122" w:type="dxa"/>
            <w:tcBorders>
              <w:top w:val="single" w:sz="4" w:space="0" w:color="auto"/>
              <w:left w:val="single" w:sz="4" w:space="0" w:color="auto"/>
              <w:bottom w:val="single" w:sz="4" w:space="0" w:color="auto"/>
              <w:right w:val="single" w:sz="4" w:space="0" w:color="auto"/>
            </w:tcBorders>
            <w:hideMark/>
          </w:tcPr>
          <w:p w14:paraId="55EBB275"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1134" w:type="dxa"/>
            <w:tcBorders>
              <w:top w:val="single" w:sz="4" w:space="0" w:color="auto"/>
              <w:left w:val="single" w:sz="4" w:space="0" w:color="auto"/>
              <w:bottom w:val="single" w:sz="4" w:space="0" w:color="auto"/>
              <w:right w:val="single" w:sz="4" w:space="0" w:color="auto"/>
            </w:tcBorders>
            <w:hideMark/>
          </w:tcPr>
          <w:p w14:paraId="4E2A2332"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Year3</w:t>
            </w:r>
          </w:p>
        </w:tc>
        <w:tc>
          <w:tcPr>
            <w:tcW w:w="1134" w:type="dxa"/>
            <w:tcBorders>
              <w:top w:val="single" w:sz="4" w:space="0" w:color="auto"/>
              <w:left w:val="single" w:sz="4" w:space="0" w:color="auto"/>
              <w:bottom w:val="single" w:sz="4" w:space="0" w:color="auto"/>
              <w:right w:val="single" w:sz="4" w:space="0" w:color="auto"/>
            </w:tcBorders>
            <w:hideMark/>
          </w:tcPr>
          <w:p w14:paraId="41951632"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4</w:t>
            </w:r>
          </w:p>
        </w:tc>
        <w:tc>
          <w:tcPr>
            <w:tcW w:w="1134" w:type="dxa"/>
            <w:tcBorders>
              <w:top w:val="single" w:sz="4" w:space="0" w:color="auto"/>
              <w:left w:val="single" w:sz="4" w:space="0" w:color="auto"/>
              <w:bottom w:val="single" w:sz="4" w:space="0" w:color="auto"/>
              <w:right w:val="single" w:sz="4" w:space="0" w:color="auto"/>
            </w:tcBorders>
            <w:hideMark/>
          </w:tcPr>
          <w:p w14:paraId="0F815EA0"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5</w:t>
            </w:r>
          </w:p>
        </w:tc>
        <w:tc>
          <w:tcPr>
            <w:tcW w:w="1134" w:type="dxa"/>
            <w:tcBorders>
              <w:top w:val="single" w:sz="4" w:space="0" w:color="auto"/>
              <w:left w:val="single" w:sz="4" w:space="0" w:color="auto"/>
              <w:bottom w:val="single" w:sz="4" w:space="0" w:color="auto"/>
              <w:right w:val="single" w:sz="4" w:space="0" w:color="auto"/>
            </w:tcBorders>
            <w:hideMark/>
          </w:tcPr>
          <w:p w14:paraId="7117C729"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2A6DEE" w14:paraId="60FB7FF4" w14:textId="77777777" w:rsidTr="00450F52">
        <w:tc>
          <w:tcPr>
            <w:tcW w:w="2122" w:type="dxa"/>
            <w:tcBorders>
              <w:top w:val="single" w:sz="4" w:space="0" w:color="auto"/>
              <w:left w:val="single" w:sz="4" w:space="0" w:color="auto"/>
              <w:bottom w:val="single" w:sz="4" w:space="0" w:color="auto"/>
              <w:right w:val="single" w:sz="4" w:space="0" w:color="auto"/>
            </w:tcBorders>
            <w:vAlign w:val="center"/>
            <w:hideMark/>
          </w:tcPr>
          <w:p w14:paraId="18FFB8F1" w14:textId="77777777" w:rsidR="00761439" w:rsidRDefault="00761439" w:rsidP="00D22060">
            <w:pPr>
              <w:pStyle w:val="Tabletext1"/>
              <w:keepNext/>
              <w:spacing w:before="0" w:after="0"/>
              <w:ind w:left="34"/>
            </w:pPr>
            <w:r>
              <w:t>Eligible population size</w:t>
            </w:r>
          </w:p>
        </w:tc>
        <w:tc>
          <w:tcPr>
            <w:tcW w:w="1040" w:type="dxa"/>
            <w:tcBorders>
              <w:top w:val="single" w:sz="4" w:space="0" w:color="auto"/>
              <w:left w:val="single" w:sz="4" w:space="0" w:color="auto"/>
              <w:bottom w:val="single" w:sz="4" w:space="0" w:color="auto"/>
              <w:right w:val="single" w:sz="4" w:space="0" w:color="auto"/>
            </w:tcBorders>
            <w:hideMark/>
          </w:tcPr>
          <w:p w14:paraId="2566ABF3" w14:textId="19BC5BC2" w:rsidR="00761439" w:rsidRDefault="00CA1410" w:rsidP="00D22060">
            <w:pPr>
              <w:pStyle w:val="Tabletext1"/>
              <w:keepNext/>
              <w:spacing w:before="0" w:after="0"/>
              <w:ind w:left="34"/>
            </w:pPr>
            <w:r>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6EDF5E2B" w14:textId="6A18DFBD" w:rsidR="00761439" w:rsidRDefault="00CA1410" w:rsidP="00D22060">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A2C901C" w14:textId="574C53B0" w:rsidR="00761439" w:rsidRDefault="00CA1410" w:rsidP="00D22060">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6AA138A4" w14:textId="263374B6" w:rsidR="00761439" w:rsidRDefault="00CA1410" w:rsidP="00D22060">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4606EDCE" w14:textId="1F112191" w:rsidR="00761439" w:rsidRDefault="00CA1410" w:rsidP="00D22060">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2DDC5D7" w14:textId="6F417B09" w:rsidR="00761439" w:rsidRDefault="00CA1410" w:rsidP="00D22060">
            <w:pPr>
              <w:pStyle w:val="Tabletext1"/>
              <w:keepNext/>
              <w:spacing w:before="0" w:after="0"/>
              <w:ind w:left="34"/>
            </w:pPr>
            <w:r>
              <w:rPr>
                <w:b/>
                <w:bCs/>
              </w:rPr>
              <w:t>redacted</w:t>
            </w:r>
          </w:p>
        </w:tc>
      </w:tr>
      <w:tr w:rsidR="002A6DEE" w14:paraId="2EB9A4ED"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2B688BFC" w14:textId="77777777" w:rsidR="00761439" w:rsidRDefault="00761439" w:rsidP="00D22060">
            <w:pPr>
              <w:pStyle w:val="Tabletext1"/>
              <w:spacing w:before="0" w:after="0"/>
              <w:ind w:left="34"/>
            </w:pPr>
            <w:r>
              <w:t>Number of patients eligible in private setting (71.81%)</w:t>
            </w:r>
            <w:r>
              <w:rPr>
                <w:vertAlign w:val="superscript"/>
              </w:rPr>
              <w:t>a</w:t>
            </w:r>
          </w:p>
        </w:tc>
        <w:tc>
          <w:tcPr>
            <w:tcW w:w="1040" w:type="dxa"/>
            <w:tcBorders>
              <w:top w:val="single" w:sz="4" w:space="0" w:color="auto"/>
              <w:left w:val="single" w:sz="4" w:space="0" w:color="auto"/>
              <w:bottom w:val="single" w:sz="4" w:space="0" w:color="auto"/>
              <w:right w:val="single" w:sz="4" w:space="0" w:color="auto"/>
            </w:tcBorders>
            <w:hideMark/>
          </w:tcPr>
          <w:p w14:paraId="64CEFBF1" w14:textId="0CF0A027" w:rsidR="00761439" w:rsidRDefault="00CA1410" w:rsidP="00D22060">
            <w:pPr>
              <w:pStyle w:val="Tabletext1"/>
              <w:spacing w:before="0" w:after="0"/>
              <w:ind w:left="34"/>
            </w:pPr>
            <w:r>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73A42BA2" w14:textId="063CBE3B"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7C2AD2F2" w14:textId="635A8A8A"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1EB79BD" w14:textId="2381B750"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1AA09D3" w14:textId="4262301C"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4347A60A" w14:textId="4BDC76EA" w:rsidR="00761439" w:rsidRDefault="00CA1410" w:rsidP="00D22060">
            <w:pPr>
              <w:pStyle w:val="Tabletext1"/>
              <w:spacing w:before="0" w:after="0"/>
              <w:ind w:left="34"/>
            </w:pPr>
            <w:r>
              <w:rPr>
                <w:b/>
                <w:bCs/>
              </w:rPr>
              <w:t>redacted</w:t>
            </w:r>
          </w:p>
        </w:tc>
      </w:tr>
      <w:tr w:rsidR="002A6DEE" w14:paraId="19D5AA66"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22F8E307" w14:textId="77777777" w:rsidR="00761439" w:rsidRDefault="00761439" w:rsidP="00D22060">
            <w:pPr>
              <w:pStyle w:val="Tabletext1"/>
              <w:spacing w:before="0" w:after="0"/>
              <w:ind w:left="34"/>
            </w:pPr>
            <w:r>
              <w:t>Assumed uptake of DAC+abs (assumed 50% at base case)</w:t>
            </w:r>
          </w:p>
        </w:tc>
        <w:tc>
          <w:tcPr>
            <w:tcW w:w="1040" w:type="dxa"/>
            <w:tcBorders>
              <w:top w:val="single" w:sz="4" w:space="0" w:color="auto"/>
              <w:left w:val="single" w:sz="4" w:space="0" w:color="auto"/>
              <w:bottom w:val="single" w:sz="4" w:space="0" w:color="auto"/>
              <w:right w:val="single" w:sz="4" w:space="0" w:color="auto"/>
            </w:tcBorders>
            <w:hideMark/>
          </w:tcPr>
          <w:p w14:paraId="412A4F98" w14:textId="6FF447CC" w:rsidR="00761439" w:rsidRDefault="00CA1410" w:rsidP="00D22060">
            <w:pPr>
              <w:pStyle w:val="Tabletext1"/>
              <w:spacing w:before="0" w:after="0"/>
              <w:ind w:left="34"/>
            </w:pPr>
            <w:r>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0F3C6213" w14:textId="09735094"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A8B1CF1" w14:textId="27E6EDCC"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65E1F934" w14:textId="613D6F24"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29222DD0" w14:textId="0CDDB596" w:rsidR="00761439" w:rsidRDefault="00CA1410"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F4449F3" w14:textId="308BF87C" w:rsidR="00761439" w:rsidRDefault="00CA1410" w:rsidP="00D22060">
            <w:pPr>
              <w:pStyle w:val="Tabletext1"/>
              <w:spacing w:before="0" w:after="0"/>
              <w:ind w:left="34"/>
            </w:pPr>
            <w:r>
              <w:rPr>
                <w:b/>
                <w:bCs/>
              </w:rPr>
              <w:t>redacted</w:t>
            </w:r>
          </w:p>
        </w:tc>
      </w:tr>
      <w:tr w:rsidR="002A6DEE" w14:paraId="251735EC"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34F6CA98" w14:textId="77777777" w:rsidR="00761439" w:rsidRDefault="00761439" w:rsidP="00D22060">
            <w:pPr>
              <w:pStyle w:val="Tabletext1"/>
              <w:spacing w:before="0" w:after="0"/>
              <w:ind w:left="34"/>
            </w:pPr>
            <w:r>
              <w:t>Cost to private health insurance</w:t>
            </w:r>
            <w:r w:rsidRPr="006107B8">
              <w:rPr>
                <w:vertAlign w:val="superscript"/>
              </w:rPr>
              <w:t>b</w:t>
            </w:r>
          </w:p>
        </w:tc>
        <w:tc>
          <w:tcPr>
            <w:tcW w:w="1040" w:type="dxa"/>
            <w:tcBorders>
              <w:top w:val="single" w:sz="4" w:space="0" w:color="auto"/>
              <w:left w:val="single" w:sz="4" w:space="0" w:color="auto"/>
              <w:bottom w:val="single" w:sz="4" w:space="0" w:color="auto"/>
              <w:right w:val="single" w:sz="4" w:space="0" w:color="auto"/>
            </w:tcBorders>
            <w:hideMark/>
          </w:tcPr>
          <w:p w14:paraId="7AC70441" w14:textId="72E0FE85" w:rsidR="00761439" w:rsidRDefault="00761439" w:rsidP="00D22060">
            <w:pPr>
              <w:pStyle w:val="Tabletext1"/>
              <w:spacing w:before="0" w:after="0"/>
              <w:ind w:left="34"/>
            </w:pPr>
            <w:r>
              <w:t>$</w:t>
            </w:r>
            <w:r w:rsidR="00CA1410">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3FFB260D" w14:textId="3C913977" w:rsidR="00761439" w:rsidRDefault="00761439" w:rsidP="00D22060">
            <w:pPr>
              <w:pStyle w:val="Tabletext1"/>
              <w:spacing w:before="0" w:after="0"/>
              <w:ind w:left="34"/>
            </w:pPr>
            <w:r>
              <w:t>$</w:t>
            </w:r>
            <w:r w:rsidR="00CA1410">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20EFA50E" w14:textId="2A565B88" w:rsidR="00761439" w:rsidRDefault="00761439" w:rsidP="00D22060">
            <w:pPr>
              <w:pStyle w:val="Tabletext1"/>
              <w:spacing w:before="0" w:after="0"/>
              <w:ind w:left="34"/>
            </w:pPr>
            <w:r>
              <w:t>$</w:t>
            </w:r>
            <w:r w:rsidR="00CA1410">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249BC5E1" w14:textId="4E0226F4" w:rsidR="00761439" w:rsidRDefault="00761439" w:rsidP="00D22060">
            <w:pPr>
              <w:pStyle w:val="Tabletext1"/>
              <w:spacing w:before="0" w:after="0"/>
              <w:ind w:left="34"/>
            </w:pPr>
            <w:r>
              <w:t>$</w:t>
            </w:r>
            <w:r w:rsidR="00CA1410">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70320A2" w14:textId="439D4179" w:rsidR="00761439" w:rsidRDefault="00761439" w:rsidP="00D22060">
            <w:pPr>
              <w:pStyle w:val="Tabletext1"/>
              <w:spacing w:before="0" w:after="0"/>
              <w:ind w:left="34"/>
            </w:pPr>
            <w:r>
              <w:t>$</w:t>
            </w:r>
            <w:r w:rsidR="00CA1410">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E079CCD" w14:textId="02E588D7" w:rsidR="00761439" w:rsidRDefault="00761439" w:rsidP="00D22060">
            <w:pPr>
              <w:pStyle w:val="Tabletext1"/>
              <w:spacing w:before="0" w:after="0"/>
              <w:ind w:left="34"/>
            </w:pPr>
            <w:r>
              <w:t>$</w:t>
            </w:r>
            <w:r w:rsidR="00CA1410">
              <w:rPr>
                <w:b/>
                <w:bCs/>
              </w:rPr>
              <w:t>redacted</w:t>
            </w:r>
          </w:p>
        </w:tc>
      </w:tr>
      <w:tr w:rsidR="002A6DEE" w14:paraId="0F67EB62"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067C6339" w14:textId="77777777" w:rsidR="00761439" w:rsidRDefault="00761439" w:rsidP="00D22060">
            <w:pPr>
              <w:pStyle w:val="Tabletext1"/>
              <w:spacing w:before="0" w:after="0"/>
              <w:ind w:left="34"/>
            </w:pPr>
            <w:r>
              <w:t>Total financial implication to the MBS</w:t>
            </w:r>
            <w:r>
              <w:rPr>
                <w:vertAlign w:val="superscript"/>
              </w:rPr>
              <w:t>c</w:t>
            </w:r>
          </w:p>
        </w:tc>
        <w:tc>
          <w:tcPr>
            <w:tcW w:w="1040" w:type="dxa"/>
            <w:tcBorders>
              <w:top w:val="single" w:sz="4" w:space="0" w:color="auto"/>
              <w:left w:val="single" w:sz="4" w:space="0" w:color="auto"/>
              <w:bottom w:val="single" w:sz="4" w:space="0" w:color="auto"/>
              <w:right w:val="single" w:sz="4" w:space="0" w:color="auto"/>
            </w:tcBorders>
            <w:hideMark/>
          </w:tcPr>
          <w:p w14:paraId="6CF735EE" w14:textId="77777777" w:rsidR="00761439" w:rsidRDefault="00761439" w:rsidP="00D22060">
            <w:pPr>
              <w:pStyle w:val="Tabletext1"/>
              <w:spacing w:before="0" w:after="0"/>
              <w:ind w:left="34"/>
            </w:pPr>
            <w:r>
              <w:t>$48,886</w:t>
            </w:r>
          </w:p>
        </w:tc>
        <w:tc>
          <w:tcPr>
            <w:tcW w:w="1122" w:type="dxa"/>
            <w:tcBorders>
              <w:top w:val="single" w:sz="4" w:space="0" w:color="auto"/>
              <w:left w:val="single" w:sz="4" w:space="0" w:color="auto"/>
              <w:bottom w:val="single" w:sz="4" w:space="0" w:color="auto"/>
              <w:right w:val="single" w:sz="4" w:space="0" w:color="auto"/>
            </w:tcBorders>
            <w:hideMark/>
          </w:tcPr>
          <w:p w14:paraId="62DCDC73" w14:textId="77777777" w:rsidR="00761439" w:rsidRDefault="00761439" w:rsidP="00D22060">
            <w:pPr>
              <w:pStyle w:val="Tabletext1"/>
              <w:spacing w:before="0" w:after="0"/>
              <w:ind w:left="34"/>
            </w:pPr>
            <w:r>
              <w:t>$48,934</w:t>
            </w:r>
          </w:p>
        </w:tc>
        <w:tc>
          <w:tcPr>
            <w:tcW w:w="1134" w:type="dxa"/>
            <w:tcBorders>
              <w:top w:val="single" w:sz="4" w:space="0" w:color="auto"/>
              <w:left w:val="single" w:sz="4" w:space="0" w:color="auto"/>
              <w:bottom w:val="single" w:sz="4" w:space="0" w:color="auto"/>
              <w:right w:val="single" w:sz="4" w:space="0" w:color="auto"/>
            </w:tcBorders>
            <w:hideMark/>
          </w:tcPr>
          <w:p w14:paraId="4E0224AF" w14:textId="77777777" w:rsidR="00761439" w:rsidRDefault="00761439" w:rsidP="00D22060">
            <w:pPr>
              <w:pStyle w:val="Tabletext1"/>
              <w:spacing w:before="0" w:after="0"/>
              <w:ind w:left="34"/>
            </w:pPr>
            <w:r>
              <w:t>$48,983</w:t>
            </w:r>
          </w:p>
        </w:tc>
        <w:tc>
          <w:tcPr>
            <w:tcW w:w="1134" w:type="dxa"/>
            <w:tcBorders>
              <w:top w:val="single" w:sz="4" w:space="0" w:color="auto"/>
              <w:left w:val="single" w:sz="4" w:space="0" w:color="auto"/>
              <w:bottom w:val="single" w:sz="4" w:space="0" w:color="auto"/>
              <w:right w:val="single" w:sz="4" w:space="0" w:color="auto"/>
            </w:tcBorders>
            <w:hideMark/>
          </w:tcPr>
          <w:p w14:paraId="43461F8C" w14:textId="77777777" w:rsidR="00761439" w:rsidRDefault="00761439" w:rsidP="00D22060">
            <w:pPr>
              <w:pStyle w:val="Tabletext1"/>
              <w:spacing w:before="0" w:after="0"/>
              <w:ind w:left="34"/>
            </w:pPr>
            <w:r>
              <w:t>$49,031</w:t>
            </w:r>
          </w:p>
        </w:tc>
        <w:tc>
          <w:tcPr>
            <w:tcW w:w="1134" w:type="dxa"/>
            <w:tcBorders>
              <w:top w:val="single" w:sz="4" w:space="0" w:color="auto"/>
              <w:left w:val="single" w:sz="4" w:space="0" w:color="auto"/>
              <w:bottom w:val="single" w:sz="4" w:space="0" w:color="auto"/>
              <w:right w:val="single" w:sz="4" w:space="0" w:color="auto"/>
            </w:tcBorders>
            <w:hideMark/>
          </w:tcPr>
          <w:p w14:paraId="74350CC2" w14:textId="77777777" w:rsidR="00761439" w:rsidRDefault="00761439" w:rsidP="00D22060">
            <w:pPr>
              <w:pStyle w:val="Tabletext1"/>
              <w:spacing w:before="0" w:after="0"/>
              <w:ind w:left="34"/>
            </w:pPr>
            <w:r>
              <w:t>$49,079</w:t>
            </w:r>
          </w:p>
        </w:tc>
        <w:tc>
          <w:tcPr>
            <w:tcW w:w="1134" w:type="dxa"/>
            <w:tcBorders>
              <w:top w:val="single" w:sz="4" w:space="0" w:color="auto"/>
              <w:left w:val="single" w:sz="4" w:space="0" w:color="auto"/>
              <w:bottom w:val="single" w:sz="4" w:space="0" w:color="auto"/>
              <w:right w:val="single" w:sz="4" w:space="0" w:color="auto"/>
            </w:tcBorders>
            <w:hideMark/>
          </w:tcPr>
          <w:p w14:paraId="32375295" w14:textId="77777777" w:rsidR="00761439" w:rsidRDefault="00761439" w:rsidP="00D22060">
            <w:pPr>
              <w:pStyle w:val="Tabletext1"/>
              <w:spacing w:before="0" w:after="0"/>
              <w:ind w:left="34"/>
            </w:pPr>
            <w:r>
              <w:t>$244,913</w:t>
            </w:r>
          </w:p>
        </w:tc>
      </w:tr>
      <w:tr w:rsidR="002A6DEE" w14:paraId="17EB093B"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20BDCC7F" w14:textId="77777777" w:rsidR="00761439" w:rsidRDefault="00761439" w:rsidP="00D22060">
            <w:pPr>
              <w:pStyle w:val="Tabletext1"/>
              <w:spacing w:before="0" w:after="0"/>
              <w:ind w:left="34"/>
            </w:pPr>
            <w:r>
              <w:t>Total financial implication to the PBS</w:t>
            </w:r>
            <w:r>
              <w:rPr>
                <w:vertAlign w:val="superscript"/>
              </w:rPr>
              <w:t>d</w:t>
            </w:r>
          </w:p>
        </w:tc>
        <w:tc>
          <w:tcPr>
            <w:tcW w:w="1040" w:type="dxa"/>
            <w:tcBorders>
              <w:top w:val="single" w:sz="4" w:space="0" w:color="auto"/>
              <w:left w:val="single" w:sz="4" w:space="0" w:color="auto"/>
              <w:bottom w:val="single" w:sz="4" w:space="0" w:color="auto"/>
              <w:right w:val="single" w:sz="4" w:space="0" w:color="auto"/>
            </w:tcBorders>
            <w:hideMark/>
          </w:tcPr>
          <w:p w14:paraId="2C5AD8F6" w14:textId="77777777" w:rsidR="00761439" w:rsidRDefault="00761439" w:rsidP="00D22060">
            <w:pPr>
              <w:pStyle w:val="Tabletext1"/>
              <w:spacing w:before="0" w:after="0"/>
              <w:ind w:left="34"/>
            </w:pPr>
            <w:r>
              <w:t>$10,415</w:t>
            </w:r>
          </w:p>
        </w:tc>
        <w:tc>
          <w:tcPr>
            <w:tcW w:w="1122" w:type="dxa"/>
            <w:tcBorders>
              <w:top w:val="single" w:sz="4" w:space="0" w:color="auto"/>
              <w:left w:val="single" w:sz="4" w:space="0" w:color="auto"/>
              <w:bottom w:val="single" w:sz="4" w:space="0" w:color="auto"/>
              <w:right w:val="single" w:sz="4" w:space="0" w:color="auto"/>
            </w:tcBorders>
            <w:hideMark/>
          </w:tcPr>
          <w:p w14:paraId="34423161" w14:textId="77777777" w:rsidR="00761439" w:rsidRDefault="00761439" w:rsidP="00D22060">
            <w:pPr>
              <w:pStyle w:val="Tabletext1"/>
              <w:spacing w:before="0" w:after="0"/>
              <w:ind w:left="34"/>
            </w:pPr>
            <w:r>
              <w:t>$10,425</w:t>
            </w:r>
          </w:p>
        </w:tc>
        <w:tc>
          <w:tcPr>
            <w:tcW w:w="1134" w:type="dxa"/>
            <w:tcBorders>
              <w:top w:val="single" w:sz="4" w:space="0" w:color="auto"/>
              <w:left w:val="single" w:sz="4" w:space="0" w:color="auto"/>
              <w:bottom w:val="single" w:sz="4" w:space="0" w:color="auto"/>
              <w:right w:val="single" w:sz="4" w:space="0" w:color="auto"/>
            </w:tcBorders>
            <w:hideMark/>
          </w:tcPr>
          <w:p w14:paraId="6A6D322C" w14:textId="77777777" w:rsidR="00761439" w:rsidRDefault="00761439" w:rsidP="00D22060">
            <w:pPr>
              <w:pStyle w:val="Tabletext1"/>
              <w:spacing w:before="0" w:after="0"/>
              <w:ind w:left="34"/>
            </w:pPr>
            <w:r>
              <w:t>$10,435</w:t>
            </w:r>
          </w:p>
        </w:tc>
        <w:tc>
          <w:tcPr>
            <w:tcW w:w="1134" w:type="dxa"/>
            <w:tcBorders>
              <w:top w:val="single" w:sz="4" w:space="0" w:color="auto"/>
              <w:left w:val="single" w:sz="4" w:space="0" w:color="auto"/>
              <w:bottom w:val="single" w:sz="4" w:space="0" w:color="auto"/>
              <w:right w:val="single" w:sz="4" w:space="0" w:color="auto"/>
            </w:tcBorders>
            <w:hideMark/>
          </w:tcPr>
          <w:p w14:paraId="7A2ABD50" w14:textId="77777777" w:rsidR="00761439" w:rsidRDefault="00761439" w:rsidP="00D22060">
            <w:pPr>
              <w:pStyle w:val="Tabletext1"/>
              <w:spacing w:before="0" w:after="0"/>
              <w:ind w:left="34"/>
            </w:pPr>
            <w:r>
              <w:t>$10,446</w:t>
            </w:r>
          </w:p>
        </w:tc>
        <w:tc>
          <w:tcPr>
            <w:tcW w:w="1134" w:type="dxa"/>
            <w:tcBorders>
              <w:top w:val="single" w:sz="4" w:space="0" w:color="auto"/>
              <w:left w:val="single" w:sz="4" w:space="0" w:color="auto"/>
              <w:bottom w:val="single" w:sz="4" w:space="0" w:color="auto"/>
              <w:right w:val="single" w:sz="4" w:space="0" w:color="auto"/>
            </w:tcBorders>
            <w:hideMark/>
          </w:tcPr>
          <w:p w14:paraId="54ADA584" w14:textId="77777777" w:rsidR="00761439" w:rsidRDefault="00761439" w:rsidP="00D22060">
            <w:pPr>
              <w:pStyle w:val="Tabletext1"/>
              <w:spacing w:before="0" w:after="0"/>
              <w:ind w:left="34"/>
            </w:pPr>
            <w:r>
              <w:t>$10,456</w:t>
            </w:r>
          </w:p>
        </w:tc>
        <w:tc>
          <w:tcPr>
            <w:tcW w:w="1134" w:type="dxa"/>
            <w:tcBorders>
              <w:top w:val="single" w:sz="4" w:space="0" w:color="auto"/>
              <w:left w:val="single" w:sz="4" w:space="0" w:color="auto"/>
              <w:bottom w:val="single" w:sz="4" w:space="0" w:color="auto"/>
              <w:right w:val="single" w:sz="4" w:space="0" w:color="auto"/>
            </w:tcBorders>
            <w:hideMark/>
          </w:tcPr>
          <w:p w14:paraId="24B391BF" w14:textId="77777777" w:rsidR="00761439" w:rsidRDefault="00761439" w:rsidP="00D22060">
            <w:pPr>
              <w:pStyle w:val="Tabletext1"/>
              <w:spacing w:before="0" w:after="0"/>
              <w:ind w:left="34"/>
            </w:pPr>
            <w:r>
              <w:t>$52,176</w:t>
            </w:r>
          </w:p>
        </w:tc>
      </w:tr>
      <w:tr w:rsidR="002A6DEE" w14:paraId="5CEF1AE2"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2ECDE2CB" w14:textId="77777777" w:rsidR="00761439" w:rsidRDefault="00761439" w:rsidP="00D22060">
            <w:pPr>
              <w:pStyle w:val="Tabletext1"/>
              <w:spacing w:before="0" w:after="0"/>
              <w:ind w:left="34"/>
            </w:pPr>
            <w:r>
              <w:t>Total financial implication to the Government</w:t>
            </w:r>
            <w:r>
              <w:rPr>
                <w:vertAlign w:val="superscript"/>
              </w:rPr>
              <w:t>e</w:t>
            </w:r>
          </w:p>
        </w:tc>
        <w:tc>
          <w:tcPr>
            <w:tcW w:w="1040" w:type="dxa"/>
            <w:tcBorders>
              <w:top w:val="single" w:sz="4" w:space="0" w:color="auto"/>
              <w:left w:val="single" w:sz="4" w:space="0" w:color="auto"/>
              <w:bottom w:val="single" w:sz="4" w:space="0" w:color="auto"/>
              <w:right w:val="single" w:sz="4" w:space="0" w:color="auto"/>
            </w:tcBorders>
            <w:hideMark/>
          </w:tcPr>
          <w:p w14:paraId="2B824EBA" w14:textId="77777777" w:rsidR="00761439" w:rsidRDefault="00761439" w:rsidP="00D22060">
            <w:pPr>
              <w:pStyle w:val="Tabletext1"/>
              <w:spacing w:before="0" w:after="0"/>
              <w:ind w:left="34"/>
            </w:pPr>
            <w:r>
              <w:t>$59,300</w:t>
            </w:r>
          </w:p>
        </w:tc>
        <w:tc>
          <w:tcPr>
            <w:tcW w:w="1122" w:type="dxa"/>
            <w:tcBorders>
              <w:top w:val="single" w:sz="4" w:space="0" w:color="auto"/>
              <w:left w:val="single" w:sz="4" w:space="0" w:color="auto"/>
              <w:bottom w:val="single" w:sz="4" w:space="0" w:color="auto"/>
              <w:right w:val="single" w:sz="4" w:space="0" w:color="auto"/>
            </w:tcBorders>
            <w:hideMark/>
          </w:tcPr>
          <w:p w14:paraId="41130C43" w14:textId="77777777" w:rsidR="00761439" w:rsidRDefault="00761439" w:rsidP="00D22060">
            <w:pPr>
              <w:pStyle w:val="Tabletext1"/>
              <w:spacing w:before="0" w:after="0"/>
              <w:ind w:left="34"/>
            </w:pPr>
            <w:r>
              <w:t>$59,359</w:t>
            </w:r>
          </w:p>
        </w:tc>
        <w:tc>
          <w:tcPr>
            <w:tcW w:w="1134" w:type="dxa"/>
            <w:tcBorders>
              <w:top w:val="single" w:sz="4" w:space="0" w:color="auto"/>
              <w:left w:val="single" w:sz="4" w:space="0" w:color="auto"/>
              <w:bottom w:val="single" w:sz="4" w:space="0" w:color="auto"/>
              <w:right w:val="single" w:sz="4" w:space="0" w:color="auto"/>
            </w:tcBorders>
            <w:hideMark/>
          </w:tcPr>
          <w:p w14:paraId="12CA4640" w14:textId="77777777" w:rsidR="00761439" w:rsidRDefault="00761439" w:rsidP="00D22060">
            <w:pPr>
              <w:pStyle w:val="Tabletext1"/>
              <w:spacing w:before="0" w:after="0"/>
              <w:ind w:left="34"/>
            </w:pPr>
            <w:r>
              <w:t>$59,418</w:t>
            </w:r>
          </w:p>
        </w:tc>
        <w:tc>
          <w:tcPr>
            <w:tcW w:w="1134" w:type="dxa"/>
            <w:tcBorders>
              <w:top w:val="single" w:sz="4" w:space="0" w:color="auto"/>
              <w:left w:val="single" w:sz="4" w:space="0" w:color="auto"/>
              <w:bottom w:val="single" w:sz="4" w:space="0" w:color="auto"/>
              <w:right w:val="single" w:sz="4" w:space="0" w:color="auto"/>
            </w:tcBorders>
            <w:hideMark/>
          </w:tcPr>
          <w:p w14:paraId="74F5CBE8" w14:textId="77777777" w:rsidR="00761439" w:rsidRDefault="00761439" w:rsidP="00D22060">
            <w:pPr>
              <w:pStyle w:val="Tabletext1"/>
              <w:spacing w:before="0" w:after="0"/>
              <w:ind w:left="34"/>
            </w:pPr>
            <w:r>
              <w:t>$59,477</w:t>
            </w:r>
          </w:p>
        </w:tc>
        <w:tc>
          <w:tcPr>
            <w:tcW w:w="1134" w:type="dxa"/>
            <w:tcBorders>
              <w:top w:val="single" w:sz="4" w:space="0" w:color="auto"/>
              <w:left w:val="single" w:sz="4" w:space="0" w:color="auto"/>
              <w:bottom w:val="single" w:sz="4" w:space="0" w:color="auto"/>
              <w:right w:val="single" w:sz="4" w:space="0" w:color="auto"/>
            </w:tcBorders>
            <w:hideMark/>
          </w:tcPr>
          <w:p w14:paraId="149C6823" w14:textId="77777777" w:rsidR="00761439" w:rsidRDefault="00761439" w:rsidP="00D22060">
            <w:pPr>
              <w:pStyle w:val="Tabletext1"/>
              <w:spacing w:before="0" w:after="0"/>
              <w:ind w:left="34"/>
            </w:pPr>
            <w:r>
              <w:t>$59,535</w:t>
            </w:r>
          </w:p>
        </w:tc>
        <w:tc>
          <w:tcPr>
            <w:tcW w:w="1134" w:type="dxa"/>
            <w:tcBorders>
              <w:top w:val="single" w:sz="4" w:space="0" w:color="auto"/>
              <w:left w:val="single" w:sz="4" w:space="0" w:color="auto"/>
              <w:bottom w:val="single" w:sz="4" w:space="0" w:color="auto"/>
              <w:right w:val="single" w:sz="4" w:space="0" w:color="auto"/>
            </w:tcBorders>
            <w:hideMark/>
          </w:tcPr>
          <w:p w14:paraId="4F53CD12" w14:textId="77777777" w:rsidR="00761439" w:rsidRDefault="00761439" w:rsidP="00D22060">
            <w:pPr>
              <w:pStyle w:val="Tabletext1"/>
              <w:spacing w:before="0" w:after="0"/>
              <w:ind w:left="34"/>
            </w:pPr>
            <w:r>
              <w:t>$297,089</w:t>
            </w:r>
          </w:p>
        </w:tc>
      </w:tr>
    </w:tbl>
    <w:p w14:paraId="1E108B96" w14:textId="7BC7AA0B" w:rsidR="00761439" w:rsidRDefault="00761439" w:rsidP="00607722">
      <w:pPr>
        <w:pStyle w:val="Tablenotes0"/>
      </w:pPr>
      <w:r>
        <w:t>Source: Table 12, pg 47 of MSAC 1629 DCAR</w:t>
      </w:r>
    </w:p>
    <w:p w14:paraId="7F7043ED" w14:textId="6FE9B106" w:rsidR="00066A6C" w:rsidRDefault="00066A6C" w:rsidP="00607722">
      <w:pPr>
        <w:pStyle w:val="Tablenotes0"/>
        <w:rPr>
          <w:szCs w:val="18"/>
        </w:rPr>
      </w:pPr>
      <w:r>
        <w:t>Abbreviations: DAC</w:t>
      </w:r>
      <w:r w:rsidR="00D62E94">
        <w:t>+</w:t>
      </w:r>
      <w:r w:rsidR="00FF140A">
        <w:t>abs</w:t>
      </w:r>
      <w:r>
        <w:t>= Defensive Antibacterial Coating</w:t>
      </w:r>
      <w:r w:rsidR="00FF140A">
        <w:t xml:space="preserve"> loaded with antibiotics</w:t>
      </w:r>
      <w:r>
        <w:t xml:space="preserve">, </w:t>
      </w:r>
      <w:r>
        <w:rPr>
          <w:szCs w:val="18"/>
        </w:rPr>
        <w:t>MBS= Medicare benefits Schedule; PBS=Pharmaceutical benefits Schedule</w:t>
      </w:r>
    </w:p>
    <w:p w14:paraId="10EAE412" w14:textId="77777777" w:rsidR="00066A6C" w:rsidRDefault="00066A6C" w:rsidP="00607722">
      <w:pPr>
        <w:pStyle w:val="Tablenotes0"/>
      </w:pPr>
      <w:r>
        <w:rPr>
          <w:vertAlign w:val="superscript"/>
        </w:rPr>
        <w:t xml:space="preserve">a </w:t>
      </w:r>
      <w:r w:rsidRPr="00394BBE">
        <w:t>Estimated based on AOANJRR Annual report 2020</w:t>
      </w:r>
    </w:p>
    <w:p w14:paraId="1E3C3B84" w14:textId="462863DB" w:rsidR="00066A6C" w:rsidRDefault="00066A6C" w:rsidP="00607722">
      <w:pPr>
        <w:pStyle w:val="Tablenotes0"/>
      </w:pPr>
      <w:r w:rsidRPr="006107B8">
        <w:rPr>
          <w:vertAlign w:val="superscript"/>
        </w:rPr>
        <w:t>b</w:t>
      </w:r>
      <w:r>
        <w:rPr>
          <w:vertAlign w:val="superscript"/>
        </w:rPr>
        <w:t xml:space="preserve"> </w:t>
      </w:r>
      <w:r>
        <w:t xml:space="preserve">Cost to private health insurance is due to </w:t>
      </w:r>
      <w:r w:rsidR="003B7856">
        <w:t xml:space="preserve">the </w:t>
      </w:r>
      <w:r>
        <w:t xml:space="preserve">acquisition of DAC kits. These costs were obtained as the product of </w:t>
      </w:r>
      <w:r w:rsidR="003B7856">
        <w:t xml:space="preserve">the </w:t>
      </w:r>
      <w:r>
        <w:t xml:space="preserve">assumed number of private patients * </w:t>
      </w:r>
      <w:r w:rsidR="003B7856">
        <w:t xml:space="preserve">the </w:t>
      </w:r>
      <w:r>
        <w:t xml:space="preserve">number of kits required per surgical procedure * unit cost of DAC 5ml. The number of kits per surgical procedure was estimated to be </w:t>
      </w:r>
      <w:r w:rsidR="00CA1410">
        <w:rPr>
          <w:b/>
          <w:bCs/>
        </w:rPr>
        <w:t>redacted</w:t>
      </w:r>
      <w:r>
        <w:t xml:space="preserve"> for Popula</w:t>
      </w:r>
      <w:r w:rsidR="003B7856">
        <w:t>t</w:t>
      </w:r>
      <w:r>
        <w:t xml:space="preserve">ion 1 (knee). </w:t>
      </w:r>
      <w:r w:rsidRPr="00BF08AC">
        <w:t xml:space="preserve">Further, </w:t>
      </w:r>
      <w:r w:rsidR="003B7856">
        <w:t xml:space="preserve">the </w:t>
      </w:r>
      <w:r w:rsidRPr="00BF08AC">
        <w:t>unit cost of DAC 5ml was $</w:t>
      </w:r>
      <w:r w:rsidR="00270D7C">
        <w:rPr>
          <w:b/>
          <w:bCs/>
        </w:rPr>
        <w:t>redacted</w:t>
      </w:r>
      <w:r w:rsidRPr="00BF08AC">
        <w:t>.</w:t>
      </w:r>
    </w:p>
    <w:p w14:paraId="07C3FA8B" w14:textId="168BAB8B" w:rsidR="00066A6C" w:rsidRPr="00BF08AC" w:rsidRDefault="00066A6C" w:rsidP="00A94954">
      <w:pPr>
        <w:pStyle w:val="Tablenotes0"/>
      </w:pPr>
      <w:r w:rsidRPr="00BF08AC">
        <w:t>c Financial implication to MBS was due to costs associated with extra time required to prepare and apply the DAC</w:t>
      </w:r>
      <w:r w:rsidR="00FF140A">
        <w:t>+antibiotics</w:t>
      </w:r>
      <w:r w:rsidRPr="00BF08AC">
        <w:t xml:space="preserve">. </w:t>
      </w:r>
      <w:r w:rsidR="003B7856">
        <w:t>The e</w:t>
      </w:r>
      <w:r w:rsidRPr="00BF08AC">
        <w:t>stimated cost of extra time per procedure was $</w:t>
      </w:r>
      <w:r w:rsidR="002A6DEE">
        <w:rPr>
          <w:b/>
          <w:bCs/>
        </w:rPr>
        <w:t>redacted</w:t>
      </w:r>
      <w:r w:rsidR="002A6DEE" w:rsidRPr="00BF08AC">
        <w:t xml:space="preserve"> </w:t>
      </w:r>
      <w:r w:rsidRPr="00BF08AC">
        <w:t xml:space="preserve">for Population 1 (knee). </w:t>
      </w:r>
    </w:p>
    <w:p w14:paraId="046F53D5" w14:textId="5604D39F" w:rsidR="00066A6C" w:rsidRPr="00BF08AC" w:rsidRDefault="00066A6C" w:rsidP="00A94954">
      <w:pPr>
        <w:pStyle w:val="Tablenotes0"/>
      </w:pPr>
      <w:r w:rsidRPr="00BF08AC">
        <w:t xml:space="preserve">d Financial implication to PBS was due to costs associated with </w:t>
      </w:r>
      <w:r w:rsidR="003B7856">
        <w:t xml:space="preserve">the </w:t>
      </w:r>
      <w:r w:rsidRPr="00BF08AC">
        <w:t xml:space="preserve">cost of antibiotics for preloading DAC. </w:t>
      </w:r>
      <w:r w:rsidR="00CA1410">
        <w:t>T</w:t>
      </w:r>
      <w:r w:rsidR="00FF140A">
        <w:t>he estimated</w:t>
      </w:r>
      <w:r w:rsidRPr="00BF08AC">
        <w:t xml:space="preserve"> cost per procedure for Population 1(knee) was </w:t>
      </w:r>
      <w:r w:rsidR="002A6DEE">
        <w:t>$</w:t>
      </w:r>
      <w:r w:rsidR="002A6DEE">
        <w:rPr>
          <w:b/>
          <w:bCs/>
        </w:rPr>
        <w:t>redacted</w:t>
      </w:r>
      <w:r w:rsidRPr="00BF08AC">
        <w:t xml:space="preserve">. </w:t>
      </w:r>
    </w:p>
    <w:p w14:paraId="31E81B58" w14:textId="46B8098C" w:rsidR="00066A6C" w:rsidRDefault="00066A6C" w:rsidP="00FC3571">
      <w:pPr>
        <w:pStyle w:val="Tablenotes0"/>
      </w:pPr>
      <w:r>
        <w:rPr>
          <w:vertAlign w:val="superscript"/>
        </w:rPr>
        <w:t>e</w:t>
      </w:r>
      <w:r>
        <w:t xml:space="preserve"> Cost to the Government = Cost to MBS + Cost to PBS</w:t>
      </w:r>
    </w:p>
    <w:p w14:paraId="306DD4D6" w14:textId="77777777" w:rsidR="00066A6C" w:rsidRPr="00D201BA" w:rsidRDefault="00066A6C" w:rsidP="00FC3571">
      <w:pPr>
        <w:pStyle w:val="ExecSummHeading3"/>
      </w:pPr>
      <w:bookmarkStart w:id="116" w:name="_Toc112076494"/>
      <w:r w:rsidRPr="00D201BA">
        <w:t>Population 2</w:t>
      </w:r>
      <w:bookmarkEnd w:id="116"/>
    </w:p>
    <w:p w14:paraId="518494E6" w14:textId="6F1190FC" w:rsidR="00066A6C" w:rsidRPr="00D201BA" w:rsidRDefault="00066A6C" w:rsidP="00FC3571">
      <w:pPr>
        <w:pStyle w:val="Execsummnormal"/>
      </w:pPr>
      <w:r w:rsidRPr="00D201BA">
        <w:t>The estimated cost to private health insurance was $</w:t>
      </w:r>
      <w:r w:rsidR="00CA1410" w:rsidRPr="00CA1410">
        <w:rPr>
          <w:b/>
          <w:bCs/>
        </w:rPr>
        <w:t xml:space="preserve"> </w:t>
      </w:r>
      <w:r w:rsidR="00CA1410">
        <w:rPr>
          <w:b/>
          <w:bCs/>
        </w:rPr>
        <w:t>redacted</w:t>
      </w:r>
      <w:r w:rsidR="00CA1410" w:rsidRPr="00D201BA">
        <w:t xml:space="preserve"> </w:t>
      </w:r>
      <w:r w:rsidRPr="00D201BA">
        <w:t xml:space="preserve"> in </w:t>
      </w:r>
      <w:r w:rsidR="00FF140A">
        <w:t>Year 1</w:t>
      </w:r>
      <w:r w:rsidR="00FF140A" w:rsidRPr="00D201BA">
        <w:t xml:space="preserve"> </w:t>
      </w:r>
      <w:r w:rsidRPr="00D201BA">
        <w:t xml:space="preserve">and is expected to remain approximately steady </w:t>
      </w:r>
      <w:r w:rsidR="003B7856" w:rsidRPr="00D201BA">
        <w:t xml:space="preserve">until </w:t>
      </w:r>
      <w:r w:rsidR="00FF140A">
        <w:t>Year 5</w:t>
      </w:r>
      <w:r w:rsidRPr="00D201BA">
        <w:t>, with a total cost of $</w:t>
      </w:r>
      <w:r w:rsidR="00CA1410" w:rsidRPr="00CA1410">
        <w:rPr>
          <w:b/>
          <w:bCs/>
        </w:rPr>
        <w:t xml:space="preserve"> </w:t>
      </w:r>
      <w:r w:rsidR="00CA1410">
        <w:rPr>
          <w:b/>
          <w:bCs/>
        </w:rPr>
        <w:t>redacted</w:t>
      </w:r>
      <w:r w:rsidR="00CA1410" w:rsidRPr="00D201BA">
        <w:t xml:space="preserve"> </w:t>
      </w:r>
      <w:r w:rsidRPr="00D201BA">
        <w:t xml:space="preserve"> over five years.</w:t>
      </w:r>
    </w:p>
    <w:p w14:paraId="66510DC0" w14:textId="66E68F3F" w:rsidR="00066A6C" w:rsidRPr="00D201BA" w:rsidRDefault="00066A6C" w:rsidP="00761439">
      <w:pPr>
        <w:pStyle w:val="Execsummnormal"/>
      </w:pPr>
      <w:r w:rsidRPr="00D201BA">
        <w:t xml:space="preserve">The financial implication to the MBS was $25,600 in </w:t>
      </w:r>
      <w:r w:rsidR="00FF140A">
        <w:t>Year 1</w:t>
      </w:r>
      <w:r w:rsidRPr="00D201BA">
        <w:t xml:space="preserve">, which remained approximately steady until </w:t>
      </w:r>
      <w:r w:rsidR="00FF140A">
        <w:t>Year 5</w:t>
      </w:r>
      <w:r w:rsidRPr="00D201BA">
        <w:t>. The total financial implication to the MBS was estimated to be $129,500 (</w:t>
      </w:r>
      <w:r w:rsidRPr="00D201BA">
        <w:fldChar w:fldCharType="begin"/>
      </w:r>
      <w:r w:rsidRPr="00D201BA">
        <w:instrText xml:space="preserve"> REF _Ref71701521 \h </w:instrText>
      </w:r>
      <w:r w:rsidR="00D201BA">
        <w:instrText xml:space="preserve"> \* MERGEFORMAT </w:instrText>
      </w:r>
      <w:r w:rsidRPr="00D201BA">
        <w:fldChar w:fldCharType="separate"/>
      </w:r>
      <w:r w:rsidR="000E6255">
        <w:t xml:space="preserve">Table </w:t>
      </w:r>
      <w:r w:rsidR="000E6255">
        <w:rPr>
          <w:noProof/>
        </w:rPr>
        <w:t>14</w:t>
      </w:r>
      <w:r w:rsidRPr="00D201BA">
        <w:fldChar w:fldCharType="end"/>
      </w:r>
      <w:r w:rsidRPr="00D201BA">
        <w:t>).</w:t>
      </w:r>
    </w:p>
    <w:p w14:paraId="4E89628E" w14:textId="361260F1" w:rsidR="00066A6C" w:rsidRDefault="00066A6C" w:rsidP="00A32CC1">
      <w:pPr>
        <w:pStyle w:val="Caption"/>
        <w:keepNext/>
      </w:pPr>
      <w:bookmarkStart w:id="117" w:name="_Ref71701521"/>
      <w:bookmarkStart w:id="118" w:name="_Toc71718461"/>
      <w:bookmarkStart w:id="119" w:name="_Toc112076630"/>
      <w:r>
        <w:lastRenderedPageBreak/>
        <w:t xml:space="preserve">Table </w:t>
      </w:r>
      <w:r w:rsidR="00000000">
        <w:fldChar w:fldCharType="begin"/>
      </w:r>
      <w:r w:rsidR="00000000">
        <w:instrText xml:space="preserve"> SEQ Table \* ARABIC </w:instrText>
      </w:r>
      <w:r w:rsidR="00000000">
        <w:fldChar w:fldCharType="separate"/>
      </w:r>
      <w:r w:rsidR="000E6255">
        <w:rPr>
          <w:noProof/>
        </w:rPr>
        <w:t>14</w:t>
      </w:r>
      <w:r w:rsidR="00000000">
        <w:rPr>
          <w:noProof/>
        </w:rPr>
        <w:fldChar w:fldCharType="end"/>
      </w:r>
      <w:bookmarkEnd w:id="117"/>
      <w:r>
        <w:tab/>
        <w:t>Estimated number of Population 2 that are likely to receive the DAC</w:t>
      </w:r>
      <w:r w:rsidR="00FF140A">
        <w:t>+antibiotics</w:t>
      </w:r>
      <w:r>
        <w:t xml:space="preserve"> and the total financial implication to private health insurance, MBS, PBS, and the Government</w:t>
      </w:r>
      <w:bookmarkEnd w:id="118"/>
      <w:bookmarkEnd w:id="119"/>
      <w:r>
        <w:t xml:space="preserve"> </w:t>
      </w:r>
    </w:p>
    <w:tbl>
      <w:tblPr>
        <w:tblStyle w:val="TableGrid"/>
        <w:tblW w:w="0" w:type="auto"/>
        <w:tblLayout w:type="fixed"/>
        <w:tblLook w:val="04A0" w:firstRow="1" w:lastRow="0" w:firstColumn="1" w:lastColumn="0" w:noHBand="0" w:noVBand="1"/>
        <w:tblCaption w:val="Estimated number of Population 2 that are likely to receive the DAC and the total financial implication to private health insurance, MBS, PBS and the Government"/>
        <w:tblDescription w:val="This table includes the stimated number of Population 2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263"/>
        <w:gridCol w:w="1040"/>
        <w:gridCol w:w="1122"/>
        <w:gridCol w:w="1063"/>
        <w:gridCol w:w="1146"/>
        <w:gridCol w:w="1086"/>
        <w:gridCol w:w="1134"/>
      </w:tblGrid>
      <w:tr w:rsidR="00C7107D" w14:paraId="639F0E05" w14:textId="77777777" w:rsidTr="00C7107D">
        <w:tc>
          <w:tcPr>
            <w:tcW w:w="2263" w:type="dxa"/>
            <w:tcBorders>
              <w:top w:val="single" w:sz="4" w:space="0" w:color="auto"/>
              <w:left w:val="single" w:sz="4" w:space="0" w:color="auto"/>
              <w:bottom w:val="single" w:sz="4" w:space="0" w:color="auto"/>
              <w:right w:val="single" w:sz="4" w:space="0" w:color="auto"/>
            </w:tcBorders>
            <w:vAlign w:val="center"/>
            <w:hideMark/>
          </w:tcPr>
          <w:p w14:paraId="7C5E0B70" w14:textId="77777777" w:rsidR="00761439" w:rsidRPr="00307E73" w:rsidRDefault="00761439" w:rsidP="00A32CC1">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1040" w:type="dxa"/>
            <w:tcBorders>
              <w:top w:val="single" w:sz="4" w:space="0" w:color="auto"/>
              <w:left w:val="single" w:sz="4" w:space="0" w:color="auto"/>
              <w:bottom w:val="single" w:sz="4" w:space="0" w:color="auto"/>
              <w:right w:val="single" w:sz="4" w:space="0" w:color="auto"/>
            </w:tcBorders>
            <w:hideMark/>
          </w:tcPr>
          <w:p w14:paraId="3EE9C6B1"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1</w:t>
            </w:r>
          </w:p>
        </w:tc>
        <w:tc>
          <w:tcPr>
            <w:tcW w:w="1122" w:type="dxa"/>
            <w:tcBorders>
              <w:top w:val="single" w:sz="4" w:space="0" w:color="auto"/>
              <w:left w:val="single" w:sz="4" w:space="0" w:color="auto"/>
              <w:bottom w:val="single" w:sz="4" w:space="0" w:color="auto"/>
              <w:right w:val="single" w:sz="4" w:space="0" w:color="auto"/>
            </w:tcBorders>
            <w:hideMark/>
          </w:tcPr>
          <w:p w14:paraId="297849A5"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1063" w:type="dxa"/>
            <w:tcBorders>
              <w:top w:val="single" w:sz="4" w:space="0" w:color="auto"/>
              <w:left w:val="single" w:sz="4" w:space="0" w:color="auto"/>
              <w:bottom w:val="single" w:sz="4" w:space="0" w:color="auto"/>
              <w:right w:val="single" w:sz="4" w:space="0" w:color="auto"/>
            </w:tcBorders>
            <w:hideMark/>
          </w:tcPr>
          <w:p w14:paraId="06AE1483"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3</w:t>
            </w:r>
          </w:p>
        </w:tc>
        <w:tc>
          <w:tcPr>
            <w:tcW w:w="1146" w:type="dxa"/>
            <w:tcBorders>
              <w:top w:val="single" w:sz="4" w:space="0" w:color="auto"/>
              <w:left w:val="single" w:sz="4" w:space="0" w:color="auto"/>
              <w:bottom w:val="single" w:sz="4" w:space="0" w:color="auto"/>
              <w:right w:val="single" w:sz="4" w:space="0" w:color="auto"/>
            </w:tcBorders>
            <w:hideMark/>
          </w:tcPr>
          <w:p w14:paraId="5F55A9B3"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4</w:t>
            </w:r>
          </w:p>
        </w:tc>
        <w:tc>
          <w:tcPr>
            <w:tcW w:w="1086" w:type="dxa"/>
            <w:tcBorders>
              <w:top w:val="single" w:sz="4" w:space="0" w:color="auto"/>
              <w:left w:val="single" w:sz="4" w:space="0" w:color="auto"/>
              <w:bottom w:val="single" w:sz="4" w:space="0" w:color="auto"/>
              <w:right w:val="single" w:sz="4" w:space="0" w:color="auto"/>
            </w:tcBorders>
            <w:hideMark/>
          </w:tcPr>
          <w:p w14:paraId="745C1622"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5</w:t>
            </w:r>
          </w:p>
        </w:tc>
        <w:tc>
          <w:tcPr>
            <w:tcW w:w="1134" w:type="dxa"/>
            <w:tcBorders>
              <w:top w:val="single" w:sz="4" w:space="0" w:color="auto"/>
              <w:left w:val="single" w:sz="4" w:space="0" w:color="auto"/>
              <w:bottom w:val="single" w:sz="4" w:space="0" w:color="auto"/>
              <w:right w:val="single" w:sz="4" w:space="0" w:color="auto"/>
            </w:tcBorders>
            <w:hideMark/>
          </w:tcPr>
          <w:p w14:paraId="0BCA1BF4" w14:textId="77777777" w:rsidR="00761439" w:rsidRPr="00307E73" w:rsidRDefault="00761439" w:rsidP="00A32CC1">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C7107D" w14:paraId="7884E3D1" w14:textId="77777777" w:rsidTr="00C7107D">
        <w:tc>
          <w:tcPr>
            <w:tcW w:w="2263" w:type="dxa"/>
            <w:tcBorders>
              <w:top w:val="single" w:sz="4" w:space="0" w:color="auto"/>
              <w:left w:val="single" w:sz="4" w:space="0" w:color="auto"/>
              <w:bottom w:val="single" w:sz="4" w:space="0" w:color="auto"/>
              <w:right w:val="single" w:sz="4" w:space="0" w:color="auto"/>
            </w:tcBorders>
            <w:vAlign w:val="center"/>
            <w:hideMark/>
          </w:tcPr>
          <w:p w14:paraId="67E9C05D" w14:textId="77777777" w:rsidR="00761439" w:rsidRDefault="00761439" w:rsidP="00A32CC1">
            <w:pPr>
              <w:pStyle w:val="Tabletext1"/>
              <w:keepNext/>
              <w:spacing w:before="0" w:after="0"/>
              <w:ind w:left="34"/>
            </w:pPr>
            <w:r>
              <w:t>Eligible population size</w:t>
            </w:r>
          </w:p>
        </w:tc>
        <w:tc>
          <w:tcPr>
            <w:tcW w:w="1040" w:type="dxa"/>
            <w:tcBorders>
              <w:top w:val="single" w:sz="4" w:space="0" w:color="auto"/>
              <w:left w:val="single" w:sz="4" w:space="0" w:color="auto"/>
              <w:bottom w:val="single" w:sz="4" w:space="0" w:color="auto"/>
              <w:right w:val="single" w:sz="4" w:space="0" w:color="auto"/>
            </w:tcBorders>
            <w:hideMark/>
          </w:tcPr>
          <w:p w14:paraId="0D8594DE" w14:textId="0FF41806" w:rsidR="00761439" w:rsidRDefault="00CA1410" w:rsidP="00A32CC1">
            <w:pPr>
              <w:pStyle w:val="Tabletext1"/>
              <w:keepNext/>
              <w:spacing w:before="0" w:after="0"/>
              <w:ind w:left="34"/>
            </w:pPr>
            <w:r>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58ACBD66" w14:textId="224A570D" w:rsidR="00761439" w:rsidRDefault="00CA1410" w:rsidP="00A32CC1">
            <w:pPr>
              <w:pStyle w:val="Tabletext1"/>
              <w:keepNext/>
              <w:spacing w:before="0" w:after="0"/>
              <w:ind w:left="34"/>
            </w:pPr>
            <w:r>
              <w:rPr>
                <w:b/>
                <w:bCs/>
              </w:rPr>
              <w:t>redacted</w:t>
            </w:r>
          </w:p>
        </w:tc>
        <w:tc>
          <w:tcPr>
            <w:tcW w:w="1063" w:type="dxa"/>
            <w:tcBorders>
              <w:top w:val="single" w:sz="4" w:space="0" w:color="auto"/>
              <w:left w:val="single" w:sz="4" w:space="0" w:color="auto"/>
              <w:bottom w:val="single" w:sz="4" w:space="0" w:color="auto"/>
              <w:right w:val="single" w:sz="4" w:space="0" w:color="auto"/>
            </w:tcBorders>
            <w:hideMark/>
          </w:tcPr>
          <w:p w14:paraId="75EAC718" w14:textId="18FA6265" w:rsidR="00761439" w:rsidRDefault="00CA1410" w:rsidP="00A32CC1">
            <w:pPr>
              <w:pStyle w:val="Tabletext1"/>
              <w:keepNext/>
              <w:spacing w:before="0" w:after="0"/>
              <w:ind w:left="34"/>
            </w:pPr>
            <w:r>
              <w:rPr>
                <w:b/>
                <w:bCs/>
              </w:rPr>
              <w:t>redacted</w:t>
            </w:r>
          </w:p>
        </w:tc>
        <w:tc>
          <w:tcPr>
            <w:tcW w:w="1146" w:type="dxa"/>
            <w:tcBorders>
              <w:top w:val="single" w:sz="4" w:space="0" w:color="auto"/>
              <w:left w:val="single" w:sz="4" w:space="0" w:color="auto"/>
              <w:bottom w:val="single" w:sz="4" w:space="0" w:color="auto"/>
              <w:right w:val="single" w:sz="4" w:space="0" w:color="auto"/>
            </w:tcBorders>
            <w:hideMark/>
          </w:tcPr>
          <w:p w14:paraId="4AE4EA24" w14:textId="589D79E8" w:rsidR="00761439" w:rsidRDefault="00CA1410" w:rsidP="00A32CC1">
            <w:pPr>
              <w:pStyle w:val="Tabletext1"/>
              <w:keepNext/>
              <w:spacing w:before="0" w:after="0"/>
              <w:ind w:left="34"/>
            </w:pPr>
            <w:r>
              <w:rPr>
                <w:b/>
                <w:bCs/>
              </w:rPr>
              <w:t>redacted</w:t>
            </w:r>
          </w:p>
        </w:tc>
        <w:tc>
          <w:tcPr>
            <w:tcW w:w="1086" w:type="dxa"/>
            <w:tcBorders>
              <w:top w:val="single" w:sz="4" w:space="0" w:color="auto"/>
              <w:left w:val="single" w:sz="4" w:space="0" w:color="auto"/>
              <w:bottom w:val="single" w:sz="4" w:space="0" w:color="auto"/>
              <w:right w:val="single" w:sz="4" w:space="0" w:color="auto"/>
            </w:tcBorders>
            <w:hideMark/>
          </w:tcPr>
          <w:p w14:paraId="4AF73BD2" w14:textId="2C5AA27B" w:rsidR="00761439" w:rsidRDefault="00CA1410" w:rsidP="00A32CC1">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9BED1D7" w14:textId="2C18236C" w:rsidR="00761439" w:rsidRDefault="00CA1410" w:rsidP="00A32CC1">
            <w:pPr>
              <w:pStyle w:val="Tabletext1"/>
              <w:keepNext/>
              <w:spacing w:before="0" w:after="0"/>
              <w:ind w:left="34"/>
            </w:pPr>
            <w:r>
              <w:rPr>
                <w:b/>
                <w:bCs/>
              </w:rPr>
              <w:t>redacted</w:t>
            </w:r>
          </w:p>
        </w:tc>
      </w:tr>
      <w:tr w:rsidR="00C7107D" w14:paraId="6D9337AD" w14:textId="77777777" w:rsidTr="00C7107D">
        <w:tc>
          <w:tcPr>
            <w:tcW w:w="2263" w:type="dxa"/>
            <w:tcBorders>
              <w:top w:val="single" w:sz="4" w:space="0" w:color="auto"/>
              <w:left w:val="single" w:sz="4" w:space="0" w:color="auto"/>
              <w:bottom w:val="single" w:sz="4" w:space="0" w:color="auto"/>
              <w:right w:val="single" w:sz="4" w:space="0" w:color="auto"/>
            </w:tcBorders>
            <w:hideMark/>
          </w:tcPr>
          <w:p w14:paraId="1D24CA68" w14:textId="77777777" w:rsidR="00761439" w:rsidRDefault="00761439" w:rsidP="00A32CC1">
            <w:pPr>
              <w:pStyle w:val="Tabletext1"/>
              <w:keepNext/>
              <w:spacing w:before="0" w:after="0"/>
              <w:ind w:left="34"/>
            </w:pPr>
            <w:r>
              <w:t>Number of patients eligible in private setting (63.96%)</w:t>
            </w:r>
            <w:r>
              <w:rPr>
                <w:vertAlign w:val="superscript"/>
              </w:rPr>
              <w:t>a</w:t>
            </w:r>
          </w:p>
        </w:tc>
        <w:tc>
          <w:tcPr>
            <w:tcW w:w="1040" w:type="dxa"/>
            <w:tcBorders>
              <w:top w:val="single" w:sz="4" w:space="0" w:color="auto"/>
              <w:left w:val="single" w:sz="4" w:space="0" w:color="auto"/>
              <w:bottom w:val="single" w:sz="4" w:space="0" w:color="auto"/>
              <w:right w:val="single" w:sz="4" w:space="0" w:color="auto"/>
            </w:tcBorders>
            <w:hideMark/>
          </w:tcPr>
          <w:p w14:paraId="2775A677" w14:textId="3513BECD" w:rsidR="00761439" w:rsidRDefault="00CA1410" w:rsidP="00A32CC1">
            <w:pPr>
              <w:pStyle w:val="Tabletext1"/>
              <w:keepNext/>
              <w:spacing w:before="0" w:after="0"/>
              <w:ind w:left="34"/>
            </w:pPr>
            <w:r>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677FDCEC" w14:textId="518B8CC6" w:rsidR="00761439" w:rsidRDefault="00CA1410" w:rsidP="00A32CC1">
            <w:pPr>
              <w:pStyle w:val="Tabletext1"/>
              <w:keepNext/>
              <w:spacing w:before="0" w:after="0"/>
              <w:ind w:left="34"/>
            </w:pPr>
            <w:r>
              <w:rPr>
                <w:b/>
                <w:bCs/>
              </w:rPr>
              <w:t>redacted</w:t>
            </w:r>
          </w:p>
        </w:tc>
        <w:tc>
          <w:tcPr>
            <w:tcW w:w="1063" w:type="dxa"/>
            <w:tcBorders>
              <w:top w:val="single" w:sz="4" w:space="0" w:color="auto"/>
              <w:left w:val="single" w:sz="4" w:space="0" w:color="auto"/>
              <w:bottom w:val="single" w:sz="4" w:space="0" w:color="auto"/>
              <w:right w:val="single" w:sz="4" w:space="0" w:color="auto"/>
            </w:tcBorders>
            <w:hideMark/>
          </w:tcPr>
          <w:p w14:paraId="2F4B44B1" w14:textId="71A45AA6" w:rsidR="00761439" w:rsidRDefault="00CA1410" w:rsidP="00A32CC1">
            <w:pPr>
              <w:pStyle w:val="Tabletext1"/>
              <w:keepNext/>
              <w:spacing w:before="0" w:after="0"/>
              <w:ind w:left="34"/>
            </w:pPr>
            <w:r>
              <w:rPr>
                <w:b/>
                <w:bCs/>
              </w:rPr>
              <w:t>redacted</w:t>
            </w:r>
          </w:p>
        </w:tc>
        <w:tc>
          <w:tcPr>
            <w:tcW w:w="1146" w:type="dxa"/>
            <w:tcBorders>
              <w:top w:val="single" w:sz="4" w:space="0" w:color="auto"/>
              <w:left w:val="single" w:sz="4" w:space="0" w:color="auto"/>
              <w:bottom w:val="single" w:sz="4" w:space="0" w:color="auto"/>
              <w:right w:val="single" w:sz="4" w:space="0" w:color="auto"/>
            </w:tcBorders>
            <w:hideMark/>
          </w:tcPr>
          <w:p w14:paraId="759716E9" w14:textId="49368086" w:rsidR="00761439" w:rsidRDefault="00CA1410" w:rsidP="00A32CC1">
            <w:pPr>
              <w:pStyle w:val="Tabletext1"/>
              <w:keepNext/>
              <w:spacing w:before="0" w:after="0"/>
              <w:ind w:left="34"/>
            </w:pPr>
            <w:r>
              <w:rPr>
                <w:b/>
                <w:bCs/>
              </w:rPr>
              <w:t>redacted</w:t>
            </w:r>
          </w:p>
        </w:tc>
        <w:tc>
          <w:tcPr>
            <w:tcW w:w="1086" w:type="dxa"/>
            <w:tcBorders>
              <w:top w:val="single" w:sz="4" w:space="0" w:color="auto"/>
              <w:left w:val="single" w:sz="4" w:space="0" w:color="auto"/>
              <w:bottom w:val="single" w:sz="4" w:space="0" w:color="auto"/>
              <w:right w:val="single" w:sz="4" w:space="0" w:color="auto"/>
            </w:tcBorders>
            <w:hideMark/>
          </w:tcPr>
          <w:p w14:paraId="4056D5F7" w14:textId="4AED7603" w:rsidR="00761439" w:rsidRDefault="00CA1410" w:rsidP="00A32CC1">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5E5B3F2B" w14:textId="12D5290F" w:rsidR="00761439" w:rsidRDefault="00CA1410" w:rsidP="00A32CC1">
            <w:pPr>
              <w:pStyle w:val="Tabletext1"/>
              <w:keepNext/>
              <w:spacing w:before="0" w:after="0"/>
              <w:ind w:left="34"/>
            </w:pPr>
            <w:r>
              <w:rPr>
                <w:b/>
                <w:bCs/>
              </w:rPr>
              <w:t>redacted</w:t>
            </w:r>
          </w:p>
        </w:tc>
      </w:tr>
      <w:tr w:rsidR="00C7107D" w14:paraId="278BB5ED" w14:textId="77777777" w:rsidTr="00C7107D">
        <w:tc>
          <w:tcPr>
            <w:tcW w:w="2263" w:type="dxa"/>
            <w:tcBorders>
              <w:top w:val="single" w:sz="4" w:space="0" w:color="auto"/>
              <w:left w:val="single" w:sz="4" w:space="0" w:color="auto"/>
              <w:bottom w:val="single" w:sz="4" w:space="0" w:color="auto"/>
              <w:right w:val="single" w:sz="4" w:space="0" w:color="auto"/>
            </w:tcBorders>
            <w:hideMark/>
          </w:tcPr>
          <w:p w14:paraId="43CBC6A2" w14:textId="77777777" w:rsidR="00761439" w:rsidRDefault="00761439" w:rsidP="00A32CC1">
            <w:pPr>
              <w:pStyle w:val="Tabletext1"/>
              <w:keepNext/>
              <w:spacing w:before="0" w:after="0"/>
              <w:ind w:left="34"/>
            </w:pPr>
            <w:r>
              <w:t>Assumed uptake of DAC+abs (assumed 50% at base case)</w:t>
            </w:r>
          </w:p>
        </w:tc>
        <w:tc>
          <w:tcPr>
            <w:tcW w:w="1040" w:type="dxa"/>
            <w:tcBorders>
              <w:top w:val="single" w:sz="4" w:space="0" w:color="auto"/>
              <w:left w:val="single" w:sz="4" w:space="0" w:color="auto"/>
              <w:bottom w:val="single" w:sz="4" w:space="0" w:color="auto"/>
              <w:right w:val="single" w:sz="4" w:space="0" w:color="auto"/>
            </w:tcBorders>
            <w:hideMark/>
          </w:tcPr>
          <w:p w14:paraId="7B900625" w14:textId="1694E15E" w:rsidR="00761439" w:rsidRDefault="00CA1410" w:rsidP="00A32CC1">
            <w:pPr>
              <w:pStyle w:val="Tabletext1"/>
              <w:keepNext/>
              <w:spacing w:before="0" w:after="0"/>
              <w:ind w:left="34"/>
            </w:pPr>
            <w:r>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5F48BCB7" w14:textId="6896A079" w:rsidR="00761439" w:rsidRDefault="00CA1410" w:rsidP="00A32CC1">
            <w:pPr>
              <w:pStyle w:val="Tabletext1"/>
              <w:keepNext/>
              <w:spacing w:before="0" w:after="0"/>
              <w:ind w:left="34"/>
            </w:pPr>
            <w:r>
              <w:rPr>
                <w:b/>
                <w:bCs/>
              </w:rPr>
              <w:t>redacted</w:t>
            </w:r>
          </w:p>
        </w:tc>
        <w:tc>
          <w:tcPr>
            <w:tcW w:w="1063" w:type="dxa"/>
            <w:tcBorders>
              <w:top w:val="single" w:sz="4" w:space="0" w:color="auto"/>
              <w:left w:val="single" w:sz="4" w:space="0" w:color="auto"/>
              <w:bottom w:val="single" w:sz="4" w:space="0" w:color="auto"/>
              <w:right w:val="single" w:sz="4" w:space="0" w:color="auto"/>
            </w:tcBorders>
            <w:hideMark/>
          </w:tcPr>
          <w:p w14:paraId="047C9B51" w14:textId="75972D2D" w:rsidR="00761439" w:rsidRDefault="00CA1410" w:rsidP="00A32CC1">
            <w:pPr>
              <w:pStyle w:val="Tabletext1"/>
              <w:keepNext/>
              <w:spacing w:before="0" w:after="0"/>
              <w:ind w:left="34"/>
            </w:pPr>
            <w:r>
              <w:rPr>
                <w:b/>
                <w:bCs/>
              </w:rPr>
              <w:t>redacted</w:t>
            </w:r>
          </w:p>
        </w:tc>
        <w:tc>
          <w:tcPr>
            <w:tcW w:w="1146" w:type="dxa"/>
            <w:tcBorders>
              <w:top w:val="single" w:sz="4" w:space="0" w:color="auto"/>
              <w:left w:val="single" w:sz="4" w:space="0" w:color="auto"/>
              <w:bottom w:val="single" w:sz="4" w:space="0" w:color="auto"/>
              <w:right w:val="single" w:sz="4" w:space="0" w:color="auto"/>
            </w:tcBorders>
            <w:hideMark/>
          </w:tcPr>
          <w:p w14:paraId="3B5F15F1" w14:textId="43AD14C7" w:rsidR="00761439" w:rsidRDefault="00CA1410" w:rsidP="00A32CC1">
            <w:pPr>
              <w:pStyle w:val="Tabletext1"/>
              <w:keepNext/>
              <w:spacing w:before="0" w:after="0"/>
              <w:ind w:left="34"/>
            </w:pPr>
            <w:r>
              <w:rPr>
                <w:b/>
                <w:bCs/>
              </w:rPr>
              <w:t>redacted</w:t>
            </w:r>
          </w:p>
        </w:tc>
        <w:tc>
          <w:tcPr>
            <w:tcW w:w="1086" w:type="dxa"/>
            <w:tcBorders>
              <w:top w:val="single" w:sz="4" w:space="0" w:color="auto"/>
              <w:left w:val="single" w:sz="4" w:space="0" w:color="auto"/>
              <w:bottom w:val="single" w:sz="4" w:space="0" w:color="auto"/>
              <w:right w:val="single" w:sz="4" w:space="0" w:color="auto"/>
            </w:tcBorders>
            <w:hideMark/>
          </w:tcPr>
          <w:p w14:paraId="49D99C23" w14:textId="6202F2D4" w:rsidR="00761439" w:rsidRDefault="00CA1410" w:rsidP="00A32CC1">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3C47BF89" w14:textId="262A955F" w:rsidR="00761439" w:rsidRDefault="00CA1410" w:rsidP="00A32CC1">
            <w:pPr>
              <w:pStyle w:val="Tabletext1"/>
              <w:keepNext/>
              <w:spacing w:before="0" w:after="0"/>
              <w:ind w:left="34"/>
            </w:pPr>
            <w:r>
              <w:rPr>
                <w:b/>
                <w:bCs/>
              </w:rPr>
              <w:t>redacted</w:t>
            </w:r>
          </w:p>
        </w:tc>
      </w:tr>
      <w:tr w:rsidR="00C7107D" w14:paraId="51F3FA07" w14:textId="77777777" w:rsidTr="00C7107D">
        <w:tc>
          <w:tcPr>
            <w:tcW w:w="2263" w:type="dxa"/>
            <w:tcBorders>
              <w:top w:val="single" w:sz="4" w:space="0" w:color="auto"/>
              <w:left w:val="single" w:sz="4" w:space="0" w:color="auto"/>
              <w:bottom w:val="single" w:sz="4" w:space="0" w:color="auto"/>
              <w:right w:val="single" w:sz="4" w:space="0" w:color="auto"/>
            </w:tcBorders>
            <w:hideMark/>
          </w:tcPr>
          <w:p w14:paraId="35CEFFB1" w14:textId="77777777" w:rsidR="00761439" w:rsidRDefault="00761439" w:rsidP="00A32CC1">
            <w:pPr>
              <w:pStyle w:val="Tabletext1"/>
              <w:keepNext/>
              <w:spacing w:before="0" w:after="0"/>
              <w:ind w:left="34"/>
            </w:pPr>
            <w:r>
              <w:t>Cost to private health insurance</w:t>
            </w:r>
            <w:r w:rsidRPr="006107B8">
              <w:rPr>
                <w:vertAlign w:val="superscript"/>
              </w:rPr>
              <w:t>b</w:t>
            </w:r>
          </w:p>
        </w:tc>
        <w:tc>
          <w:tcPr>
            <w:tcW w:w="1040" w:type="dxa"/>
            <w:tcBorders>
              <w:top w:val="single" w:sz="4" w:space="0" w:color="auto"/>
              <w:left w:val="single" w:sz="4" w:space="0" w:color="auto"/>
              <w:bottom w:val="single" w:sz="4" w:space="0" w:color="auto"/>
              <w:right w:val="single" w:sz="4" w:space="0" w:color="auto"/>
            </w:tcBorders>
            <w:hideMark/>
          </w:tcPr>
          <w:p w14:paraId="613404C9" w14:textId="0697C391" w:rsidR="00761439" w:rsidRDefault="00761439" w:rsidP="00A32CC1">
            <w:pPr>
              <w:pStyle w:val="Tabletext1"/>
              <w:keepNext/>
              <w:spacing w:before="0" w:after="0"/>
              <w:ind w:left="34"/>
            </w:pPr>
            <w:r>
              <w:t>$</w:t>
            </w:r>
            <w:r w:rsidR="00CA1410">
              <w:rPr>
                <w:b/>
                <w:bCs/>
              </w:rPr>
              <w:t>redacted</w:t>
            </w:r>
          </w:p>
        </w:tc>
        <w:tc>
          <w:tcPr>
            <w:tcW w:w="1122" w:type="dxa"/>
            <w:tcBorders>
              <w:top w:val="single" w:sz="4" w:space="0" w:color="auto"/>
              <w:left w:val="single" w:sz="4" w:space="0" w:color="auto"/>
              <w:bottom w:val="single" w:sz="4" w:space="0" w:color="auto"/>
              <w:right w:val="single" w:sz="4" w:space="0" w:color="auto"/>
            </w:tcBorders>
            <w:hideMark/>
          </w:tcPr>
          <w:p w14:paraId="23A88AE8" w14:textId="073651BE" w:rsidR="00761439" w:rsidRDefault="00761439" w:rsidP="00A32CC1">
            <w:pPr>
              <w:pStyle w:val="Tabletext1"/>
              <w:keepNext/>
              <w:spacing w:before="0" w:after="0"/>
              <w:ind w:left="34"/>
            </w:pPr>
            <w:r>
              <w:t>$</w:t>
            </w:r>
            <w:r w:rsidR="00CA1410">
              <w:rPr>
                <w:b/>
                <w:bCs/>
              </w:rPr>
              <w:t>redacted</w:t>
            </w:r>
          </w:p>
        </w:tc>
        <w:tc>
          <w:tcPr>
            <w:tcW w:w="1063" w:type="dxa"/>
            <w:tcBorders>
              <w:top w:val="single" w:sz="4" w:space="0" w:color="auto"/>
              <w:left w:val="single" w:sz="4" w:space="0" w:color="auto"/>
              <w:bottom w:val="single" w:sz="4" w:space="0" w:color="auto"/>
              <w:right w:val="single" w:sz="4" w:space="0" w:color="auto"/>
            </w:tcBorders>
            <w:hideMark/>
          </w:tcPr>
          <w:p w14:paraId="13E5B1BD" w14:textId="49EAA51D" w:rsidR="00761439" w:rsidRDefault="00761439" w:rsidP="00A32CC1">
            <w:pPr>
              <w:pStyle w:val="Tabletext1"/>
              <w:keepNext/>
              <w:spacing w:before="0" w:after="0"/>
              <w:ind w:left="34"/>
            </w:pPr>
            <w:r>
              <w:t>$</w:t>
            </w:r>
            <w:r w:rsidR="00CA1410">
              <w:rPr>
                <w:b/>
                <w:bCs/>
              </w:rPr>
              <w:t>redacted</w:t>
            </w:r>
          </w:p>
        </w:tc>
        <w:tc>
          <w:tcPr>
            <w:tcW w:w="1146" w:type="dxa"/>
            <w:tcBorders>
              <w:top w:val="single" w:sz="4" w:space="0" w:color="auto"/>
              <w:left w:val="single" w:sz="4" w:space="0" w:color="auto"/>
              <w:bottom w:val="single" w:sz="4" w:space="0" w:color="auto"/>
              <w:right w:val="single" w:sz="4" w:space="0" w:color="auto"/>
            </w:tcBorders>
            <w:hideMark/>
          </w:tcPr>
          <w:p w14:paraId="6DE04FC3" w14:textId="49CD2120" w:rsidR="00761439" w:rsidRDefault="00761439" w:rsidP="00A32CC1">
            <w:pPr>
              <w:pStyle w:val="Tabletext1"/>
              <w:keepNext/>
              <w:spacing w:before="0" w:after="0"/>
              <w:ind w:left="34"/>
            </w:pPr>
            <w:r>
              <w:t>$</w:t>
            </w:r>
            <w:r w:rsidR="00CA1410">
              <w:rPr>
                <w:b/>
                <w:bCs/>
              </w:rPr>
              <w:t>redacted</w:t>
            </w:r>
          </w:p>
        </w:tc>
        <w:tc>
          <w:tcPr>
            <w:tcW w:w="1086" w:type="dxa"/>
            <w:tcBorders>
              <w:top w:val="single" w:sz="4" w:space="0" w:color="auto"/>
              <w:left w:val="single" w:sz="4" w:space="0" w:color="auto"/>
              <w:bottom w:val="single" w:sz="4" w:space="0" w:color="auto"/>
              <w:right w:val="single" w:sz="4" w:space="0" w:color="auto"/>
            </w:tcBorders>
            <w:hideMark/>
          </w:tcPr>
          <w:p w14:paraId="5160DD35" w14:textId="5D7CAF6D" w:rsidR="00761439" w:rsidRDefault="00761439" w:rsidP="00A32CC1">
            <w:pPr>
              <w:pStyle w:val="Tabletext1"/>
              <w:keepNext/>
              <w:spacing w:before="0" w:after="0"/>
              <w:ind w:left="34"/>
            </w:pPr>
            <w:r>
              <w:t>$</w:t>
            </w:r>
            <w:r w:rsidR="00CA1410">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C130D5A" w14:textId="1362CA88" w:rsidR="00761439" w:rsidRDefault="00761439" w:rsidP="00A32CC1">
            <w:pPr>
              <w:pStyle w:val="Tabletext1"/>
              <w:keepNext/>
              <w:spacing w:before="0" w:after="0"/>
              <w:ind w:left="34"/>
            </w:pPr>
            <w:r>
              <w:t>$</w:t>
            </w:r>
            <w:r w:rsidR="00CA1410">
              <w:rPr>
                <w:b/>
                <w:bCs/>
              </w:rPr>
              <w:t>redacted</w:t>
            </w:r>
          </w:p>
        </w:tc>
      </w:tr>
      <w:tr w:rsidR="00C7107D" w14:paraId="0484CDAE" w14:textId="77777777" w:rsidTr="00C7107D">
        <w:tc>
          <w:tcPr>
            <w:tcW w:w="2263" w:type="dxa"/>
            <w:tcBorders>
              <w:top w:val="single" w:sz="4" w:space="0" w:color="auto"/>
              <w:left w:val="single" w:sz="4" w:space="0" w:color="auto"/>
              <w:bottom w:val="single" w:sz="4" w:space="0" w:color="auto"/>
              <w:right w:val="single" w:sz="4" w:space="0" w:color="auto"/>
            </w:tcBorders>
            <w:hideMark/>
          </w:tcPr>
          <w:p w14:paraId="17CBD190" w14:textId="77777777" w:rsidR="00761439" w:rsidRDefault="00761439" w:rsidP="00A32CC1">
            <w:pPr>
              <w:pStyle w:val="Tabletext1"/>
              <w:keepNext/>
              <w:spacing w:before="0" w:after="0"/>
              <w:ind w:left="34"/>
            </w:pPr>
            <w:r>
              <w:t>Total financial implication to the MBS</w:t>
            </w:r>
            <w:r>
              <w:rPr>
                <w:vertAlign w:val="superscript"/>
              </w:rPr>
              <w:t>c</w:t>
            </w:r>
          </w:p>
        </w:tc>
        <w:tc>
          <w:tcPr>
            <w:tcW w:w="1040" w:type="dxa"/>
            <w:tcBorders>
              <w:top w:val="single" w:sz="4" w:space="0" w:color="auto"/>
              <w:left w:val="single" w:sz="4" w:space="0" w:color="auto"/>
              <w:bottom w:val="single" w:sz="4" w:space="0" w:color="auto"/>
              <w:right w:val="single" w:sz="4" w:space="0" w:color="auto"/>
            </w:tcBorders>
            <w:hideMark/>
          </w:tcPr>
          <w:p w14:paraId="01332DD3" w14:textId="77777777" w:rsidR="00761439" w:rsidRDefault="00761439" w:rsidP="00A32CC1">
            <w:pPr>
              <w:pStyle w:val="Tabletext1"/>
              <w:keepNext/>
              <w:spacing w:before="0" w:after="0"/>
              <w:ind w:left="34"/>
            </w:pPr>
            <w:r>
              <w:t>$25,587</w:t>
            </w:r>
          </w:p>
        </w:tc>
        <w:tc>
          <w:tcPr>
            <w:tcW w:w="1122" w:type="dxa"/>
            <w:tcBorders>
              <w:top w:val="single" w:sz="4" w:space="0" w:color="auto"/>
              <w:left w:val="single" w:sz="4" w:space="0" w:color="auto"/>
              <w:bottom w:val="single" w:sz="4" w:space="0" w:color="auto"/>
              <w:right w:val="single" w:sz="4" w:space="0" w:color="auto"/>
            </w:tcBorders>
            <w:hideMark/>
          </w:tcPr>
          <w:p w14:paraId="2371A716" w14:textId="77777777" w:rsidR="00761439" w:rsidRDefault="00761439" w:rsidP="00A32CC1">
            <w:pPr>
              <w:pStyle w:val="Tabletext1"/>
              <w:keepNext/>
              <w:spacing w:before="0" w:after="0"/>
              <w:ind w:left="34"/>
            </w:pPr>
            <w:r>
              <w:t>$25,743</w:t>
            </w:r>
          </w:p>
        </w:tc>
        <w:tc>
          <w:tcPr>
            <w:tcW w:w="1063" w:type="dxa"/>
            <w:tcBorders>
              <w:top w:val="single" w:sz="4" w:space="0" w:color="auto"/>
              <w:left w:val="single" w:sz="4" w:space="0" w:color="auto"/>
              <w:bottom w:val="single" w:sz="4" w:space="0" w:color="auto"/>
              <w:right w:val="single" w:sz="4" w:space="0" w:color="auto"/>
            </w:tcBorders>
            <w:hideMark/>
          </w:tcPr>
          <w:p w14:paraId="5A23A9A5" w14:textId="77777777" w:rsidR="00761439" w:rsidRDefault="00761439" w:rsidP="00A32CC1">
            <w:pPr>
              <w:pStyle w:val="Tabletext1"/>
              <w:keepNext/>
              <w:spacing w:before="0" w:after="0"/>
              <w:ind w:left="34"/>
            </w:pPr>
            <w:r>
              <w:t>$25,899</w:t>
            </w:r>
          </w:p>
        </w:tc>
        <w:tc>
          <w:tcPr>
            <w:tcW w:w="1146" w:type="dxa"/>
            <w:tcBorders>
              <w:top w:val="single" w:sz="4" w:space="0" w:color="auto"/>
              <w:left w:val="single" w:sz="4" w:space="0" w:color="auto"/>
              <w:bottom w:val="single" w:sz="4" w:space="0" w:color="auto"/>
              <w:right w:val="single" w:sz="4" w:space="0" w:color="auto"/>
            </w:tcBorders>
            <w:hideMark/>
          </w:tcPr>
          <w:p w14:paraId="252FFC31" w14:textId="77777777" w:rsidR="00761439" w:rsidRDefault="00761439" w:rsidP="00A32CC1">
            <w:pPr>
              <w:pStyle w:val="Tabletext1"/>
              <w:keepNext/>
              <w:spacing w:before="0" w:after="0"/>
              <w:ind w:left="34"/>
            </w:pPr>
            <w:r>
              <w:t>$26,057</w:t>
            </w:r>
          </w:p>
        </w:tc>
        <w:tc>
          <w:tcPr>
            <w:tcW w:w="1086" w:type="dxa"/>
            <w:tcBorders>
              <w:top w:val="single" w:sz="4" w:space="0" w:color="auto"/>
              <w:left w:val="single" w:sz="4" w:space="0" w:color="auto"/>
              <w:bottom w:val="single" w:sz="4" w:space="0" w:color="auto"/>
              <w:right w:val="single" w:sz="4" w:space="0" w:color="auto"/>
            </w:tcBorders>
            <w:hideMark/>
          </w:tcPr>
          <w:p w14:paraId="3CEAAC7B" w14:textId="77777777" w:rsidR="00761439" w:rsidRDefault="00761439" w:rsidP="00A32CC1">
            <w:pPr>
              <w:pStyle w:val="Tabletext1"/>
              <w:keepNext/>
              <w:spacing w:before="0" w:after="0"/>
              <w:ind w:left="34"/>
            </w:pPr>
            <w:r>
              <w:t>$26,215</w:t>
            </w:r>
          </w:p>
        </w:tc>
        <w:tc>
          <w:tcPr>
            <w:tcW w:w="1134" w:type="dxa"/>
            <w:tcBorders>
              <w:top w:val="single" w:sz="4" w:space="0" w:color="auto"/>
              <w:left w:val="single" w:sz="4" w:space="0" w:color="auto"/>
              <w:bottom w:val="single" w:sz="4" w:space="0" w:color="auto"/>
              <w:right w:val="single" w:sz="4" w:space="0" w:color="auto"/>
            </w:tcBorders>
            <w:hideMark/>
          </w:tcPr>
          <w:p w14:paraId="11E7CBDE" w14:textId="77777777" w:rsidR="00761439" w:rsidRDefault="00761439" w:rsidP="00A32CC1">
            <w:pPr>
              <w:pStyle w:val="Tabletext1"/>
              <w:keepNext/>
              <w:spacing w:before="0" w:after="0"/>
              <w:ind w:left="34"/>
            </w:pPr>
            <w:r>
              <w:t>$129,501</w:t>
            </w:r>
          </w:p>
        </w:tc>
      </w:tr>
      <w:tr w:rsidR="00C7107D" w14:paraId="750AB0CD" w14:textId="77777777" w:rsidTr="00C7107D">
        <w:tc>
          <w:tcPr>
            <w:tcW w:w="2263" w:type="dxa"/>
            <w:tcBorders>
              <w:top w:val="single" w:sz="4" w:space="0" w:color="auto"/>
              <w:left w:val="single" w:sz="4" w:space="0" w:color="auto"/>
              <w:bottom w:val="single" w:sz="4" w:space="0" w:color="auto"/>
              <w:right w:val="single" w:sz="4" w:space="0" w:color="auto"/>
            </w:tcBorders>
            <w:hideMark/>
          </w:tcPr>
          <w:p w14:paraId="75D3515E" w14:textId="77777777" w:rsidR="00761439" w:rsidRDefault="00761439" w:rsidP="00A32CC1">
            <w:pPr>
              <w:pStyle w:val="Tabletext1"/>
              <w:keepNext/>
              <w:spacing w:before="0" w:after="0"/>
              <w:ind w:left="34"/>
            </w:pPr>
            <w:r>
              <w:t>Total financial implication to the PBS</w:t>
            </w:r>
            <w:r>
              <w:rPr>
                <w:vertAlign w:val="superscript"/>
              </w:rPr>
              <w:t>d</w:t>
            </w:r>
          </w:p>
        </w:tc>
        <w:tc>
          <w:tcPr>
            <w:tcW w:w="1040" w:type="dxa"/>
            <w:tcBorders>
              <w:top w:val="single" w:sz="4" w:space="0" w:color="auto"/>
              <w:left w:val="single" w:sz="4" w:space="0" w:color="auto"/>
              <w:bottom w:val="single" w:sz="4" w:space="0" w:color="auto"/>
              <w:right w:val="single" w:sz="4" w:space="0" w:color="auto"/>
            </w:tcBorders>
            <w:hideMark/>
          </w:tcPr>
          <w:p w14:paraId="46E57617" w14:textId="77777777" w:rsidR="00761439" w:rsidRDefault="00761439" w:rsidP="00A32CC1">
            <w:pPr>
              <w:pStyle w:val="Tabletext1"/>
              <w:keepNext/>
              <w:spacing w:before="0" w:after="0"/>
              <w:ind w:left="34"/>
            </w:pPr>
            <w:r>
              <w:t>$15,747</w:t>
            </w:r>
          </w:p>
        </w:tc>
        <w:tc>
          <w:tcPr>
            <w:tcW w:w="1122" w:type="dxa"/>
            <w:tcBorders>
              <w:top w:val="single" w:sz="4" w:space="0" w:color="auto"/>
              <w:left w:val="single" w:sz="4" w:space="0" w:color="auto"/>
              <w:bottom w:val="single" w:sz="4" w:space="0" w:color="auto"/>
              <w:right w:val="single" w:sz="4" w:space="0" w:color="auto"/>
            </w:tcBorders>
            <w:hideMark/>
          </w:tcPr>
          <w:p w14:paraId="6BF01C68" w14:textId="77777777" w:rsidR="00761439" w:rsidRDefault="00761439" w:rsidP="00A32CC1">
            <w:pPr>
              <w:pStyle w:val="Tabletext1"/>
              <w:keepNext/>
              <w:spacing w:before="0" w:after="0"/>
              <w:ind w:left="34"/>
            </w:pPr>
            <w:r>
              <w:t>$15,843</w:t>
            </w:r>
          </w:p>
        </w:tc>
        <w:tc>
          <w:tcPr>
            <w:tcW w:w="1063" w:type="dxa"/>
            <w:tcBorders>
              <w:top w:val="single" w:sz="4" w:space="0" w:color="auto"/>
              <w:left w:val="single" w:sz="4" w:space="0" w:color="auto"/>
              <w:bottom w:val="single" w:sz="4" w:space="0" w:color="auto"/>
              <w:right w:val="single" w:sz="4" w:space="0" w:color="auto"/>
            </w:tcBorders>
            <w:hideMark/>
          </w:tcPr>
          <w:p w14:paraId="757EA9A1" w14:textId="77777777" w:rsidR="00761439" w:rsidRDefault="00761439" w:rsidP="00A32CC1">
            <w:pPr>
              <w:pStyle w:val="Tabletext1"/>
              <w:keepNext/>
              <w:spacing w:before="0" w:after="0"/>
              <w:ind w:left="34"/>
            </w:pPr>
            <w:r>
              <w:t>$15,939</w:t>
            </w:r>
          </w:p>
        </w:tc>
        <w:tc>
          <w:tcPr>
            <w:tcW w:w="1146" w:type="dxa"/>
            <w:tcBorders>
              <w:top w:val="single" w:sz="4" w:space="0" w:color="auto"/>
              <w:left w:val="single" w:sz="4" w:space="0" w:color="auto"/>
              <w:bottom w:val="single" w:sz="4" w:space="0" w:color="auto"/>
              <w:right w:val="single" w:sz="4" w:space="0" w:color="auto"/>
            </w:tcBorders>
            <w:hideMark/>
          </w:tcPr>
          <w:p w14:paraId="173E7C67" w14:textId="77777777" w:rsidR="00761439" w:rsidRDefault="00761439" w:rsidP="00A32CC1">
            <w:pPr>
              <w:pStyle w:val="Tabletext1"/>
              <w:keepNext/>
              <w:spacing w:before="0" w:after="0"/>
              <w:ind w:left="34"/>
            </w:pPr>
            <w:r>
              <w:t>$16,036</w:t>
            </w:r>
          </w:p>
        </w:tc>
        <w:tc>
          <w:tcPr>
            <w:tcW w:w="1086" w:type="dxa"/>
            <w:tcBorders>
              <w:top w:val="single" w:sz="4" w:space="0" w:color="auto"/>
              <w:left w:val="single" w:sz="4" w:space="0" w:color="auto"/>
              <w:bottom w:val="single" w:sz="4" w:space="0" w:color="auto"/>
              <w:right w:val="single" w:sz="4" w:space="0" w:color="auto"/>
            </w:tcBorders>
            <w:hideMark/>
          </w:tcPr>
          <w:p w14:paraId="53373915" w14:textId="77777777" w:rsidR="00761439" w:rsidRDefault="00761439" w:rsidP="00A32CC1">
            <w:pPr>
              <w:pStyle w:val="Tabletext1"/>
              <w:keepNext/>
              <w:spacing w:before="0" w:after="0"/>
              <w:ind w:left="34"/>
            </w:pPr>
            <w:r>
              <w:t>$16,134</w:t>
            </w:r>
          </w:p>
        </w:tc>
        <w:tc>
          <w:tcPr>
            <w:tcW w:w="1134" w:type="dxa"/>
            <w:tcBorders>
              <w:top w:val="single" w:sz="4" w:space="0" w:color="auto"/>
              <w:left w:val="single" w:sz="4" w:space="0" w:color="auto"/>
              <w:bottom w:val="single" w:sz="4" w:space="0" w:color="auto"/>
              <w:right w:val="single" w:sz="4" w:space="0" w:color="auto"/>
            </w:tcBorders>
            <w:hideMark/>
          </w:tcPr>
          <w:p w14:paraId="0895C747" w14:textId="77777777" w:rsidR="00761439" w:rsidRDefault="00761439" w:rsidP="00A32CC1">
            <w:pPr>
              <w:pStyle w:val="Tabletext1"/>
              <w:keepNext/>
              <w:spacing w:before="0" w:after="0"/>
              <w:ind w:left="34"/>
            </w:pPr>
            <w:r>
              <w:t>$79,698</w:t>
            </w:r>
          </w:p>
        </w:tc>
      </w:tr>
      <w:tr w:rsidR="00C7107D" w14:paraId="3E082E99" w14:textId="77777777" w:rsidTr="00C7107D">
        <w:tc>
          <w:tcPr>
            <w:tcW w:w="2263" w:type="dxa"/>
            <w:tcBorders>
              <w:top w:val="single" w:sz="4" w:space="0" w:color="auto"/>
              <w:left w:val="single" w:sz="4" w:space="0" w:color="auto"/>
              <w:bottom w:val="single" w:sz="4" w:space="0" w:color="auto"/>
              <w:right w:val="single" w:sz="4" w:space="0" w:color="auto"/>
            </w:tcBorders>
            <w:hideMark/>
          </w:tcPr>
          <w:p w14:paraId="362DA9A6" w14:textId="77777777" w:rsidR="00761439" w:rsidRDefault="00761439" w:rsidP="00A32CC1">
            <w:pPr>
              <w:pStyle w:val="Tabletext1"/>
              <w:keepNext/>
              <w:spacing w:before="0" w:after="0"/>
              <w:ind w:left="34"/>
            </w:pPr>
            <w:r>
              <w:t>Total financial implication to the Government</w:t>
            </w:r>
            <w:r>
              <w:rPr>
                <w:vertAlign w:val="superscript"/>
              </w:rPr>
              <w:t>e</w:t>
            </w:r>
          </w:p>
        </w:tc>
        <w:tc>
          <w:tcPr>
            <w:tcW w:w="1040" w:type="dxa"/>
            <w:tcBorders>
              <w:top w:val="single" w:sz="4" w:space="0" w:color="auto"/>
              <w:left w:val="single" w:sz="4" w:space="0" w:color="auto"/>
              <w:bottom w:val="single" w:sz="4" w:space="0" w:color="auto"/>
              <w:right w:val="single" w:sz="4" w:space="0" w:color="auto"/>
            </w:tcBorders>
            <w:hideMark/>
          </w:tcPr>
          <w:p w14:paraId="10D224D7" w14:textId="77777777" w:rsidR="00761439" w:rsidRDefault="00761439" w:rsidP="00A32CC1">
            <w:pPr>
              <w:pStyle w:val="Tabletext1"/>
              <w:keepNext/>
              <w:spacing w:before="0" w:after="0"/>
              <w:ind w:left="34"/>
            </w:pPr>
            <w:r>
              <w:t>$41,333</w:t>
            </w:r>
          </w:p>
        </w:tc>
        <w:tc>
          <w:tcPr>
            <w:tcW w:w="1122" w:type="dxa"/>
            <w:tcBorders>
              <w:top w:val="single" w:sz="4" w:space="0" w:color="auto"/>
              <w:left w:val="single" w:sz="4" w:space="0" w:color="auto"/>
              <w:bottom w:val="single" w:sz="4" w:space="0" w:color="auto"/>
              <w:right w:val="single" w:sz="4" w:space="0" w:color="auto"/>
            </w:tcBorders>
            <w:hideMark/>
          </w:tcPr>
          <w:p w14:paraId="68DC1648" w14:textId="77777777" w:rsidR="00761439" w:rsidRDefault="00761439" w:rsidP="00A32CC1">
            <w:pPr>
              <w:pStyle w:val="Tabletext1"/>
              <w:keepNext/>
              <w:spacing w:before="0" w:after="0"/>
              <w:ind w:left="34"/>
            </w:pPr>
            <w:r>
              <w:t>$41,585</w:t>
            </w:r>
          </w:p>
        </w:tc>
        <w:tc>
          <w:tcPr>
            <w:tcW w:w="1063" w:type="dxa"/>
            <w:tcBorders>
              <w:top w:val="single" w:sz="4" w:space="0" w:color="auto"/>
              <w:left w:val="single" w:sz="4" w:space="0" w:color="auto"/>
              <w:bottom w:val="single" w:sz="4" w:space="0" w:color="auto"/>
              <w:right w:val="single" w:sz="4" w:space="0" w:color="auto"/>
            </w:tcBorders>
            <w:hideMark/>
          </w:tcPr>
          <w:p w14:paraId="5E4FC19D" w14:textId="77777777" w:rsidR="00761439" w:rsidRDefault="00761439" w:rsidP="00A32CC1">
            <w:pPr>
              <w:pStyle w:val="Tabletext1"/>
              <w:keepNext/>
              <w:spacing w:before="0" w:after="0"/>
              <w:ind w:left="34"/>
            </w:pPr>
            <w:r>
              <w:t>$41,839</w:t>
            </w:r>
          </w:p>
        </w:tc>
        <w:tc>
          <w:tcPr>
            <w:tcW w:w="1146" w:type="dxa"/>
            <w:tcBorders>
              <w:top w:val="single" w:sz="4" w:space="0" w:color="auto"/>
              <w:left w:val="single" w:sz="4" w:space="0" w:color="auto"/>
              <w:bottom w:val="single" w:sz="4" w:space="0" w:color="auto"/>
              <w:right w:val="single" w:sz="4" w:space="0" w:color="auto"/>
            </w:tcBorders>
            <w:hideMark/>
          </w:tcPr>
          <w:p w14:paraId="34C38EBC" w14:textId="77777777" w:rsidR="00761439" w:rsidRDefault="00761439" w:rsidP="00A32CC1">
            <w:pPr>
              <w:pStyle w:val="Tabletext1"/>
              <w:keepNext/>
              <w:spacing w:before="0" w:after="0"/>
              <w:ind w:left="34"/>
            </w:pPr>
            <w:r>
              <w:t>$42,093</w:t>
            </w:r>
          </w:p>
        </w:tc>
        <w:tc>
          <w:tcPr>
            <w:tcW w:w="1086" w:type="dxa"/>
            <w:tcBorders>
              <w:top w:val="single" w:sz="4" w:space="0" w:color="auto"/>
              <w:left w:val="single" w:sz="4" w:space="0" w:color="auto"/>
              <w:bottom w:val="single" w:sz="4" w:space="0" w:color="auto"/>
              <w:right w:val="single" w:sz="4" w:space="0" w:color="auto"/>
            </w:tcBorders>
            <w:hideMark/>
          </w:tcPr>
          <w:p w14:paraId="4D478EF3" w14:textId="77777777" w:rsidR="00761439" w:rsidRDefault="00761439" w:rsidP="00A32CC1">
            <w:pPr>
              <w:pStyle w:val="Tabletext1"/>
              <w:keepNext/>
              <w:spacing w:before="0" w:after="0"/>
              <w:ind w:left="34"/>
            </w:pPr>
            <w:r>
              <w:t>$42,349</w:t>
            </w:r>
          </w:p>
        </w:tc>
        <w:tc>
          <w:tcPr>
            <w:tcW w:w="1134" w:type="dxa"/>
            <w:tcBorders>
              <w:top w:val="single" w:sz="4" w:space="0" w:color="auto"/>
              <w:left w:val="single" w:sz="4" w:space="0" w:color="auto"/>
              <w:bottom w:val="single" w:sz="4" w:space="0" w:color="auto"/>
              <w:right w:val="single" w:sz="4" w:space="0" w:color="auto"/>
            </w:tcBorders>
            <w:hideMark/>
          </w:tcPr>
          <w:p w14:paraId="4D43D326" w14:textId="77777777" w:rsidR="00761439" w:rsidRDefault="00761439" w:rsidP="00A32CC1">
            <w:pPr>
              <w:pStyle w:val="Tabletext1"/>
              <w:keepNext/>
              <w:spacing w:before="0" w:after="0"/>
              <w:ind w:left="34"/>
            </w:pPr>
            <w:r>
              <w:t>$209,199</w:t>
            </w:r>
          </w:p>
        </w:tc>
      </w:tr>
    </w:tbl>
    <w:p w14:paraId="3DBBD007" w14:textId="77777777" w:rsidR="00761439" w:rsidRDefault="00761439" w:rsidP="00A32CC1">
      <w:pPr>
        <w:pStyle w:val="Tablenotes0"/>
        <w:keepNext/>
        <w:widowControl/>
      </w:pPr>
      <w:r>
        <w:t>Source: Table 13, pg 47 of MSAC 1629 DCAR</w:t>
      </w:r>
    </w:p>
    <w:p w14:paraId="6525B242" w14:textId="20F3A2DE" w:rsidR="00066A6C" w:rsidRDefault="00066A6C" w:rsidP="00A32CC1">
      <w:pPr>
        <w:pStyle w:val="Tablenotes0"/>
        <w:keepNext/>
        <w:widowControl/>
      </w:pPr>
      <w:r w:rsidRPr="000E3A90">
        <w:t>Abbreviations: DAC</w:t>
      </w:r>
      <w:r w:rsidR="00FF140A">
        <w:t>+abs</w:t>
      </w:r>
      <w:r w:rsidRPr="000E3A90">
        <w:t>= Defensive Antibacterial Coating</w:t>
      </w:r>
      <w:r w:rsidR="00FF140A">
        <w:t xml:space="preserve"> loaded with antibiotics</w:t>
      </w:r>
      <w:r w:rsidRPr="000E3A90">
        <w:t>, MBS= Medicare benefits Schedule; PBS=Pharmaceutical benefits Schedule</w:t>
      </w:r>
    </w:p>
    <w:p w14:paraId="72346C02" w14:textId="77777777" w:rsidR="00066A6C" w:rsidRDefault="00066A6C" w:rsidP="00A32CC1">
      <w:pPr>
        <w:pStyle w:val="Tablenotes0"/>
        <w:keepNext/>
        <w:widowControl/>
      </w:pPr>
      <w:r>
        <w:rPr>
          <w:vertAlign w:val="superscript"/>
        </w:rPr>
        <w:t xml:space="preserve">a </w:t>
      </w:r>
      <w:r w:rsidRPr="00394BBE">
        <w:t>Estimated based on AOANJRR Annual report 2020</w:t>
      </w:r>
    </w:p>
    <w:p w14:paraId="6020875B" w14:textId="020AF7FE" w:rsidR="00066A6C" w:rsidRDefault="00066A6C" w:rsidP="00A32CC1">
      <w:pPr>
        <w:pStyle w:val="Tablenotes0"/>
        <w:keepNext/>
        <w:widowControl/>
      </w:pPr>
      <w:r w:rsidRPr="006107B8">
        <w:rPr>
          <w:vertAlign w:val="superscript"/>
        </w:rPr>
        <w:t>b</w:t>
      </w:r>
      <w:r>
        <w:rPr>
          <w:vertAlign w:val="superscript"/>
        </w:rPr>
        <w:t xml:space="preserve"> </w:t>
      </w:r>
      <w:r>
        <w:t xml:space="preserve">Cost to private health insurance is due to </w:t>
      </w:r>
      <w:r w:rsidR="003B7856">
        <w:t xml:space="preserve">the </w:t>
      </w:r>
      <w:r>
        <w:t xml:space="preserve">acquisition of DAC kits. These costs were obtained as the product of assumed number of private patients * number of kits required per surgical procedure * unit cost of DAC 5ml. The number of kits per surgical procedure for Population 2 was </w:t>
      </w:r>
      <w:r w:rsidR="00CA1410">
        <w:rPr>
          <w:b/>
          <w:bCs/>
        </w:rPr>
        <w:t>redacted</w:t>
      </w:r>
      <w:r>
        <w:t xml:space="preserve">. </w:t>
      </w:r>
      <w:r w:rsidRPr="00BF08AC">
        <w:t xml:space="preserve">Further, </w:t>
      </w:r>
      <w:r w:rsidR="003B7856">
        <w:t xml:space="preserve">the </w:t>
      </w:r>
      <w:r w:rsidRPr="00BF08AC">
        <w:t>unit cost of DAC 5ml was $</w:t>
      </w:r>
      <w:r w:rsidR="00270D7C">
        <w:rPr>
          <w:b/>
          <w:bCs/>
        </w:rPr>
        <w:t>redacted</w:t>
      </w:r>
      <w:r w:rsidRPr="00BF08AC">
        <w:t>.</w:t>
      </w:r>
    </w:p>
    <w:p w14:paraId="5AF586FF" w14:textId="79D87096" w:rsidR="00066A6C" w:rsidRPr="00BF08AC" w:rsidRDefault="00066A6C" w:rsidP="00A32CC1">
      <w:pPr>
        <w:pStyle w:val="Tablenotes0"/>
        <w:keepNext/>
        <w:widowControl/>
      </w:pPr>
      <w:r w:rsidRPr="00BF08AC">
        <w:t>c Financial implication to MBS was due to costs associated with extra time required to prepare and apply the DAC</w:t>
      </w:r>
      <w:r w:rsidR="00FF140A">
        <w:t>+antibiotics</w:t>
      </w:r>
      <w:r w:rsidRPr="00BF08AC">
        <w:t xml:space="preserve">. </w:t>
      </w:r>
      <w:r w:rsidR="003B7856">
        <w:t>The e</w:t>
      </w:r>
      <w:r w:rsidRPr="00BF08AC">
        <w:t>stimated cost of extra time per procedure for Population 2 was $</w:t>
      </w:r>
      <w:r w:rsidR="002A6DEE">
        <w:rPr>
          <w:b/>
          <w:bCs/>
        </w:rPr>
        <w:t>redacted</w:t>
      </w:r>
      <w:r w:rsidRPr="00BF08AC">
        <w:t xml:space="preserve">. </w:t>
      </w:r>
    </w:p>
    <w:p w14:paraId="1848D5C8" w14:textId="3DA7BB4B" w:rsidR="00066A6C" w:rsidRPr="00BF08AC" w:rsidRDefault="00066A6C" w:rsidP="00A32CC1">
      <w:pPr>
        <w:pStyle w:val="Tablenotes0"/>
        <w:keepNext/>
        <w:widowControl/>
      </w:pPr>
      <w:r w:rsidRPr="00BF08AC">
        <w:t xml:space="preserve">d Financial implication to PBS was due to costs associated with </w:t>
      </w:r>
      <w:r w:rsidR="003B7856">
        <w:t xml:space="preserve">the </w:t>
      </w:r>
      <w:r w:rsidRPr="00BF08AC">
        <w:t>cost of antibiotics for preloading DAC</w:t>
      </w:r>
      <w:r w:rsidR="00FF140A">
        <w:t xml:space="preserve">. </w:t>
      </w:r>
      <w:r w:rsidR="002A6DEE">
        <w:t>T</w:t>
      </w:r>
      <w:r w:rsidR="00FF140A">
        <w:t xml:space="preserve">he estimated </w:t>
      </w:r>
      <w:r w:rsidRPr="00BF08AC">
        <w:t>cost per procedure for Population 2 was $</w:t>
      </w:r>
      <w:r w:rsidR="002A6DEE">
        <w:rPr>
          <w:b/>
          <w:bCs/>
        </w:rPr>
        <w:t>redacted</w:t>
      </w:r>
      <w:r w:rsidRPr="00BF08AC">
        <w:t xml:space="preserve">. </w:t>
      </w:r>
    </w:p>
    <w:p w14:paraId="1222D0AA" w14:textId="1D532D1B" w:rsidR="00066A6C" w:rsidRPr="000E3A90" w:rsidRDefault="00066A6C" w:rsidP="00A32CC1">
      <w:pPr>
        <w:pStyle w:val="Tablenotes0"/>
        <w:keepNext/>
        <w:widowControl/>
      </w:pPr>
      <w:r>
        <w:rPr>
          <w:vertAlign w:val="superscript"/>
        </w:rPr>
        <w:t>e</w:t>
      </w:r>
      <w:r>
        <w:t xml:space="preserve"> Cost to the Government = Cost to MBS + Cost to PBS</w:t>
      </w:r>
    </w:p>
    <w:p w14:paraId="5CABB30B" w14:textId="77777777" w:rsidR="00066A6C" w:rsidRPr="00D201BA" w:rsidRDefault="00066A6C" w:rsidP="00FC3571">
      <w:pPr>
        <w:pStyle w:val="ExecSummHeading3"/>
      </w:pPr>
      <w:bookmarkStart w:id="120" w:name="_Toc112076495"/>
      <w:r w:rsidRPr="00D201BA">
        <w:t>Population 3</w:t>
      </w:r>
      <w:bookmarkEnd w:id="120"/>
      <w:r w:rsidRPr="00D201BA">
        <w:t xml:space="preserve"> </w:t>
      </w:r>
    </w:p>
    <w:p w14:paraId="42008A0F" w14:textId="77777777" w:rsidR="00066A6C" w:rsidRPr="00D201BA" w:rsidRDefault="00066A6C" w:rsidP="00FC3571">
      <w:pPr>
        <w:pStyle w:val="ExecSummheading4"/>
      </w:pPr>
      <w:r w:rsidRPr="00D201BA">
        <w:t>Population 3 (hip)</w:t>
      </w:r>
    </w:p>
    <w:p w14:paraId="41BA8680" w14:textId="46C7E503" w:rsidR="00066A6C" w:rsidRPr="00D201BA" w:rsidRDefault="00066A6C" w:rsidP="00761439">
      <w:pPr>
        <w:pStyle w:val="Execsummnormal"/>
      </w:pPr>
      <w:r w:rsidRPr="00D201BA">
        <w:t>The estimated cost to private health insurance was $</w:t>
      </w:r>
      <w:r w:rsidR="002A6DEE">
        <w:rPr>
          <w:b/>
          <w:bCs/>
        </w:rPr>
        <w:t>redacted</w:t>
      </w:r>
      <w:r w:rsidR="002A6DEE" w:rsidRPr="00D201BA">
        <w:t xml:space="preserve"> </w:t>
      </w:r>
      <w:r w:rsidRPr="00D201BA">
        <w:t xml:space="preserve"> in </w:t>
      </w:r>
      <w:r w:rsidR="00FF140A">
        <w:t>Year 1</w:t>
      </w:r>
      <w:r w:rsidR="00FF140A" w:rsidRPr="00D201BA">
        <w:t xml:space="preserve"> </w:t>
      </w:r>
      <w:r w:rsidRPr="00D201BA">
        <w:t xml:space="preserve">and is expected to remain approximately steady </w:t>
      </w:r>
      <w:r w:rsidR="003B7856" w:rsidRPr="00D201BA">
        <w:t xml:space="preserve">until </w:t>
      </w:r>
      <w:r w:rsidR="00FF140A">
        <w:t>Year 5</w:t>
      </w:r>
      <w:r w:rsidRPr="00D201BA">
        <w:t>, with a total cost of $</w:t>
      </w:r>
      <w:r w:rsidR="002A6DEE">
        <w:rPr>
          <w:b/>
          <w:bCs/>
        </w:rPr>
        <w:t>redacted</w:t>
      </w:r>
      <w:r w:rsidR="002A6DEE" w:rsidRPr="00D201BA">
        <w:t xml:space="preserve"> </w:t>
      </w:r>
      <w:r w:rsidRPr="00D201BA">
        <w:t xml:space="preserve"> over five years.</w:t>
      </w:r>
    </w:p>
    <w:p w14:paraId="7E324EB4" w14:textId="6B025DE7" w:rsidR="00E937EE" w:rsidRPr="00E937EE" w:rsidRDefault="00066A6C" w:rsidP="00E937EE">
      <w:pPr>
        <w:pStyle w:val="Execsummnormal"/>
      </w:pPr>
      <w:r w:rsidRPr="00D201BA">
        <w:t xml:space="preserve">The financial implication to the MBS was $2,100 in </w:t>
      </w:r>
      <w:r w:rsidR="00FF140A">
        <w:t>Year 1</w:t>
      </w:r>
      <w:r w:rsidRPr="00D201BA">
        <w:t xml:space="preserve">, which remained approximately steady until </w:t>
      </w:r>
      <w:r w:rsidR="00FF140A">
        <w:t>Year 5</w:t>
      </w:r>
      <w:r w:rsidRPr="00D201BA">
        <w:t>. The total financial implication to the MBS was estimated to be $10,800 (</w:t>
      </w:r>
      <w:r w:rsidRPr="00D201BA">
        <w:fldChar w:fldCharType="begin"/>
      </w:r>
      <w:r w:rsidRPr="00D201BA">
        <w:instrText xml:space="preserve"> REF _Ref71701541 \h </w:instrText>
      </w:r>
      <w:r w:rsidR="00D201BA">
        <w:instrText xml:space="preserve"> \* MERGEFORMAT </w:instrText>
      </w:r>
      <w:r w:rsidRPr="00D201BA">
        <w:fldChar w:fldCharType="separate"/>
      </w:r>
      <w:r w:rsidR="000E6255">
        <w:t xml:space="preserve">Table </w:t>
      </w:r>
      <w:r w:rsidR="000E6255">
        <w:rPr>
          <w:noProof/>
        </w:rPr>
        <w:t>15</w:t>
      </w:r>
      <w:r w:rsidRPr="00D201BA">
        <w:fldChar w:fldCharType="end"/>
      </w:r>
      <w:r w:rsidRPr="00D201BA">
        <w:t>).</w:t>
      </w:r>
      <w:bookmarkStart w:id="121" w:name="_Ref71701541"/>
      <w:bookmarkStart w:id="122" w:name="_Toc71718462"/>
      <w:bookmarkStart w:id="123" w:name="_Toc112076631"/>
      <w:r w:rsidR="00E937EE">
        <w:br w:type="page"/>
      </w:r>
    </w:p>
    <w:p w14:paraId="7F7F2E18" w14:textId="1F00D684" w:rsidR="00066A6C" w:rsidRDefault="00066A6C" w:rsidP="00E50C67">
      <w:pPr>
        <w:pStyle w:val="Caption"/>
      </w:pPr>
      <w:r>
        <w:lastRenderedPageBreak/>
        <w:t xml:space="preserve">Table </w:t>
      </w:r>
      <w:r w:rsidR="00000000">
        <w:fldChar w:fldCharType="begin"/>
      </w:r>
      <w:r w:rsidR="00000000">
        <w:instrText xml:space="preserve"> SEQ Table \* ARABIC </w:instrText>
      </w:r>
      <w:r w:rsidR="00000000">
        <w:fldChar w:fldCharType="separate"/>
      </w:r>
      <w:r w:rsidR="000E6255">
        <w:rPr>
          <w:noProof/>
        </w:rPr>
        <w:t>15</w:t>
      </w:r>
      <w:r w:rsidR="00000000">
        <w:rPr>
          <w:noProof/>
        </w:rPr>
        <w:fldChar w:fldCharType="end"/>
      </w:r>
      <w:bookmarkEnd w:id="121"/>
      <w:r w:rsidR="00761439">
        <w:t xml:space="preserve"> </w:t>
      </w:r>
      <w:r>
        <w:t>Estimated number of Population 3 (hip) that are likely to receive the DAC</w:t>
      </w:r>
      <w:r w:rsidR="00FF140A">
        <w:t>+antibiotics</w:t>
      </w:r>
      <w:r>
        <w:t xml:space="preserve"> and the total financial implication to private health insurance, MBS, PBS, and the Government</w:t>
      </w:r>
      <w:bookmarkEnd w:id="122"/>
      <w:bookmarkEnd w:id="123"/>
      <w:r>
        <w:t xml:space="preserve"> </w:t>
      </w:r>
    </w:p>
    <w:tbl>
      <w:tblPr>
        <w:tblStyle w:val="TableGrid"/>
        <w:tblW w:w="0" w:type="auto"/>
        <w:tblLayout w:type="fixed"/>
        <w:tblLook w:val="04A0" w:firstRow="1" w:lastRow="0" w:firstColumn="1" w:lastColumn="0" w:noHBand="0" w:noVBand="1"/>
        <w:tblCaption w:val="Estimated number of Population 3 (hip) that are likely to receive the DAC and the total financial implication to private health insurance, MBS, PBS, and the Government"/>
        <w:tblDescription w:val="This table includes the stimated number of Population 3 (hip)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405"/>
        <w:gridCol w:w="1122"/>
        <w:gridCol w:w="1079"/>
        <w:gridCol w:w="1037"/>
        <w:gridCol w:w="1137"/>
        <w:gridCol w:w="1094"/>
        <w:gridCol w:w="1134"/>
      </w:tblGrid>
      <w:tr w:rsidR="00C7107D" w14:paraId="7FE123DE" w14:textId="77777777" w:rsidTr="00C7107D">
        <w:trPr>
          <w:tblHeader/>
        </w:trPr>
        <w:tc>
          <w:tcPr>
            <w:tcW w:w="2405" w:type="dxa"/>
            <w:tcBorders>
              <w:top w:val="single" w:sz="4" w:space="0" w:color="auto"/>
              <w:left w:val="single" w:sz="4" w:space="0" w:color="auto"/>
              <w:bottom w:val="single" w:sz="4" w:space="0" w:color="auto"/>
              <w:right w:val="single" w:sz="4" w:space="0" w:color="auto"/>
            </w:tcBorders>
            <w:vAlign w:val="center"/>
            <w:hideMark/>
          </w:tcPr>
          <w:p w14:paraId="55818AE2"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1122" w:type="dxa"/>
            <w:tcBorders>
              <w:top w:val="single" w:sz="4" w:space="0" w:color="auto"/>
              <w:left w:val="single" w:sz="4" w:space="0" w:color="auto"/>
              <w:bottom w:val="single" w:sz="4" w:space="0" w:color="auto"/>
              <w:right w:val="single" w:sz="4" w:space="0" w:color="auto"/>
            </w:tcBorders>
            <w:hideMark/>
          </w:tcPr>
          <w:p w14:paraId="65B9DB70"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cs="Arial"/>
                <w:b/>
                <w:bCs/>
                <w:sz w:val="20"/>
                <w:szCs w:val="20"/>
              </w:rPr>
              <w:t>Year 1</w:t>
            </w:r>
          </w:p>
        </w:tc>
        <w:tc>
          <w:tcPr>
            <w:tcW w:w="1079" w:type="dxa"/>
            <w:tcBorders>
              <w:top w:val="single" w:sz="4" w:space="0" w:color="auto"/>
              <w:left w:val="single" w:sz="4" w:space="0" w:color="auto"/>
              <w:bottom w:val="single" w:sz="4" w:space="0" w:color="auto"/>
              <w:right w:val="single" w:sz="4" w:space="0" w:color="auto"/>
            </w:tcBorders>
            <w:hideMark/>
          </w:tcPr>
          <w:p w14:paraId="262441A3"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cs="Arial"/>
                <w:b/>
                <w:bCs/>
                <w:sz w:val="20"/>
                <w:szCs w:val="20"/>
              </w:rPr>
              <w:t>Year 2</w:t>
            </w:r>
          </w:p>
        </w:tc>
        <w:tc>
          <w:tcPr>
            <w:tcW w:w="1037" w:type="dxa"/>
            <w:tcBorders>
              <w:top w:val="single" w:sz="4" w:space="0" w:color="auto"/>
              <w:left w:val="single" w:sz="4" w:space="0" w:color="auto"/>
              <w:bottom w:val="single" w:sz="4" w:space="0" w:color="auto"/>
              <w:right w:val="single" w:sz="4" w:space="0" w:color="auto"/>
            </w:tcBorders>
            <w:hideMark/>
          </w:tcPr>
          <w:p w14:paraId="57F6DDE9"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cs="Arial"/>
                <w:b/>
                <w:bCs/>
                <w:sz w:val="20"/>
                <w:szCs w:val="20"/>
              </w:rPr>
              <w:t>Year 3</w:t>
            </w:r>
          </w:p>
        </w:tc>
        <w:tc>
          <w:tcPr>
            <w:tcW w:w="1137" w:type="dxa"/>
            <w:tcBorders>
              <w:top w:val="single" w:sz="4" w:space="0" w:color="auto"/>
              <w:left w:val="single" w:sz="4" w:space="0" w:color="auto"/>
              <w:bottom w:val="single" w:sz="4" w:space="0" w:color="auto"/>
              <w:right w:val="single" w:sz="4" w:space="0" w:color="auto"/>
            </w:tcBorders>
            <w:hideMark/>
          </w:tcPr>
          <w:p w14:paraId="34AC095D"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cs="Arial"/>
                <w:b/>
                <w:bCs/>
                <w:sz w:val="20"/>
                <w:szCs w:val="20"/>
              </w:rPr>
              <w:t>Year 4</w:t>
            </w:r>
          </w:p>
        </w:tc>
        <w:tc>
          <w:tcPr>
            <w:tcW w:w="1094" w:type="dxa"/>
            <w:tcBorders>
              <w:top w:val="single" w:sz="4" w:space="0" w:color="auto"/>
              <w:left w:val="single" w:sz="4" w:space="0" w:color="auto"/>
              <w:bottom w:val="single" w:sz="4" w:space="0" w:color="auto"/>
              <w:right w:val="single" w:sz="4" w:space="0" w:color="auto"/>
            </w:tcBorders>
            <w:hideMark/>
          </w:tcPr>
          <w:p w14:paraId="46F006D5"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cs="Arial"/>
                <w:b/>
                <w:bCs/>
                <w:sz w:val="20"/>
                <w:szCs w:val="20"/>
              </w:rPr>
              <w:t>Year 5</w:t>
            </w:r>
          </w:p>
        </w:tc>
        <w:tc>
          <w:tcPr>
            <w:tcW w:w="1134" w:type="dxa"/>
            <w:tcBorders>
              <w:top w:val="single" w:sz="4" w:space="0" w:color="auto"/>
              <w:left w:val="single" w:sz="4" w:space="0" w:color="auto"/>
              <w:bottom w:val="single" w:sz="4" w:space="0" w:color="auto"/>
              <w:right w:val="single" w:sz="4" w:space="0" w:color="auto"/>
            </w:tcBorders>
            <w:hideMark/>
          </w:tcPr>
          <w:p w14:paraId="0142EF40"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C7107D" w14:paraId="4800DC84" w14:textId="77777777" w:rsidTr="00C7107D">
        <w:tc>
          <w:tcPr>
            <w:tcW w:w="2405" w:type="dxa"/>
            <w:tcBorders>
              <w:top w:val="single" w:sz="4" w:space="0" w:color="auto"/>
              <w:left w:val="single" w:sz="4" w:space="0" w:color="auto"/>
              <w:bottom w:val="single" w:sz="4" w:space="0" w:color="auto"/>
              <w:right w:val="single" w:sz="4" w:space="0" w:color="auto"/>
            </w:tcBorders>
            <w:vAlign w:val="center"/>
            <w:hideMark/>
          </w:tcPr>
          <w:p w14:paraId="7B29EFA3" w14:textId="77777777" w:rsidR="00761439" w:rsidRDefault="00761439" w:rsidP="00D22060">
            <w:pPr>
              <w:pStyle w:val="Tabletext1"/>
              <w:spacing w:before="0" w:after="0"/>
              <w:ind w:left="34"/>
            </w:pPr>
            <w:r>
              <w:t>Eligible population size</w:t>
            </w:r>
          </w:p>
        </w:tc>
        <w:tc>
          <w:tcPr>
            <w:tcW w:w="1122" w:type="dxa"/>
            <w:tcBorders>
              <w:top w:val="single" w:sz="4" w:space="0" w:color="auto"/>
              <w:left w:val="single" w:sz="4" w:space="0" w:color="auto"/>
              <w:bottom w:val="single" w:sz="4" w:space="0" w:color="auto"/>
              <w:right w:val="single" w:sz="4" w:space="0" w:color="auto"/>
            </w:tcBorders>
            <w:hideMark/>
          </w:tcPr>
          <w:p w14:paraId="12DB2C7D" w14:textId="7DA97F93" w:rsidR="00761439" w:rsidRDefault="002A6DEE" w:rsidP="00D22060">
            <w:pPr>
              <w:pStyle w:val="Tabletext1"/>
              <w:spacing w:before="0" w:after="0"/>
              <w:ind w:left="34"/>
            </w:pPr>
            <w:r>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7D467D04" w14:textId="6A902249" w:rsidR="00761439" w:rsidRDefault="002A6DEE" w:rsidP="00D22060">
            <w:pPr>
              <w:pStyle w:val="Tabletext1"/>
              <w:spacing w:before="0" w:after="0"/>
              <w:ind w:left="34"/>
            </w:pPr>
            <w:r>
              <w:rPr>
                <w:b/>
                <w:bCs/>
              </w:rPr>
              <w:t>redacted</w:t>
            </w:r>
          </w:p>
        </w:tc>
        <w:tc>
          <w:tcPr>
            <w:tcW w:w="1037" w:type="dxa"/>
            <w:tcBorders>
              <w:top w:val="single" w:sz="4" w:space="0" w:color="auto"/>
              <w:left w:val="single" w:sz="4" w:space="0" w:color="auto"/>
              <w:bottom w:val="single" w:sz="4" w:space="0" w:color="auto"/>
              <w:right w:val="single" w:sz="4" w:space="0" w:color="auto"/>
            </w:tcBorders>
            <w:hideMark/>
          </w:tcPr>
          <w:p w14:paraId="1436F8D8" w14:textId="36803C56" w:rsidR="00761439" w:rsidRDefault="002A6DEE" w:rsidP="00D22060">
            <w:pPr>
              <w:pStyle w:val="Tabletext1"/>
              <w:spacing w:before="0" w:after="0"/>
              <w:ind w:left="34"/>
            </w:pPr>
            <w:r>
              <w:rPr>
                <w:b/>
                <w:bCs/>
              </w:rPr>
              <w:t>redacted</w:t>
            </w:r>
          </w:p>
        </w:tc>
        <w:tc>
          <w:tcPr>
            <w:tcW w:w="1137" w:type="dxa"/>
            <w:tcBorders>
              <w:top w:val="single" w:sz="4" w:space="0" w:color="auto"/>
              <w:left w:val="single" w:sz="4" w:space="0" w:color="auto"/>
              <w:bottom w:val="single" w:sz="4" w:space="0" w:color="auto"/>
              <w:right w:val="single" w:sz="4" w:space="0" w:color="auto"/>
            </w:tcBorders>
            <w:hideMark/>
          </w:tcPr>
          <w:p w14:paraId="1BF529A6" w14:textId="709785B5" w:rsidR="00761439" w:rsidRDefault="002A6DEE" w:rsidP="00D22060">
            <w:pPr>
              <w:pStyle w:val="Tabletext1"/>
              <w:spacing w:before="0" w:after="0"/>
              <w:ind w:left="34"/>
            </w:pPr>
            <w:r>
              <w:rPr>
                <w:b/>
                <w:bCs/>
              </w:rPr>
              <w:t>redacted</w:t>
            </w:r>
          </w:p>
        </w:tc>
        <w:tc>
          <w:tcPr>
            <w:tcW w:w="1094" w:type="dxa"/>
            <w:tcBorders>
              <w:top w:val="single" w:sz="4" w:space="0" w:color="auto"/>
              <w:left w:val="single" w:sz="4" w:space="0" w:color="auto"/>
              <w:bottom w:val="single" w:sz="4" w:space="0" w:color="auto"/>
              <w:right w:val="single" w:sz="4" w:space="0" w:color="auto"/>
            </w:tcBorders>
            <w:hideMark/>
          </w:tcPr>
          <w:p w14:paraId="274B7B1B" w14:textId="7FF1621E" w:rsidR="00761439" w:rsidRDefault="002A6DEE"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5BE7E52" w14:textId="6A4E125B" w:rsidR="00761439" w:rsidRDefault="002A6DEE" w:rsidP="00D22060">
            <w:pPr>
              <w:pStyle w:val="Tabletext1"/>
              <w:spacing w:before="0" w:after="0"/>
              <w:ind w:left="34"/>
            </w:pPr>
            <w:r>
              <w:rPr>
                <w:b/>
                <w:bCs/>
              </w:rPr>
              <w:t>redacted</w:t>
            </w:r>
          </w:p>
        </w:tc>
      </w:tr>
      <w:tr w:rsidR="00C7107D" w14:paraId="0C357423" w14:textId="77777777" w:rsidTr="00C7107D">
        <w:tc>
          <w:tcPr>
            <w:tcW w:w="2405" w:type="dxa"/>
            <w:tcBorders>
              <w:top w:val="single" w:sz="4" w:space="0" w:color="auto"/>
              <w:left w:val="single" w:sz="4" w:space="0" w:color="auto"/>
              <w:bottom w:val="single" w:sz="4" w:space="0" w:color="auto"/>
              <w:right w:val="single" w:sz="4" w:space="0" w:color="auto"/>
            </w:tcBorders>
            <w:hideMark/>
          </w:tcPr>
          <w:p w14:paraId="64188DCA" w14:textId="77777777" w:rsidR="00761439" w:rsidRDefault="00761439" w:rsidP="00D22060">
            <w:pPr>
              <w:pStyle w:val="Tabletext1"/>
              <w:spacing w:before="0" w:after="0"/>
              <w:ind w:left="34"/>
            </w:pPr>
            <w:r>
              <w:t>Number of patients eligible in private setting (56.23%)</w:t>
            </w:r>
            <w:r>
              <w:rPr>
                <w:vertAlign w:val="superscript"/>
              </w:rPr>
              <w:t>a</w:t>
            </w:r>
          </w:p>
        </w:tc>
        <w:tc>
          <w:tcPr>
            <w:tcW w:w="1122" w:type="dxa"/>
            <w:tcBorders>
              <w:top w:val="single" w:sz="4" w:space="0" w:color="auto"/>
              <w:left w:val="single" w:sz="4" w:space="0" w:color="auto"/>
              <w:bottom w:val="single" w:sz="4" w:space="0" w:color="auto"/>
              <w:right w:val="single" w:sz="4" w:space="0" w:color="auto"/>
            </w:tcBorders>
            <w:hideMark/>
          </w:tcPr>
          <w:p w14:paraId="1D04766C" w14:textId="502317D5" w:rsidR="00761439" w:rsidRDefault="002A6DEE" w:rsidP="00D22060">
            <w:pPr>
              <w:pStyle w:val="Tabletext1"/>
              <w:spacing w:before="0" w:after="0"/>
              <w:ind w:left="34"/>
            </w:pPr>
            <w:r>
              <w:rPr>
                <w:b/>
                <w:bCs/>
              </w:rPr>
              <w:t>redacted</w:t>
            </w:r>
            <w:r w:rsidDel="002A6DEE">
              <w:t xml:space="preserve"> </w:t>
            </w:r>
          </w:p>
        </w:tc>
        <w:tc>
          <w:tcPr>
            <w:tcW w:w="1079" w:type="dxa"/>
            <w:tcBorders>
              <w:top w:val="single" w:sz="4" w:space="0" w:color="auto"/>
              <w:left w:val="single" w:sz="4" w:space="0" w:color="auto"/>
              <w:bottom w:val="single" w:sz="4" w:space="0" w:color="auto"/>
              <w:right w:val="single" w:sz="4" w:space="0" w:color="auto"/>
            </w:tcBorders>
            <w:hideMark/>
          </w:tcPr>
          <w:p w14:paraId="4F3FC043" w14:textId="6D5619FF" w:rsidR="00761439" w:rsidRDefault="002A6DEE" w:rsidP="00D22060">
            <w:pPr>
              <w:pStyle w:val="Tabletext1"/>
              <w:spacing w:before="0" w:after="0"/>
              <w:ind w:left="34"/>
            </w:pPr>
            <w:r>
              <w:rPr>
                <w:b/>
                <w:bCs/>
              </w:rPr>
              <w:t>redacted</w:t>
            </w:r>
          </w:p>
        </w:tc>
        <w:tc>
          <w:tcPr>
            <w:tcW w:w="1037" w:type="dxa"/>
            <w:tcBorders>
              <w:top w:val="single" w:sz="4" w:space="0" w:color="auto"/>
              <w:left w:val="single" w:sz="4" w:space="0" w:color="auto"/>
              <w:bottom w:val="single" w:sz="4" w:space="0" w:color="auto"/>
              <w:right w:val="single" w:sz="4" w:space="0" w:color="auto"/>
            </w:tcBorders>
            <w:hideMark/>
          </w:tcPr>
          <w:p w14:paraId="5BBF9890" w14:textId="1B3040C1" w:rsidR="00761439" w:rsidRDefault="002A6DEE" w:rsidP="00D22060">
            <w:pPr>
              <w:pStyle w:val="Tabletext1"/>
              <w:spacing w:before="0" w:after="0"/>
              <w:ind w:left="34"/>
            </w:pPr>
            <w:r>
              <w:rPr>
                <w:b/>
                <w:bCs/>
              </w:rPr>
              <w:t>redacted</w:t>
            </w:r>
          </w:p>
        </w:tc>
        <w:tc>
          <w:tcPr>
            <w:tcW w:w="1137" w:type="dxa"/>
            <w:tcBorders>
              <w:top w:val="single" w:sz="4" w:space="0" w:color="auto"/>
              <w:left w:val="single" w:sz="4" w:space="0" w:color="auto"/>
              <w:bottom w:val="single" w:sz="4" w:space="0" w:color="auto"/>
              <w:right w:val="single" w:sz="4" w:space="0" w:color="auto"/>
            </w:tcBorders>
            <w:hideMark/>
          </w:tcPr>
          <w:p w14:paraId="604CBE6D" w14:textId="2530DBFF" w:rsidR="00761439" w:rsidRDefault="002A6DEE" w:rsidP="00D22060">
            <w:pPr>
              <w:pStyle w:val="Tabletext1"/>
              <w:spacing w:before="0" w:after="0"/>
              <w:ind w:left="34"/>
            </w:pPr>
            <w:r>
              <w:rPr>
                <w:b/>
                <w:bCs/>
              </w:rPr>
              <w:t>redacted</w:t>
            </w:r>
          </w:p>
        </w:tc>
        <w:tc>
          <w:tcPr>
            <w:tcW w:w="1094" w:type="dxa"/>
            <w:tcBorders>
              <w:top w:val="single" w:sz="4" w:space="0" w:color="auto"/>
              <w:left w:val="single" w:sz="4" w:space="0" w:color="auto"/>
              <w:bottom w:val="single" w:sz="4" w:space="0" w:color="auto"/>
              <w:right w:val="single" w:sz="4" w:space="0" w:color="auto"/>
            </w:tcBorders>
            <w:hideMark/>
          </w:tcPr>
          <w:p w14:paraId="7B324DEF" w14:textId="5E747BBC" w:rsidR="00761439" w:rsidRDefault="002A6DEE"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53E4D112" w14:textId="35BBBAAE" w:rsidR="00761439" w:rsidRDefault="002A6DEE" w:rsidP="00D22060">
            <w:pPr>
              <w:pStyle w:val="Tabletext1"/>
              <w:spacing w:before="0" w:after="0"/>
              <w:ind w:left="34"/>
            </w:pPr>
            <w:r>
              <w:rPr>
                <w:b/>
                <w:bCs/>
              </w:rPr>
              <w:t>redacted</w:t>
            </w:r>
          </w:p>
        </w:tc>
      </w:tr>
      <w:tr w:rsidR="00C7107D" w14:paraId="4ACE5F7C" w14:textId="77777777" w:rsidTr="00C7107D">
        <w:tc>
          <w:tcPr>
            <w:tcW w:w="2405" w:type="dxa"/>
            <w:tcBorders>
              <w:top w:val="single" w:sz="4" w:space="0" w:color="auto"/>
              <w:left w:val="single" w:sz="4" w:space="0" w:color="auto"/>
              <w:bottom w:val="single" w:sz="4" w:space="0" w:color="auto"/>
              <w:right w:val="single" w:sz="4" w:space="0" w:color="auto"/>
            </w:tcBorders>
            <w:hideMark/>
          </w:tcPr>
          <w:p w14:paraId="79B518F6" w14:textId="77777777" w:rsidR="00761439" w:rsidRDefault="00761439" w:rsidP="00D22060">
            <w:pPr>
              <w:pStyle w:val="Tabletext1"/>
              <w:spacing w:before="0" w:after="0"/>
              <w:ind w:left="34"/>
            </w:pPr>
            <w:r>
              <w:t>Assumed uptake of DAC+abs (assumed 50% at base case)</w:t>
            </w:r>
          </w:p>
        </w:tc>
        <w:tc>
          <w:tcPr>
            <w:tcW w:w="1122" w:type="dxa"/>
            <w:tcBorders>
              <w:top w:val="single" w:sz="4" w:space="0" w:color="auto"/>
              <w:left w:val="single" w:sz="4" w:space="0" w:color="auto"/>
              <w:bottom w:val="single" w:sz="4" w:space="0" w:color="auto"/>
              <w:right w:val="single" w:sz="4" w:space="0" w:color="auto"/>
            </w:tcBorders>
            <w:hideMark/>
          </w:tcPr>
          <w:p w14:paraId="338B82B0" w14:textId="7DF587D0" w:rsidR="00761439" w:rsidRDefault="002A6DEE" w:rsidP="00D22060">
            <w:pPr>
              <w:pStyle w:val="Tabletext1"/>
              <w:spacing w:before="0" w:after="0"/>
              <w:ind w:left="34"/>
            </w:pPr>
            <w:r>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0A217461" w14:textId="4F683843" w:rsidR="00761439" w:rsidRDefault="002A6DEE" w:rsidP="00D22060">
            <w:pPr>
              <w:pStyle w:val="Tabletext1"/>
              <w:spacing w:before="0" w:after="0"/>
              <w:ind w:left="34"/>
            </w:pPr>
            <w:r>
              <w:rPr>
                <w:b/>
                <w:bCs/>
              </w:rPr>
              <w:t>redacted</w:t>
            </w:r>
          </w:p>
        </w:tc>
        <w:tc>
          <w:tcPr>
            <w:tcW w:w="1037" w:type="dxa"/>
            <w:tcBorders>
              <w:top w:val="single" w:sz="4" w:space="0" w:color="auto"/>
              <w:left w:val="single" w:sz="4" w:space="0" w:color="auto"/>
              <w:bottom w:val="single" w:sz="4" w:space="0" w:color="auto"/>
              <w:right w:val="single" w:sz="4" w:space="0" w:color="auto"/>
            </w:tcBorders>
            <w:hideMark/>
          </w:tcPr>
          <w:p w14:paraId="407A69EE" w14:textId="6C434C5C" w:rsidR="00761439" w:rsidRDefault="002A6DEE" w:rsidP="00D22060">
            <w:pPr>
              <w:pStyle w:val="Tabletext1"/>
              <w:spacing w:before="0" w:after="0"/>
              <w:ind w:left="34"/>
            </w:pPr>
            <w:r>
              <w:rPr>
                <w:b/>
                <w:bCs/>
              </w:rPr>
              <w:t>redacted</w:t>
            </w:r>
          </w:p>
        </w:tc>
        <w:tc>
          <w:tcPr>
            <w:tcW w:w="1137" w:type="dxa"/>
            <w:tcBorders>
              <w:top w:val="single" w:sz="4" w:space="0" w:color="auto"/>
              <w:left w:val="single" w:sz="4" w:space="0" w:color="auto"/>
              <w:bottom w:val="single" w:sz="4" w:space="0" w:color="auto"/>
              <w:right w:val="single" w:sz="4" w:space="0" w:color="auto"/>
            </w:tcBorders>
            <w:hideMark/>
          </w:tcPr>
          <w:p w14:paraId="333EAE3F" w14:textId="6CD56672" w:rsidR="00761439" w:rsidRDefault="002A6DEE" w:rsidP="00D22060">
            <w:pPr>
              <w:pStyle w:val="Tabletext1"/>
              <w:spacing w:before="0" w:after="0"/>
              <w:ind w:left="34"/>
            </w:pPr>
            <w:r>
              <w:rPr>
                <w:b/>
                <w:bCs/>
              </w:rPr>
              <w:t>redacted</w:t>
            </w:r>
          </w:p>
        </w:tc>
        <w:tc>
          <w:tcPr>
            <w:tcW w:w="1094" w:type="dxa"/>
            <w:tcBorders>
              <w:top w:val="single" w:sz="4" w:space="0" w:color="auto"/>
              <w:left w:val="single" w:sz="4" w:space="0" w:color="auto"/>
              <w:bottom w:val="single" w:sz="4" w:space="0" w:color="auto"/>
              <w:right w:val="single" w:sz="4" w:space="0" w:color="auto"/>
            </w:tcBorders>
            <w:hideMark/>
          </w:tcPr>
          <w:p w14:paraId="06AF781D" w14:textId="51C81B86" w:rsidR="00761439" w:rsidRDefault="002A6DEE"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149FA01E" w14:textId="04D4C41E" w:rsidR="00761439" w:rsidRDefault="002A6DEE" w:rsidP="00D22060">
            <w:pPr>
              <w:pStyle w:val="Tabletext1"/>
              <w:spacing w:before="0" w:after="0"/>
              <w:ind w:left="34"/>
            </w:pPr>
            <w:r>
              <w:rPr>
                <w:b/>
                <w:bCs/>
              </w:rPr>
              <w:t>redacted</w:t>
            </w:r>
          </w:p>
        </w:tc>
      </w:tr>
      <w:tr w:rsidR="00C7107D" w14:paraId="7A2EA96B" w14:textId="77777777" w:rsidTr="00C7107D">
        <w:tc>
          <w:tcPr>
            <w:tcW w:w="2405" w:type="dxa"/>
            <w:tcBorders>
              <w:top w:val="single" w:sz="4" w:space="0" w:color="auto"/>
              <w:left w:val="single" w:sz="4" w:space="0" w:color="auto"/>
              <w:bottom w:val="single" w:sz="4" w:space="0" w:color="auto"/>
              <w:right w:val="single" w:sz="4" w:space="0" w:color="auto"/>
            </w:tcBorders>
            <w:hideMark/>
          </w:tcPr>
          <w:p w14:paraId="6A3207EA" w14:textId="77777777" w:rsidR="00761439" w:rsidRDefault="00761439" w:rsidP="00D22060">
            <w:pPr>
              <w:pStyle w:val="Tabletext1"/>
              <w:spacing w:before="0" w:after="0"/>
              <w:ind w:left="34"/>
            </w:pPr>
            <w:r>
              <w:t>Cost to private health insurance</w:t>
            </w:r>
            <w:r w:rsidRPr="006107B8">
              <w:rPr>
                <w:vertAlign w:val="superscript"/>
              </w:rPr>
              <w:t>b</w:t>
            </w:r>
          </w:p>
        </w:tc>
        <w:tc>
          <w:tcPr>
            <w:tcW w:w="1122" w:type="dxa"/>
            <w:tcBorders>
              <w:top w:val="single" w:sz="4" w:space="0" w:color="auto"/>
              <w:left w:val="single" w:sz="4" w:space="0" w:color="auto"/>
              <w:bottom w:val="single" w:sz="4" w:space="0" w:color="auto"/>
              <w:right w:val="single" w:sz="4" w:space="0" w:color="auto"/>
            </w:tcBorders>
            <w:hideMark/>
          </w:tcPr>
          <w:p w14:paraId="1C667D1E" w14:textId="71745D9B" w:rsidR="00761439" w:rsidRDefault="00761439" w:rsidP="00D22060">
            <w:pPr>
              <w:pStyle w:val="Tabletext1"/>
              <w:spacing w:before="0" w:after="0"/>
              <w:ind w:left="34"/>
            </w:pPr>
            <w:r>
              <w:t>$</w:t>
            </w:r>
            <w:r w:rsidR="002A6DEE">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22DAAAF6" w14:textId="1837F1AE" w:rsidR="00761439" w:rsidRDefault="00761439" w:rsidP="00D22060">
            <w:pPr>
              <w:pStyle w:val="Tabletext1"/>
              <w:spacing w:before="0" w:after="0"/>
              <w:ind w:left="34"/>
            </w:pPr>
            <w:r>
              <w:t>$</w:t>
            </w:r>
            <w:r w:rsidR="002A6DEE">
              <w:rPr>
                <w:b/>
                <w:bCs/>
              </w:rPr>
              <w:t>redacted</w:t>
            </w:r>
          </w:p>
        </w:tc>
        <w:tc>
          <w:tcPr>
            <w:tcW w:w="1037" w:type="dxa"/>
            <w:tcBorders>
              <w:top w:val="single" w:sz="4" w:space="0" w:color="auto"/>
              <w:left w:val="single" w:sz="4" w:space="0" w:color="auto"/>
              <w:bottom w:val="single" w:sz="4" w:space="0" w:color="auto"/>
              <w:right w:val="single" w:sz="4" w:space="0" w:color="auto"/>
            </w:tcBorders>
            <w:hideMark/>
          </w:tcPr>
          <w:p w14:paraId="39DD68A6" w14:textId="353F691E" w:rsidR="00761439" w:rsidRDefault="00761439" w:rsidP="00D22060">
            <w:pPr>
              <w:pStyle w:val="Tabletext1"/>
              <w:spacing w:before="0" w:after="0"/>
              <w:ind w:left="34"/>
            </w:pPr>
            <w:r>
              <w:t>$</w:t>
            </w:r>
            <w:r w:rsidR="002A6DEE">
              <w:rPr>
                <w:b/>
                <w:bCs/>
              </w:rPr>
              <w:t>redacted</w:t>
            </w:r>
          </w:p>
        </w:tc>
        <w:tc>
          <w:tcPr>
            <w:tcW w:w="1137" w:type="dxa"/>
            <w:tcBorders>
              <w:top w:val="single" w:sz="4" w:space="0" w:color="auto"/>
              <w:left w:val="single" w:sz="4" w:space="0" w:color="auto"/>
              <w:bottom w:val="single" w:sz="4" w:space="0" w:color="auto"/>
              <w:right w:val="single" w:sz="4" w:space="0" w:color="auto"/>
            </w:tcBorders>
            <w:hideMark/>
          </w:tcPr>
          <w:p w14:paraId="7E047481" w14:textId="5CB0739F" w:rsidR="00761439" w:rsidRDefault="00761439" w:rsidP="00D22060">
            <w:pPr>
              <w:pStyle w:val="Tabletext1"/>
              <w:spacing w:before="0" w:after="0"/>
              <w:ind w:left="34"/>
            </w:pPr>
            <w:r>
              <w:t>$</w:t>
            </w:r>
            <w:r w:rsidR="002A6DEE">
              <w:rPr>
                <w:b/>
                <w:bCs/>
              </w:rPr>
              <w:t>redacted</w:t>
            </w:r>
          </w:p>
        </w:tc>
        <w:tc>
          <w:tcPr>
            <w:tcW w:w="1094" w:type="dxa"/>
            <w:tcBorders>
              <w:top w:val="single" w:sz="4" w:space="0" w:color="auto"/>
              <w:left w:val="single" w:sz="4" w:space="0" w:color="auto"/>
              <w:bottom w:val="single" w:sz="4" w:space="0" w:color="auto"/>
              <w:right w:val="single" w:sz="4" w:space="0" w:color="auto"/>
            </w:tcBorders>
            <w:hideMark/>
          </w:tcPr>
          <w:p w14:paraId="0BF66EA7" w14:textId="78507ECA" w:rsidR="00761439" w:rsidRDefault="00761439" w:rsidP="00D22060">
            <w:pPr>
              <w:pStyle w:val="Tabletext1"/>
              <w:spacing w:before="0" w:after="0"/>
              <w:ind w:left="34"/>
            </w:pPr>
            <w:r>
              <w:t>$</w:t>
            </w:r>
            <w:r w:rsidR="002A6DEE">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7FFC4D4" w14:textId="431CF807" w:rsidR="00761439" w:rsidRDefault="00761439" w:rsidP="00D22060">
            <w:pPr>
              <w:pStyle w:val="Tabletext1"/>
              <w:spacing w:before="0" w:after="0"/>
              <w:ind w:left="34"/>
            </w:pPr>
            <w:r>
              <w:t>$</w:t>
            </w:r>
            <w:r w:rsidR="002A6DEE">
              <w:rPr>
                <w:b/>
                <w:bCs/>
              </w:rPr>
              <w:t>redacted</w:t>
            </w:r>
          </w:p>
        </w:tc>
      </w:tr>
      <w:tr w:rsidR="00C7107D" w14:paraId="3D57C504" w14:textId="77777777" w:rsidTr="00C7107D">
        <w:tc>
          <w:tcPr>
            <w:tcW w:w="2405" w:type="dxa"/>
            <w:tcBorders>
              <w:top w:val="single" w:sz="4" w:space="0" w:color="auto"/>
              <w:left w:val="single" w:sz="4" w:space="0" w:color="auto"/>
              <w:bottom w:val="single" w:sz="4" w:space="0" w:color="auto"/>
              <w:right w:val="single" w:sz="4" w:space="0" w:color="auto"/>
            </w:tcBorders>
            <w:hideMark/>
          </w:tcPr>
          <w:p w14:paraId="6B2654BF" w14:textId="77777777" w:rsidR="00761439" w:rsidRDefault="00761439" w:rsidP="00D22060">
            <w:pPr>
              <w:pStyle w:val="Tabletext1"/>
              <w:spacing w:before="0" w:after="0"/>
              <w:ind w:left="34"/>
            </w:pPr>
            <w:r>
              <w:t>Total financial implication to the MBS</w:t>
            </w:r>
            <w:r>
              <w:rPr>
                <w:vertAlign w:val="superscript"/>
              </w:rPr>
              <w:t>c</w:t>
            </w:r>
          </w:p>
        </w:tc>
        <w:tc>
          <w:tcPr>
            <w:tcW w:w="1122" w:type="dxa"/>
            <w:tcBorders>
              <w:top w:val="single" w:sz="4" w:space="0" w:color="auto"/>
              <w:left w:val="single" w:sz="4" w:space="0" w:color="auto"/>
              <w:bottom w:val="single" w:sz="4" w:space="0" w:color="auto"/>
              <w:right w:val="single" w:sz="4" w:space="0" w:color="auto"/>
            </w:tcBorders>
            <w:hideMark/>
          </w:tcPr>
          <w:p w14:paraId="388E0C5D" w14:textId="77777777" w:rsidR="00761439" w:rsidRDefault="00761439" w:rsidP="00D22060">
            <w:pPr>
              <w:pStyle w:val="Tabletext1"/>
              <w:spacing w:before="0" w:after="0"/>
              <w:ind w:left="34"/>
            </w:pPr>
            <w:r>
              <w:t>$2,075</w:t>
            </w:r>
          </w:p>
        </w:tc>
        <w:tc>
          <w:tcPr>
            <w:tcW w:w="1079" w:type="dxa"/>
            <w:tcBorders>
              <w:top w:val="single" w:sz="4" w:space="0" w:color="auto"/>
              <w:left w:val="single" w:sz="4" w:space="0" w:color="auto"/>
              <w:bottom w:val="single" w:sz="4" w:space="0" w:color="auto"/>
              <w:right w:val="single" w:sz="4" w:space="0" w:color="auto"/>
            </w:tcBorders>
            <w:hideMark/>
          </w:tcPr>
          <w:p w14:paraId="3C7D11B2" w14:textId="77777777" w:rsidR="00761439" w:rsidRDefault="00761439" w:rsidP="00D22060">
            <w:pPr>
              <w:pStyle w:val="Tabletext1"/>
              <w:spacing w:before="0" w:after="0"/>
              <w:ind w:left="34"/>
            </w:pPr>
            <w:r>
              <w:t>$2,114</w:t>
            </w:r>
          </w:p>
        </w:tc>
        <w:tc>
          <w:tcPr>
            <w:tcW w:w="1037" w:type="dxa"/>
            <w:tcBorders>
              <w:top w:val="single" w:sz="4" w:space="0" w:color="auto"/>
              <w:left w:val="single" w:sz="4" w:space="0" w:color="auto"/>
              <w:bottom w:val="single" w:sz="4" w:space="0" w:color="auto"/>
              <w:right w:val="single" w:sz="4" w:space="0" w:color="auto"/>
            </w:tcBorders>
            <w:hideMark/>
          </w:tcPr>
          <w:p w14:paraId="251C9F33" w14:textId="77777777" w:rsidR="00761439" w:rsidRDefault="00761439" w:rsidP="00D22060">
            <w:pPr>
              <w:pStyle w:val="Tabletext1"/>
              <w:spacing w:before="0" w:after="0"/>
              <w:ind w:left="34"/>
            </w:pPr>
            <w:r>
              <w:t>$2,154</w:t>
            </w:r>
          </w:p>
        </w:tc>
        <w:tc>
          <w:tcPr>
            <w:tcW w:w="1137" w:type="dxa"/>
            <w:tcBorders>
              <w:top w:val="single" w:sz="4" w:space="0" w:color="auto"/>
              <w:left w:val="single" w:sz="4" w:space="0" w:color="auto"/>
              <w:bottom w:val="single" w:sz="4" w:space="0" w:color="auto"/>
              <w:right w:val="single" w:sz="4" w:space="0" w:color="auto"/>
            </w:tcBorders>
            <w:hideMark/>
          </w:tcPr>
          <w:p w14:paraId="56143095" w14:textId="77777777" w:rsidR="00761439" w:rsidRDefault="00761439" w:rsidP="00D22060">
            <w:pPr>
              <w:pStyle w:val="Tabletext1"/>
              <w:spacing w:before="0" w:after="0"/>
              <w:ind w:left="34"/>
            </w:pPr>
            <w:r>
              <w:t>$2,195</w:t>
            </w:r>
          </w:p>
        </w:tc>
        <w:tc>
          <w:tcPr>
            <w:tcW w:w="1094" w:type="dxa"/>
            <w:tcBorders>
              <w:top w:val="single" w:sz="4" w:space="0" w:color="auto"/>
              <w:left w:val="single" w:sz="4" w:space="0" w:color="auto"/>
              <w:bottom w:val="single" w:sz="4" w:space="0" w:color="auto"/>
              <w:right w:val="single" w:sz="4" w:space="0" w:color="auto"/>
            </w:tcBorders>
            <w:hideMark/>
          </w:tcPr>
          <w:p w14:paraId="5F98A1CA" w14:textId="77777777" w:rsidR="00761439" w:rsidRDefault="00761439" w:rsidP="00D22060">
            <w:pPr>
              <w:pStyle w:val="Tabletext1"/>
              <w:spacing w:before="0" w:after="0"/>
              <w:ind w:left="34"/>
            </w:pPr>
            <w:r>
              <w:t>$2,237</w:t>
            </w:r>
          </w:p>
        </w:tc>
        <w:tc>
          <w:tcPr>
            <w:tcW w:w="1134" w:type="dxa"/>
            <w:tcBorders>
              <w:top w:val="single" w:sz="4" w:space="0" w:color="auto"/>
              <w:left w:val="single" w:sz="4" w:space="0" w:color="auto"/>
              <w:bottom w:val="single" w:sz="4" w:space="0" w:color="auto"/>
              <w:right w:val="single" w:sz="4" w:space="0" w:color="auto"/>
            </w:tcBorders>
            <w:hideMark/>
          </w:tcPr>
          <w:p w14:paraId="7D839E2B" w14:textId="77777777" w:rsidR="00761439" w:rsidRDefault="00761439" w:rsidP="00D22060">
            <w:pPr>
              <w:pStyle w:val="Tabletext1"/>
              <w:spacing w:before="0" w:after="0"/>
              <w:ind w:left="34"/>
            </w:pPr>
            <w:r>
              <w:t>$10,776</w:t>
            </w:r>
          </w:p>
        </w:tc>
      </w:tr>
      <w:tr w:rsidR="00C7107D" w14:paraId="6375BEAE" w14:textId="77777777" w:rsidTr="00C7107D">
        <w:tc>
          <w:tcPr>
            <w:tcW w:w="2405" w:type="dxa"/>
            <w:tcBorders>
              <w:top w:val="single" w:sz="4" w:space="0" w:color="auto"/>
              <w:left w:val="single" w:sz="4" w:space="0" w:color="auto"/>
              <w:bottom w:val="single" w:sz="4" w:space="0" w:color="auto"/>
              <w:right w:val="single" w:sz="4" w:space="0" w:color="auto"/>
            </w:tcBorders>
            <w:hideMark/>
          </w:tcPr>
          <w:p w14:paraId="6B2E0BC8" w14:textId="77777777" w:rsidR="00761439" w:rsidRDefault="00761439" w:rsidP="00D22060">
            <w:pPr>
              <w:pStyle w:val="Tabletext1"/>
              <w:spacing w:before="0" w:after="0"/>
              <w:ind w:left="34"/>
            </w:pPr>
            <w:r>
              <w:t>Total financial implication to the PBS</w:t>
            </w:r>
            <w:r>
              <w:rPr>
                <w:vertAlign w:val="superscript"/>
              </w:rPr>
              <w:t>d</w:t>
            </w:r>
          </w:p>
        </w:tc>
        <w:tc>
          <w:tcPr>
            <w:tcW w:w="1122" w:type="dxa"/>
            <w:tcBorders>
              <w:top w:val="single" w:sz="4" w:space="0" w:color="auto"/>
              <w:left w:val="single" w:sz="4" w:space="0" w:color="auto"/>
              <w:bottom w:val="single" w:sz="4" w:space="0" w:color="auto"/>
              <w:right w:val="single" w:sz="4" w:space="0" w:color="auto"/>
            </w:tcBorders>
            <w:hideMark/>
          </w:tcPr>
          <w:p w14:paraId="6086F5FC" w14:textId="77777777" w:rsidR="00761439" w:rsidRDefault="00761439" w:rsidP="00D22060">
            <w:pPr>
              <w:pStyle w:val="Tabletext1"/>
              <w:spacing w:before="0" w:after="0"/>
              <w:ind w:left="34"/>
            </w:pPr>
            <w:r>
              <w:t>$861</w:t>
            </w:r>
          </w:p>
        </w:tc>
        <w:tc>
          <w:tcPr>
            <w:tcW w:w="1079" w:type="dxa"/>
            <w:tcBorders>
              <w:top w:val="single" w:sz="4" w:space="0" w:color="auto"/>
              <w:left w:val="single" w:sz="4" w:space="0" w:color="auto"/>
              <w:bottom w:val="single" w:sz="4" w:space="0" w:color="auto"/>
              <w:right w:val="single" w:sz="4" w:space="0" w:color="auto"/>
            </w:tcBorders>
            <w:hideMark/>
          </w:tcPr>
          <w:p w14:paraId="3497A7FA" w14:textId="77777777" w:rsidR="00761439" w:rsidRDefault="00761439" w:rsidP="00D22060">
            <w:pPr>
              <w:pStyle w:val="Tabletext1"/>
              <w:spacing w:before="0" w:after="0"/>
              <w:ind w:left="34"/>
            </w:pPr>
            <w:r>
              <w:t>$878</w:t>
            </w:r>
          </w:p>
        </w:tc>
        <w:tc>
          <w:tcPr>
            <w:tcW w:w="1037" w:type="dxa"/>
            <w:tcBorders>
              <w:top w:val="single" w:sz="4" w:space="0" w:color="auto"/>
              <w:left w:val="single" w:sz="4" w:space="0" w:color="auto"/>
              <w:bottom w:val="single" w:sz="4" w:space="0" w:color="auto"/>
              <w:right w:val="single" w:sz="4" w:space="0" w:color="auto"/>
            </w:tcBorders>
            <w:hideMark/>
          </w:tcPr>
          <w:p w14:paraId="3913FD15" w14:textId="77777777" w:rsidR="00761439" w:rsidRDefault="00761439" w:rsidP="00D22060">
            <w:pPr>
              <w:pStyle w:val="Tabletext1"/>
              <w:spacing w:before="0" w:after="0"/>
              <w:ind w:left="34"/>
            </w:pPr>
            <w:r>
              <w:t>$894</w:t>
            </w:r>
          </w:p>
        </w:tc>
        <w:tc>
          <w:tcPr>
            <w:tcW w:w="1137" w:type="dxa"/>
            <w:tcBorders>
              <w:top w:val="single" w:sz="4" w:space="0" w:color="auto"/>
              <w:left w:val="single" w:sz="4" w:space="0" w:color="auto"/>
              <w:bottom w:val="single" w:sz="4" w:space="0" w:color="auto"/>
              <w:right w:val="single" w:sz="4" w:space="0" w:color="auto"/>
            </w:tcBorders>
            <w:hideMark/>
          </w:tcPr>
          <w:p w14:paraId="4EE0F19C" w14:textId="77777777" w:rsidR="00761439" w:rsidRDefault="00761439" w:rsidP="00D22060">
            <w:pPr>
              <w:pStyle w:val="Tabletext1"/>
              <w:spacing w:before="0" w:after="0"/>
              <w:ind w:left="34"/>
            </w:pPr>
            <w:r>
              <w:t>$911</w:t>
            </w:r>
          </w:p>
        </w:tc>
        <w:tc>
          <w:tcPr>
            <w:tcW w:w="1094" w:type="dxa"/>
            <w:tcBorders>
              <w:top w:val="single" w:sz="4" w:space="0" w:color="auto"/>
              <w:left w:val="single" w:sz="4" w:space="0" w:color="auto"/>
              <w:bottom w:val="single" w:sz="4" w:space="0" w:color="auto"/>
              <w:right w:val="single" w:sz="4" w:space="0" w:color="auto"/>
            </w:tcBorders>
            <w:hideMark/>
          </w:tcPr>
          <w:p w14:paraId="26A1C57D" w14:textId="77777777" w:rsidR="00761439" w:rsidRDefault="00761439" w:rsidP="00D22060">
            <w:pPr>
              <w:pStyle w:val="Tabletext1"/>
              <w:spacing w:before="0" w:after="0"/>
              <w:ind w:left="34"/>
            </w:pPr>
            <w:r>
              <w:t>$929</w:t>
            </w:r>
          </w:p>
        </w:tc>
        <w:tc>
          <w:tcPr>
            <w:tcW w:w="1134" w:type="dxa"/>
            <w:tcBorders>
              <w:top w:val="single" w:sz="4" w:space="0" w:color="auto"/>
              <w:left w:val="single" w:sz="4" w:space="0" w:color="auto"/>
              <w:bottom w:val="single" w:sz="4" w:space="0" w:color="auto"/>
              <w:right w:val="single" w:sz="4" w:space="0" w:color="auto"/>
            </w:tcBorders>
            <w:hideMark/>
          </w:tcPr>
          <w:p w14:paraId="272221C1" w14:textId="77777777" w:rsidR="00761439" w:rsidRDefault="00761439" w:rsidP="00D22060">
            <w:pPr>
              <w:pStyle w:val="Tabletext1"/>
              <w:spacing w:before="0" w:after="0"/>
              <w:ind w:left="34"/>
            </w:pPr>
            <w:r>
              <w:t>$4,473</w:t>
            </w:r>
          </w:p>
        </w:tc>
      </w:tr>
      <w:tr w:rsidR="00C7107D" w14:paraId="2C037F4B" w14:textId="77777777" w:rsidTr="00C7107D">
        <w:tc>
          <w:tcPr>
            <w:tcW w:w="2405" w:type="dxa"/>
            <w:tcBorders>
              <w:top w:val="single" w:sz="4" w:space="0" w:color="auto"/>
              <w:left w:val="single" w:sz="4" w:space="0" w:color="auto"/>
              <w:bottom w:val="single" w:sz="4" w:space="0" w:color="auto"/>
              <w:right w:val="single" w:sz="4" w:space="0" w:color="auto"/>
            </w:tcBorders>
            <w:hideMark/>
          </w:tcPr>
          <w:p w14:paraId="372103AF" w14:textId="77777777" w:rsidR="00761439" w:rsidRDefault="00761439" w:rsidP="00D22060">
            <w:pPr>
              <w:pStyle w:val="Tabletext1"/>
              <w:spacing w:before="0" w:after="0"/>
              <w:ind w:left="34"/>
            </w:pPr>
            <w:r>
              <w:t>Total financial implication to the Government</w:t>
            </w:r>
            <w:r>
              <w:rPr>
                <w:vertAlign w:val="superscript"/>
              </w:rPr>
              <w:t>e</w:t>
            </w:r>
          </w:p>
        </w:tc>
        <w:tc>
          <w:tcPr>
            <w:tcW w:w="1122" w:type="dxa"/>
            <w:tcBorders>
              <w:top w:val="single" w:sz="4" w:space="0" w:color="auto"/>
              <w:left w:val="single" w:sz="4" w:space="0" w:color="auto"/>
              <w:bottom w:val="single" w:sz="4" w:space="0" w:color="auto"/>
              <w:right w:val="single" w:sz="4" w:space="0" w:color="auto"/>
            </w:tcBorders>
            <w:hideMark/>
          </w:tcPr>
          <w:p w14:paraId="08972EB0" w14:textId="77777777" w:rsidR="00761439" w:rsidRDefault="00761439" w:rsidP="00D22060">
            <w:pPr>
              <w:pStyle w:val="Tabletext1"/>
              <w:spacing w:before="0" w:after="0"/>
              <w:ind w:left="34"/>
            </w:pPr>
            <w:r>
              <w:t>$2,936</w:t>
            </w:r>
          </w:p>
        </w:tc>
        <w:tc>
          <w:tcPr>
            <w:tcW w:w="1079" w:type="dxa"/>
            <w:tcBorders>
              <w:top w:val="single" w:sz="4" w:space="0" w:color="auto"/>
              <w:left w:val="single" w:sz="4" w:space="0" w:color="auto"/>
              <w:bottom w:val="single" w:sz="4" w:space="0" w:color="auto"/>
              <w:right w:val="single" w:sz="4" w:space="0" w:color="auto"/>
            </w:tcBorders>
            <w:hideMark/>
          </w:tcPr>
          <w:p w14:paraId="2AE6CECF" w14:textId="77777777" w:rsidR="00761439" w:rsidRDefault="00761439" w:rsidP="00D22060">
            <w:pPr>
              <w:pStyle w:val="Tabletext1"/>
              <w:spacing w:before="0" w:after="0"/>
              <w:ind w:left="34"/>
            </w:pPr>
            <w:r>
              <w:t>$2,992</w:t>
            </w:r>
          </w:p>
        </w:tc>
        <w:tc>
          <w:tcPr>
            <w:tcW w:w="1037" w:type="dxa"/>
            <w:tcBorders>
              <w:top w:val="single" w:sz="4" w:space="0" w:color="auto"/>
              <w:left w:val="single" w:sz="4" w:space="0" w:color="auto"/>
              <w:bottom w:val="single" w:sz="4" w:space="0" w:color="auto"/>
              <w:right w:val="single" w:sz="4" w:space="0" w:color="auto"/>
            </w:tcBorders>
            <w:hideMark/>
          </w:tcPr>
          <w:p w14:paraId="7398AFDE" w14:textId="77777777" w:rsidR="00761439" w:rsidRDefault="00761439" w:rsidP="00D22060">
            <w:pPr>
              <w:pStyle w:val="Tabletext1"/>
              <w:spacing w:before="0" w:after="0"/>
              <w:ind w:left="34"/>
            </w:pPr>
            <w:r>
              <w:t>$3,049</w:t>
            </w:r>
          </w:p>
        </w:tc>
        <w:tc>
          <w:tcPr>
            <w:tcW w:w="1137" w:type="dxa"/>
            <w:tcBorders>
              <w:top w:val="single" w:sz="4" w:space="0" w:color="auto"/>
              <w:left w:val="single" w:sz="4" w:space="0" w:color="auto"/>
              <w:bottom w:val="single" w:sz="4" w:space="0" w:color="auto"/>
              <w:right w:val="single" w:sz="4" w:space="0" w:color="auto"/>
            </w:tcBorders>
            <w:hideMark/>
          </w:tcPr>
          <w:p w14:paraId="439FBB3A" w14:textId="77777777" w:rsidR="00761439" w:rsidRDefault="00761439" w:rsidP="00D22060">
            <w:pPr>
              <w:pStyle w:val="Tabletext1"/>
              <w:spacing w:before="0" w:after="0"/>
              <w:ind w:left="34"/>
            </w:pPr>
            <w:r>
              <w:t>$3,107</w:t>
            </w:r>
          </w:p>
        </w:tc>
        <w:tc>
          <w:tcPr>
            <w:tcW w:w="1094" w:type="dxa"/>
            <w:tcBorders>
              <w:top w:val="single" w:sz="4" w:space="0" w:color="auto"/>
              <w:left w:val="single" w:sz="4" w:space="0" w:color="auto"/>
              <w:bottom w:val="single" w:sz="4" w:space="0" w:color="auto"/>
              <w:right w:val="single" w:sz="4" w:space="0" w:color="auto"/>
            </w:tcBorders>
            <w:hideMark/>
          </w:tcPr>
          <w:p w14:paraId="61DE8958" w14:textId="77777777" w:rsidR="00761439" w:rsidRDefault="00761439" w:rsidP="00D22060">
            <w:pPr>
              <w:pStyle w:val="Tabletext1"/>
              <w:spacing w:before="0" w:after="0"/>
              <w:ind w:left="34"/>
            </w:pPr>
            <w:r>
              <w:t>$3,166</w:t>
            </w:r>
          </w:p>
        </w:tc>
        <w:tc>
          <w:tcPr>
            <w:tcW w:w="1134" w:type="dxa"/>
            <w:tcBorders>
              <w:top w:val="single" w:sz="4" w:space="0" w:color="auto"/>
              <w:left w:val="single" w:sz="4" w:space="0" w:color="auto"/>
              <w:bottom w:val="single" w:sz="4" w:space="0" w:color="auto"/>
              <w:right w:val="single" w:sz="4" w:space="0" w:color="auto"/>
            </w:tcBorders>
            <w:hideMark/>
          </w:tcPr>
          <w:p w14:paraId="3147D6AD" w14:textId="77777777" w:rsidR="00761439" w:rsidRDefault="00761439" w:rsidP="00D22060">
            <w:pPr>
              <w:pStyle w:val="Tabletext1"/>
              <w:spacing w:before="0" w:after="0"/>
              <w:ind w:left="34"/>
            </w:pPr>
            <w:r>
              <w:t>$15,248</w:t>
            </w:r>
          </w:p>
        </w:tc>
      </w:tr>
    </w:tbl>
    <w:p w14:paraId="47E896C6" w14:textId="77777777" w:rsidR="00761439" w:rsidRDefault="00761439" w:rsidP="00607722">
      <w:pPr>
        <w:pStyle w:val="Tablenotes0"/>
      </w:pPr>
      <w:r>
        <w:t>Source: Table 14, pg 48 of MSAC 1629 DCAR</w:t>
      </w:r>
    </w:p>
    <w:p w14:paraId="3C605624" w14:textId="0CA242C7" w:rsidR="00066A6C" w:rsidRDefault="00066A6C" w:rsidP="00607722">
      <w:pPr>
        <w:pStyle w:val="Tablenotes0"/>
      </w:pPr>
      <w:r w:rsidRPr="000E3A90">
        <w:t>Abbreviations: DAC</w:t>
      </w:r>
      <w:r w:rsidR="00FF140A">
        <w:t>+abs</w:t>
      </w:r>
      <w:r w:rsidRPr="000E3A90">
        <w:t>= Defensive Antibacterial Coating</w:t>
      </w:r>
      <w:r w:rsidR="00FF140A">
        <w:t xml:space="preserve"> loaded with antibiotics</w:t>
      </w:r>
      <w:r w:rsidRPr="000E3A90">
        <w:t>, MBS= Medicare benefits Schedule; PBS=Pharmaceutical benefits Schedule</w:t>
      </w:r>
    </w:p>
    <w:p w14:paraId="56D57307" w14:textId="77777777" w:rsidR="00066A6C" w:rsidRDefault="00066A6C" w:rsidP="00607722">
      <w:pPr>
        <w:pStyle w:val="Tablenotes0"/>
      </w:pPr>
      <w:r>
        <w:rPr>
          <w:vertAlign w:val="superscript"/>
        </w:rPr>
        <w:t xml:space="preserve">a </w:t>
      </w:r>
      <w:r w:rsidRPr="00394BBE">
        <w:t>Estimated based on AOANJRR Annual report 2020</w:t>
      </w:r>
    </w:p>
    <w:p w14:paraId="55AAA61D" w14:textId="2D112B42" w:rsidR="00066A6C" w:rsidRDefault="00066A6C" w:rsidP="00607722">
      <w:pPr>
        <w:pStyle w:val="Tablenotes0"/>
      </w:pPr>
      <w:r w:rsidRPr="006107B8">
        <w:rPr>
          <w:vertAlign w:val="superscript"/>
        </w:rPr>
        <w:t>b</w:t>
      </w:r>
      <w:r>
        <w:rPr>
          <w:vertAlign w:val="superscript"/>
        </w:rPr>
        <w:t xml:space="preserve"> </w:t>
      </w:r>
      <w:r>
        <w:t xml:space="preserve">Cost to private health insurance is due to </w:t>
      </w:r>
      <w:r w:rsidR="003B7856">
        <w:t xml:space="preserve">the </w:t>
      </w:r>
      <w:r>
        <w:t xml:space="preserve">acquisition of DAC kits. These costs were obtained as the product of </w:t>
      </w:r>
      <w:r w:rsidR="003B7856">
        <w:t xml:space="preserve">the </w:t>
      </w:r>
      <w:r>
        <w:t xml:space="preserve">assumed number of private patients * </w:t>
      </w:r>
      <w:r w:rsidR="003B7856">
        <w:t xml:space="preserve">the </w:t>
      </w:r>
      <w:r>
        <w:t xml:space="preserve">number of kits required per surgical procedure * unit cost of DAC 5ml. The number of kits per surgical procedure Population 3 (hip) was </w:t>
      </w:r>
      <w:r w:rsidR="002A6DEE">
        <w:rPr>
          <w:b/>
          <w:bCs/>
        </w:rPr>
        <w:t>redacted</w:t>
      </w:r>
      <w:r>
        <w:t>.</w:t>
      </w:r>
      <w:r w:rsidRPr="00BF08AC">
        <w:t xml:space="preserve"> Further, </w:t>
      </w:r>
      <w:r w:rsidR="003B7856">
        <w:t xml:space="preserve">the </w:t>
      </w:r>
      <w:r w:rsidRPr="00BF08AC">
        <w:t>unit cost of DAC 5ml was $</w:t>
      </w:r>
      <w:r w:rsidR="00270D7C">
        <w:rPr>
          <w:b/>
          <w:bCs/>
        </w:rPr>
        <w:t>redacted</w:t>
      </w:r>
      <w:r w:rsidRPr="00BF08AC">
        <w:t>.</w:t>
      </w:r>
    </w:p>
    <w:p w14:paraId="0EB386D2" w14:textId="06B54F08" w:rsidR="00066A6C" w:rsidRPr="00BF08AC" w:rsidRDefault="00066A6C" w:rsidP="00A94954">
      <w:pPr>
        <w:pStyle w:val="Tablenotes0"/>
      </w:pPr>
      <w:r w:rsidRPr="00BF08AC">
        <w:t>c Financial implication to MBS was due to costs associated with extra time required to prepare and apply the DAC</w:t>
      </w:r>
      <w:r w:rsidR="00FF140A">
        <w:t>+antibiotics</w:t>
      </w:r>
      <w:r w:rsidRPr="00BF08AC">
        <w:t xml:space="preserve">. </w:t>
      </w:r>
      <w:r w:rsidR="003B7856">
        <w:t>The e</w:t>
      </w:r>
      <w:r w:rsidRPr="00BF08AC">
        <w:t>stimated cost of extra time per procedure for Population 3 (Hip) was $</w:t>
      </w:r>
      <w:r w:rsidR="002A6DEE">
        <w:rPr>
          <w:b/>
          <w:bCs/>
        </w:rPr>
        <w:t>redacted</w:t>
      </w:r>
      <w:r w:rsidRPr="00BF08AC">
        <w:t xml:space="preserve">. </w:t>
      </w:r>
    </w:p>
    <w:p w14:paraId="1847E96D" w14:textId="74A5A764" w:rsidR="00066A6C" w:rsidRPr="00BF08AC" w:rsidRDefault="00066A6C" w:rsidP="00A94954">
      <w:pPr>
        <w:pStyle w:val="Tablenotes0"/>
      </w:pPr>
      <w:r w:rsidRPr="00BF08AC">
        <w:t xml:space="preserve">d Financial implication to PBS was due to cost associated with </w:t>
      </w:r>
      <w:r w:rsidR="003B7856">
        <w:t xml:space="preserve">the </w:t>
      </w:r>
      <w:r w:rsidRPr="00BF08AC">
        <w:t xml:space="preserve">cost of antibiotics for preloading DAC. </w:t>
      </w:r>
      <w:r w:rsidR="00FF140A">
        <w:t>The estimated</w:t>
      </w:r>
      <w:r w:rsidRPr="00BF08AC">
        <w:t xml:space="preserve"> cost per procedure for Population 3 (hip) was $</w:t>
      </w:r>
      <w:r w:rsidR="002A6DEE">
        <w:rPr>
          <w:b/>
          <w:bCs/>
        </w:rPr>
        <w:t>redacted</w:t>
      </w:r>
      <w:r w:rsidRPr="00BF08AC">
        <w:t xml:space="preserve">. </w:t>
      </w:r>
    </w:p>
    <w:p w14:paraId="46BCAEEA" w14:textId="1AF63835" w:rsidR="00066A6C" w:rsidRPr="000E3A90" w:rsidRDefault="00066A6C" w:rsidP="00FC3571">
      <w:pPr>
        <w:pStyle w:val="Tablenotes0"/>
      </w:pPr>
      <w:r>
        <w:rPr>
          <w:vertAlign w:val="superscript"/>
        </w:rPr>
        <w:t>e</w:t>
      </w:r>
      <w:r>
        <w:t xml:space="preserve"> Cost to the Government = Cost to MBS + Cost to PBS</w:t>
      </w:r>
    </w:p>
    <w:p w14:paraId="4F8F16CE" w14:textId="77777777" w:rsidR="00066A6C" w:rsidRPr="00D201BA" w:rsidRDefault="00066A6C" w:rsidP="00FC3571">
      <w:pPr>
        <w:pStyle w:val="ExecSummheading4"/>
      </w:pPr>
      <w:r w:rsidRPr="00D201BA">
        <w:t>Population 3 (knee)</w:t>
      </w:r>
    </w:p>
    <w:p w14:paraId="11D4B391" w14:textId="69C5404D" w:rsidR="00066A6C" w:rsidRPr="00D201BA" w:rsidRDefault="00066A6C" w:rsidP="00FC3571">
      <w:pPr>
        <w:pStyle w:val="Execsummnormal"/>
      </w:pPr>
      <w:r w:rsidRPr="00D201BA">
        <w:t>The estimated cost to private health insurance was $</w:t>
      </w:r>
      <w:r w:rsidR="00C7107D">
        <w:rPr>
          <w:b/>
          <w:bCs/>
        </w:rPr>
        <w:t>redacted</w:t>
      </w:r>
      <w:r w:rsidRPr="00D201BA">
        <w:t xml:space="preserve"> in </w:t>
      </w:r>
      <w:r w:rsidR="00FF140A">
        <w:t>Year 1</w:t>
      </w:r>
      <w:r w:rsidR="00FF140A" w:rsidRPr="00D201BA">
        <w:t xml:space="preserve"> </w:t>
      </w:r>
      <w:r w:rsidRPr="00D201BA">
        <w:t xml:space="preserve">and is expected to remain approximately steady </w:t>
      </w:r>
      <w:r w:rsidR="003B7856" w:rsidRPr="00D201BA">
        <w:t xml:space="preserve">until </w:t>
      </w:r>
      <w:r w:rsidR="00FF140A">
        <w:t>Year 5</w:t>
      </w:r>
      <w:r w:rsidRPr="00D201BA">
        <w:t>, with a total cost of $</w:t>
      </w:r>
      <w:r w:rsidR="00C7107D">
        <w:rPr>
          <w:b/>
          <w:bCs/>
        </w:rPr>
        <w:t>redacted</w:t>
      </w:r>
      <w:r w:rsidR="00C7107D" w:rsidRPr="00D201BA">
        <w:t xml:space="preserve"> </w:t>
      </w:r>
      <w:r w:rsidRPr="00D201BA">
        <w:t xml:space="preserve"> over five years.</w:t>
      </w:r>
    </w:p>
    <w:p w14:paraId="305F0427" w14:textId="482F13F3" w:rsidR="00E937EE" w:rsidRPr="00E937EE" w:rsidRDefault="00066A6C" w:rsidP="00E937EE">
      <w:pPr>
        <w:pStyle w:val="Execsummnormal"/>
      </w:pPr>
      <w:r w:rsidRPr="00D201BA">
        <w:t xml:space="preserve">The financial implication to the MBS was $1,370 in </w:t>
      </w:r>
      <w:r w:rsidR="00FF140A">
        <w:t>Year 1</w:t>
      </w:r>
      <w:r w:rsidRPr="00D201BA">
        <w:t xml:space="preserve">, which remained approximately steady until </w:t>
      </w:r>
      <w:r w:rsidR="00FF140A">
        <w:t>Year 5</w:t>
      </w:r>
      <w:r w:rsidRPr="00D201BA">
        <w:t>. The total financial implication to the MBS was estimated to be $7,000 (</w:t>
      </w:r>
      <w:r w:rsidRPr="00D201BA">
        <w:fldChar w:fldCharType="begin"/>
      </w:r>
      <w:r w:rsidRPr="00D201BA">
        <w:instrText xml:space="preserve"> REF _Ref71701555 \h </w:instrText>
      </w:r>
      <w:r w:rsidR="00D201BA">
        <w:instrText xml:space="preserve"> \* MERGEFORMAT </w:instrText>
      </w:r>
      <w:r w:rsidRPr="00D201BA">
        <w:fldChar w:fldCharType="separate"/>
      </w:r>
      <w:r w:rsidR="000E6255">
        <w:t xml:space="preserve">Table </w:t>
      </w:r>
      <w:r w:rsidR="000E6255">
        <w:rPr>
          <w:noProof/>
        </w:rPr>
        <w:t>16</w:t>
      </w:r>
      <w:r w:rsidRPr="00D201BA">
        <w:fldChar w:fldCharType="end"/>
      </w:r>
      <w:r w:rsidRPr="00D201BA">
        <w:t>).</w:t>
      </w:r>
      <w:bookmarkStart w:id="124" w:name="_Ref71701555"/>
      <w:bookmarkStart w:id="125" w:name="_Toc71718463"/>
      <w:bookmarkStart w:id="126" w:name="_Toc112076632"/>
      <w:r w:rsidR="00E937EE">
        <w:br w:type="page"/>
      </w:r>
    </w:p>
    <w:p w14:paraId="27EACC86" w14:textId="54D95357" w:rsidR="00066A6C" w:rsidRDefault="00066A6C" w:rsidP="00E50C67">
      <w:pPr>
        <w:pStyle w:val="Caption"/>
      </w:pPr>
      <w:r>
        <w:lastRenderedPageBreak/>
        <w:t xml:space="preserve">Table </w:t>
      </w:r>
      <w:r w:rsidR="00000000">
        <w:fldChar w:fldCharType="begin"/>
      </w:r>
      <w:r w:rsidR="00000000">
        <w:instrText xml:space="preserve"> SEQ Table \* ARABIC </w:instrText>
      </w:r>
      <w:r w:rsidR="00000000">
        <w:fldChar w:fldCharType="separate"/>
      </w:r>
      <w:r w:rsidR="000E6255">
        <w:rPr>
          <w:noProof/>
        </w:rPr>
        <w:t>16</w:t>
      </w:r>
      <w:r w:rsidR="00000000">
        <w:rPr>
          <w:noProof/>
        </w:rPr>
        <w:fldChar w:fldCharType="end"/>
      </w:r>
      <w:bookmarkEnd w:id="124"/>
      <w:r w:rsidR="00761439">
        <w:rPr>
          <w:noProof/>
        </w:rPr>
        <w:t xml:space="preserve"> </w:t>
      </w:r>
      <w:r>
        <w:t>Estimated number of Population 3 (knee) that are likely to receive the DAC</w:t>
      </w:r>
      <w:r w:rsidR="00FF140A">
        <w:t>+antibiotics</w:t>
      </w:r>
      <w:r>
        <w:t xml:space="preserve"> and the total financial </w:t>
      </w:r>
      <w:r w:rsidRPr="00761439">
        <w:t>implication</w:t>
      </w:r>
      <w:r>
        <w:t xml:space="preserve"> to the MBS, PBS, and the Government</w:t>
      </w:r>
      <w:bookmarkEnd w:id="125"/>
      <w:bookmarkEnd w:id="126"/>
      <w:r>
        <w:t xml:space="preserve"> </w:t>
      </w:r>
    </w:p>
    <w:tbl>
      <w:tblPr>
        <w:tblStyle w:val="TableGrid"/>
        <w:tblW w:w="9057" w:type="dxa"/>
        <w:tblLayout w:type="fixed"/>
        <w:tblLook w:val="04A0" w:firstRow="1" w:lastRow="0" w:firstColumn="1" w:lastColumn="0" w:noHBand="0" w:noVBand="1"/>
        <w:tblCaption w:val="Estimated number of Population 3 (knee) that are likely to receive the DAC and the total financial implication to private health insurance, MBS, PBS, and the Government"/>
        <w:tblDescription w:val="This table includes the stimated number of Population 3 (knee)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547"/>
        <w:gridCol w:w="1044"/>
        <w:gridCol w:w="1112"/>
        <w:gridCol w:w="1156"/>
        <w:gridCol w:w="1074"/>
        <w:gridCol w:w="1028"/>
        <w:gridCol w:w="1096"/>
      </w:tblGrid>
      <w:tr w:rsidR="00C7107D" w14:paraId="07D9A05A" w14:textId="77777777" w:rsidTr="00450F52">
        <w:tc>
          <w:tcPr>
            <w:tcW w:w="2547" w:type="dxa"/>
            <w:tcBorders>
              <w:top w:val="single" w:sz="4" w:space="0" w:color="auto"/>
              <w:left w:val="single" w:sz="4" w:space="0" w:color="auto"/>
              <w:bottom w:val="single" w:sz="4" w:space="0" w:color="auto"/>
              <w:right w:val="single" w:sz="4" w:space="0" w:color="auto"/>
            </w:tcBorders>
            <w:vAlign w:val="center"/>
            <w:hideMark/>
          </w:tcPr>
          <w:p w14:paraId="0250D4AF"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1044" w:type="dxa"/>
            <w:tcBorders>
              <w:top w:val="single" w:sz="4" w:space="0" w:color="auto"/>
              <w:left w:val="single" w:sz="4" w:space="0" w:color="auto"/>
              <w:bottom w:val="single" w:sz="4" w:space="0" w:color="auto"/>
              <w:right w:val="single" w:sz="4" w:space="0" w:color="auto"/>
            </w:tcBorders>
            <w:hideMark/>
          </w:tcPr>
          <w:p w14:paraId="71FBE19D"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1</w:t>
            </w:r>
          </w:p>
        </w:tc>
        <w:tc>
          <w:tcPr>
            <w:tcW w:w="1112" w:type="dxa"/>
            <w:tcBorders>
              <w:top w:val="single" w:sz="4" w:space="0" w:color="auto"/>
              <w:left w:val="single" w:sz="4" w:space="0" w:color="auto"/>
              <w:bottom w:val="single" w:sz="4" w:space="0" w:color="auto"/>
              <w:right w:val="single" w:sz="4" w:space="0" w:color="auto"/>
            </w:tcBorders>
            <w:hideMark/>
          </w:tcPr>
          <w:p w14:paraId="670B2C09"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1156" w:type="dxa"/>
            <w:tcBorders>
              <w:top w:val="single" w:sz="4" w:space="0" w:color="auto"/>
              <w:left w:val="single" w:sz="4" w:space="0" w:color="auto"/>
              <w:bottom w:val="single" w:sz="4" w:space="0" w:color="auto"/>
              <w:right w:val="single" w:sz="4" w:space="0" w:color="auto"/>
            </w:tcBorders>
            <w:hideMark/>
          </w:tcPr>
          <w:p w14:paraId="32A54AAF"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1074" w:type="dxa"/>
            <w:tcBorders>
              <w:top w:val="single" w:sz="4" w:space="0" w:color="auto"/>
              <w:left w:val="single" w:sz="4" w:space="0" w:color="auto"/>
              <w:bottom w:val="single" w:sz="4" w:space="0" w:color="auto"/>
              <w:right w:val="single" w:sz="4" w:space="0" w:color="auto"/>
            </w:tcBorders>
            <w:hideMark/>
          </w:tcPr>
          <w:p w14:paraId="0A2EE741"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4</w:t>
            </w:r>
          </w:p>
        </w:tc>
        <w:tc>
          <w:tcPr>
            <w:tcW w:w="1028" w:type="dxa"/>
            <w:tcBorders>
              <w:top w:val="single" w:sz="4" w:space="0" w:color="auto"/>
              <w:left w:val="single" w:sz="4" w:space="0" w:color="auto"/>
              <w:bottom w:val="single" w:sz="4" w:space="0" w:color="auto"/>
              <w:right w:val="single" w:sz="4" w:space="0" w:color="auto"/>
            </w:tcBorders>
            <w:hideMark/>
          </w:tcPr>
          <w:p w14:paraId="446A6D9F"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5</w:t>
            </w:r>
          </w:p>
        </w:tc>
        <w:tc>
          <w:tcPr>
            <w:tcW w:w="1096" w:type="dxa"/>
            <w:tcBorders>
              <w:top w:val="single" w:sz="4" w:space="0" w:color="auto"/>
              <w:left w:val="single" w:sz="4" w:space="0" w:color="auto"/>
              <w:bottom w:val="single" w:sz="4" w:space="0" w:color="auto"/>
              <w:right w:val="single" w:sz="4" w:space="0" w:color="auto"/>
            </w:tcBorders>
            <w:hideMark/>
          </w:tcPr>
          <w:p w14:paraId="41FC51C4"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C7107D" w14:paraId="46D6FACD" w14:textId="77777777" w:rsidTr="00450F52">
        <w:tc>
          <w:tcPr>
            <w:tcW w:w="2547" w:type="dxa"/>
            <w:tcBorders>
              <w:top w:val="single" w:sz="4" w:space="0" w:color="auto"/>
              <w:left w:val="single" w:sz="4" w:space="0" w:color="auto"/>
              <w:bottom w:val="single" w:sz="4" w:space="0" w:color="auto"/>
              <w:right w:val="single" w:sz="4" w:space="0" w:color="auto"/>
            </w:tcBorders>
            <w:vAlign w:val="center"/>
            <w:hideMark/>
          </w:tcPr>
          <w:p w14:paraId="42E94F7F" w14:textId="77777777" w:rsidR="00761439" w:rsidRDefault="00761439" w:rsidP="00D22060">
            <w:pPr>
              <w:pStyle w:val="Tabletext1"/>
              <w:spacing w:before="0" w:after="0"/>
              <w:ind w:left="34"/>
            </w:pPr>
            <w:r>
              <w:t>Eligible population size</w:t>
            </w:r>
          </w:p>
        </w:tc>
        <w:tc>
          <w:tcPr>
            <w:tcW w:w="1044" w:type="dxa"/>
            <w:tcBorders>
              <w:top w:val="single" w:sz="4" w:space="0" w:color="auto"/>
              <w:left w:val="single" w:sz="4" w:space="0" w:color="auto"/>
              <w:bottom w:val="single" w:sz="4" w:space="0" w:color="auto"/>
              <w:right w:val="single" w:sz="4" w:space="0" w:color="auto"/>
            </w:tcBorders>
            <w:hideMark/>
          </w:tcPr>
          <w:p w14:paraId="0B9B9AD3" w14:textId="2E9B670C" w:rsidR="00761439" w:rsidRDefault="00C7107D" w:rsidP="00D22060">
            <w:pPr>
              <w:pStyle w:val="Tabletext1"/>
              <w:spacing w:before="0" w:after="0"/>
              <w:ind w:left="34"/>
            </w:pPr>
            <w:r>
              <w:rPr>
                <w:b/>
                <w:bCs/>
              </w:rPr>
              <w:t>redacted</w:t>
            </w:r>
          </w:p>
        </w:tc>
        <w:tc>
          <w:tcPr>
            <w:tcW w:w="1112" w:type="dxa"/>
            <w:tcBorders>
              <w:top w:val="single" w:sz="4" w:space="0" w:color="auto"/>
              <w:left w:val="single" w:sz="4" w:space="0" w:color="auto"/>
              <w:bottom w:val="single" w:sz="4" w:space="0" w:color="auto"/>
              <w:right w:val="single" w:sz="4" w:space="0" w:color="auto"/>
            </w:tcBorders>
            <w:hideMark/>
          </w:tcPr>
          <w:p w14:paraId="6B8F4267" w14:textId="1ACCF40E" w:rsidR="00761439" w:rsidRDefault="00C7107D" w:rsidP="00D22060">
            <w:pPr>
              <w:pStyle w:val="Tabletext1"/>
              <w:spacing w:before="0" w:after="0"/>
              <w:ind w:left="34"/>
            </w:pPr>
            <w:r>
              <w:rPr>
                <w:b/>
                <w:bCs/>
              </w:rPr>
              <w:t>redacted</w:t>
            </w:r>
          </w:p>
        </w:tc>
        <w:tc>
          <w:tcPr>
            <w:tcW w:w="1156" w:type="dxa"/>
            <w:tcBorders>
              <w:top w:val="single" w:sz="4" w:space="0" w:color="auto"/>
              <w:left w:val="single" w:sz="4" w:space="0" w:color="auto"/>
              <w:bottom w:val="single" w:sz="4" w:space="0" w:color="auto"/>
              <w:right w:val="single" w:sz="4" w:space="0" w:color="auto"/>
            </w:tcBorders>
            <w:hideMark/>
          </w:tcPr>
          <w:p w14:paraId="71F35AA2" w14:textId="43BB7582" w:rsidR="00761439" w:rsidRDefault="00C7107D" w:rsidP="00D22060">
            <w:pPr>
              <w:pStyle w:val="Tabletext1"/>
              <w:spacing w:before="0" w:after="0"/>
              <w:ind w:left="34"/>
            </w:pPr>
            <w:r>
              <w:rPr>
                <w:b/>
                <w:bCs/>
              </w:rPr>
              <w:t>redacted</w:t>
            </w:r>
          </w:p>
        </w:tc>
        <w:tc>
          <w:tcPr>
            <w:tcW w:w="1074" w:type="dxa"/>
            <w:tcBorders>
              <w:top w:val="single" w:sz="4" w:space="0" w:color="auto"/>
              <w:left w:val="single" w:sz="4" w:space="0" w:color="auto"/>
              <w:bottom w:val="single" w:sz="4" w:space="0" w:color="auto"/>
              <w:right w:val="single" w:sz="4" w:space="0" w:color="auto"/>
            </w:tcBorders>
            <w:hideMark/>
          </w:tcPr>
          <w:p w14:paraId="1FE8E460" w14:textId="0997CD74" w:rsidR="00761439" w:rsidRDefault="00C7107D" w:rsidP="00D22060">
            <w:pPr>
              <w:pStyle w:val="Tabletext1"/>
              <w:spacing w:before="0" w:after="0"/>
              <w:ind w:left="34"/>
            </w:pPr>
            <w:r>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448E0387" w14:textId="1FB18AB9" w:rsidR="00761439" w:rsidRDefault="00C7107D" w:rsidP="00D22060">
            <w:pPr>
              <w:pStyle w:val="Tabletext1"/>
              <w:spacing w:before="0" w:after="0"/>
              <w:ind w:left="34"/>
            </w:pPr>
            <w:r>
              <w:rPr>
                <w:b/>
                <w:bCs/>
              </w:rPr>
              <w:t xml:space="preserve"> redacted</w:t>
            </w:r>
          </w:p>
        </w:tc>
        <w:tc>
          <w:tcPr>
            <w:tcW w:w="1096" w:type="dxa"/>
            <w:tcBorders>
              <w:top w:val="single" w:sz="4" w:space="0" w:color="auto"/>
              <w:left w:val="single" w:sz="4" w:space="0" w:color="auto"/>
              <w:bottom w:val="single" w:sz="4" w:space="0" w:color="auto"/>
              <w:right w:val="single" w:sz="4" w:space="0" w:color="auto"/>
            </w:tcBorders>
            <w:hideMark/>
          </w:tcPr>
          <w:p w14:paraId="172A24EB" w14:textId="79239BCB" w:rsidR="00761439" w:rsidRDefault="00C7107D" w:rsidP="00D22060">
            <w:pPr>
              <w:pStyle w:val="Tabletext1"/>
              <w:spacing w:before="0" w:after="0"/>
              <w:ind w:left="34"/>
            </w:pPr>
            <w:r>
              <w:rPr>
                <w:b/>
                <w:bCs/>
              </w:rPr>
              <w:t>redacted</w:t>
            </w:r>
          </w:p>
        </w:tc>
      </w:tr>
      <w:tr w:rsidR="00C7107D" w14:paraId="1F20A9D1" w14:textId="77777777" w:rsidTr="00450F52">
        <w:tc>
          <w:tcPr>
            <w:tcW w:w="2547" w:type="dxa"/>
            <w:tcBorders>
              <w:top w:val="single" w:sz="4" w:space="0" w:color="auto"/>
              <w:left w:val="single" w:sz="4" w:space="0" w:color="auto"/>
              <w:bottom w:val="single" w:sz="4" w:space="0" w:color="auto"/>
              <w:right w:val="single" w:sz="4" w:space="0" w:color="auto"/>
            </w:tcBorders>
            <w:hideMark/>
          </w:tcPr>
          <w:p w14:paraId="4060637D" w14:textId="77777777" w:rsidR="00761439" w:rsidRDefault="00761439" w:rsidP="00D22060">
            <w:pPr>
              <w:pStyle w:val="Tabletext1"/>
              <w:spacing w:before="0" w:after="0"/>
              <w:ind w:left="34"/>
            </w:pPr>
            <w:r>
              <w:t>Number of patients eligible in private setting (69.06%)</w:t>
            </w:r>
            <w:r>
              <w:rPr>
                <w:vertAlign w:val="superscript"/>
              </w:rPr>
              <w:t>a</w:t>
            </w:r>
          </w:p>
        </w:tc>
        <w:tc>
          <w:tcPr>
            <w:tcW w:w="1044" w:type="dxa"/>
            <w:tcBorders>
              <w:top w:val="single" w:sz="4" w:space="0" w:color="auto"/>
              <w:left w:val="single" w:sz="4" w:space="0" w:color="auto"/>
              <w:bottom w:val="single" w:sz="4" w:space="0" w:color="auto"/>
              <w:right w:val="single" w:sz="4" w:space="0" w:color="auto"/>
            </w:tcBorders>
            <w:hideMark/>
          </w:tcPr>
          <w:p w14:paraId="4CD58428" w14:textId="59B396FE" w:rsidR="00761439" w:rsidRDefault="00C7107D" w:rsidP="00D22060">
            <w:pPr>
              <w:pStyle w:val="Tabletext1"/>
              <w:spacing w:before="0" w:after="0"/>
              <w:ind w:left="34"/>
            </w:pPr>
            <w:r>
              <w:rPr>
                <w:b/>
                <w:bCs/>
              </w:rPr>
              <w:t>redacted</w:t>
            </w:r>
          </w:p>
        </w:tc>
        <w:tc>
          <w:tcPr>
            <w:tcW w:w="1112" w:type="dxa"/>
            <w:tcBorders>
              <w:top w:val="single" w:sz="4" w:space="0" w:color="auto"/>
              <w:left w:val="single" w:sz="4" w:space="0" w:color="auto"/>
              <w:bottom w:val="single" w:sz="4" w:space="0" w:color="auto"/>
              <w:right w:val="single" w:sz="4" w:space="0" w:color="auto"/>
            </w:tcBorders>
            <w:hideMark/>
          </w:tcPr>
          <w:p w14:paraId="363BD2E4" w14:textId="59B472FA" w:rsidR="00761439" w:rsidRDefault="00C7107D" w:rsidP="00D22060">
            <w:pPr>
              <w:pStyle w:val="Tabletext1"/>
              <w:spacing w:before="0" w:after="0"/>
              <w:ind w:left="34"/>
            </w:pPr>
            <w:r>
              <w:rPr>
                <w:b/>
                <w:bCs/>
              </w:rPr>
              <w:t>redacted</w:t>
            </w:r>
          </w:p>
        </w:tc>
        <w:tc>
          <w:tcPr>
            <w:tcW w:w="1156" w:type="dxa"/>
            <w:tcBorders>
              <w:top w:val="single" w:sz="4" w:space="0" w:color="auto"/>
              <w:left w:val="single" w:sz="4" w:space="0" w:color="auto"/>
              <w:bottom w:val="single" w:sz="4" w:space="0" w:color="auto"/>
              <w:right w:val="single" w:sz="4" w:space="0" w:color="auto"/>
            </w:tcBorders>
            <w:hideMark/>
          </w:tcPr>
          <w:p w14:paraId="30163EEF" w14:textId="7AABBF74" w:rsidR="00761439" w:rsidRDefault="00C7107D" w:rsidP="00D22060">
            <w:pPr>
              <w:pStyle w:val="Tabletext1"/>
              <w:spacing w:before="0" w:after="0"/>
              <w:ind w:left="34"/>
            </w:pPr>
            <w:r>
              <w:rPr>
                <w:b/>
                <w:bCs/>
              </w:rPr>
              <w:t xml:space="preserve"> redacted</w:t>
            </w:r>
          </w:p>
        </w:tc>
        <w:tc>
          <w:tcPr>
            <w:tcW w:w="1074" w:type="dxa"/>
            <w:tcBorders>
              <w:top w:val="single" w:sz="4" w:space="0" w:color="auto"/>
              <w:left w:val="single" w:sz="4" w:space="0" w:color="auto"/>
              <w:bottom w:val="single" w:sz="4" w:space="0" w:color="auto"/>
              <w:right w:val="single" w:sz="4" w:space="0" w:color="auto"/>
            </w:tcBorders>
            <w:hideMark/>
          </w:tcPr>
          <w:p w14:paraId="607922F3" w14:textId="29DCAECB" w:rsidR="00761439" w:rsidRDefault="00C7107D" w:rsidP="00D22060">
            <w:pPr>
              <w:pStyle w:val="Tabletext1"/>
              <w:spacing w:before="0" w:after="0"/>
              <w:ind w:left="34"/>
            </w:pPr>
            <w:r>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223EB319" w14:textId="122A59B8" w:rsidR="00761439" w:rsidRDefault="00C7107D" w:rsidP="00D22060">
            <w:pPr>
              <w:pStyle w:val="Tabletext1"/>
              <w:spacing w:before="0" w:after="0"/>
              <w:ind w:left="34"/>
            </w:pPr>
            <w:r>
              <w:rPr>
                <w:b/>
                <w:bCs/>
              </w:rPr>
              <w:t>redacted</w:t>
            </w:r>
          </w:p>
        </w:tc>
        <w:tc>
          <w:tcPr>
            <w:tcW w:w="1096" w:type="dxa"/>
            <w:tcBorders>
              <w:top w:val="single" w:sz="4" w:space="0" w:color="auto"/>
              <w:left w:val="single" w:sz="4" w:space="0" w:color="auto"/>
              <w:bottom w:val="single" w:sz="4" w:space="0" w:color="auto"/>
              <w:right w:val="single" w:sz="4" w:space="0" w:color="auto"/>
            </w:tcBorders>
            <w:hideMark/>
          </w:tcPr>
          <w:p w14:paraId="5A69925C" w14:textId="7DC0B59E" w:rsidR="00761439" w:rsidRDefault="00C7107D" w:rsidP="00D22060">
            <w:pPr>
              <w:pStyle w:val="Tabletext1"/>
              <w:spacing w:before="0" w:after="0"/>
              <w:ind w:left="34"/>
            </w:pPr>
            <w:r>
              <w:rPr>
                <w:b/>
                <w:bCs/>
              </w:rPr>
              <w:t>redacted</w:t>
            </w:r>
          </w:p>
        </w:tc>
      </w:tr>
      <w:tr w:rsidR="00C7107D" w14:paraId="0C64D8BC" w14:textId="77777777" w:rsidTr="00450F52">
        <w:tc>
          <w:tcPr>
            <w:tcW w:w="2547" w:type="dxa"/>
            <w:tcBorders>
              <w:top w:val="single" w:sz="4" w:space="0" w:color="auto"/>
              <w:left w:val="single" w:sz="4" w:space="0" w:color="auto"/>
              <w:bottom w:val="single" w:sz="4" w:space="0" w:color="auto"/>
              <w:right w:val="single" w:sz="4" w:space="0" w:color="auto"/>
            </w:tcBorders>
            <w:hideMark/>
          </w:tcPr>
          <w:p w14:paraId="431F7AF6" w14:textId="77777777" w:rsidR="00761439" w:rsidRDefault="00761439" w:rsidP="00D22060">
            <w:pPr>
              <w:pStyle w:val="Tabletext1"/>
              <w:spacing w:before="0" w:after="0"/>
              <w:ind w:left="34"/>
            </w:pPr>
            <w:r>
              <w:t>Assumed uptake of DAC+abs (assumed 50% at base case)</w:t>
            </w:r>
          </w:p>
        </w:tc>
        <w:tc>
          <w:tcPr>
            <w:tcW w:w="1044" w:type="dxa"/>
            <w:tcBorders>
              <w:top w:val="single" w:sz="4" w:space="0" w:color="auto"/>
              <w:left w:val="single" w:sz="4" w:space="0" w:color="auto"/>
              <w:bottom w:val="single" w:sz="4" w:space="0" w:color="auto"/>
              <w:right w:val="single" w:sz="4" w:space="0" w:color="auto"/>
            </w:tcBorders>
            <w:hideMark/>
          </w:tcPr>
          <w:p w14:paraId="29BD0683" w14:textId="0D80E743" w:rsidR="00761439" w:rsidRDefault="00C7107D" w:rsidP="00D22060">
            <w:pPr>
              <w:pStyle w:val="Tabletext1"/>
              <w:spacing w:before="0" w:after="0"/>
              <w:ind w:left="34"/>
            </w:pPr>
            <w:r>
              <w:rPr>
                <w:b/>
                <w:bCs/>
              </w:rPr>
              <w:t>redacted</w:t>
            </w:r>
          </w:p>
        </w:tc>
        <w:tc>
          <w:tcPr>
            <w:tcW w:w="1112" w:type="dxa"/>
            <w:tcBorders>
              <w:top w:val="single" w:sz="4" w:space="0" w:color="auto"/>
              <w:left w:val="single" w:sz="4" w:space="0" w:color="auto"/>
              <w:bottom w:val="single" w:sz="4" w:space="0" w:color="auto"/>
              <w:right w:val="single" w:sz="4" w:space="0" w:color="auto"/>
            </w:tcBorders>
            <w:hideMark/>
          </w:tcPr>
          <w:p w14:paraId="53AF8C95" w14:textId="2534A90B" w:rsidR="00761439" w:rsidRDefault="00C7107D" w:rsidP="00D22060">
            <w:pPr>
              <w:pStyle w:val="Tabletext1"/>
              <w:spacing w:before="0" w:after="0"/>
              <w:ind w:left="34"/>
            </w:pPr>
            <w:r>
              <w:rPr>
                <w:b/>
                <w:bCs/>
              </w:rPr>
              <w:t>redacted</w:t>
            </w:r>
          </w:p>
        </w:tc>
        <w:tc>
          <w:tcPr>
            <w:tcW w:w="1156" w:type="dxa"/>
            <w:tcBorders>
              <w:top w:val="single" w:sz="4" w:space="0" w:color="auto"/>
              <w:left w:val="single" w:sz="4" w:space="0" w:color="auto"/>
              <w:bottom w:val="single" w:sz="4" w:space="0" w:color="auto"/>
              <w:right w:val="single" w:sz="4" w:space="0" w:color="auto"/>
            </w:tcBorders>
            <w:hideMark/>
          </w:tcPr>
          <w:p w14:paraId="10B1046D" w14:textId="7045CB35" w:rsidR="00761439" w:rsidRDefault="00C7107D" w:rsidP="00D22060">
            <w:pPr>
              <w:pStyle w:val="Tabletext1"/>
              <w:spacing w:before="0" w:after="0"/>
              <w:ind w:left="34"/>
            </w:pPr>
            <w:r>
              <w:rPr>
                <w:b/>
                <w:bCs/>
              </w:rPr>
              <w:t>redacted</w:t>
            </w:r>
          </w:p>
        </w:tc>
        <w:tc>
          <w:tcPr>
            <w:tcW w:w="1074" w:type="dxa"/>
            <w:tcBorders>
              <w:top w:val="single" w:sz="4" w:space="0" w:color="auto"/>
              <w:left w:val="single" w:sz="4" w:space="0" w:color="auto"/>
              <w:bottom w:val="single" w:sz="4" w:space="0" w:color="auto"/>
              <w:right w:val="single" w:sz="4" w:space="0" w:color="auto"/>
            </w:tcBorders>
            <w:hideMark/>
          </w:tcPr>
          <w:p w14:paraId="72038A55" w14:textId="4091A3A5" w:rsidR="00761439" w:rsidRDefault="00C7107D" w:rsidP="00D22060">
            <w:pPr>
              <w:pStyle w:val="Tabletext1"/>
              <w:spacing w:before="0" w:after="0"/>
              <w:ind w:left="34"/>
            </w:pPr>
            <w:r>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0CDEDCB0" w14:textId="2E3FC04B" w:rsidR="00761439" w:rsidRDefault="00C7107D" w:rsidP="00D22060">
            <w:pPr>
              <w:pStyle w:val="Tabletext1"/>
              <w:spacing w:before="0" w:after="0"/>
              <w:ind w:left="34"/>
            </w:pPr>
            <w:r>
              <w:rPr>
                <w:b/>
                <w:bCs/>
              </w:rPr>
              <w:t>redacted</w:t>
            </w:r>
          </w:p>
        </w:tc>
        <w:tc>
          <w:tcPr>
            <w:tcW w:w="1096" w:type="dxa"/>
            <w:tcBorders>
              <w:top w:val="single" w:sz="4" w:space="0" w:color="auto"/>
              <w:left w:val="single" w:sz="4" w:space="0" w:color="auto"/>
              <w:bottom w:val="single" w:sz="4" w:space="0" w:color="auto"/>
              <w:right w:val="single" w:sz="4" w:space="0" w:color="auto"/>
            </w:tcBorders>
            <w:hideMark/>
          </w:tcPr>
          <w:p w14:paraId="5CC4FE83" w14:textId="5EC0BE6F" w:rsidR="00761439" w:rsidRDefault="00C7107D" w:rsidP="00D22060">
            <w:pPr>
              <w:pStyle w:val="Tabletext1"/>
              <w:spacing w:before="0" w:after="0"/>
              <w:ind w:left="34"/>
            </w:pPr>
            <w:r>
              <w:rPr>
                <w:b/>
                <w:bCs/>
              </w:rPr>
              <w:t>redacted</w:t>
            </w:r>
          </w:p>
        </w:tc>
      </w:tr>
      <w:tr w:rsidR="00C7107D" w14:paraId="66B665CD" w14:textId="77777777" w:rsidTr="00450F52">
        <w:tc>
          <w:tcPr>
            <w:tcW w:w="2547" w:type="dxa"/>
            <w:tcBorders>
              <w:top w:val="single" w:sz="4" w:space="0" w:color="auto"/>
              <w:left w:val="single" w:sz="4" w:space="0" w:color="auto"/>
              <w:bottom w:val="single" w:sz="4" w:space="0" w:color="auto"/>
              <w:right w:val="single" w:sz="4" w:space="0" w:color="auto"/>
            </w:tcBorders>
            <w:hideMark/>
          </w:tcPr>
          <w:p w14:paraId="13DB626A" w14:textId="77777777" w:rsidR="00761439" w:rsidRDefault="00761439" w:rsidP="00D22060">
            <w:pPr>
              <w:pStyle w:val="Tabletext1"/>
              <w:spacing w:before="0" w:after="0"/>
              <w:ind w:left="34"/>
            </w:pPr>
            <w:r>
              <w:t>Cost to private health insurance</w:t>
            </w:r>
            <w:r w:rsidRPr="006107B8">
              <w:rPr>
                <w:vertAlign w:val="superscript"/>
              </w:rPr>
              <w:t>b</w:t>
            </w:r>
          </w:p>
        </w:tc>
        <w:tc>
          <w:tcPr>
            <w:tcW w:w="1044" w:type="dxa"/>
            <w:tcBorders>
              <w:top w:val="single" w:sz="4" w:space="0" w:color="auto"/>
              <w:left w:val="single" w:sz="4" w:space="0" w:color="auto"/>
              <w:bottom w:val="single" w:sz="4" w:space="0" w:color="auto"/>
              <w:right w:val="single" w:sz="4" w:space="0" w:color="auto"/>
            </w:tcBorders>
            <w:hideMark/>
          </w:tcPr>
          <w:p w14:paraId="625B463C" w14:textId="5D84E125" w:rsidR="00761439" w:rsidRDefault="00761439" w:rsidP="00D22060">
            <w:pPr>
              <w:pStyle w:val="Tabletext1"/>
              <w:spacing w:before="0" w:after="0"/>
              <w:ind w:left="34"/>
            </w:pPr>
            <w:r>
              <w:t>$</w:t>
            </w:r>
            <w:r w:rsidR="00C7107D">
              <w:rPr>
                <w:b/>
                <w:bCs/>
              </w:rPr>
              <w:t>redacted</w:t>
            </w:r>
          </w:p>
        </w:tc>
        <w:tc>
          <w:tcPr>
            <w:tcW w:w="1112" w:type="dxa"/>
            <w:tcBorders>
              <w:top w:val="single" w:sz="4" w:space="0" w:color="auto"/>
              <w:left w:val="single" w:sz="4" w:space="0" w:color="auto"/>
              <w:bottom w:val="single" w:sz="4" w:space="0" w:color="auto"/>
              <w:right w:val="single" w:sz="4" w:space="0" w:color="auto"/>
            </w:tcBorders>
            <w:hideMark/>
          </w:tcPr>
          <w:p w14:paraId="62A261CF" w14:textId="4DBE4366" w:rsidR="00761439" w:rsidRDefault="00761439" w:rsidP="00D22060">
            <w:pPr>
              <w:pStyle w:val="Tabletext1"/>
              <w:spacing w:before="0" w:after="0"/>
              <w:ind w:left="34"/>
            </w:pPr>
            <w:r>
              <w:t>$</w:t>
            </w:r>
            <w:r w:rsidR="00C7107D">
              <w:rPr>
                <w:b/>
                <w:bCs/>
              </w:rPr>
              <w:t>redacted</w:t>
            </w:r>
          </w:p>
        </w:tc>
        <w:tc>
          <w:tcPr>
            <w:tcW w:w="1156" w:type="dxa"/>
            <w:tcBorders>
              <w:top w:val="single" w:sz="4" w:space="0" w:color="auto"/>
              <w:left w:val="single" w:sz="4" w:space="0" w:color="auto"/>
              <w:bottom w:val="single" w:sz="4" w:space="0" w:color="auto"/>
              <w:right w:val="single" w:sz="4" w:space="0" w:color="auto"/>
            </w:tcBorders>
            <w:hideMark/>
          </w:tcPr>
          <w:p w14:paraId="0A8F1F44" w14:textId="172C7CAB" w:rsidR="00761439" w:rsidRDefault="00761439" w:rsidP="00D22060">
            <w:pPr>
              <w:pStyle w:val="Tabletext1"/>
              <w:spacing w:before="0" w:after="0"/>
              <w:ind w:left="34"/>
            </w:pPr>
            <w:r>
              <w:t>$</w:t>
            </w:r>
            <w:r w:rsidR="00C7107D">
              <w:rPr>
                <w:b/>
                <w:bCs/>
              </w:rPr>
              <w:t>redacted</w:t>
            </w:r>
          </w:p>
        </w:tc>
        <w:tc>
          <w:tcPr>
            <w:tcW w:w="1074" w:type="dxa"/>
            <w:tcBorders>
              <w:top w:val="single" w:sz="4" w:space="0" w:color="auto"/>
              <w:left w:val="single" w:sz="4" w:space="0" w:color="auto"/>
              <w:bottom w:val="single" w:sz="4" w:space="0" w:color="auto"/>
              <w:right w:val="single" w:sz="4" w:space="0" w:color="auto"/>
            </w:tcBorders>
            <w:hideMark/>
          </w:tcPr>
          <w:p w14:paraId="2FAF17BF" w14:textId="20B77315" w:rsidR="00761439" w:rsidRDefault="00761439" w:rsidP="00D22060">
            <w:pPr>
              <w:pStyle w:val="Tabletext1"/>
              <w:spacing w:before="0" w:after="0"/>
              <w:ind w:left="34"/>
            </w:pPr>
            <w:r>
              <w:t>$</w:t>
            </w:r>
            <w:r w:rsidR="00C7107D">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6B2EBC06" w14:textId="38C6A0A1" w:rsidR="00761439" w:rsidRDefault="00761439" w:rsidP="00D22060">
            <w:pPr>
              <w:pStyle w:val="Tabletext1"/>
              <w:spacing w:before="0" w:after="0"/>
              <w:ind w:left="34"/>
            </w:pPr>
            <w:r>
              <w:t>$</w:t>
            </w:r>
            <w:r w:rsidR="00C7107D">
              <w:rPr>
                <w:b/>
                <w:bCs/>
              </w:rPr>
              <w:t>redacted</w:t>
            </w:r>
          </w:p>
        </w:tc>
        <w:tc>
          <w:tcPr>
            <w:tcW w:w="1096" w:type="dxa"/>
            <w:tcBorders>
              <w:top w:val="single" w:sz="4" w:space="0" w:color="auto"/>
              <w:left w:val="single" w:sz="4" w:space="0" w:color="auto"/>
              <w:bottom w:val="single" w:sz="4" w:space="0" w:color="auto"/>
              <w:right w:val="single" w:sz="4" w:space="0" w:color="auto"/>
            </w:tcBorders>
            <w:hideMark/>
          </w:tcPr>
          <w:p w14:paraId="7AF01083" w14:textId="370D1C93" w:rsidR="00761439" w:rsidRDefault="00761439" w:rsidP="00D22060">
            <w:pPr>
              <w:pStyle w:val="Tabletext1"/>
              <w:spacing w:before="0" w:after="0"/>
              <w:ind w:left="34"/>
            </w:pPr>
            <w:r>
              <w:t>$</w:t>
            </w:r>
            <w:r w:rsidR="00C7107D">
              <w:rPr>
                <w:b/>
                <w:bCs/>
              </w:rPr>
              <w:t>redacted</w:t>
            </w:r>
          </w:p>
        </w:tc>
      </w:tr>
      <w:tr w:rsidR="00C7107D" w14:paraId="3D2B302D" w14:textId="77777777" w:rsidTr="00450F52">
        <w:tc>
          <w:tcPr>
            <w:tcW w:w="2547" w:type="dxa"/>
            <w:tcBorders>
              <w:top w:val="single" w:sz="4" w:space="0" w:color="auto"/>
              <w:left w:val="single" w:sz="4" w:space="0" w:color="auto"/>
              <w:bottom w:val="single" w:sz="4" w:space="0" w:color="auto"/>
              <w:right w:val="single" w:sz="4" w:space="0" w:color="auto"/>
            </w:tcBorders>
            <w:hideMark/>
          </w:tcPr>
          <w:p w14:paraId="7E6C5F2E" w14:textId="77777777" w:rsidR="00761439" w:rsidRDefault="00761439" w:rsidP="00D22060">
            <w:pPr>
              <w:pStyle w:val="Tabletext1"/>
              <w:spacing w:before="0" w:after="0"/>
              <w:ind w:left="34"/>
            </w:pPr>
            <w:r>
              <w:t>Total financial implication to the MBS</w:t>
            </w:r>
            <w:r>
              <w:rPr>
                <w:vertAlign w:val="superscript"/>
              </w:rPr>
              <w:t>c</w:t>
            </w:r>
          </w:p>
        </w:tc>
        <w:tc>
          <w:tcPr>
            <w:tcW w:w="1044" w:type="dxa"/>
            <w:tcBorders>
              <w:top w:val="single" w:sz="4" w:space="0" w:color="auto"/>
              <w:left w:val="single" w:sz="4" w:space="0" w:color="auto"/>
              <w:bottom w:val="single" w:sz="4" w:space="0" w:color="auto"/>
              <w:right w:val="single" w:sz="4" w:space="0" w:color="auto"/>
            </w:tcBorders>
            <w:hideMark/>
          </w:tcPr>
          <w:p w14:paraId="1E8C75A1" w14:textId="77777777" w:rsidR="00761439" w:rsidRDefault="00761439" w:rsidP="00D22060">
            <w:pPr>
              <w:pStyle w:val="Tabletext1"/>
              <w:spacing w:before="0" w:after="0"/>
              <w:ind w:left="34"/>
            </w:pPr>
            <w:r>
              <w:t>$1,370</w:t>
            </w:r>
          </w:p>
        </w:tc>
        <w:tc>
          <w:tcPr>
            <w:tcW w:w="1112" w:type="dxa"/>
            <w:tcBorders>
              <w:top w:val="single" w:sz="4" w:space="0" w:color="auto"/>
              <w:left w:val="single" w:sz="4" w:space="0" w:color="auto"/>
              <w:bottom w:val="single" w:sz="4" w:space="0" w:color="auto"/>
              <w:right w:val="single" w:sz="4" w:space="0" w:color="auto"/>
            </w:tcBorders>
            <w:hideMark/>
          </w:tcPr>
          <w:p w14:paraId="0D89562B" w14:textId="77777777" w:rsidR="00761439" w:rsidRDefault="00761439" w:rsidP="00D22060">
            <w:pPr>
              <w:pStyle w:val="Tabletext1"/>
              <w:spacing w:before="0" w:after="0"/>
              <w:ind w:left="34"/>
            </w:pPr>
            <w:r>
              <w:t>$1,388</w:t>
            </w:r>
          </w:p>
        </w:tc>
        <w:tc>
          <w:tcPr>
            <w:tcW w:w="1156" w:type="dxa"/>
            <w:tcBorders>
              <w:top w:val="single" w:sz="4" w:space="0" w:color="auto"/>
              <w:left w:val="single" w:sz="4" w:space="0" w:color="auto"/>
              <w:bottom w:val="single" w:sz="4" w:space="0" w:color="auto"/>
              <w:right w:val="single" w:sz="4" w:space="0" w:color="auto"/>
            </w:tcBorders>
            <w:hideMark/>
          </w:tcPr>
          <w:p w14:paraId="68BB5755" w14:textId="77777777" w:rsidR="00761439" w:rsidRDefault="00761439" w:rsidP="00D22060">
            <w:pPr>
              <w:pStyle w:val="Tabletext1"/>
              <w:spacing w:before="0" w:after="0"/>
              <w:ind w:left="34"/>
            </w:pPr>
            <w:r>
              <w:t>$1,406</w:t>
            </w:r>
          </w:p>
        </w:tc>
        <w:tc>
          <w:tcPr>
            <w:tcW w:w="1074" w:type="dxa"/>
            <w:tcBorders>
              <w:top w:val="single" w:sz="4" w:space="0" w:color="auto"/>
              <w:left w:val="single" w:sz="4" w:space="0" w:color="auto"/>
              <w:bottom w:val="single" w:sz="4" w:space="0" w:color="auto"/>
              <w:right w:val="single" w:sz="4" w:space="0" w:color="auto"/>
            </w:tcBorders>
            <w:hideMark/>
          </w:tcPr>
          <w:p w14:paraId="76123C0E" w14:textId="77777777" w:rsidR="00761439" w:rsidRDefault="00761439" w:rsidP="00D22060">
            <w:pPr>
              <w:pStyle w:val="Tabletext1"/>
              <w:spacing w:before="0" w:after="0"/>
              <w:ind w:left="34"/>
            </w:pPr>
            <w:r>
              <w:t>$1,424</w:t>
            </w:r>
          </w:p>
        </w:tc>
        <w:tc>
          <w:tcPr>
            <w:tcW w:w="1028" w:type="dxa"/>
            <w:tcBorders>
              <w:top w:val="single" w:sz="4" w:space="0" w:color="auto"/>
              <w:left w:val="single" w:sz="4" w:space="0" w:color="auto"/>
              <w:bottom w:val="single" w:sz="4" w:space="0" w:color="auto"/>
              <w:right w:val="single" w:sz="4" w:space="0" w:color="auto"/>
            </w:tcBorders>
            <w:hideMark/>
          </w:tcPr>
          <w:p w14:paraId="3496DFAB" w14:textId="77777777" w:rsidR="00761439" w:rsidRDefault="00761439" w:rsidP="00D22060">
            <w:pPr>
              <w:pStyle w:val="Tabletext1"/>
              <w:spacing w:before="0" w:after="0"/>
              <w:ind w:left="34"/>
            </w:pPr>
            <w:r>
              <w:t>$1,442</w:t>
            </w:r>
          </w:p>
        </w:tc>
        <w:tc>
          <w:tcPr>
            <w:tcW w:w="1096" w:type="dxa"/>
            <w:tcBorders>
              <w:top w:val="single" w:sz="4" w:space="0" w:color="auto"/>
              <w:left w:val="single" w:sz="4" w:space="0" w:color="auto"/>
              <w:bottom w:val="single" w:sz="4" w:space="0" w:color="auto"/>
              <w:right w:val="single" w:sz="4" w:space="0" w:color="auto"/>
            </w:tcBorders>
            <w:hideMark/>
          </w:tcPr>
          <w:p w14:paraId="1B0F8342" w14:textId="77777777" w:rsidR="00761439" w:rsidRDefault="00761439" w:rsidP="00D22060">
            <w:pPr>
              <w:pStyle w:val="Tabletext1"/>
              <w:spacing w:before="0" w:after="0"/>
              <w:ind w:left="34"/>
            </w:pPr>
            <w:r>
              <w:t>$7,029</w:t>
            </w:r>
          </w:p>
        </w:tc>
      </w:tr>
      <w:tr w:rsidR="00C7107D" w14:paraId="2657EA9F" w14:textId="77777777" w:rsidTr="00450F52">
        <w:tc>
          <w:tcPr>
            <w:tcW w:w="2547" w:type="dxa"/>
            <w:tcBorders>
              <w:top w:val="single" w:sz="4" w:space="0" w:color="auto"/>
              <w:left w:val="single" w:sz="4" w:space="0" w:color="auto"/>
              <w:bottom w:val="single" w:sz="4" w:space="0" w:color="auto"/>
              <w:right w:val="single" w:sz="4" w:space="0" w:color="auto"/>
            </w:tcBorders>
            <w:hideMark/>
          </w:tcPr>
          <w:p w14:paraId="3CE406D7" w14:textId="77777777" w:rsidR="00761439" w:rsidRDefault="00761439" w:rsidP="00D22060">
            <w:pPr>
              <w:pStyle w:val="Tabletext1"/>
              <w:spacing w:before="0" w:after="0"/>
              <w:ind w:left="34"/>
            </w:pPr>
            <w:r>
              <w:t>Total financial implication to the PBS</w:t>
            </w:r>
            <w:r>
              <w:rPr>
                <w:vertAlign w:val="superscript"/>
              </w:rPr>
              <w:t>d</w:t>
            </w:r>
          </w:p>
        </w:tc>
        <w:tc>
          <w:tcPr>
            <w:tcW w:w="1044" w:type="dxa"/>
            <w:tcBorders>
              <w:top w:val="single" w:sz="4" w:space="0" w:color="auto"/>
              <w:left w:val="single" w:sz="4" w:space="0" w:color="auto"/>
              <w:bottom w:val="single" w:sz="4" w:space="0" w:color="auto"/>
              <w:right w:val="single" w:sz="4" w:space="0" w:color="auto"/>
            </w:tcBorders>
            <w:hideMark/>
          </w:tcPr>
          <w:p w14:paraId="12E72D71" w14:textId="77777777" w:rsidR="00761439" w:rsidRDefault="00761439" w:rsidP="00D22060">
            <w:pPr>
              <w:pStyle w:val="Tabletext1"/>
              <w:spacing w:before="0" w:after="0"/>
              <w:ind w:left="34"/>
            </w:pPr>
            <w:r>
              <w:t>$570</w:t>
            </w:r>
          </w:p>
        </w:tc>
        <w:tc>
          <w:tcPr>
            <w:tcW w:w="1112" w:type="dxa"/>
            <w:tcBorders>
              <w:top w:val="single" w:sz="4" w:space="0" w:color="auto"/>
              <w:left w:val="single" w:sz="4" w:space="0" w:color="auto"/>
              <w:bottom w:val="single" w:sz="4" w:space="0" w:color="auto"/>
              <w:right w:val="single" w:sz="4" w:space="0" w:color="auto"/>
            </w:tcBorders>
            <w:hideMark/>
          </w:tcPr>
          <w:p w14:paraId="49C6F887" w14:textId="77777777" w:rsidR="00761439" w:rsidRDefault="00761439" w:rsidP="00D22060">
            <w:pPr>
              <w:pStyle w:val="Tabletext1"/>
              <w:spacing w:before="0" w:after="0"/>
              <w:ind w:left="34"/>
            </w:pPr>
            <w:r>
              <w:t>$578</w:t>
            </w:r>
          </w:p>
        </w:tc>
        <w:tc>
          <w:tcPr>
            <w:tcW w:w="1156" w:type="dxa"/>
            <w:tcBorders>
              <w:top w:val="single" w:sz="4" w:space="0" w:color="auto"/>
              <w:left w:val="single" w:sz="4" w:space="0" w:color="auto"/>
              <w:bottom w:val="single" w:sz="4" w:space="0" w:color="auto"/>
              <w:right w:val="single" w:sz="4" w:space="0" w:color="auto"/>
            </w:tcBorders>
            <w:hideMark/>
          </w:tcPr>
          <w:p w14:paraId="713940E3" w14:textId="77777777" w:rsidR="00761439" w:rsidRDefault="00761439" w:rsidP="00D22060">
            <w:pPr>
              <w:pStyle w:val="Tabletext1"/>
              <w:spacing w:before="0" w:after="0"/>
              <w:ind w:left="34"/>
            </w:pPr>
            <w:r>
              <w:t>$585</w:t>
            </w:r>
          </w:p>
        </w:tc>
        <w:tc>
          <w:tcPr>
            <w:tcW w:w="1074" w:type="dxa"/>
            <w:tcBorders>
              <w:top w:val="single" w:sz="4" w:space="0" w:color="auto"/>
              <w:left w:val="single" w:sz="4" w:space="0" w:color="auto"/>
              <w:bottom w:val="single" w:sz="4" w:space="0" w:color="auto"/>
              <w:right w:val="single" w:sz="4" w:space="0" w:color="auto"/>
            </w:tcBorders>
            <w:hideMark/>
          </w:tcPr>
          <w:p w14:paraId="3C7B293E" w14:textId="77777777" w:rsidR="00761439" w:rsidRDefault="00761439" w:rsidP="00D22060">
            <w:pPr>
              <w:pStyle w:val="Tabletext1"/>
              <w:spacing w:before="0" w:after="0"/>
              <w:ind w:left="34"/>
            </w:pPr>
            <w:r>
              <w:t>$593</w:t>
            </w:r>
          </w:p>
        </w:tc>
        <w:tc>
          <w:tcPr>
            <w:tcW w:w="1028" w:type="dxa"/>
            <w:tcBorders>
              <w:top w:val="single" w:sz="4" w:space="0" w:color="auto"/>
              <w:left w:val="single" w:sz="4" w:space="0" w:color="auto"/>
              <w:bottom w:val="single" w:sz="4" w:space="0" w:color="auto"/>
              <w:right w:val="single" w:sz="4" w:space="0" w:color="auto"/>
            </w:tcBorders>
            <w:hideMark/>
          </w:tcPr>
          <w:p w14:paraId="5BEA1533" w14:textId="77777777" w:rsidR="00761439" w:rsidRDefault="00761439" w:rsidP="00D22060">
            <w:pPr>
              <w:pStyle w:val="Tabletext1"/>
              <w:spacing w:before="0" w:after="0"/>
              <w:ind w:left="34"/>
            </w:pPr>
            <w:r>
              <w:t>$601</w:t>
            </w:r>
          </w:p>
        </w:tc>
        <w:tc>
          <w:tcPr>
            <w:tcW w:w="1096" w:type="dxa"/>
            <w:tcBorders>
              <w:top w:val="single" w:sz="4" w:space="0" w:color="auto"/>
              <w:left w:val="single" w:sz="4" w:space="0" w:color="auto"/>
              <w:bottom w:val="single" w:sz="4" w:space="0" w:color="auto"/>
              <w:right w:val="single" w:sz="4" w:space="0" w:color="auto"/>
            </w:tcBorders>
            <w:hideMark/>
          </w:tcPr>
          <w:p w14:paraId="3E3C3206" w14:textId="77777777" w:rsidR="00761439" w:rsidRDefault="00761439" w:rsidP="00D22060">
            <w:pPr>
              <w:pStyle w:val="Tabletext1"/>
              <w:spacing w:before="0" w:after="0"/>
              <w:ind w:left="34"/>
            </w:pPr>
            <w:r>
              <w:t>$2,927</w:t>
            </w:r>
          </w:p>
        </w:tc>
      </w:tr>
      <w:tr w:rsidR="00C7107D" w14:paraId="75B9A827" w14:textId="77777777" w:rsidTr="00450F52">
        <w:tc>
          <w:tcPr>
            <w:tcW w:w="2547" w:type="dxa"/>
            <w:tcBorders>
              <w:top w:val="single" w:sz="4" w:space="0" w:color="auto"/>
              <w:left w:val="single" w:sz="4" w:space="0" w:color="auto"/>
              <w:bottom w:val="single" w:sz="4" w:space="0" w:color="auto"/>
              <w:right w:val="single" w:sz="4" w:space="0" w:color="auto"/>
            </w:tcBorders>
            <w:hideMark/>
          </w:tcPr>
          <w:p w14:paraId="15D09275" w14:textId="77777777" w:rsidR="00761439" w:rsidRDefault="00761439" w:rsidP="00D22060">
            <w:pPr>
              <w:pStyle w:val="Tabletext1"/>
              <w:spacing w:before="0" w:after="0"/>
              <w:ind w:left="34"/>
            </w:pPr>
            <w:r>
              <w:t>Total financial implication to the Government</w:t>
            </w:r>
            <w:r>
              <w:rPr>
                <w:vertAlign w:val="superscript"/>
              </w:rPr>
              <w:t>e</w:t>
            </w:r>
          </w:p>
        </w:tc>
        <w:tc>
          <w:tcPr>
            <w:tcW w:w="1044" w:type="dxa"/>
            <w:tcBorders>
              <w:top w:val="single" w:sz="4" w:space="0" w:color="auto"/>
              <w:left w:val="single" w:sz="4" w:space="0" w:color="auto"/>
              <w:bottom w:val="single" w:sz="4" w:space="0" w:color="auto"/>
              <w:right w:val="single" w:sz="4" w:space="0" w:color="auto"/>
            </w:tcBorders>
            <w:hideMark/>
          </w:tcPr>
          <w:p w14:paraId="7D8F4AEC" w14:textId="77777777" w:rsidR="00761439" w:rsidRDefault="00761439" w:rsidP="00D22060">
            <w:pPr>
              <w:pStyle w:val="Tabletext1"/>
              <w:spacing w:before="0" w:after="0"/>
              <w:ind w:left="34"/>
            </w:pPr>
            <w:r>
              <w:t>$1,940</w:t>
            </w:r>
          </w:p>
        </w:tc>
        <w:tc>
          <w:tcPr>
            <w:tcW w:w="1112" w:type="dxa"/>
            <w:tcBorders>
              <w:top w:val="single" w:sz="4" w:space="0" w:color="auto"/>
              <w:left w:val="single" w:sz="4" w:space="0" w:color="auto"/>
              <w:bottom w:val="single" w:sz="4" w:space="0" w:color="auto"/>
              <w:right w:val="single" w:sz="4" w:space="0" w:color="auto"/>
            </w:tcBorders>
            <w:hideMark/>
          </w:tcPr>
          <w:p w14:paraId="7D3A3751" w14:textId="77777777" w:rsidR="00761439" w:rsidRDefault="00761439" w:rsidP="00D22060">
            <w:pPr>
              <w:pStyle w:val="Tabletext1"/>
              <w:spacing w:before="0" w:after="0"/>
              <w:ind w:left="34"/>
            </w:pPr>
            <w:r>
              <w:t>$1,965</w:t>
            </w:r>
          </w:p>
        </w:tc>
        <w:tc>
          <w:tcPr>
            <w:tcW w:w="1156" w:type="dxa"/>
            <w:tcBorders>
              <w:top w:val="single" w:sz="4" w:space="0" w:color="auto"/>
              <w:left w:val="single" w:sz="4" w:space="0" w:color="auto"/>
              <w:bottom w:val="single" w:sz="4" w:space="0" w:color="auto"/>
              <w:right w:val="single" w:sz="4" w:space="0" w:color="auto"/>
            </w:tcBorders>
            <w:hideMark/>
          </w:tcPr>
          <w:p w14:paraId="3D691ABB" w14:textId="77777777" w:rsidR="00761439" w:rsidRDefault="00761439" w:rsidP="00D22060">
            <w:pPr>
              <w:pStyle w:val="Tabletext1"/>
              <w:spacing w:before="0" w:after="0"/>
              <w:ind w:left="34"/>
            </w:pPr>
            <w:r>
              <w:t>$1,991</w:t>
            </w:r>
          </w:p>
        </w:tc>
        <w:tc>
          <w:tcPr>
            <w:tcW w:w="1074" w:type="dxa"/>
            <w:tcBorders>
              <w:top w:val="single" w:sz="4" w:space="0" w:color="auto"/>
              <w:left w:val="single" w:sz="4" w:space="0" w:color="auto"/>
              <w:bottom w:val="single" w:sz="4" w:space="0" w:color="auto"/>
              <w:right w:val="single" w:sz="4" w:space="0" w:color="auto"/>
            </w:tcBorders>
            <w:hideMark/>
          </w:tcPr>
          <w:p w14:paraId="04335EF7" w14:textId="77777777" w:rsidR="00761439" w:rsidRDefault="00761439" w:rsidP="00D22060">
            <w:pPr>
              <w:pStyle w:val="Tabletext1"/>
              <w:spacing w:before="0" w:after="0"/>
              <w:ind w:left="34"/>
            </w:pPr>
            <w:r>
              <w:t>$2,017</w:t>
            </w:r>
          </w:p>
        </w:tc>
        <w:tc>
          <w:tcPr>
            <w:tcW w:w="1028" w:type="dxa"/>
            <w:tcBorders>
              <w:top w:val="single" w:sz="4" w:space="0" w:color="auto"/>
              <w:left w:val="single" w:sz="4" w:space="0" w:color="auto"/>
              <w:bottom w:val="single" w:sz="4" w:space="0" w:color="auto"/>
              <w:right w:val="single" w:sz="4" w:space="0" w:color="auto"/>
            </w:tcBorders>
            <w:hideMark/>
          </w:tcPr>
          <w:p w14:paraId="41CED3D7" w14:textId="77777777" w:rsidR="00761439" w:rsidRDefault="00761439" w:rsidP="00D22060">
            <w:pPr>
              <w:pStyle w:val="Tabletext1"/>
              <w:spacing w:before="0" w:after="0"/>
              <w:ind w:left="34"/>
            </w:pPr>
            <w:r>
              <w:t>$2,043</w:t>
            </w:r>
          </w:p>
        </w:tc>
        <w:tc>
          <w:tcPr>
            <w:tcW w:w="1096" w:type="dxa"/>
            <w:tcBorders>
              <w:top w:val="single" w:sz="4" w:space="0" w:color="auto"/>
              <w:left w:val="single" w:sz="4" w:space="0" w:color="auto"/>
              <w:bottom w:val="single" w:sz="4" w:space="0" w:color="auto"/>
              <w:right w:val="single" w:sz="4" w:space="0" w:color="auto"/>
            </w:tcBorders>
            <w:hideMark/>
          </w:tcPr>
          <w:p w14:paraId="36A1BC18" w14:textId="77777777" w:rsidR="00761439" w:rsidRDefault="00761439" w:rsidP="00D22060">
            <w:pPr>
              <w:pStyle w:val="Tabletext1"/>
              <w:spacing w:before="0" w:after="0"/>
              <w:ind w:left="34"/>
            </w:pPr>
            <w:r>
              <w:t>$9,956</w:t>
            </w:r>
          </w:p>
        </w:tc>
      </w:tr>
    </w:tbl>
    <w:p w14:paraId="6A45CB2D" w14:textId="77777777" w:rsidR="00761439" w:rsidRDefault="00761439" w:rsidP="00607722">
      <w:pPr>
        <w:pStyle w:val="Tablenotes0"/>
      </w:pPr>
      <w:r>
        <w:t>Source: Table 15, pg 49 of MSAC 1629 DCAR</w:t>
      </w:r>
    </w:p>
    <w:p w14:paraId="6F56B677" w14:textId="13E599B1" w:rsidR="00066A6C" w:rsidRDefault="00066A6C" w:rsidP="00607722">
      <w:pPr>
        <w:pStyle w:val="Tablenotes0"/>
        <w:rPr>
          <w:szCs w:val="18"/>
        </w:rPr>
      </w:pPr>
      <w:r>
        <w:t>Abbreviations: DAC</w:t>
      </w:r>
      <w:r w:rsidR="00FF140A">
        <w:t>+abs</w:t>
      </w:r>
      <w:r>
        <w:t>= Defensive Antibacterial Coating</w:t>
      </w:r>
      <w:r w:rsidR="00FF140A">
        <w:t xml:space="preserve"> loaded with antibiotics</w:t>
      </w:r>
      <w:r>
        <w:t xml:space="preserve">, </w:t>
      </w:r>
      <w:r>
        <w:rPr>
          <w:szCs w:val="18"/>
        </w:rPr>
        <w:t>MBS= Medicare benefits Schedule; PBS=Pharmaceutical benefits Schedule</w:t>
      </w:r>
    </w:p>
    <w:p w14:paraId="6CA2D5C2" w14:textId="77777777" w:rsidR="00066A6C" w:rsidRDefault="00066A6C" w:rsidP="00607722">
      <w:pPr>
        <w:pStyle w:val="Tablenotes0"/>
      </w:pPr>
      <w:r>
        <w:rPr>
          <w:vertAlign w:val="superscript"/>
        </w:rPr>
        <w:t xml:space="preserve">a </w:t>
      </w:r>
      <w:r w:rsidRPr="00394BBE">
        <w:t>Estimated based on AOANJRR Annual report 2020</w:t>
      </w:r>
    </w:p>
    <w:p w14:paraId="3DEF6E49" w14:textId="022B8CE3" w:rsidR="00066A6C" w:rsidRDefault="00066A6C" w:rsidP="00607722">
      <w:pPr>
        <w:pStyle w:val="Tablenotes0"/>
      </w:pPr>
      <w:r w:rsidRPr="006107B8">
        <w:rPr>
          <w:vertAlign w:val="superscript"/>
        </w:rPr>
        <w:t>b</w:t>
      </w:r>
      <w:r>
        <w:rPr>
          <w:vertAlign w:val="superscript"/>
        </w:rPr>
        <w:t xml:space="preserve"> </w:t>
      </w:r>
      <w:r>
        <w:t xml:space="preserve">Cost to private health insurance is due to </w:t>
      </w:r>
      <w:r w:rsidR="003B7856">
        <w:t xml:space="preserve">the </w:t>
      </w:r>
      <w:r>
        <w:t xml:space="preserve">acquisition of DAC kits. These costs were obtained as the product of </w:t>
      </w:r>
      <w:r w:rsidR="003B7856">
        <w:t xml:space="preserve">the </w:t>
      </w:r>
      <w:r>
        <w:t xml:space="preserve">assumed number of private patients * </w:t>
      </w:r>
      <w:r w:rsidR="003B7856">
        <w:t xml:space="preserve">the </w:t>
      </w:r>
      <w:r>
        <w:t xml:space="preserve">number of kits required per surgical procedure * unit cost of DAC 5ml. The number of kits per surgical procedure was estimated to be </w:t>
      </w:r>
      <w:r w:rsidR="00C7107D">
        <w:rPr>
          <w:b/>
          <w:bCs/>
        </w:rPr>
        <w:t>redacted</w:t>
      </w:r>
      <w:r>
        <w:t xml:space="preserve"> for Population 3 (knee).</w:t>
      </w:r>
      <w:r w:rsidRPr="00BF08AC">
        <w:t xml:space="preserve"> Further, </w:t>
      </w:r>
      <w:r w:rsidR="003B7856">
        <w:t xml:space="preserve">the </w:t>
      </w:r>
      <w:r w:rsidRPr="00BF08AC">
        <w:t>unit cost of DAC 5ml was $</w:t>
      </w:r>
      <w:r w:rsidR="00270D7C">
        <w:rPr>
          <w:b/>
          <w:bCs/>
        </w:rPr>
        <w:t>redacted</w:t>
      </w:r>
      <w:r w:rsidRPr="00BF08AC">
        <w:t>.</w:t>
      </w:r>
    </w:p>
    <w:p w14:paraId="2566B545" w14:textId="5BC887CD" w:rsidR="00066A6C" w:rsidRPr="00BF08AC" w:rsidRDefault="00066A6C" w:rsidP="00607722">
      <w:pPr>
        <w:pStyle w:val="Tablenotes0"/>
      </w:pPr>
      <w:r w:rsidRPr="00BF08AC">
        <w:t>c Financial implication to MBS was due to costs associated with extra time required to prepare and apply the DAC</w:t>
      </w:r>
      <w:r w:rsidR="000F426F">
        <w:t>+antibiotics</w:t>
      </w:r>
      <w:r w:rsidRPr="00BF08AC">
        <w:t xml:space="preserve">. </w:t>
      </w:r>
      <w:r w:rsidR="003B7856">
        <w:t>The e</w:t>
      </w:r>
      <w:r w:rsidRPr="00BF08AC">
        <w:t>stimated cost of extra time per procedure for Population 3 (knee) was $</w:t>
      </w:r>
      <w:r w:rsidR="00C7107D">
        <w:rPr>
          <w:b/>
          <w:bCs/>
        </w:rPr>
        <w:t>redacted</w:t>
      </w:r>
      <w:r w:rsidRPr="00BF08AC">
        <w:t xml:space="preserve">. </w:t>
      </w:r>
    </w:p>
    <w:p w14:paraId="7044EE3B" w14:textId="370EAB2D" w:rsidR="00066A6C" w:rsidRDefault="00066A6C" w:rsidP="00A94954">
      <w:pPr>
        <w:pStyle w:val="Tablenotes0"/>
      </w:pPr>
      <w:r w:rsidRPr="00BF08AC">
        <w:t xml:space="preserve">d Financial implication to PBS was due to costs associated with </w:t>
      </w:r>
      <w:r w:rsidR="003B7856">
        <w:t xml:space="preserve">the </w:t>
      </w:r>
      <w:r w:rsidRPr="00BF08AC">
        <w:t xml:space="preserve">cost of antibiotics for preloading DAC. </w:t>
      </w:r>
      <w:r w:rsidR="000F426F">
        <w:t>The estimated</w:t>
      </w:r>
      <w:r w:rsidRPr="00BF08AC">
        <w:t xml:space="preserve"> cost per procedure Population 3 (knee) was $</w:t>
      </w:r>
      <w:r w:rsidR="00C7107D">
        <w:rPr>
          <w:b/>
          <w:bCs/>
        </w:rPr>
        <w:t>redacted</w:t>
      </w:r>
      <w:r w:rsidRPr="00BF08AC">
        <w:t xml:space="preserve">. </w:t>
      </w:r>
    </w:p>
    <w:p w14:paraId="4B2C7F76" w14:textId="72D70319" w:rsidR="00066A6C" w:rsidRDefault="00066A6C" w:rsidP="00A94954">
      <w:pPr>
        <w:pStyle w:val="Tablenotes0"/>
      </w:pPr>
      <w:r>
        <w:rPr>
          <w:vertAlign w:val="superscript"/>
        </w:rPr>
        <w:t>e</w:t>
      </w:r>
      <w:r>
        <w:t xml:space="preserve"> Cost to the Government = Cost to MBS + Cost to PBS</w:t>
      </w:r>
    </w:p>
    <w:p w14:paraId="0522BB12" w14:textId="77777777" w:rsidR="00066A6C" w:rsidRPr="00D201BA" w:rsidRDefault="00066A6C" w:rsidP="00FC3571">
      <w:pPr>
        <w:pStyle w:val="ExecSummHeading3"/>
      </w:pPr>
      <w:bookmarkStart w:id="127" w:name="_Toc112076496"/>
      <w:r w:rsidRPr="00D201BA">
        <w:t>Population 4</w:t>
      </w:r>
      <w:bookmarkEnd w:id="127"/>
    </w:p>
    <w:p w14:paraId="6A3FCA92" w14:textId="412E1226" w:rsidR="00066A6C" w:rsidRPr="00D201BA" w:rsidRDefault="00066A6C" w:rsidP="00FC3571">
      <w:pPr>
        <w:pStyle w:val="ExecSummheading4"/>
      </w:pPr>
      <w:r w:rsidRPr="00D201BA">
        <w:t>Population 4</w:t>
      </w:r>
      <w:r w:rsidR="000F426F">
        <w:t>a</w:t>
      </w:r>
      <w:r w:rsidRPr="00D201BA">
        <w:t xml:space="preserve"> (closed)</w:t>
      </w:r>
    </w:p>
    <w:p w14:paraId="2C4B37B4" w14:textId="054DBE87" w:rsidR="00066A6C" w:rsidRPr="00D201BA" w:rsidRDefault="00066A6C" w:rsidP="00FC3571">
      <w:pPr>
        <w:pStyle w:val="Execsummnormal"/>
      </w:pPr>
      <w:r w:rsidRPr="00D201BA">
        <w:t>It was estimated that the average annual number of patients with closed fractures eligible to receive DAC</w:t>
      </w:r>
      <w:r w:rsidR="000F426F">
        <w:t>+antibiotics</w:t>
      </w:r>
      <w:r w:rsidRPr="00D201BA">
        <w:t xml:space="preserve"> in </w:t>
      </w:r>
      <w:r w:rsidR="000F426F">
        <w:t>Year 0</w:t>
      </w:r>
      <w:r w:rsidR="000F426F" w:rsidRPr="00D201BA">
        <w:t xml:space="preserve"> </w:t>
      </w:r>
      <w:r w:rsidRPr="00D201BA">
        <w:t xml:space="preserve">would be </w:t>
      </w:r>
      <w:r w:rsidR="00C7107D">
        <w:rPr>
          <w:b/>
          <w:bCs/>
        </w:rPr>
        <w:t>redacted</w:t>
      </w:r>
      <w:r w:rsidRPr="00D201BA">
        <w:t xml:space="preserve">. In </w:t>
      </w:r>
      <w:r w:rsidR="000F426F">
        <w:t>Year 1</w:t>
      </w:r>
      <w:r w:rsidRPr="00D201BA">
        <w:t xml:space="preserve">, it was estimated to reach </w:t>
      </w:r>
      <w:r w:rsidR="00C7107D">
        <w:rPr>
          <w:b/>
          <w:bCs/>
        </w:rPr>
        <w:t>redacted</w:t>
      </w:r>
      <w:r w:rsidRPr="00D201BA">
        <w:t>. Assuming the increase rate of 1.75% to remain constant over five years, the number of patients eligible to receive DAC</w:t>
      </w:r>
      <w:r w:rsidR="000F426F">
        <w:t>+antibiotics</w:t>
      </w:r>
      <w:r w:rsidRPr="00D201BA">
        <w:t xml:space="preserve"> would be </w:t>
      </w:r>
      <w:r w:rsidR="00C7107D">
        <w:rPr>
          <w:b/>
          <w:bCs/>
        </w:rPr>
        <w:t>redacted</w:t>
      </w:r>
      <w:r w:rsidR="00C7107D" w:rsidRPr="00D201BA" w:rsidDel="00C7107D">
        <w:t xml:space="preserve"> </w:t>
      </w:r>
      <w:r w:rsidRPr="00D201BA">
        <w:t xml:space="preserve">in </w:t>
      </w:r>
      <w:r w:rsidR="000F426F">
        <w:t>Year 5</w:t>
      </w:r>
      <w:r w:rsidRPr="00D201BA">
        <w:t xml:space="preserve">. Overall, </w:t>
      </w:r>
      <w:bookmarkStart w:id="128" w:name="_Hlk71473685"/>
      <w:r w:rsidR="00C7107D">
        <w:rPr>
          <w:b/>
          <w:bCs/>
        </w:rPr>
        <w:t>redacted</w:t>
      </w:r>
      <w:r w:rsidR="00C7107D" w:rsidRPr="00D201BA" w:rsidDel="00C7107D">
        <w:t xml:space="preserve"> </w:t>
      </w:r>
      <w:bookmarkEnd w:id="128"/>
      <w:r w:rsidRPr="00D201BA">
        <w:t>patients would be eligible to receive DAC</w:t>
      </w:r>
      <w:r w:rsidR="000F426F">
        <w:t>+antibiotics</w:t>
      </w:r>
      <w:r w:rsidRPr="00D201BA">
        <w:t xml:space="preserve"> </w:t>
      </w:r>
      <w:r w:rsidR="000F426F">
        <w:t>over five years</w:t>
      </w:r>
      <w:r w:rsidRPr="00D201BA">
        <w:t>.</w:t>
      </w:r>
    </w:p>
    <w:p w14:paraId="5CA4C71C" w14:textId="0779E438" w:rsidR="00066A6C" w:rsidRPr="00D201BA" w:rsidRDefault="00066A6C" w:rsidP="00761439">
      <w:pPr>
        <w:pStyle w:val="Execsummnormal"/>
      </w:pPr>
      <w:r w:rsidRPr="00D201BA">
        <w:t xml:space="preserve">The number of patients eligible in the private setting was estimated to be 66.80% out of </w:t>
      </w:r>
      <w:r w:rsidR="00C7107D">
        <w:rPr>
          <w:b/>
          <w:bCs/>
        </w:rPr>
        <w:t>redacted</w:t>
      </w:r>
      <w:r w:rsidR="00C7107D" w:rsidRPr="00D201BA" w:rsidDel="00C7107D">
        <w:t xml:space="preserve"> </w:t>
      </w:r>
      <w:r w:rsidRPr="00D201BA">
        <w:t xml:space="preserve">patients (i.e., </w:t>
      </w:r>
      <w:r w:rsidR="00C7107D">
        <w:rPr>
          <w:b/>
          <w:bCs/>
        </w:rPr>
        <w:t>redacted</w:t>
      </w:r>
      <w:r w:rsidRPr="00D201BA">
        <w:t>), half of which was estimated to uptake DAC</w:t>
      </w:r>
      <w:r w:rsidR="000F426F">
        <w:t>+antibi</w:t>
      </w:r>
      <w:r w:rsidR="00E937EE">
        <w:t>ot</w:t>
      </w:r>
      <w:r w:rsidR="000F426F">
        <w:t>ics</w:t>
      </w:r>
      <w:r w:rsidRPr="00D201BA">
        <w:t xml:space="preserve"> (n= </w:t>
      </w:r>
      <w:r w:rsidR="00C7107D">
        <w:rPr>
          <w:b/>
          <w:bCs/>
        </w:rPr>
        <w:t>redacted</w:t>
      </w:r>
      <w:r w:rsidRPr="00D201BA">
        <w:t>). Sensitivity analyses were conducted, increasing the uptake rate from 50% to 100% (10% interval) in all years.</w:t>
      </w:r>
    </w:p>
    <w:p w14:paraId="38776B64" w14:textId="08D50528" w:rsidR="00066A6C" w:rsidRPr="00D201BA" w:rsidRDefault="00066A6C" w:rsidP="000A4AD3">
      <w:pPr>
        <w:pStyle w:val="Execsummnormal"/>
      </w:pPr>
      <w:r w:rsidRPr="00D201BA">
        <w:t>The estimated cost to private health insurance was $</w:t>
      </w:r>
      <w:r w:rsidR="00C7107D">
        <w:rPr>
          <w:b/>
          <w:bCs/>
        </w:rPr>
        <w:t>redacted</w:t>
      </w:r>
      <w:r w:rsidR="00C7107D" w:rsidRPr="00D201BA" w:rsidDel="00C7107D">
        <w:t xml:space="preserve"> </w:t>
      </w:r>
      <w:r w:rsidRPr="00D201BA">
        <w:t xml:space="preserve">in </w:t>
      </w:r>
      <w:r w:rsidR="000F426F">
        <w:t>Year 1</w:t>
      </w:r>
      <w:r w:rsidR="000F426F" w:rsidRPr="00D201BA">
        <w:t xml:space="preserve"> </w:t>
      </w:r>
      <w:r w:rsidRPr="00D201BA">
        <w:t xml:space="preserve">and is expected to remain approximately steady </w:t>
      </w:r>
      <w:r w:rsidR="003B7856" w:rsidRPr="00D201BA">
        <w:t xml:space="preserve">until </w:t>
      </w:r>
      <w:r w:rsidR="000F426F">
        <w:t>Year 5</w:t>
      </w:r>
      <w:r w:rsidRPr="00D201BA">
        <w:t>, with a total cost of $</w:t>
      </w:r>
      <w:r w:rsidR="00C7107D">
        <w:rPr>
          <w:b/>
          <w:bCs/>
        </w:rPr>
        <w:t>redacted</w:t>
      </w:r>
      <w:r w:rsidR="00C7107D" w:rsidRPr="00D201BA" w:rsidDel="00C7107D">
        <w:t xml:space="preserve"> </w:t>
      </w:r>
      <w:r w:rsidRPr="00D201BA">
        <w:t>over five years.</w:t>
      </w:r>
    </w:p>
    <w:p w14:paraId="671D2ECB" w14:textId="659908C5" w:rsidR="00E937EE" w:rsidRPr="00E937EE" w:rsidRDefault="00066A6C" w:rsidP="00E937EE">
      <w:pPr>
        <w:pStyle w:val="Execsummnormal"/>
      </w:pPr>
      <w:r w:rsidRPr="00D201BA">
        <w:t xml:space="preserve">The financial implication to the MBS was $12,500 in </w:t>
      </w:r>
      <w:r w:rsidR="000F426F">
        <w:t>Year 1</w:t>
      </w:r>
      <w:r w:rsidRPr="00D201BA">
        <w:t xml:space="preserve">, which remained approximately steady until </w:t>
      </w:r>
      <w:r w:rsidR="000F426F">
        <w:t>Year 5</w:t>
      </w:r>
      <w:r w:rsidRPr="00D201BA">
        <w:t>. The total financial implication to the MBS was estimated to be $65,000 (</w:t>
      </w:r>
      <w:r w:rsidRPr="00D201BA">
        <w:fldChar w:fldCharType="begin"/>
      </w:r>
      <w:r w:rsidRPr="00D201BA">
        <w:instrText xml:space="preserve"> REF _Ref71701570 \h </w:instrText>
      </w:r>
      <w:r w:rsidR="00D201BA">
        <w:instrText xml:space="preserve"> \* MERGEFORMAT </w:instrText>
      </w:r>
      <w:r w:rsidRPr="00D201BA">
        <w:fldChar w:fldCharType="separate"/>
      </w:r>
      <w:r w:rsidR="000E6255">
        <w:t xml:space="preserve">Table </w:t>
      </w:r>
      <w:r w:rsidR="000E6255">
        <w:rPr>
          <w:noProof/>
        </w:rPr>
        <w:t>17</w:t>
      </w:r>
      <w:r w:rsidRPr="00D201BA">
        <w:fldChar w:fldCharType="end"/>
      </w:r>
      <w:r w:rsidRPr="00D201BA">
        <w:t>).</w:t>
      </w:r>
      <w:bookmarkStart w:id="129" w:name="_Ref71701570"/>
      <w:bookmarkStart w:id="130" w:name="_Toc71718464"/>
      <w:bookmarkStart w:id="131" w:name="_Toc112076633"/>
      <w:r w:rsidR="00E937EE">
        <w:br w:type="page"/>
      </w:r>
    </w:p>
    <w:p w14:paraId="6BD2977D" w14:textId="511D2B91" w:rsidR="00066A6C" w:rsidRDefault="00066A6C" w:rsidP="00E50C67">
      <w:pPr>
        <w:pStyle w:val="Caption"/>
      </w:pPr>
      <w:r>
        <w:lastRenderedPageBreak/>
        <w:t xml:space="preserve">Table </w:t>
      </w:r>
      <w:r w:rsidR="00000000">
        <w:fldChar w:fldCharType="begin"/>
      </w:r>
      <w:r w:rsidR="00000000">
        <w:instrText xml:space="preserve"> SEQ Table \* ARABIC </w:instrText>
      </w:r>
      <w:r w:rsidR="00000000">
        <w:fldChar w:fldCharType="separate"/>
      </w:r>
      <w:r w:rsidR="000E6255">
        <w:rPr>
          <w:noProof/>
        </w:rPr>
        <w:t>17</w:t>
      </w:r>
      <w:r w:rsidR="00000000">
        <w:rPr>
          <w:noProof/>
        </w:rPr>
        <w:fldChar w:fldCharType="end"/>
      </w:r>
      <w:bookmarkEnd w:id="129"/>
      <w:r>
        <w:tab/>
        <w:t>Estimated number of Population 4</w:t>
      </w:r>
      <w:r w:rsidR="000F426F">
        <w:t>a</w:t>
      </w:r>
      <w:r>
        <w:t xml:space="preserve"> (closed) that are likely to receive the DAC</w:t>
      </w:r>
      <w:r w:rsidR="000F426F">
        <w:t>+antibiotics</w:t>
      </w:r>
      <w:r>
        <w:t xml:space="preserve"> and the total financial implication to private health insurance, MBS, PBS, and the Government</w:t>
      </w:r>
      <w:bookmarkEnd w:id="130"/>
      <w:bookmarkEnd w:id="131"/>
      <w:r>
        <w:t xml:space="preserve"> </w:t>
      </w:r>
    </w:p>
    <w:tbl>
      <w:tblPr>
        <w:tblStyle w:val="TableGrid"/>
        <w:tblW w:w="0" w:type="auto"/>
        <w:tblLayout w:type="fixed"/>
        <w:tblLook w:val="04A0" w:firstRow="1" w:lastRow="0" w:firstColumn="1" w:lastColumn="0" w:noHBand="0" w:noVBand="1"/>
        <w:tblCaption w:val="Estimated number of Population 4 (closed) that are likely to receive the DAC and the total financial implication to private health insurance, MBS, PBS, and the Government"/>
        <w:tblDescription w:val="This table includes the stimated number of Population 4 (closed)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122"/>
        <w:gridCol w:w="1151"/>
        <w:gridCol w:w="1071"/>
        <w:gridCol w:w="1108"/>
        <w:gridCol w:w="1145"/>
        <w:gridCol w:w="1040"/>
        <w:gridCol w:w="1134"/>
      </w:tblGrid>
      <w:tr w:rsidR="00DF554E" w14:paraId="4CB8A8EE" w14:textId="77777777" w:rsidTr="00450F52">
        <w:tc>
          <w:tcPr>
            <w:tcW w:w="2122" w:type="dxa"/>
            <w:tcBorders>
              <w:top w:val="single" w:sz="4" w:space="0" w:color="auto"/>
              <w:left w:val="single" w:sz="4" w:space="0" w:color="auto"/>
              <w:bottom w:val="single" w:sz="4" w:space="0" w:color="auto"/>
              <w:right w:val="single" w:sz="4" w:space="0" w:color="auto"/>
            </w:tcBorders>
            <w:vAlign w:val="center"/>
            <w:hideMark/>
          </w:tcPr>
          <w:p w14:paraId="0D14DE0F"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1151" w:type="dxa"/>
            <w:tcBorders>
              <w:top w:val="single" w:sz="4" w:space="0" w:color="auto"/>
              <w:left w:val="single" w:sz="4" w:space="0" w:color="auto"/>
              <w:bottom w:val="single" w:sz="4" w:space="0" w:color="auto"/>
              <w:right w:val="single" w:sz="4" w:space="0" w:color="auto"/>
            </w:tcBorders>
            <w:hideMark/>
          </w:tcPr>
          <w:p w14:paraId="7497A9B5"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1</w:t>
            </w:r>
          </w:p>
        </w:tc>
        <w:tc>
          <w:tcPr>
            <w:tcW w:w="1071" w:type="dxa"/>
            <w:tcBorders>
              <w:top w:val="single" w:sz="4" w:space="0" w:color="auto"/>
              <w:left w:val="single" w:sz="4" w:space="0" w:color="auto"/>
              <w:bottom w:val="single" w:sz="4" w:space="0" w:color="auto"/>
              <w:right w:val="single" w:sz="4" w:space="0" w:color="auto"/>
            </w:tcBorders>
            <w:hideMark/>
          </w:tcPr>
          <w:p w14:paraId="795670CC"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1108" w:type="dxa"/>
            <w:tcBorders>
              <w:top w:val="single" w:sz="4" w:space="0" w:color="auto"/>
              <w:left w:val="single" w:sz="4" w:space="0" w:color="auto"/>
              <w:bottom w:val="single" w:sz="4" w:space="0" w:color="auto"/>
              <w:right w:val="single" w:sz="4" w:space="0" w:color="auto"/>
            </w:tcBorders>
            <w:hideMark/>
          </w:tcPr>
          <w:p w14:paraId="04323F9E"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3</w:t>
            </w:r>
          </w:p>
        </w:tc>
        <w:tc>
          <w:tcPr>
            <w:tcW w:w="1145" w:type="dxa"/>
            <w:tcBorders>
              <w:top w:val="single" w:sz="4" w:space="0" w:color="auto"/>
              <w:left w:val="single" w:sz="4" w:space="0" w:color="auto"/>
              <w:bottom w:val="single" w:sz="4" w:space="0" w:color="auto"/>
              <w:right w:val="single" w:sz="4" w:space="0" w:color="auto"/>
            </w:tcBorders>
            <w:hideMark/>
          </w:tcPr>
          <w:p w14:paraId="16BF4D78"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4</w:t>
            </w:r>
          </w:p>
        </w:tc>
        <w:tc>
          <w:tcPr>
            <w:tcW w:w="1040" w:type="dxa"/>
            <w:tcBorders>
              <w:top w:val="single" w:sz="4" w:space="0" w:color="auto"/>
              <w:left w:val="single" w:sz="4" w:space="0" w:color="auto"/>
              <w:bottom w:val="single" w:sz="4" w:space="0" w:color="auto"/>
              <w:right w:val="single" w:sz="4" w:space="0" w:color="auto"/>
            </w:tcBorders>
            <w:hideMark/>
          </w:tcPr>
          <w:p w14:paraId="440BA97E" w14:textId="77777777" w:rsidR="00761439" w:rsidRPr="00307E73" w:rsidRDefault="00761439" w:rsidP="00D22060">
            <w:pPr>
              <w:keepNext/>
              <w:spacing w:after="0" w:line="240" w:lineRule="auto"/>
              <w:ind w:left="0"/>
              <w:rPr>
                <w:rFonts w:ascii="Arial Narrow" w:hAnsi="Arial Narrow"/>
                <w:b/>
                <w:bCs/>
                <w:sz w:val="20"/>
                <w:szCs w:val="20"/>
              </w:rPr>
            </w:pPr>
            <w:r>
              <w:rPr>
                <w:rFonts w:ascii="Arial Narrow" w:hAnsi="Arial Narrow"/>
                <w:b/>
                <w:bCs/>
                <w:sz w:val="20"/>
                <w:szCs w:val="20"/>
              </w:rPr>
              <w:t>Year 5</w:t>
            </w:r>
          </w:p>
        </w:tc>
        <w:tc>
          <w:tcPr>
            <w:tcW w:w="1134" w:type="dxa"/>
            <w:tcBorders>
              <w:top w:val="single" w:sz="4" w:space="0" w:color="auto"/>
              <w:left w:val="single" w:sz="4" w:space="0" w:color="auto"/>
              <w:bottom w:val="single" w:sz="4" w:space="0" w:color="auto"/>
              <w:right w:val="single" w:sz="4" w:space="0" w:color="auto"/>
            </w:tcBorders>
            <w:hideMark/>
          </w:tcPr>
          <w:p w14:paraId="0E7229C2" w14:textId="77777777" w:rsidR="00761439" w:rsidRPr="00307E73" w:rsidRDefault="00761439" w:rsidP="00D22060">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DF554E" w14:paraId="6773EB69" w14:textId="77777777" w:rsidTr="00450F52">
        <w:tc>
          <w:tcPr>
            <w:tcW w:w="2122" w:type="dxa"/>
            <w:tcBorders>
              <w:top w:val="single" w:sz="4" w:space="0" w:color="auto"/>
              <w:left w:val="single" w:sz="4" w:space="0" w:color="auto"/>
              <w:bottom w:val="single" w:sz="4" w:space="0" w:color="auto"/>
              <w:right w:val="single" w:sz="4" w:space="0" w:color="auto"/>
            </w:tcBorders>
            <w:vAlign w:val="center"/>
            <w:hideMark/>
          </w:tcPr>
          <w:p w14:paraId="633587CD" w14:textId="77777777" w:rsidR="00761439" w:rsidRDefault="00761439" w:rsidP="00D22060">
            <w:pPr>
              <w:pStyle w:val="Tabletext1"/>
              <w:spacing w:before="0" w:after="0"/>
              <w:ind w:left="34"/>
            </w:pPr>
            <w:r>
              <w:t>Eligible population size</w:t>
            </w:r>
          </w:p>
        </w:tc>
        <w:tc>
          <w:tcPr>
            <w:tcW w:w="1151" w:type="dxa"/>
            <w:tcBorders>
              <w:top w:val="single" w:sz="4" w:space="0" w:color="auto"/>
              <w:left w:val="single" w:sz="4" w:space="0" w:color="auto"/>
              <w:bottom w:val="single" w:sz="4" w:space="0" w:color="auto"/>
              <w:right w:val="single" w:sz="4" w:space="0" w:color="auto"/>
            </w:tcBorders>
            <w:hideMark/>
          </w:tcPr>
          <w:p w14:paraId="17A7BF68" w14:textId="2ADEDDD7" w:rsidR="00761439" w:rsidRDefault="00DF554E" w:rsidP="00D22060">
            <w:pPr>
              <w:pStyle w:val="Tabletext1"/>
              <w:spacing w:before="0" w:after="0"/>
              <w:ind w:left="34"/>
            </w:pPr>
            <w:r>
              <w:rPr>
                <w:b/>
                <w:bCs/>
              </w:rPr>
              <w:t>redacted</w:t>
            </w:r>
          </w:p>
        </w:tc>
        <w:tc>
          <w:tcPr>
            <w:tcW w:w="1071" w:type="dxa"/>
            <w:tcBorders>
              <w:top w:val="single" w:sz="4" w:space="0" w:color="auto"/>
              <w:left w:val="single" w:sz="4" w:space="0" w:color="auto"/>
              <w:bottom w:val="single" w:sz="4" w:space="0" w:color="auto"/>
              <w:right w:val="single" w:sz="4" w:space="0" w:color="auto"/>
            </w:tcBorders>
            <w:hideMark/>
          </w:tcPr>
          <w:p w14:paraId="1966BCE5" w14:textId="42F13D7F" w:rsidR="00761439" w:rsidRDefault="00DF554E" w:rsidP="00D22060">
            <w:pPr>
              <w:pStyle w:val="Tabletext1"/>
              <w:spacing w:before="0" w:after="0"/>
              <w:ind w:left="34"/>
            </w:pPr>
            <w:r>
              <w:rPr>
                <w:b/>
                <w:bCs/>
              </w:rPr>
              <w:t>redacted</w:t>
            </w:r>
          </w:p>
        </w:tc>
        <w:tc>
          <w:tcPr>
            <w:tcW w:w="1108" w:type="dxa"/>
            <w:tcBorders>
              <w:top w:val="single" w:sz="4" w:space="0" w:color="auto"/>
              <w:left w:val="single" w:sz="4" w:space="0" w:color="auto"/>
              <w:bottom w:val="single" w:sz="4" w:space="0" w:color="auto"/>
              <w:right w:val="single" w:sz="4" w:space="0" w:color="auto"/>
            </w:tcBorders>
            <w:hideMark/>
          </w:tcPr>
          <w:p w14:paraId="156954F1" w14:textId="3BD11A69" w:rsidR="00761439" w:rsidRDefault="00DF554E" w:rsidP="00D22060">
            <w:pPr>
              <w:pStyle w:val="Tabletext1"/>
              <w:spacing w:before="0" w:after="0"/>
              <w:ind w:left="34"/>
            </w:pPr>
            <w:r>
              <w:rPr>
                <w:b/>
                <w:bCs/>
              </w:rPr>
              <w:t>redacted</w:t>
            </w:r>
          </w:p>
        </w:tc>
        <w:tc>
          <w:tcPr>
            <w:tcW w:w="1145" w:type="dxa"/>
            <w:tcBorders>
              <w:top w:val="single" w:sz="4" w:space="0" w:color="auto"/>
              <w:left w:val="single" w:sz="4" w:space="0" w:color="auto"/>
              <w:bottom w:val="single" w:sz="4" w:space="0" w:color="auto"/>
              <w:right w:val="single" w:sz="4" w:space="0" w:color="auto"/>
            </w:tcBorders>
            <w:hideMark/>
          </w:tcPr>
          <w:p w14:paraId="04EC5A6D" w14:textId="5FEF0FD9" w:rsidR="00761439" w:rsidRDefault="00DF554E" w:rsidP="00D22060">
            <w:pPr>
              <w:pStyle w:val="Tabletext1"/>
              <w:spacing w:before="0" w:after="0"/>
              <w:ind w:left="34"/>
            </w:pPr>
            <w:r>
              <w:rPr>
                <w:b/>
                <w:bCs/>
              </w:rPr>
              <w:t>redacted</w:t>
            </w:r>
          </w:p>
        </w:tc>
        <w:tc>
          <w:tcPr>
            <w:tcW w:w="1040" w:type="dxa"/>
            <w:tcBorders>
              <w:top w:val="single" w:sz="4" w:space="0" w:color="auto"/>
              <w:left w:val="single" w:sz="4" w:space="0" w:color="auto"/>
              <w:bottom w:val="single" w:sz="4" w:space="0" w:color="auto"/>
              <w:right w:val="single" w:sz="4" w:space="0" w:color="auto"/>
            </w:tcBorders>
            <w:hideMark/>
          </w:tcPr>
          <w:p w14:paraId="7A55B5E6" w14:textId="713FF2A3" w:rsidR="00761439" w:rsidRDefault="00DF554E"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4530427F" w14:textId="3D4C4C41" w:rsidR="00761439" w:rsidRDefault="00DF554E" w:rsidP="00D22060">
            <w:pPr>
              <w:pStyle w:val="Tabletext1"/>
              <w:spacing w:before="0" w:after="0"/>
              <w:ind w:left="34"/>
            </w:pPr>
            <w:r>
              <w:rPr>
                <w:b/>
                <w:bCs/>
              </w:rPr>
              <w:t>redacted</w:t>
            </w:r>
          </w:p>
        </w:tc>
      </w:tr>
      <w:tr w:rsidR="00DF554E" w14:paraId="1A30D6F4"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651AFCD9" w14:textId="77777777" w:rsidR="00761439" w:rsidRDefault="00761439" w:rsidP="00D22060">
            <w:pPr>
              <w:pStyle w:val="Tabletext1"/>
              <w:spacing w:before="0" w:after="0"/>
              <w:ind w:left="34"/>
            </w:pPr>
            <w:r>
              <w:t>Number of patients eligible in private setting (66.80%)</w:t>
            </w:r>
            <w:r>
              <w:rPr>
                <w:vertAlign w:val="superscript"/>
              </w:rPr>
              <w:t>a</w:t>
            </w:r>
          </w:p>
        </w:tc>
        <w:tc>
          <w:tcPr>
            <w:tcW w:w="1151" w:type="dxa"/>
            <w:tcBorders>
              <w:top w:val="single" w:sz="4" w:space="0" w:color="auto"/>
              <w:left w:val="single" w:sz="4" w:space="0" w:color="auto"/>
              <w:bottom w:val="single" w:sz="4" w:space="0" w:color="auto"/>
              <w:right w:val="single" w:sz="4" w:space="0" w:color="auto"/>
            </w:tcBorders>
            <w:hideMark/>
          </w:tcPr>
          <w:p w14:paraId="57630BA3" w14:textId="02FF8D35" w:rsidR="00761439" w:rsidRDefault="00DF554E" w:rsidP="00D22060">
            <w:pPr>
              <w:pStyle w:val="Tabletext1"/>
              <w:spacing w:before="0" w:after="0"/>
              <w:ind w:left="34"/>
            </w:pPr>
            <w:r>
              <w:rPr>
                <w:b/>
                <w:bCs/>
              </w:rPr>
              <w:t>redacted</w:t>
            </w:r>
          </w:p>
        </w:tc>
        <w:tc>
          <w:tcPr>
            <w:tcW w:w="1071" w:type="dxa"/>
            <w:tcBorders>
              <w:top w:val="single" w:sz="4" w:space="0" w:color="auto"/>
              <w:left w:val="single" w:sz="4" w:space="0" w:color="auto"/>
              <w:bottom w:val="single" w:sz="4" w:space="0" w:color="auto"/>
              <w:right w:val="single" w:sz="4" w:space="0" w:color="auto"/>
            </w:tcBorders>
            <w:hideMark/>
          </w:tcPr>
          <w:p w14:paraId="0DC26142" w14:textId="20D8DBDC" w:rsidR="00761439" w:rsidRDefault="00DF554E" w:rsidP="00D22060">
            <w:pPr>
              <w:pStyle w:val="Tabletext1"/>
              <w:spacing w:before="0" w:after="0"/>
              <w:ind w:left="34"/>
            </w:pPr>
            <w:r>
              <w:rPr>
                <w:b/>
                <w:bCs/>
              </w:rPr>
              <w:t>redacted</w:t>
            </w:r>
          </w:p>
        </w:tc>
        <w:tc>
          <w:tcPr>
            <w:tcW w:w="1108" w:type="dxa"/>
            <w:tcBorders>
              <w:top w:val="single" w:sz="4" w:space="0" w:color="auto"/>
              <w:left w:val="single" w:sz="4" w:space="0" w:color="auto"/>
              <w:bottom w:val="single" w:sz="4" w:space="0" w:color="auto"/>
              <w:right w:val="single" w:sz="4" w:space="0" w:color="auto"/>
            </w:tcBorders>
            <w:hideMark/>
          </w:tcPr>
          <w:p w14:paraId="7519C9CF" w14:textId="3A7743D7" w:rsidR="00761439" w:rsidRDefault="00DF554E" w:rsidP="00D22060">
            <w:pPr>
              <w:pStyle w:val="Tabletext1"/>
              <w:spacing w:before="0" w:after="0"/>
              <w:ind w:left="34"/>
            </w:pPr>
            <w:r>
              <w:rPr>
                <w:b/>
                <w:bCs/>
              </w:rPr>
              <w:t>redacted</w:t>
            </w:r>
          </w:p>
        </w:tc>
        <w:tc>
          <w:tcPr>
            <w:tcW w:w="1145" w:type="dxa"/>
            <w:tcBorders>
              <w:top w:val="single" w:sz="4" w:space="0" w:color="auto"/>
              <w:left w:val="single" w:sz="4" w:space="0" w:color="auto"/>
              <w:bottom w:val="single" w:sz="4" w:space="0" w:color="auto"/>
              <w:right w:val="single" w:sz="4" w:space="0" w:color="auto"/>
            </w:tcBorders>
            <w:hideMark/>
          </w:tcPr>
          <w:p w14:paraId="79600A2C" w14:textId="0C727370" w:rsidR="00761439" w:rsidRDefault="00DF554E" w:rsidP="00D22060">
            <w:pPr>
              <w:pStyle w:val="Tabletext1"/>
              <w:spacing w:before="0" w:after="0"/>
              <w:ind w:left="34"/>
            </w:pPr>
            <w:r>
              <w:rPr>
                <w:b/>
                <w:bCs/>
              </w:rPr>
              <w:t>redacted</w:t>
            </w:r>
          </w:p>
        </w:tc>
        <w:tc>
          <w:tcPr>
            <w:tcW w:w="1040" w:type="dxa"/>
            <w:tcBorders>
              <w:top w:val="single" w:sz="4" w:space="0" w:color="auto"/>
              <w:left w:val="single" w:sz="4" w:space="0" w:color="auto"/>
              <w:bottom w:val="single" w:sz="4" w:space="0" w:color="auto"/>
              <w:right w:val="single" w:sz="4" w:space="0" w:color="auto"/>
            </w:tcBorders>
            <w:hideMark/>
          </w:tcPr>
          <w:p w14:paraId="7473437A" w14:textId="1DC34B7C" w:rsidR="00761439" w:rsidRDefault="00DF554E"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4F08527" w14:textId="68338593" w:rsidR="00761439" w:rsidRDefault="00DF554E" w:rsidP="00D22060">
            <w:pPr>
              <w:pStyle w:val="Tabletext1"/>
              <w:spacing w:before="0" w:after="0"/>
              <w:ind w:left="34"/>
            </w:pPr>
            <w:r>
              <w:rPr>
                <w:b/>
                <w:bCs/>
              </w:rPr>
              <w:t>redacted</w:t>
            </w:r>
          </w:p>
        </w:tc>
      </w:tr>
      <w:tr w:rsidR="00DF554E" w14:paraId="15B98790"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5EB30171" w14:textId="77777777" w:rsidR="00761439" w:rsidRDefault="00761439" w:rsidP="00D22060">
            <w:pPr>
              <w:pStyle w:val="Tabletext1"/>
              <w:spacing w:before="0" w:after="0"/>
              <w:ind w:left="34"/>
            </w:pPr>
            <w:r>
              <w:t>Assumed uptake of DAC+abs (assumed 50% at base case)</w:t>
            </w:r>
          </w:p>
        </w:tc>
        <w:tc>
          <w:tcPr>
            <w:tcW w:w="1151" w:type="dxa"/>
            <w:tcBorders>
              <w:top w:val="single" w:sz="4" w:space="0" w:color="auto"/>
              <w:left w:val="single" w:sz="4" w:space="0" w:color="auto"/>
              <w:bottom w:val="single" w:sz="4" w:space="0" w:color="auto"/>
              <w:right w:val="single" w:sz="4" w:space="0" w:color="auto"/>
            </w:tcBorders>
            <w:hideMark/>
          </w:tcPr>
          <w:p w14:paraId="144B2BBD" w14:textId="082D7D5B" w:rsidR="00761439" w:rsidRDefault="00DF554E" w:rsidP="00D22060">
            <w:pPr>
              <w:pStyle w:val="Tabletext1"/>
              <w:spacing w:before="0" w:after="0"/>
              <w:ind w:left="34"/>
            </w:pPr>
            <w:r>
              <w:rPr>
                <w:b/>
                <w:bCs/>
              </w:rPr>
              <w:t>redacted</w:t>
            </w:r>
          </w:p>
        </w:tc>
        <w:tc>
          <w:tcPr>
            <w:tcW w:w="1071" w:type="dxa"/>
            <w:tcBorders>
              <w:top w:val="single" w:sz="4" w:space="0" w:color="auto"/>
              <w:left w:val="single" w:sz="4" w:space="0" w:color="auto"/>
              <w:bottom w:val="single" w:sz="4" w:space="0" w:color="auto"/>
              <w:right w:val="single" w:sz="4" w:space="0" w:color="auto"/>
            </w:tcBorders>
            <w:hideMark/>
          </w:tcPr>
          <w:p w14:paraId="22D9A36A" w14:textId="542EC036" w:rsidR="00761439" w:rsidRDefault="00DF554E" w:rsidP="00D22060">
            <w:pPr>
              <w:pStyle w:val="Tabletext1"/>
              <w:spacing w:before="0" w:after="0"/>
              <w:ind w:left="34"/>
            </w:pPr>
            <w:r>
              <w:rPr>
                <w:b/>
                <w:bCs/>
              </w:rPr>
              <w:t>redacted</w:t>
            </w:r>
          </w:p>
        </w:tc>
        <w:tc>
          <w:tcPr>
            <w:tcW w:w="1108" w:type="dxa"/>
            <w:tcBorders>
              <w:top w:val="single" w:sz="4" w:space="0" w:color="auto"/>
              <w:left w:val="single" w:sz="4" w:space="0" w:color="auto"/>
              <w:bottom w:val="single" w:sz="4" w:space="0" w:color="auto"/>
              <w:right w:val="single" w:sz="4" w:space="0" w:color="auto"/>
            </w:tcBorders>
            <w:hideMark/>
          </w:tcPr>
          <w:p w14:paraId="125EE45D" w14:textId="2090B246" w:rsidR="00761439" w:rsidRDefault="00DF554E" w:rsidP="00D22060">
            <w:pPr>
              <w:pStyle w:val="Tabletext1"/>
              <w:spacing w:before="0" w:after="0"/>
              <w:ind w:left="34"/>
            </w:pPr>
            <w:r>
              <w:rPr>
                <w:b/>
                <w:bCs/>
              </w:rPr>
              <w:t>redacted</w:t>
            </w:r>
          </w:p>
        </w:tc>
        <w:tc>
          <w:tcPr>
            <w:tcW w:w="1145" w:type="dxa"/>
            <w:tcBorders>
              <w:top w:val="single" w:sz="4" w:space="0" w:color="auto"/>
              <w:left w:val="single" w:sz="4" w:space="0" w:color="auto"/>
              <w:bottom w:val="single" w:sz="4" w:space="0" w:color="auto"/>
              <w:right w:val="single" w:sz="4" w:space="0" w:color="auto"/>
            </w:tcBorders>
            <w:hideMark/>
          </w:tcPr>
          <w:p w14:paraId="5D6B88DE" w14:textId="6A13E9BD" w:rsidR="00761439" w:rsidRDefault="00DF554E" w:rsidP="00D22060">
            <w:pPr>
              <w:pStyle w:val="Tabletext1"/>
              <w:spacing w:before="0" w:after="0"/>
              <w:ind w:left="34"/>
            </w:pPr>
            <w:r>
              <w:rPr>
                <w:b/>
                <w:bCs/>
              </w:rPr>
              <w:t>redacted</w:t>
            </w:r>
            <w:r>
              <w:t xml:space="preserve"> </w:t>
            </w:r>
          </w:p>
        </w:tc>
        <w:tc>
          <w:tcPr>
            <w:tcW w:w="1040" w:type="dxa"/>
            <w:tcBorders>
              <w:top w:val="single" w:sz="4" w:space="0" w:color="auto"/>
              <w:left w:val="single" w:sz="4" w:space="0" w:color="auto"/>
              <w:bottom w:val="single" w:sz="4" w:space="0" w:color="auto"/>
              <w:right w:val="single" w:sz="4" w:space="0" w:color="auto"/>
            </w:tcBorders>
            <w:hideMark/>
          </w:tcPr>
          <w:p w14:paraId="016E98A0" w14:textId="18FAEE59" w:rsidR="00761439" w:rsidRDefault="00DF554E" w:rsidP="00D22060">
            <w:pPr>
              <w:pStyle w:val="Tabletext1"/>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0AE1DBCA" w14:textId="6D969B61" w:rsidR="00761439" w:rsidRDefault="00DF554E" w:rsidP="00D22060">
            <w:pPr>
              <w:pStyle w:val="Tabletext1"/>
              <w:spacing w:before="0" w:after="0"/>
              <w:ind w:left="34"/>
            </w:pPr>
            <w:r>
              <w:rPr>
                <w:b/>
                <w:bCs/>
              </w:rPr>
              <w:t>redacted</w:t>
            </w:r>
          </w:p>
        </w:tc>
      </w:tr>
      <w:tr w:rsidR="00DF554E" w14:paraId="5EF9029A"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0992609E" w14:textId="77777777" w:rsidR="00761439" w:rsidRDefault="00761439" w:rsidP="00D22060">
            <w:pPr>
              <w:pStyle w:val="Tabletext1"/>
              <w:spacing w:before="0" w:after="0"/>
              <w:ind w:left="34"/>
            </w:pPr>
            <w:r>
              <w:t>Cost to private health insurance</w:t>
            </w:r>
            <w:r w:rsidRPr="006107B8">
              <w:rPr>
                <w:vertAlign w:val="superscript"/>
              </w:rPr>
              <w:t>b</w:t>
            </w:r>
          </w:p>
        </w:tc>
        <w:tc>
          <w:tcPr>
            <w:tcW w:w="1151" w:type="dxa"/>
            <w:tcBorders>
              <w:top w:val="single" w:sz="4" w:space="0" w:color="auto"/>
              <w:left w:val="single" w:sz="4" w:space="0" w:color="auto"/>
              <w:bottom w:val="single" w:sz="4" w:space="0" w:color="auto"/>
              <w:right w:val="single" w:sz="4" w:space="0" w:color="auto"/>
            </w:tcBorders>
            <w:hideMark/>
          </w:tcPr>
          <w:p w14:paraId="4F913932" w14:textId="583BD3D4" w:rsidR="00761439" w:rsidRDefault="00761439" w:rsidP="00D22060">
            <w:pPr>
              <w:pStyle w:val="Tabletext1"/>
              <w:spacing w:before="0" w:after="0"/>
              <w:ind w:left="34"/>
            </w:pPr>
            <w:r>
              <w:t>$</w:t>
            </w:r>
            <w:r w:rsidR="00DF554E">
              <w:rPr>
                <w:b/>
                <w:bCs/>
              </w:rPr>
              <w:t>redacted</w:t>
            </w:r>
          </w:p>
        </w:tc>
        <w:tc>
          <w:tcPr>
            <w:tcW w:w="1071" w:type="dxa"/>
            <w:tcBorders>
              <w:top w:val="single" w:sz="4" w:space="0" w:color="auto"/>
              <w:left w:val="single" w:sz="4" w:space="0" w:color="auto"/>
              <w:bottom w:val="single" w:sz="4" w:space="0" w:color="auto"/>
              <w:right w:val="single" w:sz="4" w:space="0" w:color="auto"/>
            </w:tcBorders>
            <w:hideMark/>
          </w:tcPr>
          <w:p w14:paraId="114C004E" w14:textId="0A3A4170" w:rsidR="00761439" w:rsidRDefault="00761439" w:rsidP="00D22060">
            <w:pPr>
              <w:pStyle w:val="Tabletext1"/>
              <w:spacing w:before="0" w:after="0"/>
              <w:ind w:left="34"/>
            </w:pPr>
            <w:r>
              <w:t>$</w:t>
            </w:r>
            <w:r w:rsidR="00DF554E">
              <w:rPr>
                <w:b/>
                <w:bCs/>
              </w:rPr>
              <w:t>redacted</w:t>
            </w:r>
            <w:r w:rsidR="00DF554E">
              <w:t xml:space="preserve"> </w:t>
            </w:r>
          </w:p>
        </w:tc>
        <w:tc>
          <w:tcPr>
            <w:tcW w:w="1108" w:type="dxa"/>
            <w:tcBorders>
              <w:top w:val="single" w:sz="4" w:space="0" w:color="auto"/>
              <w:left w:val="single" w:sz="4" w:space="0" w:color="auto"/>
              <w:bottom w:val="single" w:sz="4" w:space="0" w:color="auto"/>
              <w:right w:val="single" w:sz="4" w:space="0" w:color="auto"/>
            </w:tcBorders>
            <w:hideMark/>
          </w:tcPr>
          <w:p w14:paraId="2BB476EC" w14:textId="77ED1BDC" w:rsidR="00761439" w:rsidRDefault="00761439" w:rsidP="00D22060">
            <w:pPr>
              <w:pStyle w:val="Tabletext1"/>
              <w:spacing w:before="0" w:after="0"/>
              <w:ind w:left="34"/>
            </w:pPr>
            <w:r>
              <w:t>$</w:t>
            </w:r>
            <w:r w:rsidR="00DF554E">
              <w:rPr>
                <w:b/>
                <w:bCs/>
              </w:rPr>
              <w:t>redacted</w:t>
            </w:r>
          </w:p>
        </w:tc>
        <w:tc>
          <w:tcPr>
            <w:tcW w:w="1145" w:type="dxa"/>
            <w:tcBorders>
              <w:top w:val="single" w:sz="4" w:space="0" w:color="auto"/>
              <w:left w:val="single" w:sz="4" w:space="0" w:color="auto"/>
              <w:bottom w:val="single" w:sz="4" w:space="0" w:color="auto"/>
              <w:right w:val="single" w:sz="4" w:space="0" w:color="auto"/>
            </w:tcBorders>
            <w:hideMark/>
          </w:tcPr>
          <w:p w14:paraId="4542F342" w14:textId="5E52AD46" w:rsidR="00761439" w:rsidRDefault="00761439" w:rsidP="00D22060">
            <w:pPr>
              <w:pStyle w:val="Tabletext1"/>
              <w:spacing w:before="0" w:after="0"/>
              <w:ind w:left="34"/>
            </w:pPr>
            <w:r>
              <w:t>$</w:t>
            </w:r>
            <w:r w:rsidR="00DF554E">
              <w:rPr>
                <w:b/>
                <w:bCs/>
              </w:rPr>
              <w:t>redacted</w:t>
            </w:r>
          </w:p>
        </w:tc>
        <w:tc>
          <w:tcPr>
            <w:tcW w:w="1040" w:type="dxa"/>
            <w:tcBorders>
              <w:top w:val="single" w:sz="4" w:space="0" w:color="auto"/>
              <w:left w:val="single" w:sz="4" w:space="0" w:color="auto"/>
              <w:bottom w:val="single" w:sz="4" w:space="0" w:color="auto"/>
              <w:right w:val="single" w:sz="4" w:space="0" w:color="auto"/>
            </w:tcBorders>
            <w:hideMark/>
          </w:tcPr>
          <w:p w14:paraId="347AF54E" w14:textId="24CE3511" w:rsidR="00761439" w:rsidRDefault="00761439" w:rsidP="00D22060">
            <w:pPr>
              <w:pStyle w:val="Tabletext1"/>
              <w:spacing w:before="0" w:after="0"/>
              <w:ind w:left="34"/>
            </w:pPr>
            <w:r>
              <w:t>$</w:t>
            </w:r>
            <w:r w:rsidR="00DF554E">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6C21925E" w14:textId="15D69077" w:rsidR="00761439" w:rsidRDefault="00761439" w:rsidP="00D22060">
            <w:pPr>
              <w:pStyle w:val="Tabletext1"/>
              <w:spacing w:before="0" w:after="0"/>
              <w:ind w:left="34"/>
            </w:pPr>
            <w:r>
              <w:t>$</w:t>
            </w:r>
            <w:r w:rsidR="00DF554E">
              <w:rPr>
                <w:b/>
                <w:bCs/>
              </w:rPr>
              <w:t>redacted</w:t>
            </w:r>
          </w:p>
        </w:tc>
      </w:tr>
      <w:tr w:rsidR="00DF554E" w14:paraId="4F5D0922"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11E5C1DD" w14:textId="77777777" w:rsidR="00761439" w:rsidRDefault="00761439" w:rsidP="00D22060">
            <w:pPr>
              <w:pStyle w:val="Tabletext1"/>
              <w:spacing w:before="0" w:after="0"/>
              <w:ind w:left="34"/>
            </w:pPr>
            <w:r>
              <w:t>Total financial implication to the MBS</w:t>
            </w:r>
            <w:r>
              <w:rPr>
                <w:vertAlign w:val="superscript"/>
              </w:rPr>
              <w:t>c</w:t>
            </w:r>
          </w:p>
        </w:tc>
        <w:tc>
          <w:tcPr>
            <w:tcW w:w="1151" w:type="dxa"/>
            <w:tcBorders>
              <w:top w:val="single" w:sz="4" w:space="0" w:color="auto"/>
              <w:left w:val="single" w:sz="4" w:space="0" w:color="auto"/>
              <w:bottom w:val="single" w:sz="4" w:space="0" w:color="auto"/>
              <w:right w:val="single" w:sz="4" w:space="0" w:color="auto"/>
            </w:tcBorders>
            <w:hideMark/>
          </w:tcPr>
          <w:p w14:paraId="364AEEB0" w14:textId="77777777" w:rsidR="00761439" w:rsidRDefault="00761439" w:rsidP="00D22060">
            <w:pPr>
              <w:pStyle w:val="Tabletext1"/>
              <w:spacing w:before="0" w:after="0"/>
              <w:ind w:left="34"/>
            </w:pPr>
            <w:r>
              <w:t>$12,500</w:t>
            </w:r>
          </w:p>
        </w:tc>
        <w:tc>
          <w:tcPr>
            <w:tcW w:w="1071" w:type="dxa"/>
            <w:tcBorders>
              <w:top w:val="single" w:sz="4" w:space="0" w:color="auto"/>
              <w:left w:val="single" w:sz="4" w:space="0" w:color="auto"/>
              <w:bottom w:val="single" w:sz="4" w:space="0" w:color="auto"/>
              <w:right w:val="single" w:sz="4" w:space="0" w:color="auto"/>
            </w:tcBorders>
            <w:hideMark/>
          </w:tcPr>
          <w:p w14:paraId="73B3A0A3" w14:textId="77777777" w:rsidR="00761439" w:rsidRDefault="00761439" w:rsidP="00D22060">
            <w:pPr>
              <w:pStyle w:val="Tabletext1"/>
              <w:spacing w:before="0" w:after="0"/>
              <w:ind w:left="34"/>
            </w:pPr>
            <w:r>
              <w:t>$12,719</w:t>
            </w:r>
          </w:p>
        </w:tc>
        <w:tc>
          <w:tcPr>
            <w:tcW w:w="1108" w:type="dxa"/>
            <w:tcBorders>
              <w:top w:val="single" w:sz="4" w:space="0" w:color="auto"/>
              <w:left w:val="single" w:sz="4" w:space="0" w:color="auto"/>
              <w:bottom w:val="single" w:sz="4" w:space="0" w:color="auto"/>
              <w:right w:val="single" w:sz="4" w:space="0" w:color="auto"/>
            </w:tcBorders>
            <w:hideMark/>
          </w:tcPr>
          <w:p w14:paraId="4D269117" w14:textId="77777777" w:rsidR="00761439" w:rsidRDefault="00761439" w:rsidP="00D22060">
            <w:pPr>
              <w:pStyle w:val="Tabletext1"/>
              <w:spacing w:before="0" w:after="0"/>
              <w:ind w:left="34"/>
            </w:pPr>
            <w:r>
              <w:t>$12,941</w:t>
            </w:r>
          </w:p>
        </w:tc>
        <w:tc>
          <w:tcPr>
            <w:tcW w:w="1145" w:type="dxa"/>
            <w:tcBorders>
              <w:top w:val="single" w:sz="4" w:space="0" w:color="auto"/>
              <w:left w:val="single" w:sz="4" w:space="0" w:color="auto"/>
              <w:bottom w:val="single" w:sz="4" w:space="0" w:color="auto"/>
              <w:right w:val="single" w:sz="4" w:space="0" w:color="auto"/>
            </w:tcBorders>
            <w:hideMark/>
          </w:tcPr>
          <w:p w14:paraId="5B98ED34" w14:textId="77777777" w:rsidR="00761439" w:rsidRDefault="00761439" w:rsidP="00D22060">
            <w:pPr>
              <w:pStyle w:val="Tabletext1"/>
              <w:spacing w:before="0" w:after="0"/>
              <w:ind w:left="34"/>
            </w:pPr>
            <w:r>
              <w:t>$13,168</w:t>
            </w:r>
          </w:p>
        </w:tc>
        <w:tc>
          <w:tcPr>
            <w:tcW w:w="1040" w:type="dxa"/>
            <w:tcBorders>
              <w:top w:val="single" w:sz="4" w:space="0" w:color="auto"/>
              <w:left w:val="single" w:sz="4" w:space="0" w:color="auto"/>
              <w:bottom w:val="single" w:sz="4" w:space="0" w:color="auto"/>
              <w:right w:val="single" w:sz="4" w:space="0" w:color="auto"/>
            </w:tcBorders>
            <w:hideMark/>
          </w:tcPr>
          <w:p w14:paraId="14D0D988" w14:textId="77777777" w:rsidR="00761439" w:rsidRDefault="00761439" w:rsidP="00D22060">
            <w:pPr>
              <w:pStyle w:val="Tabletext1"/>
              <w:spacing w:before="0" w:after="0"/>
              <w:ind w:left="34"/>
            </w:pPr>
            <w:r>
              <w:t>$13,398</w:t>
            </w:r>
          </w:p>
        </w:tc>
        <w:tc>
          <w:tcPr>
            <w:tcW w:w="1134" w:type="dxa"/>
            <w:tcBorders>
              <w:top w:val="single" w:sz="4" w:space="0" w:color="auto"/>
              <w:left w:val="single" w:sz="4" w:space="0" w:color="auto"/>
              <w:bottom w:val="single" w:sz="4" w:space="0" w:color="auto"/>
              <w:right w:val="single" w:sz="4" w:space="0" w:color="auto"/>
            </w:tcBorders>
            <w:hideMark/>
          </w:tcPr>
          <w:p w14:paraId="2B35F0A1" w14:textId="77777777" w:rsidR="00761439" w:rsidRDefault="00761439" w:rsidP="00D22060">
            <w:pPr>
              <w:pStyle w:val="Tabletext1"/>
              <w:spacing w:before="0" w:after="0"/>
              <w:ind w:left="34"/>
            </w:pPr>
            <w:r>
              <w:t>$64,726</w:t>
            </w:r>
          </w:p>
        </w:tc>
      </w:tr>
      <w:tr w:rsidR="00DF554E" w14:paraId="2DCB9AD1"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3F34437B" w14:textId="77777777" w:rsidR="00761439" w:rsidRDefault="00761439" w:rsidP="00D22060">
            <w:pPr>
              <w:pStyle w:val="Tabletext1"/>
              <w:spacing w:before="0" w:after="0"/>
              <w:ind w:left="34"/>
            </w:pPr>
            <w:r>
              <w:t>Total financial implication to the PBS</w:t>
            </w:r>
            <w:r>
              <w:rPr>
                <w:vertAlign w:val="superscript"/>
              </w:rPr>
              <w:t>d</w:t>
            </w:r>
          </w:p>
        </w:tc>
        <w:tc>
          <w:tcPr>
            <w:tcW w:w="1151" w:type="dxa"/>
            <w:tcBorders>
              <w:top w:val="single" w:sz="4" w:space="0" w:color="auto"/>
              <w:left w:val="single" w:sz="4" w:space="0" w:color="auto"/>
              <w:bottom w:val="single" w:sz="4" w:space="0" w:color="auto"/>
              <w:right w:val="single" w:sz="4" w:space="0" w:color="auto"/>
            </w:tcBorders>
            <w:hideMark/>
          </w:tcPr>
          <w:p w14:paraId="530D8F43" w14:textId="77777777" w:rsidR="00761439" w:rsidRDefault="00761439" w:rsidP="00D22060">
            <w:pPr>
              <w:pStyle w:val="Tabletext1"/>
              <w:spacing w:before="0" w:after="0"/>
              <w:ind w:left="34"/>
            </w:pPr>
            <w:r>
              <w:t>$5,770</w:t>
            </w:r>
          </w:p>
        </w:tc>
        <w:tc>
          <w:tcPr>
            <w:tcW w:w="1071" w:type="dxa"/>
            <w:tcBorders>
              <w:top w:val="single" w:sz="4" w:space="0" w:color="auto"/>
              <w:left w:val="single" w:sz="4" w:space="0" w:color="auto"/>
              <w:bottom w:val="single" w:sz="4" w:space="0" w:color="auto"/>
              <w:right w:val="single" w:sz="4" w:space="0" w:color="auto"/>
            </w:tcBorders>
            <w:hideMark/>
          </w:tcPr>
          <w:p w14:paraId="4A3DE56A" w14:textId="77777777" w:rsidR="00761439" w:rsidRDefault="00761439" w:rsidP="00D22060">
            <w:pPr>
              <w:pStyle w:val="Tabletext1"/>
              <w:spacing w:before="0" w:after="0"/>
              <w:ind w:left="34"/>
            </w:pPr>
            <w:r>
              <w:t>$5,871</w:t>
            </w:r>
          </w:p>
        </w:tc>
        <w:tc>
          <w:tcPr>
            <w:tcW w:w="1108" w:type="dxa"/>
            <w:tcBorders>
              <w:top w:val="single" w:sz="4" w:space="0" w:color="auto"/>
              <w:left w:val="single" w:sz="4" w:space="0" w:color="auto"/>
              <w:bottom w:val="single" w:sz="4" w:space="0" w:color="auto"/>
              <w:right w:val="single" w:sz="4" w:space="0" w:color="auto"/>
            </w:tcBorders>
            <w:hideMark/>
          </w:tcPr>
          <w:p w14:paraId="4396F8D0" w14:textId="77777777" w:rsidR="00761439" w:rsidRDefault="00761439" w:rsidP="00D22060">
            <w:pPr>
              <w:pStyle w:val="Tabletext1"/>
              <w:spacing w:before="0" w:after="0"/>
              <w:ind w:left="34"/>
            </w:pPr>
            <w:r>
              <w:t>$5,973</w:t>
            </w:r>
          </w:p>
        </w:tc>
        <w:tc>
          <w:tcPr>
            <w:tcW w:w="1145" w:type="dxa"/>
            <w:tcBorders>
              <w:top w:val="single" w:sz="4" w:space="0" w:color="auto"/>
              <w:left w:val="single" w:sz="4" w:space="0" w:color="auto"/>
              <w:bottom w:val="single" w:sz="4" w:space="0" w:color="auto"/>
              <w:right w:val="single" w:sz="4" w:space="0" w:color="auto"/>
            </w:tcBorders>
            <w:hideMark/>
          </w:tcPr>
          <w:p w14:paraId="11D40D38" w14:textId="77777777" w:rsidR="00761439" w:rsidRDefault="00761439" w:rsidP="00D22060">
            <w:pPr>
              <w:pStyle w:val="Tabletext1"/>
              <w:spacing w:before="0" w:after="0"/>
              <w:ind w:left="34"/>
            </w:pPr>
            <w:r>
              <w:t>$6,078</w:t>
            </w:r>
          </w:p>
        </w:tc>
        <w:tc>
          <w:tcPr>
            <w:tcW w:w="1040" w:type="dxa"/>
            <w:tcBorders>
              <w:top w:val="single" w:sz="4" w:space="0" w:color="auto"/>
              <w:left w:val="single" w:sz="4" w:space="0" w:color="auto"/>
              <w:bottom w:val="single" w:sz="4" w:space="0" w:color="auto"/>
              <w:right w:val="single" w:sz="4" w:space="0" w:color="auto"/>
            </w:tcBorders>
            <w:hideMark/>
          </w:tcPr>
          <w:p w14:paraId="0F0BE607" w14:textId="77777777" w:rsidR="00761439" w:rsidRDefault="00761439" w:rsidP="00D22060">
            <w:pPr>
              <w:pStyle w:val="Tabletext1"/>
              <w:spacing w:before="0" w:after="0"/>
              <w:ind w:left="34"/>
            </w:pPr>
            <w:r>
              <w:t>$6,184</w:t>
            </w:r>
          </w:p>
        </w:tc>
        <w:tc>
          <w:tcPr>
            <w:tcW w:w="1134" w:type="dxa"/>
            <w:tcBorders>
              <w:top w:val="single" w:sz="4" w:space="0" w:color="auto"/>
              <w:left w:val="single" w:sz="4" w:space="0" w:color="auto"/>
              <w:bottom w:val="single" w:sz="4" w:space="0" w:color="auto"/>
              <w:right w:val="single" w:sz="4" w:space="0" w:color="auto"/>
            </w:tcBorders>
            <w:hideMark/>
          </w:tcPr>
          <w:p w14:paraId="5684555C" w14:textId="77777777" w:rsidR="00761439" w:rsidRDefault="00761439" w:rsidP="00D22060">
            <w:pPr>
              <w:pStyle w:val="Tabletext1"/>
              <w:spacing w:before="0" w:after="0"/>
              <w:ind w:left="34"/>
            </w:pPr>
            <w:r>
              <w:t>$29,875</w:t>
            </w:r>
          </w:p>
        </w:tc>
      </w:tr>
      <w:tr w:rsidR="00DF554E" w14:paraId="40F33185" w14:textId="77777777" w:rsidTr="00450F52">
        <w:tc>
          <w:tcPr>
            <w:tcW w:w="2122" w:type="dxa"/>
            <w:tcBorders>
              <w:top w:val="single" w:sz="4" w:space="0" w:color="auto"/>
              <w:left w:val="single" w:sz="4" w:space="0" w:color="auto"/>
              <w:bottom w:val="single" w:sz="4" w:space="0" w:color="auto"/>
              <w:right w:val="single" w:sz="4" w:space="0" w:color="auto"/>
            </w:tcBorders>
            <w:hideMark/>
          </w:tcPr>
          <w:p w14:paraId="76FF0915" w14:textId="77777777" w:rsidR="00761439" w:rsidRDefault="00761439" w:rsidP="00D22060">
            <w:pPr>
              <w:pStyle w:val="Tabletext1"/>
              <w:spacing w:before="0" w:after="0"/>
              <w:ind w:left="34"/>
            </w:pPr>
            <w:r>
              <w:t>Total financial implication to the Government</w:t>
            </w:r>
            <w:r>
              <w:rPr>
                <w:vertAlign w:val="superscript"/>
              </w:rPr>
              <w:t>e</w:t>
            </w:r>
          </w:p>
        </w:tc>
        <w:tc>
          <w:tcPr>
            <w:tcW w:w="1151" w:type="dxa"/>
            <w:tcBorders>
              <w:top w:val="single" w:sz="4" w:space="0" w:color="auto"/>
              <w:left w:val="single" w:sz="4" w:space="0" w:color="auto"/>
              <w:bottom w:val="single" w:sz="4" w:space="0" w:color="auto"/>
              <w:right w:val="single" w:sz="4" w:space="0" w:color="auto"/>
            </w:tcBorders>
            <w:hideMark/>
          </w:tcPr>
          <w:p w14:paraId="310C5D92" w14:textId="77777777" w:rsidR="00761439" w:rsidRDefault="00761439" w:rsidP="00D22060">
            <w:pPr>
              <w:pStyle w:val="Tabletext1"/>
              <w:spacing w:before="0" w:after="0"/>
              <w:ind w:left="34"/>
            </w:pPr>
            <w:r>
              <w:t>$18,270</w:t>
            </w:r>
          </w:p>
        </w:tc>
        <w:tc>
          <w:tcPr>
            <w:tcW w:w="1071" w:type="dxa"/>
            <w:tcBorders>
              <w:top w:val="single" w:sz="4" w:space="0" w:color="auto"/>
              <w:left w:val="single" w:sz="4" w:space="0" w:color="auto"/>
              <w:bottom w:val="single" w:sz="4" w:space="0" w:color="auto"/>
              <w:right w:val="single" w:sz="4" w:space="0" w:color="auto"/>
            </w:tcBorders>
            <w:hideMark/>
          </w:tcPr>
          <w:p w14:paraId="426E7617" w14:textId="77777777" w:rsidR="00761439" w:rsidRDefault="00761439" w:rsidP="00D22060">
            <w:pPr>
              <w:pStyle w:val="Tabletext1"/>
              <w:spacing w:before="0" w:after="0"/>
              <w:ind w:left="34"/>
            </w:pPr>
            <w:r>
              <w:t>$18,589</w:t>
            </w:r>
          </w:p>
        </w:tc>
        <w:tc>
          <w:tcPr>
            <w:tcW w:w="1108" w:type="dxa"/>
            <w:tcBorders>
              <w:top w:val="single" w:sz="4" w:space="0" w:color="auto"/>
              <w:left w:val="single" w:sz="4" w:space="0" w:color="auto"/>
              <w:bottom w:val="single" w:sz="4" w:space="0" w:color="auto"/>
              <w:right w:val="single" w:sz="4" w:space="0" w:color="auto"/>
            </w:tcBorders>
            <w:hideMark/>
          </w:tcPr>
          <w:p w14:paraId="22B53835" w14:textId="77777777" w:rsidR="00761439" w:rsidRDefault="00761439" w:rsidP="00D22060">
            <w:pPr>
              <w:pStyle w:val="Tabletext1"/>
              <w:spacing w:before="0" w:after="0"/>
              <w:ind w:left="34"/>
            </w:pPr>
            <w:r>
              <w:t>$18,915</w:t>
            </w:r>
          </w:p>
        </w:tc>
        <w:tc>
          <w:tcPr>
            <w:tcW w:w="1145" w:type="dxa"/>
            <w:tcBorders>
              <w:top w:val="single" w:sz="4" w:space="0" w:color="auto"/>
              <w:left w:val="single" w:sz="4" w:space="0" w:color="auto"/>
              <w:bottom w:val="single" w:sz="4" w:space="0" w:color="auto"/>
              <w:right w:val="single" w:sz="4" w:space="0" w:color="auto"/>
            </w:tcBorders>
            <w:hideMark/>
          </w:tcPr>
          <w:p w14:paraId="1D3A19A8" w14:textId="77777777" w:rsidR="00761439" w:rsidRDefault="00761439" w:rsidP="00D22060">
            <w:pPr>
              <w:pStyle w:val="Tabletext1"/>
              <w:spacing w:before="0" w:after="0"/>
              <w:ind w:left="34"/>
            </w:pPr>
            <w:r>
              <w:t>$19,245</w:t>
            </w:r>
          </w:p>
        </w:tc>
        <w:tc>
          <w:tcPr>
            <w:tcW w:w="1040" w:type="dxa"/>
            <w:tcBorders>
              <w:top w:val="single" w:sz="4" w:space="0" w:color="auto"/>
              <w:left w:val="single" w:sz="4" w:space="0" w:color="auto"/>
              <w:bottom w:val="single" w:sz="4" w:space="0" w:color="auto"/>
              <w:right w:val="single" w:sz="4" w:space="0" w:color="auto"/>
            </w:tcBorders>
            <w:hideMark/>
          </w:tcPr>
          <w:p w14:paraId="58F6F1AF" w14:textId="77777777" w:rsidR="00761439" w:rsidRDefault="00761439" w:rsidP="00D22060">
            <w:pPr>
              <w:pStyle w:val="Tabletext1"/>
              <w:spacing w:before="0" w:after="0"/>
              <w:ind w:left="34"/>
            </w:pPr>
            <w:r>
              <w:t>$19,582</w:t>
            </w:r>
          </w:p>
        </w:tc>
        <w:tc>
          <w:tcPr>
            <w:tcW w:w="1134" w:type="dxa"/>
            <w:tcBorders>
              <w:top w:val="single" w:sz="4" w:space="0" w:color="auto"/>
              <w:left w:val="single" w:sz="4" w:space="0" w:color="auto"/>
              <w:bottom w:val="single" w:sz="4" w:space="0" w:color="auto"/>
              <w:right w:val="single" w:sz="4" w:space="0" w:color="auto"/>
            </w:tcBorders>
            <w:hideMark/>
          </w:tcPr>
          <w:p w14:paraId="14A2B47F" w14:textId="77777777" w:rsidR="00761439" w:rsidRDefault="00761439" w:rsidP="00D22060">
            <w:pPr>
              <w:pStyle w:val="Tabletext1"/>
              <w:spacing w:before="0" w:after="0"/>
              <w:ind w:left="34"/>
            </w:pPr>
            <w:r>
              <w:t>$94,601</w:t>
            </w:r>
          </w:p>
        </w:tc>
      </w:tr>
    </w:tbl>
    <w:p w14:paraId="31180112" w14:textId="77777777" w:rsidR="00761439" w:rsidRDefault="00761439" w:rsidP="00607722">
      <w:pPr>
        <w:pStyle w:val="Tablenotes0"/>
      </w:pPr>
      <w:r>
        <w:t>Source: Table 16, pg 50 of MSAC 1629 DCAR</w:t>
      </w:r>
    </w:p>
    <w:p w14:paraId="72CA9845" w14:textId="584A2FC8" w:rsidR="00066A6C" w:rsidRDefault="00066A6C" w:rsidP="00607722">
      <w:pPr>
        <w:pStyle w:val="Tablenotes0"/>
        <w:rPr>
          <w:szCs w:val="18"/>
        </w:rPr>
      </w:pPr>
      <w:r>
        <w:t>Abbreviations: DAC</w:t>
      </w:r>
      <w:r w:rsidR="000F426F">
        <w:t>+abs</w:t>
      </w:r>
      <w:r>
        <w:t>= Defensive Antibacterial Coating</w:t>
      </w:r>
      <w:r w:rsidR="000F426F">
        <w:t xml:space="preserve"> loaded with antibiotics</w:t>
      </w:r>
      <w:r>
        <w:t xml:space="preserve">, </w:t>
      </w:r>
      <w:r>
        <w:rPr>
          <w:szCs w:val="18"/>
        </w:rPr>
        <w:t>MBS= Medicare benefits Schedule; PBS=Pharmaceutical benefits Schedule</w:t>
      </w:r>
    </w:p>
    <w:p w14:paraId="6140830E" w14:textId="77777777" w:rsidR="00066A6C" w:rsidRDefault="00066A6C" w:rsidP="00607722">
      <w:pPr>
        <w:pStyle w:val="Tablenotes0"/>
      </w:pPr>
      <w:r>
        <w:rPr>
          <w:vertAlign w:val="superscript"/>
        </w:rPr>
        <w:t xml:space="preserve">a </w:t>
      </w:r>
      <w:r w:rsidRPr="00394BBE">
        <w:t>Estimated based on AOANJRR Annual report 2020</w:t>
      </w:r>
    </w:p>
    <w:p w14:paraId="02F090D3" w14:textId="0CB95C26" w:rsidR="00066A6C" w:rsidRDefault="00066A6C" w:rsidP="00607722">
      <w:pPr>
        <w:pStyle w:val="Tablenotes0"/>
      </w:pPr>
      <w:r w:rsidRPr="006107B8">
        <w:rPr>
          <w:vertAlign w:val="superscript"/>
        </w:rPr>
        <w:t>b</w:t>
      </w:r>
      <w:r>
        <w:rPr>
          <w:vertAlign w:val="superscript"/>
        </w:rPr>
        <w:t xml:space="preserve"> </w:t>
      </w:r>
      <w:r>
        <w:t xml:space="preserve">Cost to private health insurance is due to acquisition of DAC kits. These costs were obtained as the product of assumed number of private patients * number of kits required per surgical procedure * unit cost of DAC 5ml. The number of kits per surgical procedure for Population 4 (closed) was </w:t>
      </w:r>
      <w:r w:rsidR="00DF554E">
        <w:rPr>
          <w:b/>
          <w:bCs/>
        </w:rPr>
        <w:t>redacted</w:t>
      </w:r>
      <w:r>
        <w:t>.</w:t>
      </w:r>
      <w:r w:rsidRPr="00BF08AC">
        <w:t xml:space="preserve"> Further, </w:t>
      </w:r>
      <w:r w:rsidR="003B7856">
        <w:t xml:space="preserve">the </w:t>
      </w:r>
      <w:r w:rsidRPr="00BF08AC">
        <w:t>unit cost of DAC 5ml was $</w:t>
      </w:r>
      <w:r w:rsidR="00270D7C">
        <w:rPr>
          <w:b/>
          <w:bCs/>
        </w:rPr>
        <w:t>redacted</w:t>
      </w:r>
      <w:r w:rsidRPr="00BF08AC">
        <w:t>.</w:t>
      </w:r>
    </w:p>
    <w:p w14:paraId="61F08EDF" w14:textId="3E10CB5D" w:rsidR="00066A6C" w:rsidRPr="00BF08AC" w:rsidRDefault="00066A6C" w:rsidP="00A94954">
      <w:pPr>
        <w:pStyle w:val="Tablenotes0"/>
      </w:pPr>
      <w:r w:rsidRPr="00BF08AC">
        <w:t>c Financial implication to MBS was due to costs associated with extra time required to prepare and apply the DAC</w:t>
      </w:r>
      <w:r w:rsidR="000F426F">
        <w:t>+antibiotics</w:t>
      </w:r>
      <w:r w:rsidRPr="00BF08AC">
        <w:t xml:space="preserve">. </w:t>
      </w:r>
      <w:r w:rsidR="003B7856">
        <w:t>The e</w:t>
      </w:r>
      <w:r w:rsidRPr="00BF08AC">
        <w:t>stimated cost of extra time per procedure for Population 4 (closed) was $</w:t>
      </w:r>
      <w:r w:rsidR="00DF554E">
        <w:rPr>
          <w:b/>
          <w:bCs/>
        </w:rPr>
        <w:t>redacted</w:t>
      </w:r>
      <w:r w:rsidRPr="00BF08AC">
        <w:t xml:space="preserve">. </w:t>
      </w:r>
    </w:p>
    <w:p w14:paraId="64A5DEE6" w14:textId="2556730C" w:rsidR="00066A6C" w:rsidRPr="00BF08AC" w:rsidRDefault="00066A6C" w:rsidP="00A94954">
      <w:pPr>
        <w:pStyle w:val="Tablenotes0"/>
      </w:pPr>
      <w:r w:rsidRPr="00BF08AC">
        <w:t xml:space="preserve">d Financial implication to PBS was due to costs associated with </w:t>
      </w:r>
      <w:r w:rsidR="003B7856">
        <w:t xml:space="preserve">the </w:t>
      </w:r>
      <w:r w:rsidRPr="00BF08AC">
        <w:t xml:space="preserve">cost of antibiotics for preloading DAC. </w:t>
      </w:r>
      <w:r w:rsidR="000F426F">
        <w:t>The e</w:t>
      </w:r>
      <w:r w:rsidR="00E937EE">
        <w:t>s</w:t>
      </w:r>
      <w:r w:rsidR="000F426F">
        <w:t>timated</w:t>
      </w:r>
      <w:r w:rsidRPr="00BF08AC">
        <w:t xml:space="preserve"> cost per procedure for Population 4 (closed) was $</w:t>
      </w:r>
      <w:r w:rsidR="00DF554E">
        <w:rPr>
          <w:b/>
          <w:bCs/>
        </w:rPr>
        <w:t>redacted</w:t>
      </w:r>
      <w:r w:rsidRPr="00BF08AC">
        <w:t xml:space="preserve">. </w:t>
      </w:r>
    </w:p>
    <w:p w14:paraId="1F93226F" w14:textId="3D9EB89D" w:rsidR="00066A6C" w:rsidRDefault="00066A6C" w:rsidP="00FC3571">
      <w:pPr>
        <w:pStyle w:val="Tablenotes0"/>
      </w:pPr>
      <w:r>
        <w:rPr>
          <w:vertAlign w:val="superscript"/>
        </w:rPr>
        <w:t>e</w:t>
      </w:r>
      <w:r>
        <w:t xml:space="preserve"> Cost to the Government = Cost to MBS + Cost to PBS</w:t>
      </w:r>
    </w:p>
    <w:p w14:paraId="6A9CB93D" w14:textId="59C82652" w:rsidR="00066A6C" w:rsidRPr="00D201BA" w:rsidRDefault="00066A6C" w:rsidP="00FC3571">
      <w:pPr>
        <w:pStyle w:val="ExecSummheading4"/>
      </w:pPr>
      <w:r w:rsidRPr="00D201BA">
        <w:t>Population 4</w:t>
      </w:r>
      <w:r w:rsidR="000F426F">
        <w:t>b</w:t>
      </w:r>
      <w:r w:rsidRPr="00D201BA">
        <w:t xml:space="preserve"> (open)</w:t>
      </w:r>
    </w:p>
    <w:p w14:paraId="761B4C26" w14:textId="11A0AC55" w:rsidR="00066A6C" w:rsidRPr="00D201BA" w:rsidRDefault="00066A6C" w:rsidP="00FC3571">
      <w:pPr>
        <w:pStyle w:val="Execsummnormal"/>
      </w:pPr>
      <w:r w:rsidRPr="00D201BA">
        <w:t>The estimated cost to private health insurance was $</w:t>
      </w:r>
      <w:r w:rsidR="00DF554E">
        <w:rPr>
          <w:b/>
          <w:bCs/>
        </w:rPr>
        <w:t>redacted</w:t>
      </w:r>
      <w:r w:rsidRPr="00D201BA">
        <w:t xml:space="preserve"> in </w:t>
      </w:r>
      <w:r w:rsidR="00FF140A">
        <w:t>Year 1</w:t>
      </w:r>
      <w:r w:rsidR="00FF140A" w:rsidRPr="00D201BA">
        <w:t xml:space="preserve"> </w:t>
      </w:r>
      <w:r w:rsidRPr="00D201BA">
        <w:t xml:space="preserve">and is expected to remain approximately steady </w:t>
      </w:r>
      <w:r w:rsidR="003B7856" w:rsidRPr="00D201BA">
        <w:t xml:space="preserve">until </w:t>
      </w:r>
      <w:r w:rsidR="00FF140A">
        <w:t>Year 5</w:t>
      </w:r>
      <w:r w:rsidRPr="00D201BA">
        <w:t>, with a total cost of $</w:t>
      </w:r>
      <w:r w:rsidR="00DF554E">
        <w:rPr>
          <w:b/>
          <w:bCs/>
        </w:rPr>
        <w:t>redacted</w:t>
      </w:r>
      <w:r w:rsidRPr="00D201BA">
        <w:t xml:space="preserve"> over five years.</w:t>
      </w:r>
    </w:p>
    <w:p w14:paraId="1045508F" w14:textId="33716D7A" w:rsidR="00066A6C" w:rsidRPr="00D201BA" w:rsidRDefault="00066A6C" w:rsidP="00FC3571">
      <w:pPr>
        <w:pStyle w:val="Execsummnormal"/>
      </w:pPr>
      <w:r w:rsidRPr="00D201BA">
        <w:t xml:space="preserve">The financial implication to the MBS was $8,000 in </w:t>
      </w:r>
      <w:r w:rsidR="00FF140A">
        <w:t>Year 1</w:t>
      </w:r>
      <w:r w:rsidRPr="00D201BA">
        <w:t xml:space="preserve">, which remained approximately steady until </w:t>
      </w:r>
      <w:r w:rsidR="00FF140A">
        <w:t>Year 5</w:t>
      </w:r>
      <w:r w:rsidRPr="00D201BA">
        <w:t>. The total financial implication to the MBS was estimated to be $42,000 (</w:t>
      </w:r>
      <w:r w:rsidRPr="00D201BA">
        <w:fldChar w:fldCharType="begin"/>
      </w:r>
      <w:r w:rsidRPr="00D201BA">
        <w:instrText xml:space="preserve"> REF _Ref71701582 \h </w:instrText>
      </w:r>
      <w:r w:rsidR="00D201BA">
        <w:instrText xml:space="preserve"> \* MERGEFORMAT </w:instrText>
      </w:r>
      <w:r w:rsidRPr="00D201BA">
        <w:fldChar w:fldCharType="separate"/>
      </w:r>
      <w:r w:rsidR="000E6255">
        <w:t xml:space="preserve">Table </w:t>
      </w:r>
      <w:r w:rsidR="000E6255">
        <w:rPr>
          <w:noProof/>
        </w:rPr>
        <w:t>18</w:t>
      </w:r>
      <w:r w:rsidRPr="00D201BA">
        <w:fldChar w:fldCharType="end"/>
      </w:r>
      <w:r w:rsidRPr="00D201BA">
        <w:t>).</w:t>
      </w:r>
    </w:p>
    <w:p w14:paraId="4E303013" w14:textId="2181B89D" w:rsidR="00066A6C" w:rsidRDefault="00066A6C" w:rsidP="00A32CC1">
      <w:pPr>
        <w:pStyle w:val="Caption"/>
        <w:keepNext/>
      </w:pPr>
      <w:bookmarkStart w:id="132" w:name="_Ref71701582"/>
      <w:bookmarkStart w:id="133" w:name="_Toc71718465"/>
      <w:bookmarkStart w:id="134" w:name="_Toc112076634"/>
      <w:r>
        <w:lastRenderedPageBreak/>
        <w:t xml:space="preserve">Table </w:t>
      </w:r>
      <w:r w:rsidR="00000000">
        <w:fldChar w:fldCharType="begin"/>
      </w:r>
      <w:r w:rsidR="00000000">
        <w:instrText xml:space="preserve"> SEQ Table \* ARABIC </w:instrText>
      </w:r>
      <w:r w:rsidR="00000000">
        <w:fldChar w:fldCharType="separate"/>
      </w:r>
      <w:r w:rsidR="000E6255">
        <w:rPr>
          <w:noProof/>
        </w:rPr>
        <w:t>18</w:t>
      </w:r>
      <w:r w:rsidR="00000000">
        <w:rPr>
          <w:noProof/>
        </w:rPr>
        <w:fldChar w:fldCharType="end"/>
      </w:r>
      <w:bookmarkEnd w:id="132"/>
      <w:r>
        <w:tab/>
        <w:t>Estimated number of Population 4</w:t>
      </w:r>
      <w:r w:rsidR="000F426F">
        <w:t>b</w:t>
      </w:r>
      <w:r>
        <w:t xml:space="preserve"> (open) that are likely to receive the DAC</w:t>
      </w:r>
      <w:r w:rsidR="000F426F">
        <w:t>+antibitoics</w:t>
      </w:r>
      <w:r>
        <w:t xml:space="preserve"> and the total financial implication to private health insurance, MBS, PBS, and the Government</w:t>
      </w:r>
      <w:bookmarkEnd w:id="133"/>
      <w:bookmarkEnd w:id="134"/>
      <w:r>
        <w:t xml:space="preserve"> </w:t>
      </w:r>
    </w:p>
    <w:tbl>
      <w:tblPr>
        <w:tblStyle w:val="TableGrid"/>
        <w:tblW w:w="0" w:type="auto"/>
        <w:tblLayout w:type="fixed"/>
        <w:tblLook w:val="04A0" w:firstRow="1" w:lastRow="0" w:firstColumn="1" w:lastColumn="0" w:noHBand="0" w:noVBand="1"/>
        <w:tblCaption w:val="Estimated number of Population 4 (open) that are likely to receive the DAC and the total financial implication to private health insurance, MBS, PBS, and the Government"/>
        <w:tblDescription w:val="This table includes the stimated number of Population 4 (open) that are likely to receive the DAC and the total financial implication to the private health insurance, MBS, PBS, and the Government for years 2022-2026. The financial implications were estimated based on the eligible population size, number of patients eligible in private setting, and assumed uptake of DAC. Total cost to Government was estimated by adding costs to MBS and PBS."/>
      </w:tblPr>
      <w:tblGrid>
        <w:gridCol w:w="2405"/>
        <w:gridCol w:w="1145"/>
        <w:gridCol w:w="1028"/>
        <w:gridCol w:w="1134"/>
        <w:gridCol w:w="1159"/>
        <w:gridCol w:w="1043"/>
        <w:gridCol w:w="1079"/>
      </w:tblGrid>
      <w:tr w:rsidR="00DF554E" w14:paraId="40A53D7B" w14:textId="77777777" w:rsidTr="00450F52">
        <w:tc>
          <w:tcPr>
            <w:tcW w:w="2405" w:type="dxa"/>
            <w:tcBorders>
              <w:top w:val="single" w:sz="4" w:space="0" w:color="auto"/>
              <w:left w:val="single" w:sz="4" w:space="0" w:color="auto"/>
              <w:bottom w:val="single" w:sz="4" w:space="0" w:color="auto"/>
              <w:right w:val="single" w:sz="4" w:space="0" w:color="auto"/>
            </w:tcBorders>
            <w:vAlign w:val="center"/>
            <w:hideMark/>
          </w:tcPr>
          <w:p w14:paraId="4FF83ED4" w14:textId="77777777" w:rsidR="00761439" w:rsidRPr="00307E73" w:rsidRDefault="00761439" w:rsidP="00A32CC1">
            <w:pPr>
              <w:keepNext/>
              <w:spacing w:after="0" w:line="240" w:lineRule="auto"/>
              <w:ind w:left="0"/>
              <w:rPr>
                <w:rFonts w:ascii="Arial Narrow" w:hAnsi="Arial Narrow"/>
                <w:b/>
                <w:bCs/>
                <w:sz w:val="20"/>
                <w:szCs w:val="20"/>
              </w:rPr>
            </w:pPr>
            <w:r w:rsidRPr="00307E73">
              <w:rPr>
                <w:rFonts w:ascii="Arial Narrow" w:hAnsi="Arial Narrow"/>
                <w:b/>
                <w:bCs/>
                <w:sz w:val="20"/>
                <w:szCs w:val="20"/>
              </w:rPr>
              <w:t>Description</w:t>
            </w:r>
          </w:p>
        </w:tc>
        <w:tc>
          <w:tcPr>
            <w:tcW w:w="1145" w:type="dxa"/>
            <w:tcBorders>
              <w:top w:val="single" w:sz="4" w:space="0" w:color="auto"/>
              <w:left w:val="single" w:sz="4" w:space="0" w:color="auto"/>
              <w:bottom w:val="single" w:sz="4" w:space="0" w:color="auto"/>
              <w:right w:val="single" w:sz="4" w:space="0" w:color="auto"/>
            </w:tcBorders>
            <w:hideMark/>
          </w:tcPr>
          <w:p w14:paraId="018F32A5"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1</w:t>
            </w:r>
          </w:p>
        </w:tc>
        <w:tc>
          <w:tcPr>
            <w:tcW w:w="1028" w:type="dxa"/>
            <w:tcBorders>
              <w:top w:val="single" w:sz="4" w:space="0" w:color="auto"/>
              <w:left w:val="single" w:sz="4" w:space="0" w:color="auto"/>
              <w:bottom w:val="single" w:sz="4" w:space="0" w:color="auto"/>
              <w:right w:val="single" w:sz="4" w:space="0" w:color="auto"/>
            </w:tcBorders>
            <w:hideMark/>
          </w:tcPr>
          <w:p w14:paraId="6D969F6F"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2</w:t>
            </w:r>
          </w:p>
        </w:tc>
        <w:tc>
          <w:tcPr>
            <w:tcW w:w="1134" w:type="dxa"/>
            <w:tcBorders>
              <w:top w:val="single" w:sz="4" w:space="0" w:color="auto"/>
              <w:left w:val="single" w:sz="4" w:space="0" w:color="auto"/>
              <w:bottom w:val="single" w:sz="4" w:space="0" w:color="auto"/>
              <w:right w:val="single" w:sz="4" w:space="0" w:color="auto"/>
            </w:tcBorders>
            <w:hideMark/>
          </w:tcPr>
          <w:p w14:paraId="466F47B5"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3</w:t>
            </w:r>
          </w:p>
        </w:tc>
        <w:tc>
          <w:tcPr>
            <w:tcW w:w="1159" w:type="dxa"/>
            <w:tcBorders>
              <w:top w:val="single" w:sz="4" w:space="0" w:color="auto"/>
              <w:left w:val="single" w:sz="4" w:space="0" w:color="auto"/>
              <w:bottom w:val="single" w:sz="4" w:space="0" w:color="auto"/>
              <w:right w:val="single" w:sz="4" w:space="0" w:color="auto"/>
            </w:tcBorders>
            <w:hideMark/>
          </w:tcPr>
          <w:p w14:paraId="361EBCCD"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4</w:t>
            </w:r>
          </w:p>
        </w:tc>
        <w:tc>
          <w:tcPr>
            <w:tcW w:w="1043" w:type="dxa"/>
            <w:tcBorders>
              <w:top w:val="single" w:sz="4" w:space="0" w:color="auto"/>
              <w:left w:val="single" w:sz="4" w:space="0" w:color="auto"/>
              <w:bottom w:val="single" w:sz="4" w:space="0" w:color="auto"/>
              <w:right w:val="single" w:sz="4" w:space="0" w:color="auto"/>
            </w:tcBorders>
            <w:hideMark/>
          </w:tcPr>
          <w:p w14:paraId="543DDA57" w14:textId="77777777" w:rsidR="00761439" w:rsidRPr="00307E73" w:rsidRDefault="00761439" w:rsidP="00A32CC1">
            <w:pPr>
              <w:keepNext/>
              <w:spacing w:after="0" w:line="240" w:lineRule="auto"/>
              <w:ind w:left="0"/>
              <w:rPr>
                <w:rFonts w:ascii="Arial Narrow" w:hAnsi="Arial Narrow"/>
                <w:b/>
                <w:bCs/>
                <w:sz w:val="20"/>
                <w:szCs w:val="20"/>
              </w:rPr>
            </w:pPr>
            <w:r>
              <w:rPr>
                <w:rFonts w:ascii="Arial Narrow" w:hAnsi="Arial Narrow"/>
                <w:b/>
                <w:bCs/>
                <w:sz w:val="20"/>
                <w:szCs w:val="20"/>
              </w:rPr>
              <w:t>Year 5</w:t>
            </w:r>
          </w:p>
        </w:tc>
        <w:tc>
          <w:tcPr>
            <w:tcW w:w="1079" w:type="dxa"/>
            <w:tcBorders>
              <w:top w:val="single" w:sz="4" w:space="0" w:color="auto"/>
              <w:left w:val="single" w:sz="4" w:space="0" w:color="auto"/>
              <w:bottom w:val="single" w:sz="4" w:space="0" w:color="auto"/>
              <w:right w:val="single" w:sz="4" w:space="0" w:color="auto"/>
            </w:tcBorders>
            <w:hideMark/>
          </w:tcPr>
          <w:p w14:paraId="63EE1B96" w14:textId="77777777" w:rsidR="00761439" w:rsidRPr="00307E73" w:rsidRDefault="00761439" w:rsidP="00A32CC1">
            <w:pPr>
              <w:keepNext/>
              <w:spacing w:after="0" w:line="240" w:lineRule="auto"/>
              <w:ind w:left="0"/>
              <w:rPr>
                <w:rFonts w:ascii="Arial Narrow" w:hAnsi="Arial Narrow"/>
                <w:b/>
                <w:bCs/>
                <w:sz w:val="20"/>
                <w:szCs w:val="20"/>
              </w:rPr>
            </w:pPr>
            <w:r w:rsidRPr="00307E73">
              <w:rPr>
                <w:rFonts w:ascii="Arial Narrow" w:hAnsi="Arial Narrow"/>
                <w:b/>
                <w:bCs/>
                <w:sz w:val="20"/>
                <w:szCs w:val="20"/>
              </w:rPr>
              <w:t>Total</w:t>
            </w:r>
          </w:p>
        </w:tc>
      </w:tr>
      <w:tr w:rsidR="00DF554E" w14:paraId="242E6637" w14:textId="77777777" w:rsidTr="00450F52">
        <w:tc>
          <w:tcPr>
            <w:tcW w:w="2405" w:type="dxa"/>
            <w:tcBorders>
              <w:top w:val="single" w:sz="4" w:space="0" w:color="auto"/>
              <w:left w:val="single" w:sz="4" w:space="0" w:color="auto"/>
              <w:bottom w:val="single" w:sz="4" w:space="0" w:color="auto"/>
              <w:right w:val="single" w:sz="4" w:space="0" w:color="auto"/>
            </w:tcBorders>
            <w:vAlign w:val="center"/>
            <w:hideMark/>
          </w:tcPr>
          <w:p w14:paraId="1E34786B" w14:textId="77777777" w:rsidR="00761439" w:rsidRDefault="00761439" w:rsidP="00A32CC1">
            <w:pPr>
              <w:pStyle w:val="Tabletext1"/>
              <w:keepNext/>
              <w:spacing w:before="0" w:after="0"/>
              <w:ind w:left="34"/>
            </w:pPr>
            <w:r>
              <w:t>Eligible population size</w:t>
            </w:r>
          </w:p>
        </w:tc>
        <w:tc>
          <w:tcPr>
            <w:tcW w:w="1145" w:type="dxa"/>
            <w:tcBorders>
              <w:top w:val="single" w:sz="4" w:space="0" w:color="auto"/>
              <w:left w:val="single" w:sz="4" w:space="0" w:color="auto"/>
              <w:bottom w:val="single" w:sz="4" w:space="0" w:color="auto"/>
              <w:right w:val="single" w:sz="4" w:space="0" w:color="auto"/>
            </w:tcBorders>
            <w:hideMark/>
          </w:tcPr>
          <w:p w14:paraId="5DFC6774" w14:textId="64932C66" w:rsidR="00761439" w:rsidRDefault="00DF554E" w:rsidP="00A32CC1">
            <w:pPr>
              <w:pStyle w:val="Tabletext1"/>
              <w:keepNext/>
              <w:spacing w:before="0" w:after="0"/>
              <w:ind w:left="34"/>
            </w:pPr>
            <w:r>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3719AB07" w14:textId="7D1B2569" w:rsidR="00761439" w:rsidRDefault="00DF554E" w:rsidP="00A32CC1">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6EC2F5DF" w14:textId="15771D9D" w:rsidR="00761439" w:rsidRDefault="00DF554E" w:rsidP="00A32CC1">
            <w:pPr>
              <w:pStyle w:val="Tabletext1"/>
              <w:keepNext/>
              <w:spacing w:before="0" w:after="0"/>
              <w:ind w:left="34"/>
            </w:pPr>
            <w:r>
              <w:rPr>
                <w:b/>
                <w:bCs/>
              </w:rPr>
              <w:t>redacted</w:t>
            </w:r>
          </w:p>
        </w:tc>
        <w:tc>
          <w:tcPr>
            <w:tcW w:w="1159" w:type="dxa"/>
            <w:tcBorders>
              <w:top w:val="single" w:sz="4" w:space="0" w:color="auto"/>
              <w:left w:val="single" w:sz="4" w:space="0" w:color="auto"/>
              <w:bottom w:val="single" w:sz="4" w:space="0" w:color="auto"/>
              <w:right w:val="single" w:sz="4" w:space="0" w:color="auto"/>
            </w:tcBorders>
            <w:hideMark/>
          </w:tcPr>
          <w:p w14:paraId="485F4D0B" w14:textId="15B7DC3D" w:rsidR="00761439" w:rsidRDefault="00DF554E" w:rsidP="00A32CC1">
            <w:pPr>
              <w:pStyle w:val="Tabletext1"/>
              <w:keepNext/>
              <w:spacing w:before="0" w:after="0"/>
              <w:ind w:left="34"/>
            </w:pPr>
            <w:r>
              <w:rPr>
                <w:b/>
                <w:bCs/>
              </w:rPr>
              <w:t>redacted</w:t>
            </w:r>
          </w:p>
        </w:tc>
        <w:tc>
          <w:tcPr>
            <w:tcW w:w="1043" w:type="dxa"/>
            <w:tcBorders>
              <w:top w:val="single" w:sz="4" w:space="0" w:color="auto"/>
              <w:left w:val="single" w:sz="4" w:space="0" w:color="auto"/>
              <w:bottom w:val="single" w:sz="4" w:space="0" w:color="auto"/>
              <w:right w:val="single" w:sz="4" w:space="0" w:color="auto"/>
            </w:tcBorders>
            <w:hideMark/>
          </w:tcPr>
          <w:p w14:paraId="0B1B8188" w14:textId="4988DF95" w:rsidR="00761439" w:rsidRDefault="00DF554E" w:rsidP="00A32CC1">
            <w:pPr>
              <w:pStyle w:val="Tabletext1"/>
              <w:keepNext/>
              <w:spacing w:before="0" w:after="0"/>
              <w:ind w:left="34"/>
            </w:pPr>
            <w:r>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3944EC6A" w14:textId="22F645A6" w:rsidR="00761439" w:rsidRDefault="00DF554E" w:rsidP="00A32CC1">
            <w:pPr>
              <w:pStyle w:val="Tabletext1"/>
              <w:keepNext/>
              <w:spacing w:before="0" w:after="0"/>
              <w:ind w:left="34"/>
            </w:pPr>
            <w:r>
              <w:rPr>
                <w:b/>
                <w:bCs/>
              </w:rPr>
              <w:t>redacted</w:t>
            </w:r>
          </w:p>
        </w:tc>
      </w:tr>
      <w:tr w:rsidR="00DF554E" w14:paraId="7AF23131" w14:textId="77777777" w:rsidTr="00450F52">
        <w:tc>
          <w:tcPr>
            <w:tcW w:w="2405" w:type="dxa"/>
            <w:tcBorders>
              <w:top w:val="single" w:sz="4" w:space="0" w:color="auto"/>
              <w:left w:val="single" w:sz="4" w:space="0" w:color="auto"/>
              <w:bottom w:val="single" w:sz="4" w:space="0" w:color="auto"/>
              <w:right w:val="single" w:sz="4" w:space="0" w:color="auto"/>
            </w:tcBorders>
            <w:hideMark/>
          </w:tcPr>
          <w:p w14:paraId="23141F4E" w14:textId="77777777" w:rsidR="00761439" w:rsidRDefault="00761439" w:rsidP="00A32CC1">
            <w:pPr>
              <w:pStyle w:val="Tabletext1"/>
              <w:keepNext/>
              <w:spacing w:before="0" w:after="0"/>
              <w:ind w:left="34"/>
            </w:pPr>
            <w:r>
              <w:t>Number of patients eligible in private setting (66.80%)</w:t>
            </w:r>
            <w:r>
              <w:rPr>
                <w:vertAlign w:val="superscript"/>
              </w:rPr>
              <w:t>a</w:t>
            </w:r>
          </w:p>
        </w:tc>
        <w:tc>
          <w:tcPr>
            <w:tcW w:w="1145" w:type="dxa"/>
            <w:tcBorders>
              <w:top w:val="single" w:sz="4" w:space="0" w:color="auto"/>
              <w:left w:val="single" w:sz="4" w:space="0" w:color="auto"/>
              <w:bottom w:val="single" w:sz="4" w:space="0" w:color="auto"/>
              <w:right w:val="single" w:sz="4" w:space="0" w:color="auto"/>
            </w:tcBorders>
            <w:hideMark/>
          </w:tcPr>
          <w:p w14:paraId="5601A636" w14:textId="2A3B7F0C" w:rsidR="00761439" w:rsidRDefault="00DF554E" w:rsidP="00A32CC1">
            <w:pPr>
              <w:pStyle w:val="Tabletext1"/>
              <w:keepNext/>
              <w:spacing w:before="0" w:after="0"/>
              <w:ind w:left="34"/>
            </w:pPr>
            <w:r>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18524C46" w14:textId="4785C59A" w:rsidR="00761439" w:rsidRDefault="00DF554E" w:rsidP="00A32CC1">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2844C710" w14:textId="71FA8167" w:rsidR="00761439" w:rsidRDefault="00DF554E" w:rsidP="00A32CC1">
            <w:pPr>
              <w:pStyle w:val="Tabletext1"/>
              <w:keepNext/>
              <w:spacing w:before="0" w:after="0"/>
              <w:ind w:left="34"/>
            </w:pPr>
            <w:r>
              <w:rPr>
                <w:b/>
                <w:bCs/>
              </w:rPr>
              <w:t>redacted</w:t>
            </w:r>
          </w:p>
        </w:tc>
        <w:tc>
          <w:tcPr>
            <w:tcW w:w="1159" w:type="dxa"/>
            <w:tcBorders>
              <w:top w:val="single" w:sz="4" w:space="0" w:color="auto"/>
              <w:left w:val="single" w:sz="4" w:space="0" w:color="auto"/>
              <w:bottom w:val="single" w:sz="4" w:space="0" w:color="auto"/>
              <w:right w:val="single" w:sz="4" w:space="0" w:color="auto"/>
            </w:tcBorders>
            <w:hideMark/>
          </w:tcPr>
          <w:p w14:paraId="71957C0A" w14:textId="3243522B" w:rsidR="00761439" w:rsidRDefault="00DF554E" w:rsidP="00A32CC1">
            <w:pPr>
              <w:pStyle w:val="Tabletext1"/>
              <w:keepNext/>
              <w:spacing w:before="0" w:after="0"/>
              <w:ind w:left="34"/>
            </w:pPr>
            <w:r>
              <w:rPr>
                <w:b/>
                <w:bCs/>
              </w:rPr>
              <w:t>redacted</w:t>
            </w:r>
          </w:p>
        </w:tc>
        <w:tc>
          <w:tcPr>
            <w:tcW w:w="1043" w:type="dxa"/>
            <w:tcBorders>
              <w:top w:val="single" w:sz="4" w:space="0" w:color="auto"/>
              <w:left w:val="single" w:sz="4" w:space="0" w:color="auto"/>
              <w:bottom w:val="single" w:sz="4" w:space="0" w:color="auto"/>
              <w:right w:val="single" w:sz="4" w:space="0" w:color="auto"/>
            </w:tcBorders>
            <w:hideMark/>
          </w:tcPr>
          <w:p w14:paraId="0EC47390" w14:textId="5BB3F7F0" w:rsidR="00761439" w:rsidRDefault="00DF554E" w:rsidP="00A32CC1">
            <w:pPr>
              <w:pStyle w:val="Tabletext1"/>
              <w:keepNext/>
              <w:spacing w:before="0" w:after="0"/>
              <w:ind w:left="34"/>
            </w:pPr>
            <w:r>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21920C65" w14:textId="223B947F" w:rsidR="00761439" w:rsidRDefault="00DF554E" w:rsidP="00A32CC1">
            <w:pPr>
              <w:pStyle w:val="Tabletext1"/>
              <w:keepNext/>
              <w:spacing w:before="0" w:after="0"/>
              <w:ind w:left="34"/>
            </w:pPr>
            <w:r>
              <w:rPr>
                <w:b/>
                <w:bCs/>
              </w:rPr>
              <w:t>redacted</w:t>
            </w:r>
          </w:p>
        </w:tc>
      </w:tr>
      <w:tr w:rsidR="00DF554E" w14:paraId="5B8D8208" w14:textId="77777777" w:rsidTr="00450F52">
        <w:tc>
          <w:tcPr>
            <w:tcW w:w="2405" w:type="dxa"/>
            <w:tcBorders>
              <w:top w:val="single" w:sz="4" w:space="0" w:color="auto"/>
              <w:left w:val="single" w:sz="4" w:space="0" w:color="auto"/>
              <w:bottom w:val="single" w:sz="4" w:space="0" w:color="auto"/>
              <w:right w:val="single" w:sz="4" w:space="0" w:color="auto"/>
            </w:tcBorders>
            <w:hideMark/>
          </w:tcPr>
          <w:p w14:paraId="38560EFA" w14:textId="77777777" w:rsidR="00761439" w:rsidRDefault="00761439" w:rsidP="00A32CC1">
            <w:pPr>
              <w:pStyle w:val="Tabletext1"/>
              <w:keepNext/>
              <w:spacing w:before="0" w:after="0"/>
              <w:ind w:left="34"/>
            </w:pPr>
            <w:r>
              <w:t>Assumed uptake of DAC+abs (assumed 50% at base case)</w:t>
            </w:r>
          </w:p>
        </w:tc>
        <w:tc>
          <w:tcPr>
            <w:tcW w:w="1145" w:type="dxa"/>
            <w:tcBorders>
              <w:top w:val="single" w:sz="4" w:space="0" w:color="auto"/>
              <w:left w:val="single" w:sz="4" w:space="0" w:color="auto"/>
              <w:bottom w:val="single" w:sz="4" w:space="0" w:color="auto"/>
              <w:right w:val="single" w:sz="4" w:space="0" w:color="auto"/>
            </w:tcBorders>
            <w:hideMark/>
          </w:tcPr>
          <w:p w14:paraId="58894F21" w14:textId="72B751A2" w:rsidR="00761439" w:rsidRDefault="00DF554E" w:rsidP="00A32CC1">
            <w:pPr>
              <w:pStyle w:val="Tabletext1"/>
              <w:keepNext/>
              <w:spacing w:before="0" w:after="0"/>
              <w:ind w:left="34"/>
            </w:pPr>
            <w:r>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26AD9BAD" w14:textId="7DC3A477" w:rsidR="00761439" w:rsidRDefault="00DF554E" w:rsidP="00A32CC1">
            <w:pPr>
              <w:pStyle w:val="Tabletext1"/>
              <w:keepNext/>
              <w:spacing w:before="0" w:after="0"/>
              <w:ind w:left="34"/>
            </w:pPr>
            <w:r>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6D3A0AE5" w14:textId="558969BB" w:rsidR="00761439" w:rsidRDefault="00DF554E" w:rsidP="00A32CC1">
            <w:pPr>
              <w:pStyle w:val="Tabletext1"/>
              <w:keepNext/>
              <w:spacing w:before="0" w:after="0"/>
              <w:ind w:left="34"/>
            </w:pPr>
            <w:r>
              <w:rPr>
                <w:b/>
                <w:bCs/>
              </w:rPr>
              <w:t>redacted</w:t>
            </w:r>
          </w:p>
        </w:tc>
        <w:tc>
          <w:tcPr>
            <w:tcW w:w="1159" w:type="dxa"/>
            <w:tcBorders>
              <w:top w:val="single" w:sz="4" w:space="0" w:color="auto"/>
              <w:left w:val="single" w:sz="4" w:space="0" w:color="auto"/>
              <w:bottom w:val="single" w:sz="4" w:space="0" w:color="auto"/>
              <w:right w:val="single" w:sz="4" w:space="0" w:color="auto"/>
            </w:tcBorders>
            <w:hideMark/>
          </w:tcPr>
          <w:p w14:paraId="66C0E53B" w14:textId="13AA188F" w:rsidR="00761439" w:rsidRDefault="00DF554E" w:rsidP="00A32CC1">
            <w:pPr>
              <w:pStyle w:val="Tabletext1"/>
              <w:keepNext/>
              <w:spacing w:before="0" w:after="0"/>
              <w:ind w:left="34"/>
            </w:pPr>
            <w:r>
              <w:rPr>
                <w:b/>
                <w:bCs/>
              </w:rPr>
              <w:t>redacted</w:t>
            </w:r>
          </w:p>
        </w:tc>
        <w:tc>
          <w:tcPr>
            <w:tcW w:w="1043" w:type="dxa"/>
            <w:tcBorders>
              <w:top w:val="single" w:sz="4" w:space="0" w:color="auto"/>
              <w:left w:val="single" w:sz="4" w:space="0" w:color="auto"/>
              <w:bottom w:val="single" w:sz="4" w:space="0" w:color="auto"/>
              <w:right w:val="single" w:sz="4" w:space="0" w:color="auto"/>
            </w:tcBorders>
            <w:hideMark/>
          </w:tcPr>
          <w:p w14:paraId="1126F3F5" w14:textId="7F7CCF75" w:rsidR="00761439" w:rsidRDefault="00DF554E" w:rsidP="00A32CC1">
            <w:pPr>
              <w:pStyle w:val="Tabletext1"/>
              <w:keepNext/>
              <w:spacing w:before="0" w:after="0"/>
              <w:ind w:left="34"/>
            </w:pPr>
            <w:r>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1E69CA95" w14:textId="722FAD78" w:rsidR="00761439" w:rsidRDefault="00DF554E" w:rsidP="00A32CC1">
            <w:pPr>
              <w:pStyle w:val="Tabletext1"/>
              <w:keepNext/>
              <w:spacing w:before="0" w:after="0"/>
              <w:ind w:left="34"/>
            </w:pPr>
            <w:r>
              <w:rPr>
                <w:b/>
                <w:bCs/>
              </w:rPr>
              <w:t>redacted</w:t>
            </w:r>
          </w:p>
        </w:tc>
      </w:tr>
      <w:tr w:rsidR="00DF554E" w14:paraId="554498FF" w14:textId="77777777" w:rsidTr="00450F52">
        <w:tc>
          <w:tcPr>
            <w:tcW w:w="2405" w:type="dxa"/>
            <w:tcBorders>
              <w:top w:val="single" w:sz="4" w:space="0" w:color="auto"/>
              <w:left w:val="single" w:sz="4" w:space="0" w:color="auto"/>
              <w:bottom w:val="single" w:sz="4" w:space="0" w:color="auto"/>
              <w:right w:val="single" w:sz="4" w:space="0" w:color="auto"/>
            </w:tcBorders>
            <w:hideMark/>
          </w:tcPr>
          <w:p w14:paraId="5EC246D2" w14:textId="77777777" w:rsidR="00761439" w:rsidRDefault="00761439" w:rsidP="00A32CC1">
            <w:pPr>
              <w:pStyle w:val="Tabletext1"/>
              <w:keepNext/>
              <w:spacing w:before="0" w:after="0"/>
              <w:ind w:left="34"/>
            </w:pPr>
            <w:r>
              <w:t>Cost to private health insurance</w:t>
            </w:r>
            <w:r w:rsidRPr="006107B8">
              <w:rPr>
                <w:vertAlign w:val="superscript"/>
              </w:rPr>
              <w:t>b</w:t>
            </w:r>
          </w:p>
        </w:tc>
        <w:tc>
          <w:tcPr>
            <w:tcW w:w="1145" w:type="dxa"/>
            <w:tcBorders>
              <w:top w:val="single" w:sz="4" w:space="0" w:color="auto"/>
              <w:left w:val="single" w:sz="4" w:space="0" w:color="auto"/>
              <w:bottom w:val="single" w:sz="4" w:space="0" w:color="auto"/>
              <w:right w:val="single" w:sz="4" w:space="0" w:color="auto"/>
            </w:tcBorders>
            <w:hideMark/>
          </w:tcPr>
          <w:p w14:paraId="5E23BEED" w14:textId="7C005AAE" w:rsidR="00761439" w:rsidRDefault="00761439" w:rsidP="00A32CC1">
            <w:pPr>
              <w:pStyle w:val="Tabletext1"/>
              <w:keepNext/>
              <w:spacing w:before="0" w:after="0"/>
              <w:ind w:left="34"/>
            </w:pPr>
            <w:r>
              <w:t>$</w:t>
            </w:r>
            <w:r w:rsidR="00DF554E">
              <w:rPr>
                <w:b/>
                <w:bCs/>
              </w:rPr>
              <w:t>redacted</w:t>
            </w:r>
          </w:p>
        </w:tc>
        <w:tc>
          <w:tcPr>
            <w:tcW w:w="1028" w:type="dxa"/>
            <w:tcBorders>
              <w:top w:val="single" w:sz="4" w:space="0" w:color="auto"/>
              <w:left w:val="single" w:sz="4" w:space="0" w:color="auto"/>
              <w:bottom w:val="single" w:sz="4" w:space="0" w:color="auto"/>
              <w:right w:val="single" w:sz="4" w:space="0" w:color="auto"/>
            </w:tcBorders>
            <w:hideMark/>
          </w:tcPr>
          <w:p w14:paraId="1C6085BB" w14:textId="34A3D227" w:rsidR="00761439" w:rsidRDefault="00761439" w:rsidP="00A32CC1">
            <w:pPr>
              <w:pStyle w:val="Tabletext1"/>
              <w:keepNext/>
              <w:spacing w:before="0" w:after="0"/>
              <w:ind w:left="34"/>
            </w:pPr>
            <w:r>
              <w:t>$</w:t>
            </w:r>
            <w:r w:rsidR="00DF554E">
              <w:rPr>
                <w:b/>
                <w:bCs/>
              </w:rPr>
              <w:t>redacted</w:t>
            </w:r>
          </w:p>
        </w:tc>
        <w:tc>
          <w:tcPr>
            <w:tcW w:w="1134" w:type="dxa"/>
            <w:tcBorders>
              <w:top w:val="single" w:sz="4" w:space="0" w:color="auto"/>
              <w:left w:val="single" w:sz="4" w:space="0" w:color="auto"/>
              <w:bottom w:val="single" w:sz="4" w:space="0" w:color="auto"/>
              <w:right w:val="single" w:sz="4" w:space="0" w:color="auto"/>
            </w:tcBorders>
            <w:hideMark/>
          </w:tcPr>
          <w:p w14:paraId="3DF72589" w14:textId="0BC1EF46" w:rsidR="00761439" w:rsidRDefault="00761439" w:rsidP="00A32CC1">
            <w:pPr>
              <w:pStyle w:val="Tabletext1"/>
              <w:keepNext/>
              <w:spacing w:before="0" w:after="0"/>
              <w:ind w:left="34"/>
            </w:pPr>
            <w:r>
              <w:t>$</w:t>
            </w:r>
            <w:r w:rsidR="00DF554E">
              <w:rPr>
                <w:b/>
                <w:bCs/>
              </w:rPr>
              <w:t>redacted</w:t>
            </w:r>
          </w:p>
        </w:tc>
        <w:tc>
          <w:tcPr>
            <w:tcW w:w="1159" w:type="dxa"/>
            <w:tcBorders>
              <w:top w:val="single" w:sz="4" w:space="0" w:color="auto"/>
              <w:left w:val="single" w:sz="4" w:space="0" w:color="auto"/>
              <w:bottom w:val="single" w:sz="4" w:space="0" w:color="auto"/>
              <w:right w:val="single" w:sz="4" w:space="0" w:color="auto"/>
            </w:tcBorders>
            <w:hideMark/>
          </w:tcPr>
          <w:p w14:paraId="4D67C100" w14:textId="2A050063" w:rsidR="00761439" w:rsidRDefault="00761439" w:rsidP="00A32CC1">
            <w:pPr>
              <w:pStyle w:val="Tabletext1"/>
              <w:keepNext/>
              <w:spacing w:before="0" w:after="0"/>
              <w:ind w:left="34"/>
            </w:pPr>
            <w:r>
              <w:t>$</w:t>
            </w:r>
            <w:r w:rsidR="00DF554E">
              <w:rPr>
                <w:b/>
                <w:bCs/>
              </w:rPr>
              <w:t>redacted</w:t>
            </w:r>
          </w:p>
        </w:tc>
        <w:tc>
          <w:tcPr>
            <w:tcW w:w="1043" w:type="dxa"/>
            <w:tcBorders>
              <w:top w:val="single" w:sz="4" w:space="0" w:color="auto"/>
              <w:left w:val="single" w:sz="4" w:space="0" w:color="auto"/>
              <w:bottom w:val="single" w:sz="4" w:space="0" w:color="auto"/>
              <w:right w:val="single" w:sz="4" w:space="0" w:color="auto"/>
            </w:tcBorders>
            <w:hideMark/>
          </w:tcPr>
          <w:p w14:paraId="2063FABD" w14:textId="1CEC9309" w:rsidR="00761439" w:rsidRDefault="00761439" w:rsidP="00A32CC1">
            <w:pPr>
              <w:pStyle w:val="Tabletext1"/>
              <w:keepNext/>
              <w:spacing w:before="0" w:after="0"/>
              <w:ind w:left="34"/>
            </w:pPr>
            <w:r>
              <w:t>$</w:t>
            </w:r>
            <w:r w:rsidR="00DF554E">
              <w:rPr>
                <w:b/>
                <w:bCs/>
              </w:rPr>
              <w:t>redacted</w:t>
            </w:r>
          </w:p>
        </w:tc>
        <w:tc>
          <w:tcPr>
            <w:tcW w:w="1079" w:type="dxa"/>
            <w:tcBorders>
              <w:top w:val="single" w:sz="4" w:space="0" w:color="auto"/>
              <w:left w:val="single" w:sz="4" w:space="0" w:color="auto"/>
              <w:bottom w:val="single" w:sz="4" w:space="0" w:color="auto"/>
              <w:right w:val="single" w:sz="4" w:space="0" w:color="auto"/>
            </w:tcBorders>
            <w:hideMark/>
          </w:tcPr>
          <w:p w14:paraId="3696E10E" w14:textId="3AD1752B" w:rsidR="00761439" w:rsidRDefault="00761439" w:rsidP="00A32CC1">
            <w:pPr>
              <w:pStyle w:val="Tabletext1"/>
              <w:keepNext/>
              <w:spacing w:before="0" w:after="0"/>
              <w:ind w:left="34"/>
            </w:pPr>
            <w:r>
              <w:t>$</w:t>
            </w:r>
            <w:r w:rsidR="00DF554E">
              <w:rPr>
                <w:b/>
                <w:bCs/>
              </w:rPr>
              <w:t>redacted</w:t>
            </w:r>
            <w:r w:rsidR="00DF554E" w:rsidDel="00DF554E">
              <w:t xml:space="preserve"> </w:t>
            </w:r>
          </w:p>
        </w:tc>
      </w:tr>
      <w:tr w:rsidR="00DF554E" w14:paraId="400A9249" w14:textId="77777777" w:rsidTr="00450F52">
        <w:tc>
          <w:tcPr>
            <w:tcW w:w="2405" w:type="dxa"/>
            <w:tcBorders>
              <w:top w:val="single" w:sz="4" w:space="0" w:color="auto"/>
              <w:left w:val="single" w:sz="4" w:space="0" w:color="auto"/>
              <w:bottom w:val="single" w:sz="4" w:space="0" w:color="auto"/>
              <w:right w:val="single" w:sz="4" w:space="0" w:color="auto"/>
            </w:tcBorders>
            <w:hideMark/>
          </w:tcPr>
          <w:p w14:paraId="43AE5058" w14:textId="77777777" w:rsidR="00761439" w:rsidRDefault="00761439" w:rsidP="00A32CC1">
            <w:pPr>
              <w:pStyle w:val="Tabletext1"/>
              <w:keepNext/>
              <w:spacing w:before="0" w:after="0"/>
              <w:ind w:left="34"/>
            </w:pPr>
            <w:r>
              <w:t>Total financial implication to the MBS</w:t>
            </w:r>
            <w:r>
              <w:rPr>
                <w:vertAlign w:val="superscript"/>
              </w:rPr>
              <w:t>c</w:t>
            </w:r>
          </w:p>
        </w:tc>
        <w:tc>
          <w:tcPr>
            <w:tcW w:w="1145" w:type="dxa"/>
            <w:tcBorders>
              <w:top w:val="single" w:sz="4" w:space="0" w:color="auto"/>
              <w:left w:val="single" w:sz="4" w:space="0" w:color="auto"/>
              <w:bottom w:val="single" w:sz="4" w:space="0" w:color="auto"/>
              <w:right w:val="single" w:sz="4" w:space="0" w:color="auto"/>
            </w:tcBorders>
            <w:hideMark/>
          </w:tcPr>
          <w:p w14:paraId="114D146B" w14:textId="77777777" w:rsidR="00761439" w:rsidRDefault="00761439" w:rsidP="00A32CC1">
            <w:pPr>
              <w:pStyle w:val="Tabletext1"/>
              <w:keepNext/>
              <w:spacing w:before="0" w:after="0"/>
              <w:ind w:left="34"/>
            </w:pPr>
            <w:r>
              <w:t>$8,186</w:t>
            </w:r>
          </w:p>
        </w:tc>
        <w:tc>
          <w:tcPr>
            <w:tcW w:w="1028" w:type="dxa"/>
            <w:tcBorders>
              <w:top w:val="single" w:sz="4" w:space="0" w:color="auto"/>
              <w:left w:val="single" w:sz="4" w:space="0" w:color="auto"/>
              <w:bottom w:val="single" w:sz="4" w:space="0" w:color="auto"/>
              <w:right w:val="single" w:sz="4" w:space="0" w:color="auto"/>
            </w:tcBorders>
            <w:hideMark/>
          </w:tcPr>
          <w:p w14:paraId="5514F52E" w14:textId="77777777" w:rsidR="00761439" w:rsidRDefault="00761439" w:rsidP="00A32CC1">
            <w:pPr>
              <w:pStyle w:val="Tabletext1"/>
              <w:keepNext/>
              <w:spacing w:before="0" w:after="0"/>
              <w:ind w:left="34"/>
            </w:pPr>
            <w:r>
              <w:t>$8,329</w:t>
            </w:r>
          </w:p>
        </w:tc>
        <w:tc>
          <w:tcPr>
            <w:tcW w:w="1134" w:type="dxa"/>
            <w:tcBorders>
              <w:top w:val="single" w:sz="4" w:space="0" w:color="auto"/>
              <w:left w:val="single" w:sz="4" w:space="0" w:color="auto"/>
              <w:bottom w:val="single" w:sz="4" w:space="0" w:color="auto"/>
              <w:right w:val="single" w:sz="4" w:space="0" w:color="auto"/>
            </w:tcBorders>
            <w:hideMark/>
          </w:tcPr>
          <w:p w14:paraId="200EDB47" w14:textId="77777777" w:rsidR="00761439" w:rsidRDefault="00761439" w:rsidP="00A32CC1">
            <w:pPr>
              <w:pStyle w:val="Tabletext1"/>
              <w:keepNext/>
              <w:spacing w:before="0" w:after="0"/>
              <w:ind w:left="34"/>
            </w:pPr>
            <w:r>
              <w:t>$8,475</w:t>
            </w:r>
          </w:p>
        </w:tc>
        <w:tc>
          <w:tcPr>
            <w:tcW w:w="1159" w:type="dxa"/>
            <w:tcBorders>
              <w:top w:val="single" w:sz="4" w:space="0" w:color="auto"/>
              <w:left w:val="single" w:sz="4" w:space="0" w:color="auto"/>
              <w:bottom w:val="single" w:sz="4" w:space="0" w:color="auto"/>
              <w:right w:val="single" w:sz="4" w:space="0" w:color="auto"/>
            </w:tcBorders>
            <w:hideMark/>
          </w:tcPr>
          <w:p w14:paraId="74FEE60B" w14:textId="77777777" w:rsidR="00761439" w:rsidRDefault="00761439" w:rsidP="00A32CC1">
            <w:pPr>
              <w:pStyle w:val="Tabletext1"/>
              <w:keepNext/>
              <w:spacing w:before="0" w:after="0"/>
              <w:ind w:left="34"/>
            </w:pPr>
            <w:r>
              <w:t>$8,623</w:t>
            </w:r>
          </w:p>
        </w:tc>
        <w:tc>
          <w:tcPr>
            <w:tcW w:w="1043" w:type="dxa"/>
            <w:tcBorders>
              <w:top w:val="single" w:sz="4" w:space="0" w:color="auto"/>
              <w:left w:val="single" w:sz="4" w:space="0" w:color="auto"/>
              <w:bottom w:val="single" w:sz="4" w:space="0" w:color="auto"/>
              <w:right w:val="single" w:sz="4" w:space="0" w:color="auto"/>
            </w:tcBorders>
            <w:hideMark/>
          </w:tcPr>
          <w:p w14:paraId="71CC1720" w14:textId="77777777" w:rsidR="00761439" w:rsidRDefault="00761439" w:rsidP="00A32CC1">
            <w:pPr>
              <w:pStyle w:val="Tabletext1"/>
              <w:keepNext/>
              <w:spacing w:before="0" w:after="0"/>
              <w:ind w:left="34"/>
            </w:pPr>
            <w:r>
              <w:t>$8,774</w:t>
            </w:r>
          </w:p>
        </w:tc>
        <w:tc>
          <w:tcPr>
            <w:tcW w:w="1079" w:type="dxa"/>
            <w:tcBorders>
              <w:top w:val="single" w:sz="4" w:space="0" w:color="auto"/>
              <w:left w:val="single" w:sz="4" w:space="0" w:color="auto"/>
              <w:bottom w:val="single" w:sz="4" w:space="0" w:color="auto"/>
              <w:right w:val="single" w:sz="4" w:space="0" w:color="auto"/>
            </w:tcBorders>
            <w:hideMark/>
          </w:tcPr>
          <w:p w14:paraId="3DA00C74" w14:textId="77777777" w:rsidR="00761439" w:rsidRDefault="00761439" w:rsidP="00A32CC1">
            <w:pPr>
              <w:pStyle w:val="Tabletext1"/>
              <w:keepNext/>
              <w:spacing w:before="0" w:after="0"/>
              <w:ind w:left="34"/>
            </w:pPr>
            <w:r>
              <w:t>$42,388</w:t>
            </w:r>
          </w:p>
        </w:tc>
      </w:tr>
      <w:tr w:rsidR="00DF554E" w14:paraId="73A602EB" w14:textId="77777777" w:rsidTr="00450F52">
        <w:tc>
          <w:tcPr>
            <w:tcW w:w="2405" w:type="dxa"/>
            <w:tcBorders>
              <w:top w:val="single" w:sz="4" w:space="0" w:color="auto"/>
              <w:left w:val="single" w:sz="4" w:space="0" w:color="auto"/>
              <w:bottom w:val="single" w:sz="4" w:space="0" w:color="auto"/>
              <w:right w:val="single" w:sz="4" w:space="0" w:color="auto"/>
            </w:tcBorders>
            <w:hideMark/>
          </w:tcPr>
          <w:p w14:paraId="709AD3AE" w14:textId="77777777" w:rsidR="00761439" w:rsidRDefault="00761439" w:rsidP="00A32CC1">
            <w:pPr>
              <w:pStyle w:val="Tabletext1"/>
              <w:keepNext/>
              <w:spacing w:before="0" w:after="0"/>
              <w:ind w:left="34"/>
            </w:pPr>
            <w:r>
              <w:t>Total financial implication to the PBS</w:t>
            </w:r>
            <w:r>
              <w:rPr>
                <w:vertAlign w:val="superscript"/>
              </w:rPr>
              <w:t>d</w:t>
            </w:r>
          </w:p>
        </w:tc>
        <w:tc>
          <w:tcPr>
            <w:tcW w:w="1145" w:type="dxa"/>
            <w:tcBorders>
              <w:top w:val="single" w:sz="4" w:space="0" w:color="auto"/>
              <w:left w:val="single" w:sz="4" w:space="0" w:color="auto"/>
              <w:bottom w:val="single" w:sz="4" w:space="0" w:color="auto"/>
              <w:right w:val="single" w:sz="4" w:space="0" w:color="auto"/>
            </w:tcBorders>
            <w:hideMark/>
          </w:tcPr>
          <w:p w14:paraId="7EB7C041" w14:textId="77777777" w:rsidR="00761439" w:rsidRDefault="00761439" w:rsidP="00A32CC1">
            <w:pPr>
              <w:pStyle w:val="Tabletext1"/>
              <w:keepNext/>
              <w:spacing w:before="0" w:after="0"/>
              <w:ind w:left="34"/>
            </w:pPr>
            <w:r>
              <w:t>$3,778</w:t>
            </w:r>
          </w:p>
        </w:tc>
        <w:tc>
          <w:tcPr>
            <w:tcW w:w="1028" w:type="dxa"/>
            <w:tcBorders>
              <w:top w:val="single" w:sz="4" w:space="0" w:color="auto"/>
              <w:left w:val="single" w:sz="4" w:space="0" w:color="auto"/>
              <w:bottom w:val="single" w:sz="4" w:space="0" w:color="auto"/>
              <w:right w:val="single" w:sz="4" w:space="0" w:color="auto"/>
            </w:tcBorders>
            <w:hideMark/>
          </w:tcPr>
          <w:p w14:paraId="6A577C2A" w14:textId="77777777" w:rsidR="00761439" w:rsidRDefault="00761439" w:rsidP="00A32CC1">
            <w:pPr>
              <w:pStyle w:val="Tabletext1"/>
              <w:keepNext/>
              <w:spacing w:before="0" w:after="0"/>
              <w:ind w:left="34"/>
            </w:pPr>
            <w:r>
              <w:t>$3,845</w:t>
            </w:r>
          </w:p>
        </w:tc>
        <w:tc>
          <w:tcPr>
            <w:tcW w:w="1134" w:type="dxa"/>
            <w:tcBorders>
              <w:top w:val="single" w:sz="4" w:space="0" w:color="auto"/>
              <w:left w:val="single" w:sz="4" w:space="0" w:color="auto"/>
              <w:bottom w:val="single" w:sz="4" w:space="0" w:color="auto"/>
              <w:right w:val="single" w:sz="4" w:space="0" w:color="auto"/>
            </w:tcBorders>
            <w:hideMark/>
          </w:tcPr>
          <w:p w14:paraId="39434F85" w14:textId="77777777" w:rsidR="00761439" w:rsidRDefault="00761439" w:rsidP="00A32CC1">
            <w:pPr>
              <w:pStyle w:val="Tabletext1"/>
              <w:keepNext/>
              <w:spacing w:before="0" w:after="0"/>
              <w:ind w:left="34"/>
            </w:pPr>
            <w:r>
              <w:t>$3,912</w:t>
            </w:r>
          </w:p>
        </w:tc>
        <w:tc>
          <w:tcPr>
            <w:tcW w:w="1159" w:type="dxa"/>
            <w:tcBorders>
              <w:top w:val="single" w:sz="4" w:space="0" w:color="auto"/>
              <w:left w:val="single" w:sz="4" w:space="0" w:color="auto"/>
              <w:bottom w:val="single" w:sz="4" w:space="0" w:color="auto"/>
              <w:right w:val="single" w:sz="4" w:space="0" w:color="auto"/>
            </w:tcBorders>
            <w:hideMark/>
          </w:tcPr>
          <w:p w14:paraId="664E693F" w14:textId="77777777" w:rsidR="00761439" w:rsidRDefault="00761439" w:rsidP="00A32CC1">
            <w:pPr>
              <w:pStyle w:val="Tabletext1"/>
              <w:keepNext/>
              <w:spacing w:before="0" w:after="0"/>
              <w:ind w:left="34"/>
            </w:pPr>
            <w:r>
              <w:t>$3,980</w:t>
            </w:r>
          </w:p>
        </w:tc>
        <w:tc>
          <w:tcPr>
            <w:tcW w:w="1043" w:type="dxa"/>
            <w:tcBorders>
              <w:top w:val="single" w:sz="4" w:space="0" w:color="auto"/>
              <w:left w:val="single" w:sz="4" w:space="0" w:color="auto"/>
              <w:bottom w:val="single" w:sz="4" w:space="0" w:color="auto"/>
              <w:right w:val="single" w:sz="4" w:space="0" w:color="auto"/>
            </w:tcBorders>
            <w:hideMark/>
          </w:tcPr>
          <w:p w14:paraId="69287E1C" w14:textId="77777777" w:rsidR="00761439" w:rsidRDefault="00761439" w:rsidP="00A32CC1">
            <w:pPr>
              <w:pStyle w:val="Tabletext1"/>
              <w:keepNext/>
              <w:spacing w:before="0" w:after="0"/>
              <w:ind w:left="34"/>
            </w:pPr>
            <w:r>
              <w:t>$4,050</w:t>
            </w:r>
          </w:p>
        </w:tc>
        <w:tc>
          <w:tcPr>
            <w:tcW w:w="1079" w:type="dxa"/>
            <w:tcBorders>
              <w:top w:val="single" w:sz="4" w:space="0" w:color="auto"/>
              <w:left w:val="single" w:sz="4" w:space="0" w:color="auto"/>
              <w:bottom w:val="single" w:sz="4" w:space="0" w:color="auto"/>
              <w:right w:val="single" w:sz="4" w:space="0" w:color="auto"/>
            </w:tcBorders>
            <w:hideMark/>
          </w:tcPr>
          <w:p w14:paraId="517AEB69" w14:textId="77777777" w:rsidR="00761439" w:rsidRDefault="00761439" w:rsidP="00A32CC1">
            <w:pPr>
              <w:pStyle w:val="Tabletext1"/>
              <w:keepNext/>
              <w:spacing w:before="0" w:after="0"/>
              <w:ind w:left="34"/>
            </w:pPr>
            <w:r>
              <w:t>$19,565</w:t>
            </w:r>
          </w:p>
        </w:tc>
      </w:tr>
      <w:tr w:rsidR="00DF554E" w14:paraId="207B1C0C" w14:textId="77777777" w:rsidTr="00450F52">
        <w:tc>
          <w:tcPr>
            <w:tcW w:w="2405" w:type="dxa"/>
            <w:tcBorders>
              <w:top w:val="single" w:sz="4" w:space="0" w:color="auto"/>
              <w:left w:val="single" w:sz="4" w:space="0" w:color="auto"/>
              <w:bottom w:val="single" w:sz="4" w:space="0" w:color="auto"/>
              <w:right w:val="single" w:sz="4" w:space="0" w:color="auto"/>
            </w:tcBorders>
            <w:hideMark/>
          </w:tcPr>
          <w:p w14:paraId="42CAE12A" w14:textId="77777777" w:rsidR="00761439" w:rsidRDefault="00761439" w:rsidP="00A32CC1">
            <w:pPr>
              <w:pStyle w:val="Tabletext1"/>
              <w:keepNext/>
              <w:spacing w:before="0" w:after="0"/>
              <w:ind w:left="34"/>
            </w:pPr>
            <w:r>
              <w:t>Total financial implication to the Government</w:t>
            </w:r>
            <w:r>
              <w:rPr>
                <w:vertAlign w:val="superscript"/>
              </w:rPr>
              <w:t>e</w:t>
            </w:r>
          </w:p>
        </w:tc>
        <w:tc>
          <w:tcPr>
            <w:tcW w:w="1145" w:type="dxa"/>
            <w:tcBorders>
              <w:top w:val="single" w:sz="4" w:space="0" w:color="auto"/>
              <w:left w:val="single" w:sz="4" w:space="0" w:color="auto"/>
              <w:bottom w:val="single" w:sz="4" w:space="0" w:color="auto"/>
              <w:right w:val="single" w:sz="4" w:space="0" w:color="auto"/>
            </w:tcBorders>
            <w:hideMark/>
          </w:tcPr>
          <w:p w14:paraId="7C2CE265" w14:textId="77777777" w:rsidR="00761439" w:rsidRDefault="00761439" w:rsidP="00A32CC1">
            <w:pPr>
              <w:pStyle w:val="Tabletext1"/>
              <w:keepNext/>
              <w:spacing w:before="0" w:after="0"/>
              <w:ind w:left="34"/>
            </w:pPr>
            <w:r>
              <w:t>$11,965</w:t>
            </w:r>
          </w:p>
        </w:tc>
        <w:tc>
          <w:tcPr>
            <w:tcW w:w="1028" w:type="dxa"/>
            <w:tcBorders>
              <w:top w:val="single" w:sz="4" w:space="0" w:color="auto"/>
              <w:left w:val="single" w:sz="4" w:space="0" w:color="auto"/>
              <w:bottom w:val="single" w:sz="4" w:space="0" w:color="auto"/>
              <w:right w:val="single" w:sz="4" w:space="0" w:color="auto"/>
            </w:tcBorders>
            <w:hideMark/>
          </w:tcPr>
          <w:p w14:paraId="60F62A3C" w14:textId="77777777" w:rsidR="00761439" w:rsidRDefault="00761439" w:rsidP="00A32CC1">
            <w:pPr>
              <w:pStyle w:val="Tabletext1"/>
              <w:keepNext/>
              <w:spacing w:before="0" w:after="0"/>
              <w:ind w:left="34"/>
            </w:pPr>
            <w:r>
              <w:t>$12,174</w:t>
            </w:r>
          </w:p>
        </w:tc>
        <w:tc>
          <w:tcPr>
            <w:tcW w:w="1134" w:type="dxa"/>
            <w:tcBorders>
              <w:top w:val="single" w:sz="4" w:space="0" w:color="auto"/>
              <w:left w:val="single" w:sz="4" w:space="0" w:color="auto"/>
              <w:bottom w:val="single" w:sz="4" w:space="0" w:color="auto"/>
              <w:right w:val="single" w:sz="4" w:space="0" w:color="auto"/>
            </w:tcBorders>
            <w:hideMark/>
          </w:tcPr>
          <w:p w14:paraId="5EBF2F37" w14:textId="77777777" w:rsidR="00761439" w:rsidRDefault="00761439" w:rsidP="00A32CC1">
            <w:pPr>
              <w:pStyle w:val="Tabletext1"/>
              <w:keepNext/>
              <w:spacing w:before="0" w:after="0"/>
              <w:ind w:left="34"/>
            </w:pPr>
            <w:r>
              <w:t>$12,387</w:t>
            </w:r>
          </w:p>
        </w:tc>
        <w:tc>
          <w:tcPr>
            <w:tcW w:w="1159" w:type="dxa"/>
            <w:tcBorders>
              <w:top w:val="single" w:sz="4" w:space="0" w:color="auto"/>
              <w:left w:val="single" w:sz="4" w:space="0" w:color="auto"/>
              <w:bottom w:val="single" w:sz="4" w:space="0" w:color="auto"/>
              <w:right w:val="single" w:sz="4" w:space="0" w:color="auto"/>
            </w:tcBorders>
            <w:hideMark/>
          </w:tcPr>
          <w:p w14:paraId="67832EA4" w14:textId="77777777" w:rsidR="00761439" w:rsidRDefault="00761439" w:rsidP="00A32CC1">
            <w:pPr>
              <w:pStyle w:val="Tabletext1"/>
              <w:keepNext/>
              <w:spacing w:before="0" w:after="0"/>
              <w:ind w:left="34"/>
            </w:pPr>
            <w:r>
              <w:t>$12,603</w:t>
            </w:r>
          </w:p>
        </w:tc>
        <w:tc>
          <w:tcPr>
            <w:tcW w:w="1043" w:type="dxa"/>
            <w:tcBorders>
              <w:top w:val="single" w:sz="4" w:space="0" w:color="auto"/>
              <w:left w:val="single" w:sz="4" w:space="0" w:color="auto"/>
              <w:bottom w:val="single" w:sz="4" w:space="0" w:color="auto"/>
              <w:right w:val="single" w:sz="4" w:space="0" w:color="auto"/>
            </w:tcBorders>
            <w:hideMark/>
          </w:tcPr>
          <w:p w14:paraId="2EA1255E" w14:textId="77777777" w:rsidR="00761439" w:rsidRDefault="00761439" w:rsidP="00A32CC1">
            <w:pPr>
              <w:pStyle w:val="Tabletext1"/>
              <w:keepNext/>
              <w:spacing w:before="0" w:after="0"/>
              <w:ind w:left="34"/>
            </w:pPr>
            <w:r>
              <w:t>$12,824</w:t>
            </w:r>
          </w:p>
        </w:tc>
        <w:tc>
          <w:tcPr>
            <w:tcW w:w="1079" w:type="dxa"/>
            <w:tcBorders>
              <w:top w:val="single" w:sz="4" w:space="0" w:color="auto"/>
              <w:left w:val="single" w:sz="4" w:space="0" w:color="auto"/>
              <w:bottom w:val="single" w:sz="4" w:space="0" w:color="auto"/>
              <w:right w:val="single" w:sz="4" w:space="0" w:color="auto"/>
            </w:tcBorders>
            <w:hideMark/>
          </w:tcPr>
          <w:p w14:paraId="77234E2D" w14:textId="77777777" w:rsidR="00761439" w:rsidRDefault="00761439" w:rsidP="00A32CC1">
            <w:pPr>
              <w:pStyle w:val="Tabletext1"/>
              <w:keepNext/>
              <w:spacing w:before="0" w:after="0"/>
              <w:ind w:left="34"/>
            </w:pPr>
            <w:r>
              <w:t>$61,953</w:t>
            </w:r>
          </w:p>
        </w:tc>
      </w:tr>
    </w:tbl>
    <w:p w14:paraId="4455DADD" w14:textId="77777777" w:rsidR="00761439" w:rsidRDefault="00761439" w:rsidP="00A32CC1">
      <w:pPr>
        <w:pStyle w:val="Tablenotes0"/>
        <w:keepNext/>
        <w:widowControl/>
      </w:pPr>
      <w:r>
        <w:t>Source: Table 17, pg 51 of MSAC 1629 DCAR</w:t>
      </w:r>
    </w:p>
    <w:p w14:paraId="509523C9" w14:textId="02D51A12" w:rsidR="00066A6C" w:rsidRDefault="00066A6C" w:rsidP="00A32CC1">
      <w:pPr>
        <w:pStyle w:val="Tablenotes0"/>
        <w:keepNext/>
        <w:widowControl/>
        <w:rPr>
          <w:vanish/>
          <w:color w:val="C00000"/>
        </w:rPr>
      </w:pPr>
      <w:r>
        <w:t>Abbreviations: DAC</w:t>
      </w:r>
      <w:r w:rsidR="000F426F">
        <w:t>+abs</w:t>
      </w:r>
      <w:r>
        <w:t>= Defensive Antibacterial Coating</w:t>
      </w:r>
      <w:r w:rsidR="000F426F">
        <w:t xml:space="preserve"> loaded with antibiotics</w:t>
      </w:r>
      <w:r>
        <w:t xml:space="preserve">, </w:t>
      </w:r>
      <w:r>
        <w:rPr>
          <w:szCs w:val="18"/>
        </w:rPr>
        <w:t>MBS= Medicare benefits Schedule; PBS=Pharmaceutical benefits Schedule</w:t>
      </w:r>
      <w:r>
        <w:rPr>
          <w:vanish/>
          <w:color w:val="C00000"/>
        </w:rPr>
        <w:t>.</w:t>
      </w:r>
    </w:p>
    <w:p w14:paraId="048ABE2C" w14:textId="77777777" w:rsidR="00066A6C" w:rsidRDefault="00066A6C" w:rsidP="00A32CC1">
      <w:pPr>
        <w:pStyle w:val="Tablenotes0"/>
        <w:keepNext/>
        <w:widowControl/>
      </w:pPr>
      <w:r>
        <w:rPr>
          <w:vertAlign w:val="superscript"/>
        </w:rPr>
        <w:t xml:space="preserve">a </w:t>
      </w:r>
      <w:r w:rsidRPr="00394BBE">
        <w:t>Estimated based on AOANJRR Annual report 2020</w:t>
      </w:r>
    </w:p>
    <w:p w14:paraId="59AE63E4" w14:textId="134247C1" w:rsidR="00066A6C" w:rsidRDefault="00066A6C" w:rsidP="00A32CC1">
      <w:pPr>
        <w:pStyle w:val="Tablenotes0"/>
        <w:keepNext/>
        <w:widowControl/>
      </w:pPr>
      <w:r w:rsidRPr="006107B8">
        <w:rPr>
          <w:vertAlign w:val="superscript"/>
        </w:rPr>
        <w:t>b</w:t>
      </w:r>
      <w:r>
        <w:rPr>
          <w:vertAlign w:val="superscript"/>
        </w:rPr>
        <w:t xml:space="preserve"> </w:t>
      </w:r>
      <w:r>
        <w:t xml:space="preserve">Cost to private health insurance is due to </w:t>
      </w:r>
      <w:r w:rsidR="003B7856">
        <w:t xml:space="preserve">the </w:t>
      </w:r>
      <w:r>
        <w:t xml:space="preserve">acquisition of DAC kits. These costs were obtained as the product of </w:t>
      </w:r>
      <w:r w:rsidR="003B7856">
        <w:t xml:space="preserve">the </w:t>
      </w:r>
      <w:r>
        <w:t xml:space="preserve">assumed number of private patients * </w:t>
      </w:r>
      <w:r w:rsidR="003B7856">
        <w:t xml:space="preserve">the </w:t>
      </w:r>
      <w:r>
        <w:t xml:space="preserve">number of kits required per surgical procedure * unit cost of DAC 5ml. The number of kits per surgical procedure for Population 4 (open) was </w:t>
      </w:r>
      <w:r w:rsidR="00DF554E">
        <w:rPr>
          <w:b/>
          <w:bCs/>
        </w:rPr>
        <w:t>redacted</w:t>
      </w:r>
      <w:r>
        <w:t>.</w:t>
      </w:r>
      <w:r w:rsidRPr="00BF08AC">
        <w:t xml:space="preserve"> Further, </w:t>
      </w:r>
      <w:r w:rsidR="003B7856">
        <w:t xml:space="preserve">the </w:t>
      </w:r>
      <w:r w:rsidRPr="00BF08AC">
        <w:t>unit cost of DAC 5ml was $</w:t>
      </w:r>
      <w:r w:rsidR="000256BD">
        <w:rPr>
          <w:b/>
          <w:bCs/>
        </w:rPr>
        <w:t>redacted</w:t>
      </w:r>
      <w:r w:rsidRPr="00BF08AC">
        <w:t>.</w:t>
      </w:r>
    </w:p>
    <w:p w14:paraId="123B0DBA" w14:textId="70C77F44" w:rsidR="00066A6C" w:rsidRPr="00BF08AC" w:rsidRDefault="00066A6C" w:rsidP="00A32CC1">
      <w:pPr>
        <w:pStyle w:val="Tablenotes0"/>
        <w:keepNext/>
        <w:widowControl/>
      </w:pPr>
      <w:r w:rsidRPr="00BF08AC">
        <w:t xml:space="preserve">c Financial implication to MBS was due to costs associated with extra time required to prepare and apply the DAC. </w:t>
      </w:r>
      <w:r w:rsidR="003B7856">
        <w:t>The e</w:t>
      </w:r>
      <w:r w:rsidRPr="00BF08AC">
        <w:t>stimated cost of extra time per procedure for Population 4 (open) was $</w:t>
      </w:r>
      <w:r w:rsidR="00DF554E">
        <w:rPr>
          <w:b/>
          <w:bCs/>
        </w:rPr>
        <w:t>redacted</w:t>
      </w:r>
      <w:r w:rsidRPr="00BF08AC">
        <w:t xml:space="preserve">. </w:t>
      </w:r>
    </w:p>
    <w:p w14:paraId="7E8A619F" w14:textId="306A50D6" w:rsidR="00066A6C" w:rsidRPr="00BF08AC" w:rsidRDefault="00066A6C" w:rsidP="00A32CC1">
      <w:pPr>
        <w:pStyle w:val="Tablenotes0"/>
        <w:keepNext/>
        <w:widowControl/>
      </w:pPr>
      <w:r w:rsidRPr="00BF08AC">
        <w:t xml:space="preserve">d Financial implication to PBS was due to costs associated with </w:t>
      </w:r>
      <w:r w:rsidR="003B7856">
        <w:t xml:space="preserve">the </w:t>
      </w:r>
      <w:r w:rsidRPr="00BF08AC">
        <w:t xml:space="preserve">cost of antibiotics for preloading DAC. </w:t>
      </w:r>
      <w:r w:rsidR="000F426F">
        <w:t>The estimated</w:t>
      </w:r>
      <w:r w:rsidRPr="00BF08AC">
        <w:t xml:space="preserve"> cost per procedure for Population 4 (open) was $</w:t>
      </w:r>
      <w:r w:rsidR="00DF554E">
        <w:rPr>
          <w:b/>
          <w:bCs/>
        </w:rPr>
        <w:t>redacted</w:t>
      </w:r>
      <w:r w:rsidRPr="00BF08AC">
        <w:t xml:space="preserve">. </w:t>
      </w:r>
    </w:p>
    <w:p w14:paraId="1DD014CA" w14:textId="6B2CFA5C" w:rsidR="00066A6C" w:rsidRDefault="00066A6C" w:rsidP="00A32CC1">
      <w:pPr>
        <w:pStyle w:val="Tablenotes0"/>
        <w:keepNext/>
        <w:widowControl/>
      </w:pPr>
      <w:r>
        <w:rPr>
          <w:vertAlign w:val="superscript"/>
        </w:rPr>
        <w:t>e</w:t>
      </w:r>
      <w:r>
        <w:t xml:space="preserve"> Cost to the Government = Cost to MBS + Cost to PBS</w:t>
      </w:r>
    </w:p>
    <w:p w14:paraId="28E19E90" w14:textId="50FA1A91" w:rsidR="006862B9" w:rsidRDefault="00D201BA" w:rsidP="006862B9">
      <w:pPr>
        <w:pStyle w:val="ESNumberedSectionHeading"/>
        <w:rPr>
          <w:rFonts w:ascii="Times New Roman" w:hAnsi="Times New Roman"/>
          <w:sz w:val="24"/>
          <w:szCs w:val="24"/>
        </w:rPr>
      </w:pPr>
      <w:bookmarkStart w:id="135" w:name="_Toc72335284"/>
      <w:bookmarkStart w:id="136" w:name="_Toc112076497"/>
      <w:bookmarkStart w:id="137" w:name="_Toc395200754"/>
      <w:bookmarkStart w:id="138" w:name="_Toc75172489"/>
      <w:r w:rsidRPr="00D201BA">
        <w:t>1</w:t>
      </w:r>
      <w:r w:rsidR="00681B6B">
        <w:t>5</w:t>
      </w:r>
      <w:r w:rsidRPr="00D201BA">
        <w:t>.</w:t>
      </w:r>
      <w:r w:rsidRPr="00D201BA">
        <w:tab/>
        <w:t>Other relevant information</w:t>
      </w:r>
      <w:bookmarkEnd w:id="135"/>
      <w:bookmarkEnd w:id="136"/>
      <w:r w:rsidR="006862B9">
        <w:t xml:space="preserve"> </w:t>
      </w:r>
    </w:p>
    <w:bookmarkEnd w:id="137"/>
    <w:bookmarkEnd w:id="138"/>
    <w:p w14:paraId="0C1A495A" w14:textId="01CC62D3" w:rsidR="009D43FE" w:rsidRPr="009D43FE" w:rsidRDefault="009D43FE" w:rsidP="00761439">
      <w:pPr>
        <w:pStyle w:val="ExecSummHeading3"/>
      </w:pPr>
      <w:r>
        <w:t>Antimicrobial resistance and stewardship</w:t>
      </w:r>
    </w:p>
    <w:p w14:paraId="7AC4212E" w14:textId="39608B4B" w:rsidR="00ED7E46" w:rsidRDefault="00ED7E46" w:rsidP="00607722">
      <w:pPr>
        <w:pStyle w:val="Execsummnormal"/>
      </w:pPr>
      <w:r>
        <w:t xml:space="preserve">Antimicrobial resistance and stewardship are important public health </w:t>
      </w:r>
      <w:r w:rsidR="009F08AE">
        <w:t>interest</w:t>
      </w:r>
      <w:r w:rsidR="00104B59">
        <w:t>.</w:t>
      </w:r>
      <w:r>
        <w:t xml:space="preserve"> The </w:t>
      </w:r>
      <w:r w:rsidR="00690E6E">
        <w:t>application indicate</w:t>
      </w:r>
      <w:r w:rsidR="00104B59">
        <w:t>d that</w:t>
      </w:r>
      <w:r w:rsidR="00690E6E">
        <w:t xml:space="preserve"> the </w:t>
      </w:r>
      <w:r>
        <w:t>application of DAC+antibiotic hydrogel to orthopaedic implants facilitates prophylactic application of antibiotics at the implant with the intention</w:t>
      </w:r>
      <w:r w:rsidR="009F08AE">
        <w:t xml:space="preserve"> that the </w:t>
      </w:r>
      <w:r w:rsidR="00690E6E">
        <w:t>DAC+</w:t>
      </w:r>
      <w:r w:rsidR="009F08AE">
        <w:t>antibiotics</w:t>
      </w:r>
      <w:r>
        <w:t xml:space="preserve"> prevent bacterial colonisation of the implant</w:t>
      </w:r>
      <w:r w:rsidR="009F08AE">
        <w:t xml:space="preserve"> thereby reducing SSI/PJI incidence</w:t>
      </w:r>
      <w:r>
        <w:t>. The DAC</w:t>
      </w:r>
      <w:r w:rsidR="009F08AE">
        <w:t>+antibiotics</w:t>
      </w:r>
      <w:r>
        <w:t xml:space="preserve"> hydrogel </w:t>
      </w:r>
      <w:r w:rsidR="009F08AE">
        <w:t>is</w:t>
      </w:r>
      <w:r>
        <w:t xml:space="preserve"> bio-resorbed </w:t>
      </w:r>
      <w:r w:rsidR="00025AB6">
        <w:t>within</w:t>
      </w:r>
      <w:r>
        <w:t xml:space="preserve"> 72 hours. </w:t>
      </w:r>
      <w:r w:rsidR="00690E6E">
        <w:t>According to a brochure published by the manufacturer, approximately 60%, 80% and 100% of the antibiotic is released after 4, 24 and 48 hours respectively</w:t>
      </w:r>
      <w:r w:rsidR="00690E6E">
        <w:rPr>
          <w:rStyle w:val="FootnoteReference"/>
        </w:rPr>
        <w:footnoteReference w:id="18"/>
      </w:r>
      <w:r w:rsidR="00690E6E">
        <w:t>.</w:t>
      </w:r>
      <w:r>
        <w:t xml:space="preserve">The use of antibiotics with DAC would occur in a hospital setting. The prophylactic application of antibiotic loaded DAC to the implant is in addition to systemic prophylactic antibiotics. </w:t>
      </w:r>
      <w:r w:rsidR="00690E6E">
        <w:t>In Australia, Manning et al. (2020)</w:t>
      </w:r>
      <w:r w:rsidR="00690E6E">
        <w:rPr>
          <w:rStyle w:val="FootnoteReference"/>
        </w:rPr>
        <w:footnoteReference w:id="19"/>
      </w:r>
      <w:r w:rsidR="00690E6E">
        <w:t xml:space="preserve"> recently reported that while a range of Gram positive and negative bacteria can cause PJA, </w:t>
      </w:r>
      <w:r w:rsidR="00690E6E" w:rsidRPr="00A64EC3">
        <w:t xml:space="preserve">methicillin-susceptible </w:t>
      </w:r>
      <w:r w:rsidR="00690E6E" w:rsidRPr="007F7D40">
        <w:rPr>
          <w:i/>
          <w:iCs/>
        </w:rPr>
        <w:t xml:space="preserve">Staphylococcus </w:t>
      </w:r>
      <w:r w:rsidR="00690E6E" w:rsidRPr="007F7D40">
        <w:rPr>
          <w:i/>
          <w:iCs/>
        </w:rPr>
        <w:lastRenderedPageBreak/>
        <w:t>aureus</w:t>
      </w:r>
      <w:r w:rsidR="00690E6E" w:rsidRPr="00A64EC3">
        <w:t xml:space="preserve"> (MSSA)</w:t>
      </w:r>
      <w:r w:rsidR="00690E6E">
        <w:t xml:space="preserve"> was the most common causative organism (41.2%), with </w:t>
      </w:r>
      <w:r w:rsidR="00690E6E" w:rsidRPr="009852A5">
        <w:t xml:space="preserve">methicillin-resistant </w:t>
      </w:r>
      <w:r w:rsidR="00690E6E" w:rsidRPr="007F7D40">
        <w:rPr>
          <w:i/>
          <w:iCs/>
        </w:rPr>
        <w:t>S.</w:t>
      </w:r>
      <w:r w:rsidR="00DF554E">
        <w:rPr>
          <w:i/>
          <w:iCs/>
        </w:rPr>
        <w:t> </w:t>
      </w:r>
      <w:r w:rsidR="00690E6E" w:rsidRPr="007F7D40">
        <w:rPr>
          <w:i/>
          <w:iCs/>
        </w:rPr>
        <w:t>aureus</w:t>
      </w:r>
      <w:r w:rsidR="00690E6E" w:rsidRPr="009852A5">
        <w:t xml:space="preserve"> (MRSA)</w:t>
      </w:r>
      <w:r w:rsidR="00690E6E">
        <w:t xml:space="preserve"> isolated from 26 (3.3%) patients with PJI.</w:t>
      </w:r>
    </w:p>
    <w:p w14:paraId="18947183" w14:textId="53E8B250" w:rsidR="00751A96" w:rsidRDefault="00690E6E" w:rsidP="00A94954">
      <w:pPr>
        <w:pStyle w:val="Execsummnormal"/>
      </w:pPr>
      <w:r w:rsidRPr="00690E6E">
        <w:t xml:space="preserve">The </w:t>
      </w:r>
      <w:hyperlink r:id="rId23" w:history="1">
        <w:r w:rsidRPr="00690E6E">
          <w:rPr>
            <w:rStyle w:val="Hyperlink"/>
          </w:rPr>
          <w:t>Therapeutic Guidelines: Antibiotic</w:t>
        </w:r>
      </w:hyperlink>
      <w:r w:rsidRPr="00690E6E">
        <w:t xml:space="preserve"> provide a range of principles for antimicrobial use that cover peri-operative antibiotic prophylaxis for orthopaedic surgery and specific considerations for joint arthroplasty.</w:t>
      </w:r>
      <w:r w:rsidR="00ED7E46">
        <w:t xml:space="preserve"> In the case of orthopaedic surgery, surgical antibiotic prophylaxis is indicated for prosthetic large joint replacement and internal fixation of fractures of large bones. </w:t>
      </w:r>
      <w:r w:rsidR="00751A96">
        <w:t>The Therapeutic Guidelines advise that c</w:t>
      </w:r>
      <w:r w:rsidR="00751A96" w:rsidRPr="00BE2138">
        <w:t>efazolin is more effective than vancomycin in preventing postoperative infections caused by MSSA</w:t>
      </w:r>
      <w:r w:rsidR="00751A96">
        <w:t>.  G</w:t>
      </w:r>
      <w:r w:rsidR="00751A96" w:rsidRPr="00BE2138">
        <w:t>lycopeptide antibiotics, vancomycin and teicoplanin,</w:t>
      </w:r>
      <w:r w:rsidR="00751A96">
        <w:t xml:space="preserve"> are not recommended for surgical prophylaxis, except for patients with severe hypersensitivity (immediate or delayed) to penicillins and/or at increased risk of post-operative infection caused by MRSA. Consistent with this, where antibiotic prophylaxis is indicated for orthopaedic surgery, the Therapeutic Guidelines</w:t>
      </w:r>
      <w:r>
        <w:t>: Antibiotic</w:t>
      </w:r>
      <w:r w:rsidR="00751A96">
        <w:t xml:space="preserve"> recommend </w:t>
      </w:r>
      <w:r w:rsidR="00751A96" w:rsidRPr="00342029">
        <w:t>cefazolin</w:t>
      </w:r>
      <w:r w:rsidR="00751A96">
        <w:t xml:space="preserve">. For patients </w:t>
      </w:r>
      <w:r w:rsidR="00751A96" w:rsidRPr="00342029">
        <w:t>colonised or infected with MRSA, or at increased risk of being colonised or infected with MRSA (e.g., patients undergoing a joint arthroplasty procedure that is a reoperation</w:t>
      </w:r>
      <w:r w:rsidR="00751A96">
        <w:t xml:space="preserve">), the Therapeutic Guidelines recommend cefazolin plus </w:t>
      </w:r>
      <w:r w:rsidR="00751A96" w:rsidRPr="00342029">
        <w:t>vancomycin</w:t>
      </w:r>
      <w:r w:rsidR="00751A96">
        <w:t xml:space="preserve">. This is consistent with the </w:t>
      </w:r>
      <w:hyperlink r:id="rId24" w:history="1">
        <w:r w:rsidR="00751A96" w:rsidRPr="00963FC4">
          <w:rPr>
            <w:rStyle w:val="Hyperlink"/>
          </w:rPr>
          <w:t>Australian Orthopaedic Association Guidelines</w:t>
        </w:r>
      </w:hyperlink>
      <w:r w:rsidR="00751A96">
        <w:t xml:space="preserve"> for antibiotic prophylaxis at the time of hip and knee arthroplasty.</w:t>
      </w:r>
    </w:p>
    <w:p w14:paraId="3CCB00D3" w14:textId="24B03891" w:rsidR="00ED7E46" w:rsidRDefault="00751A96" w:rsidP="00A94954">
      <w:pPr>
        <w:pStyle w:val="Execsummnormal"/>
      </w:pPr>
      <w:r>
        <w:t>T</w:t>
      </w:r>
      <w:r w:rsidR="00ED7E46">
        <w:t xml:space="preserve">he </w:t>
      </w:r>
      <w:r>
        <w:t>Therapeutic G</w:t>
      </w:r>
      <w:r w:rsidR="00ED7E46">
        <w:t>uidelines do not specifically address or identify whether prophylactic antibacterial coatings similar to DAC+antibiotics in addition to systemic antibiotic prophylaxis is indicated. Therapeutic Guidelines note that it is common practice to use a</w:t>
      </w:r>
      <w:r w:rsidR="00ED7E46" w:rsidRPr="00274D7B">
        <w:t>ntimicrobial-impregnated cement for fixation of prosthetic device</w:t>
      </w:r>
      <w:r w:rsidR="00ED7E46">
        <w:t>s</w:t>
      </w:r>
      <w:r>
        <w:t xml:space="preserve">. However, </w:t>
      </w:r>
      <w:r w:rsidR="00ED7E46">
        <w:t>this is caveated by highlighting that h</w:t>
      </w:r>
      <w:r w:rsidR="00ED7E46" w:rsidRPr="001A736A">
        <w:t>igh-quality data to support the efficacy and cost-effectiveness of this practice are limited</w:t>
      </w:r>
      <w:r w:rsidR="00ED7E46">
        <w:t>.</w:t>
      </w:r>
    </w:p>
    <w:p w14:paraId="43251108" w14:textId="0495D4AF" w:rsidR="00ED7E46" w:rsidRDefault="00751A96" w:rsidP="00FC3571">
      <w:pPr>
        <w:pStyle w:val="Execsummnormal"/>
      </w:pPr>
      <w:r>
        <w:t>I</w:t>
      </w:r>
      <w:r w:rsidR="00ED7E46">
        <w:t xml:space="preserve">t is noted that the antibiotics nominated in the </w:t>
      </w:r>
      <w:r>
        <w:t>TGA application and instructions for use (</w:t>
      </w:r>
      <w:r w:rsidR="00ED7E46">
        <w:t>IFU</w:t>
      </w:r>
      <w:r>
        <w:t xml:space="preserve">, </w:t>
      </w:r>
      <w:r w:rsidR="00ED7E46">
        <w:t>vancomycin or gentamicin) to be used with DAC differs to the prophylactic antibiotics recommended in the Therapeutic Guidelines for joint arthroplasty (cefazolin or cefazolin+vancomycin if high risk for MRSA). Regarding the use of gentamicin instead of cefazolin, the Therapeutic Guidelines provide that</w:t>
      </w:r>
      <w:r w:rsidR="00ED7E46" w:rsidRPr="00B95043">
        <w:t xml:space="preserve"> </w:t>
      </w:r>
      <w:r w:rsidR="00ED7E46">
        <w:t>“t</w:t>
      </w:r>
      <w:r w:rsidR="00ED7E46" w:rsidRPr="00B95043">
        <w:t>he Gram-negative spectrum of cefazolin is adequate for most surgical procedures for which Gram-negative activity is required. However, gentamicin continues to be recommended as prophylaxis for the few procedures requiring a broader spectrum of Gram-negative activity. Gentamicin is also used as an alternative when cefazolin is contraindicated</w:t>
      </w:r>
      <w:r w:rsidR="00ED7E46">
        <w:t>”</w:t>
      </w:r>
      <w:r w:rsidR="00ED7E46" w:rsidRPr="00B95043">
        <w:t>.</w:t>
      </w:r>
    </w:p>
    <w:p w14:paraId="6D0C212E" w14:textId="7E9711E1" w:rsidR="00690E6E" w:rsidRDefault="00ED7E46" w:rsidP="00FC3571">
      <w:pPr>
        <w:pStyle w:val="Execsummnormal"/>
      </w:pPr>
      <w:r>
        <w:t>Regarding the use of DAC with vancomycin, the guidelines emphasise that v</w:t>
      </w:r>
      <w:r w:rsidRPr="00B11F7C">
        <w:t>ancomycin requires judicious use to limit the emergence of vancomycin resistance</w:t>
      </w:r>
      <w:r>
        <w:t xml:space="preserve"> and is </w:t>
      </w:r>
      <w:r w:rsidRPr="00A44495">
        <w:t>inferior to beta-lactam antibiotics</w:t>
      </w:r>
      <w:r>
        <w:t xml:space="preserve"> (e.g., cefazolin)</w:t>
      </w:r>
      <w:r w:rsidRPr="00A44495">
        <w:t xml:space="preserve"> for the treatment of MSSA</w:t>
      </w:r>
      <w:r w:rsidRPr="00B11F7C">
        <w:t>.</w:t>
      </w:r>
      <w:r>
        <w:t xml:space="preserve"> With exception of Population 3, the other three proposed populations for DAC+antibiotics do not appear to specifically describe patients with risk factors for MRSA </w:t>
      </w:r>
      <w:r w:rsidR="00690E6E">
        <w:t>and vancomycin use is therefore inconsistent with the Therapeutic Guidelines.</w:t>
      </w:r>
      <w:r>
        <w:t xml:space="preserve"> </w:t>
      </w:r>
      <w:r w:rsidR="00690E6E">
        <w:t>In keeping with antimicrobial stewardship principles, surgeons must reserve selecting vancomycin for patients who meet the proposed patient eligibility criteria for DAC and who are at high risk for MRSA.</w:t>
      </w:r>
    </w:p>
    <w:p w14:paraId="634D459E" w14:textId="53202584" w:rsidR="00ED7E46" w:rsidRDefault="00ED7E46" w:rsidP="00FC3571">
      <w:pPr>
        <w:pStyle w:val="Execsummnormal"/>
      </w:pPr>
      <w:r w:rsidRPr="00DA1B58">
        <w:t xml:space="preserve">In Australia, national safety and quality standards require all health service organisations to have an effective antimicrobial stewardship (AMS) program in place, which is assessed for </w:t>
      </w:r>
      <w:r>
        <w:t xml:space="preserve">accreditation. This is also monitored through the </w:t>
      </w:r>
      <w:r w:rsidRPr="00921D08">
        <w:t>Antimicrobial Use and</w:t>
      </w:r>
      <w:r>
        <w:t xml:space="preserve"> </w:t>
      </w:r>
      <w:r w:rsidRPr="00921D08">
        <w:t>Resistance in Australia (AURA) Surveillance</w:t>
      </w:r>
      <w:r>
        <w:t xml:space="preserve"> </w:t>
      </w:r>
      <w:r w:rsidRPr="00921D08">
        <w:t>System</w:t>
      </w:r>
      <w:r>
        <w:t xml:space="preserve"> conducted by the Australian Commission on Safety and Quality Health Care. In regard to antimicrobial use in hospitals, the </w:t>
      </w:r>
      <w:hyperlink r:id="rId25" w:history="1">
        <w:r w:rsidRPr="00921D08">
          <w:rPr>
            <w:rStyle w:val="Hyperlink"/>
            <w:bCs/>
            <w:szCs w:val="24"/>
          </w:rPr>
          <w:t>AURA 2021 report</w:t>
        </w:r>
      </w:hyperlink>
      <w:r>
        <w:rPr>
          <w:rStyle w:val="FootnoteReference"/>
          <w:bCs/>
          <w:szCs w:val="24"/>
        </w:rPr>
        <w:footnoteReference w:id="20"/>
      </w:r>
      <w:r>
        <w:t xml:space="preserve"> indicates the use </w:t>
      </w:r>
      <w:r>
        <w:lastRenderedPageBreak/>
        <w:t xml:space="preserve">of antimicrobials has increased and that overall the </w:t>
      </w:r>
      <w:r w:rsidRPr="00DE0CCE">
        <w:t xml:space="preserve">appropriateness of antimicrobial prescribing </w:t>
      </w:r>
      <w:r>
        <w:t>has not improved. It appears that while some hospital peer groups have shown improvements, others have deteriorated. In particular, the rate of appropriate prescribing appears to have deteriorated in the private sector. Further, the report highlights that approximately 42% of antimicrobial use for surgical prophylaxis was inappropriately prescribed.</w:t>
      </w:r>
    </w:p>
    <w:p w14:paraId="1AA7EED4" w14:textId="52198041" w:rsidR="00D9335C" w:rsidRDefault="00ED7E46" w:rsidP="00FC3571">
      <w:pPr>
        <w:pStyle w:val="Execsummnormal"/>
      </w:pPr>
      <w:r>
        <w:t xml:space="preserve">If DAC is listed on the Prostheses List, the use of DAC+antibiotics would be in addition to systemic antibiotic prophylaxis.  Across the 4 populations, it is estimated that approximately </w:t>
      </w:r>
      <w:r w:rsidR="004D53FC">
        <w:rPr>
          <w:b/>
          <w:bCs/>
        </w:rPr>
        <w:t>redacted</w:t>
      </w:r>
      <w:r>
        <w:t xml:space="preserve"> patients would be eligible for DAC with uptake in roughly </w:t>
      </w:r>
      <w:r w:rsidR="004D53FC">
        <w:rPr>
          <w:b/>
          <w:bCs/>
        </w:rPr>
        <w:t>redacted</w:t>
      </w:r>
      <w:r>
        <w:t xml:space="preserve"> patients per year. The available evidence appears to indicate a trend for DAC+antibiotic</w:t>
      </w:r>
      <w:r w:rsidR="00E937EE">
        <w:t>s</w:t>
      </w:r>
      <w:r>
        <w:t xml:space="preserve"> to reduce SSI incidence however this is based on low to very low-quality data. Further, </w:t>
      </w:r>
      <w:r w:rsidR="00271BF8">
        <w:t>no</w:t>
      </w:r>
      <w:r>
        <w:t xml:space="preserve"> information </w:t>
      </w:r>
      <w:r w:rsidR="00271BF8">
        <w:t xml:space="preserve">is </w:t>
      </w:r>
      <w:r>
        <w:t>available to understand, should an SSI occur following the use of DAC+antibiotics, whether or not there is increased drug resistance in the causative bacteria.</w:t>
      </w:r>
    </w:p>
    <w:p w14:paraId="37F0EADC" w14:textId="77777777" w:rsidR="00681B6B" w:rsidRPr="008A2C9F" w:rsidRDefault="00681B6B" w:rsidP="00681B6B">
      <w:pPr>
        <w:pStyle w:val="Heading2"/>
        <w:rPr>
          <w:rFonts w:ascii="Franklin Gothic Medium" w:hAnsi="Franklin Gothic Medium" w:cstheme="majorBidi"/>
          <w:b w:val="0"/>
          <w:szCs w:val="26"/>
        </w:rPr>
      </w:pPr>
      <w:r>
        <w:t>16.</w:t>
      </w:r>
      <w:r>
        <w:tab/>
        <w:t>Key issues from ESC to MSAC</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37C9C" w14:paraId="64426817" w14:textId="77777777" w:rsidTr="00D22060">
        <w:tc>
          <w:tcPr>
            <w:tcW w:w="9016" w:type="dxa"/>
            <w:hideMark/>
          </w:tcPr>
          <w:p w14:paraId="35E2EF47" w14:textId="77777777" w:rsidR="00437C9C" w:rsidRPr="007B4FB9" w:rsidRDefault="00437C9C" w:rsidP="00D22060">
            <w:pPr>
              <w:spacing w:after="0"/>
              <w:ind w:left="0"/>
              <w:rPr>
                <w:rFonts w:eastAsia="Calibri"/>
                <w:lang w:eastAsia="en-US"/>
              </w:rPr>
            </w:pPr>
            <w:bookmarkStart w:id="139" w:name="_Toc381796429"/>
            <w:r w:rsidRPr="000A4AD3">
              <w:rPr>
                <w:rFonts w:eastAsia="Calibri"/>
                <w:b/>
                <w:bCs/>
                <w:lang w:eastAsia="en-US"/>
              </w:rPr>
              <w:t>Main issues for MSAC consideration</w:t>
            </w:r>
            <w:r w:rsidRPr="007B4FB9">
              <w:rPr>
                <w:rFonts w:eastAsia="Calibri"/>
                <w:lang w:eastAsia="en-US"/>
              </w:rPr>
              <w:t xml:space="preserve"> </w:t>
            </w:r>
          </w:p>
          <w:p w14:paraId="5E025055" w14:textId="77777777" w:rsidR="00437C9C" w:rsidRPr="000A4AD3" w:rsidRDefault="00437C9C" w:rsidP="00D22060">
            <w:pPr>
              <w:spacing w:after="0"/>
              <w:ind w:left="0"/>
              <w:rPr>
                <w:rFonts w:eastAsia="Calibri"/>
                <w:b/>
                <w:bCs/>
                <w:lang w:eastAsia="en-US"/>
              </w:rPr>
            </w:pPr>
            <w:r w:rsidRPr="000A4AD3">
              <w:rPr>
                <w:rFonts w:eastAsia="Calibri"/>
                <w:b/>
                <w:bCs/>
                <w:lang w:eastAsia="en-US"/>
              </w:rPr>
              <w:t>Clinical issues:</w:t>
            </w:r>
          </w:p>
          <w:p w14:paraId="19D0A90B" w14:textId="3856E316" w:rsidR="00437C9C" w:rsidRDefault="00437C9C" w:rsidP="00D22060">
            <w:pPr>
              <w:pStyle w:val="ListParagraph"/>
              <w:numPr>
                <w:ilvl w:val="0"/>
                <w:numId w:val="25"/>
              </w:numPr>
              <w:spacing w:line="240" w:lineRule="auto"/>
            </w:pPr>
            <w:r>
              <w:t xml:space="preserve">Incremental effectiveness </w:t>
            </w:r>
            <w:r w:rsidRPr="00EB2E08">
              <w:rPr>
                <w:rFonts w:eastAsia="Calibri"/>
              </w:rPr>
              <w:t>–</w:t>
            </w:r>
            <w:r>
              <w:rPr>
                <w:rFonts w:eastAsia="Calibri"/>
              </w:rPr>
              <w:t xml:space="preserve"> </w:t>
            </w:r>
            <w:r w:rsidRPr="002210C2">
              <w:t xml:space="preserve">The claim of superior clinical effectiveness for DAC+antibiotics to reduce periprosthetic deep </w:t>
            </w:r>
            <w:r>
              <w:t>surgical site infection (</w:t>
            </w:r>
            <w:r w:rsidRPr="002210C2">
              <w:t>SSI</w:t>
            </w:r>
            <w:r>
              <w:t>)</w:t>
            </w:r>
            <w:r w:rsidRPr="002210C2">
              <w:t xml:space="preserve"> is uncertain</w:t>
            </w:r>
            <w:r>
              <w:t xml:space="preserve"> due to the limitations and low/very low quality of the clinical evidence</w:t>
            </w:r>
            <w:r w:rsidRPr="002210C2">
              <w:t xml:space="preserve">. The </w:t>
            </w:r>
            <w:r>
              <w:t xml:space="preserve">clinical </w:t>
            </w:r>
            <w:r w:rsidRPr="002210C2">
              <w:t>evidence showed no significant difference in</w:t>
            </w:r>
            <w:r>
              <w:t xml:space="preserve"> the relative risk of SSI</w:t>
            </w:r>
            <w:r w:rsidRPr="002210C2">
              <w:t xml:space="preserve"> between surgery with DAC</w:t>
            </w:r>
            <w:r>
              <w:t>+antibiotics</w:t>
            </w:r>
            <w:r w:rsidRPr="002210C2">
              <w:t xml:space="preserve"> and without DAC</w:t>
            </w:r>
            <w:r>
              <w:t>+antibiotics for all four populations</w:t>
            </w:r>
            <w:r w:rsidRPr="002210C2">
              <w:t>.</w:t>
            </w:r>
          </w:p>
          <w:p w14:paraId="74F1CE81" w14:textId="73FFD337" w:rsidR="00437C9C" w:rsidRPr="003207C6" w:rsidRDefault="00437C9C" w:rsidP="00D22060">
            <w:pPr>
              <w:pStyle w:val="ListParagraph"/>
              <w:numPr>
                <w:ilvl w:val="0"/>
                <w:numId w:val="25"/>
              </w:numPr>
              <w:spacing w:line="240" w:lineRule="auto"/>
            </w:pPr>
            <w:r>
              <w:t xml:space="preserve">Comparative safety </w:t>
            </w:r>
            <w:r w:rsidRPr="00EB2E08">
              <w:rPr>
                <w:rFonts w:eastAsia="Calibri"/>
              </w:rPr>
              <w:t>–</w:t>
            </w:r>
            <w:r>
              <w:rPr>
                <w:rFonts w:eastAsia="Calibri"/>
              </w:rPr>
              <w:t xml:space="preserve"> </w:t>
            </w:r>
            <w:r w:rsidRPr="002210C2">
              <w:t>Studies indicate similar incidence of safety outcomes or complications of surgery with and without DAC+antibiotics across all populations. However, the long-term safety of DAC+antibiotics is uncertain due to the limited follow-up in the studies, especially in the RCTs.</w:t>
            </w:r>
          </w:p>
          <w:p w14:paraId="7B8C1DF3" w14:textId="77777777" w:rsidR="00437C9C" w:rsidRDefault="00437C9C" w:rsidP="00D22060">
            <w:pPr>
              <w:pStyle w:val="Execsummnormal"/>
              <w:numPr>
                <w:ilvl w:val="0"/>
                <w:numId w:val="25"/>
              </w:numPr>
              <w:rPr>
                <w:rFonts w:eastAsia="Calibri"/>
              </w:rPr>
            </w:pPr>
            <w:r>
              <w:rPr>
                <w:rFonts w:eastAsia="Calibri"/>
              </w:rPr>
              <w:t xml:space="preserve">DAC vs. DAC+antibiotics </w:t>
            </w:r>
            <w:r w:rsidRPr="00EB2E08">
              <w:rPr>
                <w:rFonts w:eastAsia="Calibri"/>
              </w:rPr>
              <w:t>–</w:t>
            </w:r>
            <w:r>
              <w:rPr>
                <w:rFonts w:eastAsia="Calibri"/>
              </w:rPr>
              <w:t xml:space="preserve"> The available clinical evidence compares the safety and effectiveness of surgery with or without </w:t>
            </w:r>
            <w:r w:rsidRPr="007B4FB9">
              <w:t>DAC preloaded with antibiotics (DAC+</w:t>
            </w:r>
            <w:r>
              <w:t>a</w:t>
            </w:r>
            <w:r w:rsidRPr="007B4FB9">
              <w:t>ntibiotics)</w:t>
            </w:r>
            <w:r>
              <w:t>. T</w:t>
            </w:r>
            <w:r>
              <w:rPr>
                <w:rFonts w:eastAsia="Calibri"/>
              </w:rPr>
              <w:t>here is no clinical evidence on the comparative safety and effectiveness of DAC alone (i.e., without antibiotics).</w:t>
            </w:r>
          </w:p>
          <w:p w14:paraId="4965F37B" w14:textId="2357A273" w:rsidR="00437C9C" w:rsidRPr="007B4FB9" w:rsidRDefault="00437C9C" w:rsidP="00D22060">
            <w:pPr>
              <w:pStyle w:val="Execsummnormal"/>
              <w:numPr>
                <w:ilvl w:val="0"/>
                <w:numId w:val="25"/>
              </w:numPr>
              <w:rPr>
                <w:rFonts w:eastAsia="Calibri"/>
              </w:rPr>
            </w:pPr>
            <w:r>
              <w:rPr>
                <w:rFonts w:eastAsia="Calibri"/>
              </w:rPr>
              <w:t xml:space="preserve">Applicability of trial SSI rates to Australian population is uncertain </w:t>
            </w:r>
            <w:r w:rsidRPr="00EB2E08">
              <w:rPr>
                <w:rFonts w:eastAsia="Calibri"/>
              </w:rPr>
              <w:t>–</w:t>
            </w:r>
            <w:r>
              <w:rPr>
                <w:rFonts w:eastAsia="Calibri"/>
              </w:rPr>
              <w:t xml:space="preserve"> </w:t>
            </w:r>
            <w:r>
              <w:t xml:space="preserve">the rate of SSI in the clinical evidence is different to the rate of SSI based on data from the </w:t>
            </w:r>
            <w:r w:rsidRPr="00486E73">
              <w:t xml:space="preserve">Australian Orthopaedic Association National Joint Replacement Registry </w:t>
            </w:r>
            <w:r>
              <w:t xml:space="preserve">(AOANJRR). ESC </w:t>
            </w:r>
            <w:r w:rsidRPr="00BA081A">
              <w:t>acknowledged th</w:t>
            </w:r>
            <w:r>
              <w:t>e known limitations of using the AOANJRR data (used in the economic evaluation) to estimate infection rates. However, ESC did not consider the 6% SSI incidence (used for the RCT power calculations) to be representative of SSI rates in primary joint arthroplasty in Australia. ESC also noted that the AOANJRR uses a more contemporary and consistent definition of revision than the studies which increases the</w:t>
            </w:r>
            <w:r w:rsidRPr="00BA081A">
              <w:t xml:space="preserve"> confidence in registry data</w:t>
            </w:r>
            <w:r w:rsidR="00A32CC1">
              <w:t>.</w:t>
            </w:r>
          </w:p>
          <w:p w14:paraId="673A876E" w14:textId="77777777" w:rsidR="00437C9C" w:rsidRPr="00E50C67" w:rsidRDefault="00437C9C" w:rsidP="00D22060">
            <w:pPr>
              <w:pStyle w:val="ListParagraph"/>
              <w:numPr>
                <w:ilvl w:val="0"/>
                <w:numId w:val="25"/>
              </w:numPr>
              <w:spacing w:line="240" w:lineRule="auto"/>
            </w:pPr>
            <w:r>
              <w:t xml:space="preserve">Applicability in hip/knee vs. other joint arthroplasty </w:t>
            </w:r>
            <w:r w:rsidRPr="00EB2E08">
              <w:rPr>
                <w:rFonts w:eastAsia="Calibri"/>
              </w:rPr>
              <w:t>–</w:t>
            </w:r>
            <w:r>
              <w:t xml:space="preserve">The applicability of the results from studies on the effectiveness of DAC+antibiotics in hip/knee arthroplasty to other joint arthroplasty sites is uncertain. </w:t>
            </w:r>
            <w:r w:rsidRPr="00BA081A" w:rsidDel="00C01D38">
              <w:rPr>
                <w:rFonts w:cs="Times New Roman"/>
                <w:color w:val="000000"/>
                <w:szCs w:val="20"/>
              </w:rPr>
              <w:t xml:space="preserve">ESC considered that there are many confounders </w:t>
            </w:r>
            <w:r>
              <w:rPr>
                <w:rFonts w:cs="Times New Roman"/>
                <w:color w:val="000000"/>
                <w:szCs w:val="20"/>
              </w:rPr>
              <w:t>that contribute to</w:t>
            </w:r>
            <w:r w:rsidRPr="00BA081A" w:rsidDel="00C01D38">
              <w:rPr>
                <w:rFonts w:cs="Times New Roman"/>
                <w:color w:val="000000"/>
                <w:szCs w:val="20"/>
              </w:rPr>
              <w:t xml:space="preserve"> </w:t>
            </w:r>
            <w:r>
              <w:rPr>
                <w:rFonts w:cs="Times New Roman"/>
                <w:color w:val="000000"/>
                <w:szCs w:val="20"/>
              </w:rPr>
              <w:t>periprosthetic deep SSI outcomes</w:t>
            </w:r>
            <w:r w:rsidRPr="00BA081A" w:rsidDel="00C01D38">
              <w:rPr>
                <w:rFonts w:cs="Times New Roman"/>
                <w:color w:val="000000"/>
                <w:szCs w:val="20"/>
              </w:rPr>
              <w:t>, including the type of antibiotics and organisms, and host factors.</w:t>
            </w:r>
            <w:r>
              <w:rPr>
                <w:rFonts w:cs="Times New Roman"/>
                <w:color w:val="000000"/>
                <w:szCs w:val="20"/>
              </w:rPr>
              <w:t xml:space="preserve"> </w:t>
            </w:r>
            <w:r>
              <w:t xml:space="preserve">ESC noted an </w:t>
            </w:r>
            <w:r>
              <w:rPr>
                <w:i/>
                <w:iCs/>
              </w:rPr>
              <w:t>in vitro</w:t>
            </w:r>
            <w:r w:rsidRPr="002210C2">
              <w:t xml:space="preserve"> study </w:t>
            </w:r>
            <w:r>
              <w:t>reported</w:t>
            </w:r>
            <w:r w:rsidRPr="002210C2">
              <w:t xml:space="preserve"> that DAC</w:t>
            </w:r>
            <w:r>
              <w:t>+antibiotics</w:t>
            </w:r>
            <w:r w:rsidRPr="002210C2">
              <w:t xml:space="preserve"> </w:t>
            </w:r>
            <w:r>
              <w:rPr>
                <w:rFonts w:cs="Times New Roman"/>
                <w:color w:val="000000"/>
                <w:szCs w:val="20"/>
              </w:rPr>
              <w:t xml:space="preserve">(loaded with vancomycin or rifampicin) did not inhibit </w:t>
            </w:r>
            <w:r w:rsidRPr="00547C68">
              <w:rPr>
                <w:rFonts w:cs="Times New Roman"/>
                <w:i/>
                <w:iCs/>
                <w:color w:val="000000"/>
                <w:szCs w:val="20"/>
              </w:rPr>
              <w:t>Cutibacterium a</w:t>
            </w:r>
            <w:r>
              <w:rPr>
                <w:rFonts w:cs="Times New Roman"/>
                <w:i/>
                <w:iCs/>
                <w:color w:val="000000"/>
                <w:szCs w:val="20"/>
              </w:rPr>
              <w:t xml:space="preserve">cnes </w:t>
            </w:r>
            <w:r>
              <w:rPr>
                <w:rFonts w:cs="Times New Roman"/>
                <w:color w:val="000000"/>
                <w:szCs w:val="20"/>
              </w:rPr>
              <w:t>biofilm formation (most common causative organism in shoulder SSI), suggesting the results on the effectiveness of DAC+antibiotics for preventing hip/knee SSI may</w:t>
            </w:r>
            <w:r>
              <w:t xml:space="preserve"> not be</w:t>
            </w:r>
            <w:r w:rsidRPr="002210C2">
              <w:t xml:space="preserve"> </w:t>
            </w:r>
            <w:r>
              <w:t>applicable to</w:t>
            </w:r>
            <w:r w:rsidRPr="002210C2">
              <w:t xml:space="preserve"> shoulder </w:t>
            </w:r>
            <w:r>
              <w:t>joint arthroplasty</w:t>
            </w:r>
            <w:r w:rsidRPr="002210C2">
              <w:t>.</w:t>
            </w:r>
          </w:p>
          <w:p w14:paraId="26165682" w14:textId="77777777" w:rsidR="00E937EE" w:rsidRDefault="00E937EE" w:rsidP="00D22060">
            <w:pPr>
              <w:spacing w:line="240" w:lineRule="auto"/>
              <w:ind w:left="0"/>
              <w:rPr>
                <w:b/>
                <w:bCs/>
              </w:rPr>
            </w:pPr>
          </w:p>
          <w:p w14:paraId="4B6A6751" w14:textId="79C8C40E" w:rsidR="00437C9C" w:rsidRPr="000A4AD3" w:rsidRDefault="00437C9C" w:rsidP="00D22060">
            <w:pPr>
              <w:spacing w:line="240" w:lineRule="auto"/>
              <w:ind w:left="0"/>
              <w:rPr>
                <w:b/>
                <w:bCs/>
              </w:rPr>
            </w:pPr>
            <w:r w:rsidRPr="000A4AD3">
              <w:rPr>
                <w:b/>
                <w:bCs/>
              </w:rPr>
              <w:t>Economic issues:</w:t>
            </w:r>
          </w:p>
          <w:p w14:paraId="4C0A7EE5" w14:textId="19AAEF07" w:rsidR="00437C9C" w:rsidRDefault="00437C9C" w:rsidP="00D22060">
            <w:pPr>
              <w:pStyle w:val="Execsummnormal"/>
              <w:numPr>
                <w:ilvl w:val="0"/>
                <w:numId w:val="25"/>
              </w:numPr>
            </w:pPr>
            <w:r>
              <w:t>The ability to model the cost-effectiveness of DAC+antibiotics was limited by the paucity of data and the limitations/uncertainties in the clinical evidence and clinical claim.</w:t>
            </w:r>
          </w:p>
          <w:p w14:paraId="49B2E351" w14:textId="77777777" w:rsidR="00437C9C" w:rsidRPr="00486E73" w:rsidRDefault="00437C9C" w:rsidP="00D22060">
            <w:pPr>
              <w:pStyle w:val="Execsummnormal"/>
              <w:numPr>
                <w:ilvl w:val="0"/>
                <w:numId w:val="25"/>
              </w:numPr>
              <w:spacing w:line="240" w:lineRule="auto"/>
            </w:pPr>
            <w:r w:rsidRPr="007B4FB9">
              <w:t>Cost</w:t>
            </w:r>
            <w:r>
              <w:t>-</w:t>
            </w:r>
            <w:r w:rsidRPr="007B4FB9">
              <w:t xml:space="preserve">utility analyses </w:t>
            </w:r>
            <w:r>
              <w:t xml:space="preserve">(CUA) were only feasible for Populations 1 and 3. </w:t>
            </w:r>
            <w:r w:rsidRPr="00486E73">
              <w:t>There are several factors that</w:t>
            </w:r>
            <w:r>
              <w:t xml:space="preserve"> further</w:t>
            </w:r>
            <w:r w:rsidRPr="00486E73">
              <w:t xml:space="preserve"> impact on the uncertainty in the </w:t>
            </w:r>
            <w:r>
              <w:t>incremental cost effectiveness ratios (</w:t>
            </w:r>
            <w:r w:rsidRPr="00486E73">
              <w:t>ICER</w:t>
            </w:r>
            <w:r>
              <w:t>)</w:t>
            </w:r>
            <w:r w:rsidRPr="00486E73">
              <w:t xml:space="preserve"> and costs:</w:t>
            </w:r>
          </w:p>
          <w:p w14:paraId="6EC7893E" w14:textId="77777777" w:rsidR="00437C9C" w:rsidRPr="002210C2" w:rsidRDefault="00437C9C" w:rsidP="00D22060">
            <w:pPr>
              <w:pStyle w:val="ListParagraph"/>
              <w:numPr>
                <w:ilvl w:val="1"/>
                <w:numId w:val="25"/>
              </w:numPr>
              <w:spacing w:line="240" w:lineRule="auto"/>
            </w:pPr>
            <w:r>
              <w:t>Clinical inputs to model treatment effect of DAC</w:t>
            </w:r>
            <w:r w:rsidRPr="002210C2">
              <w:t xml:space="preserve"> – there is substantial uncertainty</w:t>
            </w:r>
            <w:r>
              <w:t xml:space="preserve"> in the treatment effect reported for DAC+atibiotics. The ICERs are sensitive to the treatment effect</w:t>
            </w:r>
            <w:r w:rsidRPr="002210C2">
              <w:t xml:space="preserve"> and </w:t>
            </w:r>
            <w:r>
              <w:t xml:space="preserve">when </w:t>
            </w:r>
            <w:r w:rsidRPr="002210C2">
              <w:t xml:space="preserve">the upper 95% </w:t>
            </w:r>
            <w:r>
              <w:t>confidence interval (</w:t>
            </w:r>
            <w:r w:rsidRPr="002210C2">
              <w:t>CI</w:t>
            </w:r>
            <w:r>
              <w:t>)</w:t>
            </w:r>
            <w:r w:rsidRPr="002210C2">
              <w:t xml:space="preserve"> </w:t>
            </w:r>
            <w:r w:rsidRPr="00AC0C73">
              <w:t xml:space="preserve">of the </w:t>
            </w:r>
            <w:r>
              <w:t xml:space="preserve">treatment effect (i.e., </w:t>
            </w:r>
            <w:r w:rsidRPr="00AC0C73">
              <w:t xml:space="preserve">relative risk </w:t>
            </w:r>
            <w:r>
              <w:t>for</w:t>
            </w:r>
            <w:r w:rsidRPr="00AC0C73">
              <w:t xml:space="preserve"> periprosthetic deep SSI</w:t>
            </w:r>
            <w:r>
              <w:t>) was used</w:t>
            </w:r>
            <w:r w:rsidRPr="002210C2">
              <w:t xml:space="preserve"> the intervention </w:t>
            </w:r>
            <w:r>
              <w:t>was</w:t>
            </w:r>
            <w:r w:rsidRPr="002210C2">
              <w:t xml:space="preserve"> dominated</w:t>
            </w:r>
            <w:r>
              <w:t xml:space="preserve"> for both Population 1 and Population 3</w:t>
            </w:r>
            <w:r w:rsidRPr="002210C2">
              <w:t>.</w:t>
            </w:r>
          </w:p>
          <w:p w14:paraId="77E90229" w14:textId="77777777" w:rsidR="00437C9C" w:rsidRPr="002210C2" w:rsidRDefault="00437C9C" w:rsidP="00D22060">
            <w:pPr>
              <w:pStyle w:val="ListParagraph"/>
              <w:numPr>
                <w:ilvl w:val="1"/>
                <w:numId w:val="25"/>
              </w:numPr>
              <w:spacing w:line="240" w:lineRule="auto"/>
            </w:pPr>
            <w:r w:rsidRPr="002210C2">
              <w:t>Rate of SSI –</w:t>
            </w:r>
            <w:r>
              <w:t>U</w:t>
            </w:r>
            <w:r w:rsidRPr="002210C2">
              <w:t xml:space="preserve">sing </w:t>
            </w:r>
            <w:r>
              <w:t xml:space="preserve">SSI rates based on </w:t>
            </w:r>
            <w:r w:rsidRPr="002210C2">
              <w:t xml:space="preserve">the AOANJRR </w:t>
            </w:r>
            <w:r>
              <w:t xml:space="preserve">data had a substantial impact on the ICER (ICER for Population 1 increases and ICER for Population 3 decreases/becomes dominant). </w:t>
            </w:r>
          </w:p>
          <w:p w14:paraId="4104DBCD" w14:textId="16C10920" w:rsidR="00437C9C" w:rsidRPr="002210C2" w:rsidRDefault="00437C9C" w:rsidP="00D22060">
            <w:pPr>
              <w:pStyle w:val="ListParagraph"/>
              <w:numPr>
                <w:ilvl w:val="1"/>
                <w:numId w:val="25"/>
              </w:numPr>
              <w:spacing w:line="240" w:lineRule="auto"/>
            </w:pPr>
            <w:r w:rsidRPr="002210C2">
              <w:t xml:space="preserve">Price – </w:t>
            </w:r>
            <w:r>
              <w:t>the price for DAC has not been justified and a</w:t>
            </w:r>
            <w:r w:rsidRPr="002210C2">
              <w:t xml:space="preserve"> lower price </w:t>
            </w:r>
            <w:r>
              <w:t>for DAC was reported</w:t>
            </w:r>
            <w:r w:rsidRPr="002210C2">
              <w:t xml:space="preserve"> </w:t>
            </w:r>
            <w:r>
              <w:t xml:space="preserve">in </w:t>
            </w:r>
            <w:r w:rsidRPr="002210C2">
              <w:t xml:space="preserve">a European paper </w:t>
            </w:r>
            <w:r>
              <w:t>(</w:t>
            </w:r>
            <w:r w:rsidRPr="002210C2">
              <w:t>€500–600</w:t>
            </w:r>
            <w:r>
              <w:t xml:space="preserve"> for 10mL)</w:t>
            </w:r>
            <w:r w:rsidRPr="002210C2">
              <w:t xml:space="preserve">; </w:t>
            </w:r>
            <w:r>
              <w:t xml:space="preserve">when </w:t>
            </w:r>
            <w:r w:rsidRPr="002210C2">
              <w:t xml:space="preserve">this estimate </w:t>
            </w:r>
            <w:r>
              <w:t>($382.03 AUD for 5mL) is used the ICER for P</w:t>
            </w:r>
            <w:r w:rsidRPr="002210C2">
              <w:t xml:space="preserve">opulation 1 </w:t>
            </w:r>
            <w:r>
              <w:t>reduces to $</w:t>
            </w:r>
            <w:r w:rsidR="00DF554E">
              <w:rPr>
                <w:b/>
                <w:bCs/>
              </w:rPr>
              <w:t>redacted</w:t>
            </w:r>
            <w:r>
              <w:t>(hip) and $</w:t>
            </w:r>
            <w:r w:rsidR="00DF554E">
              <w:rPr>
                <w:b/>
                <w:bCs/>
              </w:rPr>
              <w:t>redacted</w:t>
            </w:r>
            <w:r>
              <w:t>(knee) and Population 3 remains dominant</w:t>
            </w:r>
            <w:r w:rsidRPr="002210C2">
              <w:t>, but the feasibility</w:t>
            </w:r>
            <w:r>
              <w:t xml:space="preserve"> of this price</w:t>
            </w:r>
            <w:r w:rsidRPr="002210C2">
              <w:t xml:space="preserve"> is unclear.</w:t>
            </w:r>
          </w:p>
          <w:p w14:paraId="72711984" w14:textId="24C8E37C" w:rsidR="00437C9C" w:rsidRPr="002210C2" w:rsidRDefault="00437C9C" w:rsidP="00D22060">
            <w:pPr>
              <w:pStyle w:val="ListParagraph"/>
              <w:numPr>
                <w:ilvl w:val="1"/>
                <w:numId w:val="25"/>
              </w:numPr>
              <w:spacing w:line="240" w:lineRule="auto"/>
            </w:pPr>
            <w:r w:rsidRPr="002210C2">
              <w:t xml:space="preserve">Assumed number of kits – </w:t>
            </w:r>
            <w:r>
              <w:t xml:space="preserve">based on the clinical evidence, the CUA assumed </w:t>
            </w:r>
            <w:r w:rsidR="00DF554E">
              <w:rPr>
                <w:b/>
                <w:bCs/>
              </w:rPr>
              <w:t>redacted</w:t>
            </w:r>
            <w:r w:rsidR="00DF554E" w:rsidDel="00DF554E">
              <w:t xml:space="preserve"> </w:t>
            </w:r>
            <w:r>
              <w:t xml:space="preserve">kits and </w:t>
            </w:r>
            <w:r w:rsidR="00DF554E">
              <w:rPr>
                <w:b/>
                <w:bCs/>
              </w:rPr>
              <w:t>redacted</w:t>
            </w:r>
            <w:r w:rsidR="00DF554E" w:rsidDel="00DF554E">
              <w:t xml:space="preserve"> </w:t>
            </w:r>
            <w:r>
              <w:t>kits used for Population 1 and 3, respectively. When the number of kits was varied</w:t>
            </w:r>
            <w:r w:rsidRPr="002210C2">
              <w:t xml:space="preserve"> (</w:t>
            </w:r>
            <w:r w:rsidR="00DF554E">
              <w:rPr>
                <w:b/>
                <w:bCs/>
              </w:rPr>
              <w:t>redacted</w:t>
            </w:r>
            <w:r w:rsidR="00DF554E" w:rsidRPr="002210C2" w:rsidDel="00DF554E">
              <w:t xml:space="preserve"> </w:t>
            </w:r>
            <w:r w:rsidRPr="002210C2">
              <w:t xml:space="preserve">kits), </w:t>
            </w:r>
            <w:r>
              <w:t>the ICER for P</w:t>
            </w:r>
            <w:r w:rsidRPr="002210C2">
              <w:t>opulation</w:t>
            </w:r>
            <w:r>
              <w:t> </w:t>
            </w:r>
            <w:r w:rsidRPr="002210C2">
              <w:t xml:space="preserve">1 remains </w:t>
            </w:r>
            <w:r>
              <w:t>high ($</w:t>
            </w:r>
            <w:r w:rsidR="00DF554E">
              <w:rPr>
                <w:b/>
                <w:bCs/>
              </w:rPr>
              <w:t>redacted</w:t>
            </w:r>
            <w:r>
              <w:t>-$</w:t>
            </w:r>
            <w:r w:rsidR="00380B34">
              <w:rPr>
                <w:b/>
                <w:bCs/>
              </w:rPr>
              <w:t>redacted</w:t>
            </w:r>
            <w:r w:rsidR="00380B34" w:rsidDel="00380B34">
              <w:t xml:space="preserve"> </w:t>
            </w:r>
            <w:r>
              <w:t>[hip] and $</w:t>
            </w:r>
            <w:r w:rsidR="00380B34">
              <w:rPr>
                <w:b/>
                <w:bCs/>
              </w:rPr>
              <w:t>redacted</w:t>
            </w:r>
            <w:r w:rsidR="00380B34" w:rsidDel="00380B34">
              <w:t xml:space="preserve"> </w:t>
            </w:r>
            <w:r>
              <w:t>-$</w:t>
            </w:r>
            <w:r w:rsidR="00380B34">
              <w:rPr>
                <w:b/>
                <w:bCs/>
              </w:rPr>
              <w:t>redacted</w:t>
            </w:r>
            <w:r w:rsidR="00380B34" w:rsidDel="00380B34">
              <w:t xml:space="preserve"> </w:t>
            </w:r>
            <w:r>
              <w:t>[knee])</w:t>
            </w:r>
            <w:r w:rsidRPr="002210C2">
              <w:t xml:space="preserve">, while </w:t>
            </w:r>
            <w:r>
              <w:t>P</w:t>
            </w:r>
            <w:r w:rsidRPr="002210C2">
              <w:t>opulation 3 remains dominant.</w:t>
            </w:r>
          </w:p>
          <w:p w14:paraId="77ECD92E" w14:textId="77777777" w:rsidR="00437C9C" w:rsidRPr="003207C6" w:rsidRDefault="00437C9C" w:rsidP="00E937EE">
            <w:pPr>
              <w:spacing w:line="240" w:lineRule="auto"/>
              <w:ind w:left="0"/>
              <w:rPr>
                <w:b/>
                <w:bCs/>
              </w:rPr>
            </w:pPr>
            <w:r w:rsidRPr="003207C6">
              <w:rPr>
                <w:b/>
                <w:bCs/>
              </w:rPr>
              <w:t>Financial issues:</w:t>
            </w:r>
          </w:p>
          <w:p w14:paraId="5454C035" w14:textId="77777777" w:rsidR="00437C9C" w:rsidRDefault="00437C9C" w:rsidP="00D22060">
            <w:pPr>
              <w:pStyle w:val="ListParagraph"/>
              <w:numPr>
                <w:ilvl w:val="0"/>
                <w:numId w:val="25"/>
              </w:numPr>
              <w:spacing w:line="240" w:lineRule="auto"/>
            </w:pPr>
            <w:r w:rsidRPr="002210C2">
              <w:t>The patient cost burdens and inequalities are substantial. The expectation is that much of the cost is borne by the private sector (and</w:t>
            </w:r>
            <w:r>
              <w:t>/or</w:t>
            </w:r>
            <w:r w:rsidRPr="002210C2">
              <w:t xml:space="preserve"> patients). There is a high risk </w:t>
            </w:r>
            <w:r>
              <w:t xml:space="preserve">for DAC+antibiotics to be used beyond the proposed patient populations </w:t>
            </w:r>
            <w:r w:rsidRPr="002210C2">
              <w:t xml:space="preserve">due to the ambiguity </w:t>
            </w:r>
            <w:r>
              <w:t>of what is considered high-risk for SSI</w:t>
            </w:r>
            <w:r w:rsidRPr="002210C2">
              <w:t>.</w:t>
            </w:r>
          </w:p>
          <w:p w14:paraId="525E8CE4" w14:textId="77777777" w:rsidR="00437C9C" w:rsidRPr="000A4AD3" w:rsidRDefault="00437C9C" w:rsidP="00D22060">
            <w:pPr>
              <w:spacing w:line="240" w:lineRule="auto"/>
              <w:ind w:left="0"/>
              <w:rPr>
                <w:b/>
                <w:bCs/>
              </w:rPr>
            </w:pPr>
            <w:r w:rsidRPr="000A4AD3">
              <w:rPr>
                <w:b/>
                <w:bCs/>
              </w:rPr>
              <w:t>Other issues:</w:t>
            </w:r>
          </w:p>
          <w:p w14:paraId="104FE64A" w14:textId="77777777" w:rsidR="00437C9C" w:rsidRPr="0005408B" w:rsidRDefault="00437C9C" w:rsidP="00D22060">
            <w:pPr>
              <w:pStyle w:val="ListParagraph"/>
              <w:numPr>
                <w:ilvl w:val="0"/>
                <w:numId w:val="29"/>
              </w:numPr>
              <w:spacing w:line="240" w:lineRule="auto"/>
              <w:rPr>
                <w:b/>
                <w:bCs/>
              </w:rPr>
            </w:pPr>
            <w:r w:rsidRPr="007A7156">
              <w:t>DAC is not included on the Australian Register of Therapeutic Goods (ARTG). DAC is currently under evaluation by the Therapeutic Goods Administration (TGA).  As per the proposed indication submitted to the TGA for evaluation, DAC must be used</w:t>
            </w:r>
            <w:r w:rsidRPr="0005408B">
              <w:t xml:space="preserve"> with antibiotics (supplied separately).</w:t>
            </w:r>
          </w:p>
        </w:tc>
      </w:tr>
    </w:tbl>
    <w:bookmarkEnd w:id="139"/>
    <w:p w14:paraId="378EB626" w14:textId="77777777" w:rsidR="00437C9C" w:rsidRPr="00BA081A" w:rsidRDefault="00437C9C" w:rsidP="00437C9C">
      <w:pPr>
        <w:pStyle w:val="ExecSummHeading3"/>
      </w:pPr>
      <w:r w:rsidRPr="00BA081A">
        <w:lastRenderedPageBreak/>
        <w:t>ESC discussion</w:t>
      </w:r>
    </w:p>
    <w:p w14:paraId="78EE9FFA" w14:textId="77777777" w:rsidR="00437C9C" w:rsidRPr="00BA081A" w:rsidRDefault="00437C9C" w:rsidP="00437C9C">
      <w:pPr>
        <w:spacing w:line="240" w:lineRule="auto"/>
      </w:pPr>
      <w:r w:rsidRPr="00BA081A">
        <w:t>ESC noted that this application from Novagenit Australia seeks MSAC’s advice to inform the Prostheses List Advisory Committee (PLAC) on the comparative safety, effectiveness and cost-effectiveness of Defensive Antibacterial Coating 5 ml kit (DAC) for patients at risk of periprosthetic deep surgical site infection (SSI) when undergoing surgery with orthopaedic implant procedures.</w:t>
      </w:r>
    </w:p>
    <w:p w14:paraId="757C214B" w14:textId="77777777" w:rsidR="00437C9C" w:rsidRPr="00BA081A" w:rsidRDefault="00437C9C" w:rsidP="00437C9C">
      <w:pPr>
        <w:spacing w:line="240" w:lineRule="auto"/>
      </w:pPr>
      <w:r w:rsidRPr="007A7156">
        <w:t xml:space="preserve">ESC noted that DAC is a dry powder that is rehydrated using an antibiotic solution (vancomycin or gentamicin, supplied separately) to form an antibiotic-loaded hydrogel (DAC+antibiotics). DAC is not included on the Australian Register of Therapeutic Goods (ARTG) but is currently under </w:t>
      </w:r>
      <w:r w:rsidRPr="007A7156">
        <w:lastRenderedPageBreak/>
        <w:t>evaluation by the Therapeutic Goods Administration (TGA).</w:t>
      </w:r>
      <w:r w:rsidRPr="002F559F">
        <w:t xml:space="preserve"> As per the proposed indication submitted to the TGA for evaluation, DAC must be used with antibiotics.</w:t>
      </w:r>
    </w:p>
    <w:p w14:paraId="3616349B" w14:textId="77777777" w:rsidR="00437C9C" w:rsidRPr="00BA081A" w:rsidRDefault="00437C9C" w:rsidP="00437C9C">
      <w:pPr>
        <w:spacing w:line="240" w:lineRule="auto"/>
      </w:pPr>
      <w:r w:rsidRPr="00BA081A">
        <w:t xml:space="preserve">ESC noted that </w:t>
      </w:r>
      <w:r>
        <w:t>t</w:t>
      </w:r>
      <w:r w:rsidRPr="00BA081A">
        <w:t>here are existing</w:t>
      </w:r>
      <w:r>
        <w:t xml:space="preserve"> Medicare Benefit Schedule (</w:t>
      </w:r>
      <w:r w:rsidRPr="00BA081A">
        <w:t>MBS</w:t>
      </w:r>
      <w:r>
        <w:t>)</w:t>
      </w:r>
      <w:r w:rsidRPr="00BA081A">
        <w:t xml:space="preserve"> items </w:t>
      </w:r>
      <w:r>
        <w:t>that</w:t>
      </w:r>
      <w:r w:rsidRPr="00BA081A">
        <w:t xml:space="preserve"> can accommodate the delivery of DAC+antibiotics </w:t>
      </w:r>
      <w:r>
        <w:t xml:space="preserve">and therefore </w:t>
      </w:r>
      <w:r w:rsidRPr="00BA081A">
        <w:t>this application is not seeking to create or amend an MBS item.</w:t>
      </w:r>
    </w:p>
    <w:p w14:paraId="0CECE99D" w14:textId="77777777" w:rsidR="00437C9C" w:rsidRPr="00BA081A" w:rsidRDefault="00437C9C" w:rsidP="00437C9C">
      <w:pPr>
        <w:spacing w:line="240" w:lineRule="auto"/>
      </w:pPr>
      <w:r w:rsidRPr="00BA081A">
        <w:t>ESC noted that public consultation feedback highlighted the distress that infection can cause patients, as it results in pain and requires further surgery. Infections are a serious issue in orthopaedic surgeries, as they are often immunosuppressed patients having surgery after radiotherapy or chemotherapy. Infections can lead to amputations shortly after surgical implant</w:t>
      </w:r>
      <w:r>
        <w:t xml:space="preserve"> </w:t>
      </w:r>
      <w:r w:rsidRPr="00BA081A">
        <w:t>s</w:t>
      </w:r>
      <w:r>
        <w:t>urgery</w:t>
      </w:r>
      <w:r w:rsidRPr="00BA081A">
        <w:t xml:space="preserve">. ESC noted </w:t>
      </w:r>
      <w:r>
        <w:t>feedback from</w:t>
      </w:r>
      <w:r w:rsidRPr="00E43361">
        <w:t xml:space="preserve"> Musculoskeletal Australia (MSK)</w:t>
      </w:r>
      <w:r>
        <w:t xml:space="preserve"> suggested </w:t>
      </w:r>
      <w:r w:rsidRPr="00BA081A">
        <w:t xml:space="preserve">that, despite modern improvement, infection rates have remained stable. Benefits of DAC that were highlighted in the feedback include reduced risk of infection, reduced hospital stays, less time off work and financial distress for patients, and improved survival. However, </w:t>
      </w:r>
      <w:r>
        <w:t>feedback noted a</w:t>
      </w:r>
      <w:r w:rsidRPr="00BA081A">
        <w:t xml:space="preserve"> potential disadvantage was the high cost.</w:t>
      </w:r>
    </w:p>
    <w:p w14:paraId="77CAF490" w14:textId="77777777" w:rsidR="00437C9C" w:rsidRPr="00BA081A" w:rsidRDefault="00437C9C" w:rsidP="00437C9C">
      <w:pPr>
        <w:keepNext/>
        <w:spacing w:after="120" w:line="240" w:lineRule="auto"/>
      </w:pPr>
      <w:r w:rsidRPr="00BA081A">
        <w:t xml:space="preserve">ESC noted </w:t>
      </w:r>
      <w:r>
        <w:t>t</w:t>
      </w:r>
      <w:r w:rsidRPr="00BA081A">
        <w:t>here are four proposed populations:</w:t>
      </w:r>
    </w:p>
    <w:p w14:paraId="401531EC" w14:textId="77777777" w:rsidR="00437C9C" w:rsidRPr="00BA081A" w:rsidRDefault="00437C9C" w:rsidP="00437C9C">
      <w:pPr>
        <w:pStyle w:val="ListParagraph"/>
        <w:numPr>
          <w:ilvl w:val="0"/>
          <w:numId w:val="20"/>
        </w:numPr>
        <w:tabs>
          <w:tab w:val="num" w:pos="360"/>
        </w:tabs>
        <w:spacing w:after="120" w:line="240" w:lineRule="auto"/>
      </w:pPr>
      <w:r w:rsidRPr="00BA081A">
        <w:t>Population 1: Patients undergoing an elective primary joint implant at increased risk of infection due to the presence of comorbidities (American Society of Anaesthesiologists [ASA] score ≥3, body mass index (BMI) &gt;30 kg/m</w:t>
      </w:r>
      <w:r w:rsidRPr="00BA081A">
        <w:rPr>
          <w:vertAlign w:val="superscript"/>
        </w:rPr>
        <w:t>2</w:t>
      </w:r>
      <w:r w:rsidRPr="00BA081A">
        <w:t>, and receiving cementless components).</w:t>
      </w:r>
    </w:p>
    <w:p w14:paraId="0828FD16" w14:textId="77777777" w:rsidR="00437C9C" w:rsidRPr="00BA081A" w:rsidRDefault="00437C9C" w:rsidP="00437C9C">
      <w:pPr>
        <w:pStyle w:val="ListParagraph"/>
        <w:numPr>
          <w:ilvl w:val="0"/>
          <w:numId w:val="20"/>
        </w:numPr>
        <w:tabs>
          <w:tab w:val="num" w:pos="360"/>
        </w:tabs>
        <w:spacing w:after="120" w:line="240" w:lineRule="auto"/>
      </w:pPr>
      <w:r w:rsidRPr="00BA081A">
        <w:t>Population 2: Patients undergoing elective megaprosthesis implantation or elective major revision of joint implants for indications other than periprosthetic infection, including total joint revision, tumour removal and reconstruction.</w:t>
      </w:r>
    </w:p>
    <w:p w14:paraId="2781DA02" w14:textId="77777777" w:rsidR="00437C9C" w:rsidRPr="00BA081A" w:rsidRDefault="00437C9C" w:rsidP="00437C9C">
      <w:pPr>
        <w:pStyle w:val="ListParagraph"/>
        <w:numPr>
          <w:ilvl w:val="0"/>
          <w:numId w:val="20"/>
        </w:numPr>
        <w:tabs>
          <w:tab w:val="num" w:pos="360"/>
        </w:tabs>
        <w:spacing w:after="120" w:line="240" w:lineRule="auto"/>
      </w:pPr>
      <w:r w:rsidRPr="00BA081A">
        <w:t>Population 3: Patients undergoing surgery for periprosthetic deep SSI with implant replacement.</w:t>
      </w:r>
    </w:p>
    <w:p w14:paraId="3B954E3A" w14:textId="77777777" w:rsidR="00437C9C" w:rsidRPr="00BA081A" w:rsidRDefault="00437C9C" w:rsidP="00437C9C">
      <w:pPr>
        <w:pStyle w:val="ListParagraph"/>
        <w:numPr>
          <w:ilvl w:val="0"/>
          <w:numId w:val="20"/>
        </w:numPr>
        <w:tabs>
          <w:tab w:val="num" w:pos="360"/>
        </w:tabs>
        <w:spacing w:after="0" w:line="240" w:lineRule="auto"/>
      </w:pPr>
      <w:r w:rsidRPr="00BA081A">
        <w:t>Population 4: Patients undergoing open reduction and internal fixation.</w:t>
      </w:r>
    </w:p>
    <w:p w14:paraId="69E6D631" w14:textId="77777777" w:rsidR="00437C9C" w:rsidRPr="003E6FCC" w:rsidRDefault="00437C9C" w:rsidP="00437C9C">
      <w:pPr>
        <w:pStyle w:val="ListParagraph"/>
        <w:numPr>
          <w:ilvl w:val="0"/>
          <w:numId w:val="19"/>
        </w:numPr>
        <w:tabs>
          <w:tab w:val="clear" w:pos="576"/>
          <w:tab w:val="num" w:pos="1134"/>
        </w:tabs>
        <w:spacing w:after="0" w:line="240" w:lineRule="auto"/>
        <w:ind w:left="1134" w:hanging="414"/>
      </w:pPr>
      <w:r w:rsidRPr="003E6FCC">
        <w:t>Subgroup 1 (population 4A): Closed fracture with comorbidities (ASA score ≥3 and BMI &gt;30).</w:t>
      </w:r>
    </w:p>
    <w:p w14:paraId="57B40ECF" w14:textId="77777777" w:rsidR="00437C9C" w:rsidRPr="00BA081A" w:rsidRDefault="00437C9C" w:rsidP="00437C9C">
      <w:pPr>
        <w:numPr>
          <w:ilvl w:val="0"/>
          <w:numId w:val="19"/>
        </w:numPr>
        <w:tabs>
          <w:tab w:val="left" w:pos="720"/>
        </w:tabs>
        <w:spacing w:line="240" w:lineRule="auto"/>
      </w:pPr>
      <w:r w:rsidRPr="00BA081A">
        <w:t>Subgroup 2 (population 4B): Open fracture.</w:t>
      </w:r>
    </w:p>
    <w:p w14:paraId="31A90274" w14:textId="77777777" w:rsidR="00437C9C" w:rsidRDefault="00437C9C" w:rsidP="00437C9C">
      <w:pPr>
        <w:spacing w:line="240" w:lineRule="auto"/>
      </w:pPr>
      <w:r w:rsidRPr="00BA081A">
        <w:t xml:space="preserve">ESC </w:t>
      </w:r>
      <w:r>
        <w:t xml:space="preserve">noted the intent of the proposed populations is to identify individuals at high risk of SSI following orthopaedic implant surgery. ESC </w:t>
      </w:r>
      <w:r w:rsidRPr="00BA081A">
        <w:t>considered that there are other groups that an orthopaedic surgeon would consider at high risk of infection before considering the ASA and BMI</w:t>
      </w:r>
      <w:r>
        <w:t xml:space="preserve">. </w:t>
      </w:r>
      <w:r w:rsidRPr="00BA081A">
        <w:t xml:space="preserve"> comorbidities, including age, being male, </w:t>
      </w:r>
      <w:r>
        <w:t xml:space="preserve">other comorbidities (such as </w:t>
      </w:r>
      <w:r w:rsidRPr="00BA081A">
        <w:t>inflammatory joint or liver disease</w:t>
      </w:r>
      <w:r>
        <w:t>), previous trauma, the location of the joint being replaced and tissue quality. ESC considered that this</w:t>
      </w:r>
      <w:r w:rsidRPr="00AC5190">
        <w:t xml:space="preserve"> </w:t>
      </w:r>
      <w:r>
        <w:t>may lead to DAC+antibiotics being used beyond the patient populations proposed.</w:t>
      </w:r>
    </w:p>
    <w:p w14:paraId="3BCFDB28" w14:textId="6620F6DA" w:rsidR="00437C9C" w:rsidRPr="00BA081A" w:rsidRDefault="00437C9C" w:rsidP="00437C9C">
      <w:pPr>
        <w:spacing w:line="240" w:lineRule="auto"/>
      </w:pPr>
      <w:r>
        <w:t xml:space="preserve">ESC noted </w:t>
      </w:r>
      <w:r w:rsidRPr="00BA081A">
        <w:t>that the comparator</w:t>
      </w:r>
      <w:r>
        <w:t xml:space="preserve"> for each population</w:t>
      </w:r>
      <w:r w:rsidRPr="00BA081A">
        <w:t xml:space="preserve"> is standard (orthopaedic implant) surgery without DAC+antibiotics.</w:t>
      </w:r>
    </w:p>
    <w:p w14:paraId="30175E28" w14:textId="77777777" w:rsidR="00437C9C" w:rsidRPr="00BA081A" w:rsidRDefault="00437C9C" w:rsidP="00437C9C">
      <w:pPr>
        <w:spacing w:line="240" w:lineRule="auto"/>
      </w:pPr>
      <w:r w:rsidRPr="00BA081A">
        <w:t xml:space="preserve">ESC noted the clinical management algorithms have some limitations. The algorithms are based on the McPherson Classification of Periprosthetic Infection, which is 20 years old and outdated. </w:t>
      </w:r>
      <w:r>
        <w:t>ESC highlighted that t</w:t>
      </w:r>
      <w:r w:rsidRPr="00BA081A">
        <w:t>reatment guidelines have evolved</w:t>
      </w:r>
      <w:r>
        <w:t xml:space="preserve">, such that treatment of SSI is now more sophisticated. </w:t>
      </w:r>
      <w:r w:rsidRPr="00BA081A">
        <w:t>ESC also considered the definition of “acute infection”</w:t>
      </w:r>
      <w:r>
        <w:t xml:space="preserve"> (and treatment choice)</w:t>
      </w:r>
      <w:r w:rsidRPr="00BA081A">
        <w:t xml:space="preserve"> is multivariable</w:t>
      </w:r>
      <w:r>
        <w:t xml:space="preserve"> taking into consideration time (4 weeks or less), whether there has been haematological spread and the type of organism including antibiotic susceptibility and biofilm formation. As such,</w:t>
      </w:r>
      <w:r w:rsidRPr="00BA081A">
        <w:t xml:space="preserve"> some acute infections are treated</w:t>
      </w:r>
      <w:r>
        <w:t xml:space="preserve"> with </w:t>
      </w:r>
      <w:r w:rsidRPr="00693237">
        <w:t xml:space="preserve">debridement, antibiotics, and implant retention </w:t>
      </w:r>
      <w:r>
        <w:t>(DAIR; per the algorithm) and some acute infections are treated with a 2-stage revision (similar to a chronic infection)</w:t>
      </w:r>
      <w:r w:rsidRPr="00BA081A">
        <w:t>.</w:t>
      </w:r>
      <w:r>
        <w:t xml:space="preserve"> While</w:t>
      </w:r>
      <w:r w:rsidRPr="00BA081A">
        <w:t xml:space="preserve"> </w:t>
      </w:r>
      <w:r>
        <w:t xml:space="preserve">ESC considered the algorithms were a suitable starting point for the assessment, </w:t>
      </w:r>
      <w:r w:rsidRPr="00BA081A">
        <w:t xml:space="preserve">ESC suggested that MSAC </w:t>
      </w:r>
      <w:r>
        <w:t xml:space="preserve">take into consideration </w:t>
      </w:r>
      <w:r w:rsidRPr="00BA081A">
        <w:t xml:space="preserve">what is current in </w:t>
      </w:r>
      <w:r w:rsidRPr="00BA081A">
        <w:lastRenderedPageBreak/>
        <w:t>Australia for periprosthetic infection</w:t>
      </w:r>
      <w:r>
        <w:t xml:space="preserve"> (such as</w:t>
      </w:r>
      <w:r w:rsidRPr="00BA081A">
        <w:t xml:space="preserve"> Izakovicova et al. 2019</w:t>
      </w:r>
      <w:r w:rsidRPr="00BA081A">
        <w:rPr>
          <w:vertAlign w:val="superscript"/>
        </w:rPr>
        <w:footnoteReference w:id="21"/>
      </w:r>
      <w:r w:rsidRPr="00BA081A">
        <w:t xml:space="preserve"> and Wasterlain et al. 2020</w:t>
      </w:r>
      <w:r w:rsidRPr="00BA081A">
        <w:rPr>
          <w:vertAlign w:val="superscript"/>
        </w:rPr>
        <w:footnoteReference w:id="22"/>
      </w:r>
      <w:r>
        <w:t>).</w:t>
      </w:r>
    </w:p>
    <w:p w14:paraId="0B83E918" w14:textId="77777777" w:rsidR="00437C9C" w:rsidRPr="00BA081A" w:rsidRDefault="00437C9C" w:rsidP="00437C9C">
      <w:pPr>
        <w:spacing w:line="240" w:lineRule="auto"/>
      </w:pPr>
      <w:r>
        <w:t xml:space="preserve">ESC noted the clinical evidence for each population compared standard surgery with or without DAC+antibiotics, that is there was no clinical evidence on DAC alone (without antibiotics). Therefore, the Department Contracted Assessment Report could </w:t>
      </w:r>
      <w:r w:rsidRPr="00BA081A">
        <w:t xml:space="preserve">not </w:t>
      </w:r>
      <w:r>
        <w:t>compare</w:t>
      </w:r>
      <w:r w:rsidRPr="00BA081A">
        <w:t xml:space="preserve"> DAC versus DAC+antibiotics, or </w:t>
      </w:r>
      <w:r>
        <w:t xml:space="preserve">standard surgery with and without </w:t>
      </w:r>
      <w:r w:rsidRPr="00BA081A">
        <w:t xml:space="preserve">DAC </w:t>
      </w:r>
      <w:r>
        <w:t>alone</w:t>
      </w:r>
      <w:r w:rsidRPr="00BA081A">
        <w:t xml:space="preserve">. The effect (if any) of DAC is </w:t>
      </w:r>
      <w:r>
        <w:t>unknown</w:t>
      </w:r>
      <w:r w:rsidRPr="00BA081A">
        <w:t xml:space="preserve">. ESC </w:t>
      </w:r>
      <w:r>
        <w:t xml:space="preserve">also </w:t>
      </w:r>
      <w:r w:rsidRPr="00BA081A">
        <w:t>noted that not all antibiotics are compatible with DAC</w:t>
      </w:r>
      <w:r>
        <w:t xml:space="preserve"> and</w:t>
      </w:r>
      <w:r w:rsidRPr="00BA081A">
        <w:t xml:space="preserve"> that there was no evidence for population 4, subgroup 2</w:t>
      </w:r>
      <w:r>
        <w:t xml:space="preserve"> (open fractures)</w:t>
      </w:r>
      <w:r w:rsidRPr="00BA081A">
        <w:t>.</w:t>
      </w:r>
    </w:p>
    <w:p w14:paraId="5E91F8E9" w14:textId="65B50F6E" w:rsidR="00437C9C" w:rsidRPr="00BA081A" w:rsidRDefault="00437C9C" w:rsidP="00437C9C">
      <w:pPr>
        <w:spacing w:line="240" w:lineRule="auto"/>
      </w:pPr>
      <w:r>
        <w:t xml:space="preserve">ESC agreed with the DCAR assessment that the evidence for DAC+antibiotics is </w:t>
      </w:r>
      <w:r w:rsidRPr="00BA081A">
        <w:t xml:space="preserve">limited and </w:t>
      </w:r>
      <w:r>
        <w:t xml:space="preserve">of </w:t>
      </w:r>
      <w:r w:rsidRPr="00BA081A">
        <w:t xml:space="preserve">low/very-low quality </w:t>
      </w:r>
      <w:r>
        <w:t>which made any conclusion on the safety and effectiveness</w:t>
      </w:r>
      <w:r w:rsidRPr="00BA081A">
        <w:t xml:space="preserve"> uncertain. ESC noted several issues with the evidence, including small patient numbers, short follow-up times</w:t>
      </w:r>
      <w:r>
        <w:t xml:space="preserve"> and</w:t>
      </w:r>
      <w:r w:rsidR="004D18CC">
        <w:t xml:space="preserve"> clinical trial data for</w:t>
      </w:r>
      <w:r w:rsidR="006C2773">
        <w:t xml:space="preserve"> DAC in</w:t>
      </w:r>
      <w:r w:rsidR="004D18CC">
        <w:t xml:space="preserve"> population 1 </w:t>
      </w:r>
      <w:r w:rsidR="006C2773">
        <w:t xml:space="preserve">was </w:t>
      </w:r>
      <w:r w:rsidRPr="00BA081A">
        <w:t>only</w:t>
      </w:r>
      <w:r w:rsidR="006C2773">
        <w:t xml:space="preserve"> </w:t>
      </w:r>
      <w:r w:rsidR="00687B68">
        <w:t>available</w:t>
      </w:r>
      <w:r w:rsidR="006C2773">
        <w:t xml:space="preserve"> in</w:t>
      </w:r>
      <w:r w:rsidRPr="00BA081A">
        <w:t xml:space="preserve"> hip and knee surgery</w:t>
      </w:r>
      <w:r>
        <w:t>.</w:t>
      </w:r>
      <w:r w:rsidRPr="00BA081A">
        <w:t xml:space="preserve"> </w:t>
      </w:r>
      <w:r>
        <w:t xml:space="preserve">ESC agreed with the </w:t>
      </w:r>
      <w:r w:rsidRPr="00BA081A">
        <w:t xml:space="preserve">concerns </w:t>
      </w:r>
      <w:r>
        <w:t>raised in the DCAR regarding</w:t>
      </w:r>
      <w:r w:rsidRPr="00BA081A">
        <w:t xml:space="preserve"> the risk of bias in the </w:t>
      </w:r>
      <w:r>
        <w:t xml:space="preserve">two </w:t>
      </w:r>
      <w:r w:rsidRPr="00BA081A">
        <w:t>RCTs</w:t>
      </w:r>
      <w:r>
        <w:t xml:space="preserve"> due</w:t>
      </w:r>
      <w:r w:rsidRPr="00BA081A">
        <w:t xml:space="preserve"> issues with blinding, outcome assessment and control group measurement. There was also a high risk of bias with the </w:t>
      </w:r>
      <w:r>
        <w:t xml:space="preserve">four </w:t>
      </w:r>
      <w:r w:rsidRPr="00BA081A">
        <w:t>case</w:t>
      </w:r>
      <w:r>
        <w:t>-</w:t>
      </w:r>
      <w:r w:rsidRPr="00BA081A">
        <w:t>control</w:t>
      </w:r>
      <w:r>
        <w:t>led</w:t>
      </w:r>
      <w:r w:rsidRPr="00BA081A">
        <w:t xml:space="preserve"> studies</w:t>
      </w:r>
      <w:r>
        <w:t xml:space="preserve"> due to the study designs (non-randomised, retrospective)</w:t>
      </w:r>
      <w:r w:rsidRPr="00BA081A">
        <w:t>.</w:t>
      </w:r>
      <w:r w:rsidRPr="00C96491">
        <w:t xml:space="preserve"> </w:t>
      </w:r>
      <w:r>
        <w:t>ESC also noted that it is difficult to draw conclusions from Capuano 2018</w:t>
      </w:r>
      <w:r>
        <w:rPr>
          <w:rStyle w:val="FootnoteReference"/>
          <w:rFonts w:cs="Times New Roman"/>
          <w:color w:val="000000"/>
          <w:szCs w:val="20"/>
        </w:rPr>
        <w:footnoteReference w:id="23"/>
      </w:r>
      <w:r>
        <w:t xml:space="preserve"> which employed different types of revision surgery in the intervention and comparator arm (i.e. compared 1-stage revision with DAC+antibiotics vs. 2-stage revision without DAC+antibiotics).</w:t>
      </w:r>
    </w:p>
    <w:p w14:paraId="2106EF84" w14:textId="3916F5D2" w:rsidR="00437C9C" w:rsidRPr="00BA081A" w:rsidRDefault="00437C9C" w:rsidP="00437C9C">
      <w:pPr>
        <w:spacing w:line="240" w:lineRule="auto"/>
      </w:pPr>
      <w:r>
        <w:t>ESC noted</w:t>
      </w:r>
      <w:r w:rsidRPr="00BA081A">
        <w:t xml:space="preserve"> the</w:t>
      </w:r>
      <w:r>
        <w:t xml:space="preserve"> potential control group measurement bias issue was due to the</w:t>
      </w:r>
      <w:r w:rsidRPr="00BA081A">
        <w:t xml:space="preserve"> assumed incidence of SSI</w:t>
      </w:r>
      <w:r>
        <w:t xml:space="preserve"> (6%</w:t>
      </w:r>
      <w:r w:rsidRPr="00BA081A">
        <w:t xml:space="preserve"> for the control group</w:t>
      </w:r>
      <w:r>
        <w:t>)</w:t>
      </w:r>
      <w:r w:rsidRPr="00BA081A">
        <w:t xml:space="preserve"> </w:t>
      </w:r>
      <w:r>
        <w:t>for power calculations</w:t>
      </w:r>
      <w:r w:rsidRPr="00BA081A">
        <w:t xml:space="preserve"> </w:t>
      </w:r>
      <w:r>
        <w:t xml:space="preserve">in </w:t>
      </w:r>
      <w:r w:rsidRPr="00BA081A">
        <w:t xml:space="preserve">the RCTs </w:t>
      </w:r>
      <w:r>
        <w:t xml:space="preserve">which is not consistent with the incidence of SSI </w:t>
      </w:r>
      <w:r w:rsidR="002D694A">
        <w:t>(using the rate of revision procedures for infection)</w:t>
      </w:r>
      <w:r>
        <w:t xml:space="preserve"> in Australia (~1-2%) </w:t>
      </w:r>
      <w:r w:rsidRPr="00BA081A">
        <w:t>based on data from the Australian Orthopaedic Association National Joint Replacement Registry (AOANJRR</w:t>
      </w:r>
      <w:r>
        <w:t>). Therefore, the study may be underpowered</w:t>
      </w:r>
      <w:r w:rsidRPr="00BA081A">
        <w:t>.</w:t>
      </w:r>
      <w:r>
        <w:t xml:space="preserve"> ESC also considered t</w:t>
      </w:r>
      <w:r w:rsidRPr="00BA081A">
        <w:t xml:space="preserve">he applicability of the evidence to </w:t>
      </w:r>
      <w:r>
        <w:t>the</w:t>
      </w:r>
      <w:r w:rsidRPr="00BA081A">
        <w:t xml:space="preserve"> Australian population </w:t>
      </w:r>
      <w:r>
        <w:t>was</w:t>
      </w:r>
      <w:r w:rsidRPr="00BA081A">
        <w:t xml:space="preserve"> uncertain</w:t>
      </w:r>
      <w:r>
        <w:t>.</w:t>
      </w:r>
      <w:r w:rsidRPr="00BA081A">
        <w:t xml:space="preserve"> ESC noted the pre-ESC response stated that the AOANJRR </w:t>
      </w:r>
      <w:r>
        <w:t>underestimates the infection rates and cited two publications to support this</w:t>
      </w:r>
      <w:r>
        <w:rPr>
          <w:rStyle w:val="FootnoteReference"/>
          <w:rFonts w:cs="Times New Roman"/>
          <w:color w:val="000000"/>
          <w:szCs w:val="20"/>
        </w:rPr>
        <w:footnoteReference w:id="24"/>
      </w:r>
      <w:r w:rsidRPr="000A4AD3">
        <w:rPr>
          <w:rFonts w:cs="Times New Roman"/>
          <w:color w:val="000000"/>
          <w:szCs w:val="20"/>
        </w:rPr>
        <w:t>,</w:t>
      </w:r>
      <w:r>
        <w:rPr>
          <w:rStyle w:val="FootnoteReference"/>
          <w:rFonts w:cs="Times New Roman"/>
          <w:color w:val="000000"/>
          <w:szCs w:val="20"/>
        </w:rPr>
        <w:footnoteReference w:id="25"/>
      </w:r>
      <w:r>
        <w:t>.</w:t>
      </w:r>
      <w:r w:rsidRPr="00BA081A">
        <w:t xml:space="preserve"> ESC acknowledged th</w:t>
      </w:r>
      <w:r>
        <w:t>e known limitations of using the AOANJRR data to estimate infection rates. However, ESC did not consider the 6% SSI incidence (used for the RCT power calculations) to be representative of SSI rates in primary joint arthroplasty in Australia. ESC also noted that the AOANJRR uses a more contemporary and consistent definition of revision than the studies which increases the</w:t>
      </w:r>
      <w:r w:rsidRPr="00BA081A">
        <w:t xml:space="preserve"> confidence in registry data</w:t>
      </w:r>
      <w:r>
        <w:t>.</w:t>
      </w:r>
    </w:p>
    <w:p w14:paraId="221F71DF" w14:textId="77777777" w:rsidR="00437C9C" w:rsidRPr="00BA081A" w:rsidRDefault="00437C9C" w:rsidP="00437C9C">
      <w:pPr>
        <w:spacing w:line="240" w:lineRule="auto"/>
      </w:pPr>
      <w:r w:rsidRPr="00BA081A">
        <w:t xml:space="preserve">ESC noted the DCAR </w:t>
      </w:r>
      <w:r>
        <w:t xml:space="preserve">had queried whether Population 2 should be restricted to </w:t>
      </w:r>
      <w:r w:rsidRPr="00BA081A">
        <w:t xml:space="preserve">cementless </w:t>
      </w:r>
      <w:r>
        <w:t>mega</w:t>
      </w:r>
      <w:r w:rsidRPr="00BA081A">
        <w:t xml:space="preserve">prostheses </w:t>
      </w:r>
      <w:r>
        <w:t>due to the limited</w:t>
      </w:r>
      <w:r w:rsidRPr="00BA081A">
        <w:t xml:space="preserve"> evidence</w:t>
      </w:r>
      <w:r>
        <w:t xml:space="preserve"> on DAC+antibiotics with cemented megaprostheses. ESC noted the pre-ESC response did not agree with this proposal. ESC agreed with the pre-ESC response that since most megaprostheses are anchored by cement and the rest of the prostheses is cementless (to which DAC+antibiotics can be applied), ESC did not </w:t>
      </w:r>
      <w:r w:rsidRPr="00BA081A">
        <w:t xml:space="preserve">consider </w:t>
      </w:r>
      <w:r>
        <w:t>it to be</w:t>
      </w:r>
      <w:r w:rsidRPr="00BA081A">
        <w:t xml:space="preserve"> significant factor</w:t>
      </w:r>
      <w:r>
        <w:t xml:space="preserve"> that warrants restricting to cementless megaprostheses</w:t>
      </w:r>
      <w:r w:rsidRPr="00BA081A">
        <w:t>.</w:t>
      </w:r>
    </w:p>
    <w:p w14:paraId="2B604677" w14:textId="77777777" w:rsidR="00437C9C" w:rsidRPr="00BA081A" w:rsidRDefault="00437C9C" w:rsidP="00437C9C">
      <w:pPr>
        <w:spacing w:line="240" w:lineRule="auto"/>
      </w:pPr>
      <w:r>
        <w:t xml:space="preserve">Regarding </w:t>
      </w:r>
      <w:r w:rsidRPr="00BA081A">
        <w:t>comparative safety, ESC noted that all six studies included in the DCAR reported that there were no detectable adverse events or side effects directly attributable to the DAC+antibiotic hydrogel coating across all populations. Further, no allergies associated with DAC+antibiotics were noted in the studies. The studies indicated similar incidence of safety outcomes or complications of standard surgery with and without DAC+antibiotics across all populations. However, the comparative safety evaluation was limited by short follow-up times.</w:t>
      </w:r>
    </w:p>
    <w:p w14:paraId="277BFD87" w14:textId="7954B513" w:rsidR="00437C9C" w:rsidRDefault="00437C9C" w:rsidP="00437C9C">
      <w:pPr>
        <w:spacing w:line="240" w:lineRule="auto"/>
      </w:pPr>
      <w:r>
        <w:lastRenderedPageBreak/>
        <w:t xml:space="preserve">Regarding comparative effectiveness, </w:t>
      </w:r>
      <w:r w:rsidRPr="00BA081A">
        <w:t xml:space="preserve">ESC agreed with the DCAR that the claim of superior clinical effectiveness is uncertain. ESC noted that </w:t>
      </w:r>
      <w:r>
        <w:t xml:space="preserve">while </w:t>
      </w:r>
      <w:r w:rsidRPr="00BA081A">
        <w:t>the studies</w:t>
      </w:r>
      <w:r>
        <w:t xml:space="preserve"> reported the relative risk of SSI was less than 1 (favoured surgery with DAC+antibiotics), due to the wide confidence intervals (all crossing 1),</w:t>
      </w:r>
      <w:r w:rsidRPr="00BA081A">
        <w:t xml:space="preserve"> no significant difference in </w:t>
      </w:r>
      <w:r>
        <w:t xml:space="preserve">the relative risk for SSI </w:t>
      </w:r>
      <w:r w:rsidRPr="00BA081A">
        <w:t>between surgery with and without DAC</w:t>
      </w:r>
      <w:r>
        <w:t>+antibiotics was reported for all four populations</w:t>
      </w:r>
      <w:r w:rsidRPr="00BA081A">
        <w:t>.</w:t>
      </w:r>
    </w:p>
    <w:p w14:paraId="5AB9E3A8" w14:textId="77777777" w:rsidR="00437C9C" w:rsidRPr="00BA081A" w:rsidRDefault="00437C9C" w:rsidP="00437C9C">
      <w:pPr>
        <w:spacing w:line="240" w:lineRule="auto"/>
      </w:pPr>
      <w:r w:rsidRPr="00BA081A" w:rsidDel="00C01D38">
        <w:t xml:space="preserve">ESC considered that there are many confounders </w:t>
      </w:r>
      <w:r>
        <w:t>that contribute to</w:t>
      </w:r>
      <w:r w:rsidRPr="00BA081A" w:rsidDel="00C01D38">
        <w:t xml:space="preserve"> </w:t>
      </w:r>
      <w:r>
        <w:t>periprosthetic deep SSI outcomes</w:t>
      </w:r>
      <w:r w:rsidRPr="00BA081A" w:rsidDel="00C01D38">
        <w:t>, including the type of antibiotics and organisms, and host factors.</w:t>
      </w:r>
      <w:r>
        <w:t xml:space="preserve"> </w:t>
      </w:r>
      <w:r w:rsidRPr="00BA081A">
        <w:t xml:space="preserve">ESC </w:t>
      </w:r>
      <w:r>
        <w:t xml:space="preserve">highlighted that the common causative organisms could vary by location and due to this difference, the effectiveness of DAC+antibiotics for hip and knee joint arthroplasty may not be applicable to other locations. ESC </w:t>
      </w:r>
      <w:r w:rsidRPr="00BA081A">
        <w:t>noted</w:t>
      </w:r>
      <w:r>
        <w:t xml:space="preserve"> that an </w:t>
      </w:r>
      <w:r>
        <w:rPr>
          <w:i/>
          <w:iCs/>
        </w:rPr>
        <w:t>in vitro</w:t>
      </w:r>
      <w:r w:rsidRPr="00BA081A">
        <w:t xml:space="preserve"> study </w:t>
      </w:r>
      <w:r>
        <w:t>by</w:t>
      </w:r>
      <w:r w:rsidRPr="00BA081A">
        <w:t xml:space="preserve"> Tsikopoulos et al. (2019)</w:t>
      </w:r>
      <w:r w:rsidRPr="00BA081A">
        <w:rPr>
          <w:vertAlign w:val="superscript"/>
        </w:rPr>
        <w:footnoteReference w:id="26"/>
      </w:r>
      <w:r w:rsidRPr="00BA081A">
        <w:t xml:space="preserve"> </w:t>
      </w:r>
      <w:r>
        <w:t>reported</w:t>
      </w:r>
      <w:r w:rsidRPr="00BA081A">
        <w:t xml:space="preserve"> that DAC</w:t>
      </w:r>
      <w:r>
        <w:t>+antibiotics</w:t>
      </w:r>
      <w:r w:rsidRPr="00BA081A">
        <w:t xml:space="preserve"> </w:t>
      </w:r>
      <w:r>
        <w:t xml:space="preserve">(loaded with vancomycin or rifampicin) did not inhibit </w:t>
      </w:r>
      <w:r w:rsidRPr="00655B51">
        <w:rPr>
          <w:i/>
          <w:iCs/>
        </w:rPr>
        <w:t xml:space="preserve">Cutibacterium </w:t>
      </w:r>
      <w:r>
        <w:rPr>
          <w:i/>
          <w:iCs/>
        </w:rPr>
        <w:t xml:space="preserve">acnes </w:t>
      </w:r>
      <w:r>
        <w:t>biofilm formation (the most common bacteria involved in shoulder surgery infection).</w:t>
      </w:r>
      <w:r w:rsidRPr="00BA081A">
        <w:t xml:space="preserve"> ESC </w:t>
      </w:r>
      <w:r>
        <w:t xml:space="preserve">also highlighted evidence that </w:t>
      </w:r>
      <w:r w:rsidRPr="00BA081A">
        <w:t xml:space="preserve">topical antibiotics (not </w:t>
      </w:r>
      <w:r>
        <w:t xml:space="preserve">using </w:t>
      </w:r>
      <w:r w:rsidRPr="00BA081A">
        <w:t>DAC) as part of routine treatment for hip and knee arthroplasty does not result in a reduction in infection risk</w:t>
      </w:r>
      <w:r>
        <w:t xml:space="preserve"> (</w:t>
      </w:r>
      <w:r w:rsidRPr="00BA081A">
        <w:t>Wong et al</w:t>
      </w:r>
      <w:r>
        <w:t xml:space="preserve">. </w:t>
      </w:r>
      <w:r w:rsidRPr="00BA081A">
        <w:t>2021</w:t>
      </w:r>
      <w:r w:rsidRPr="00BA081A">
        <w:rPr>
          <w:vertAlign w:val="superscript"/>
        </w:rPr>
        <w:footnoteReference w:id="27"/>
      </w:r>
      <w:r>
        <w:t>)</w:t>
      </w:r>
      <w:r w:rsidRPr="00BA081A">
        <w:t>.</w:t>
      </w:r>
    </w:p>
    <w:p w14:paraId="285F860A" w14:textId="3EF87B58" w:rsidR="00437C9C" w:rsidRPr="00BA081A" w:rsidRDefault="00437C9C" w:rsidP="00437C9C">
      <w:pPr>
        <w:spacing w:line="240" w:lineRule="auto"/>
      </w:pPr>
      <w:r w:rsidRPr="00BA081A" w:rsidDel="008B0CCB">
        <w:t>ESC noted that the low</w:t>
      </w:r>
      <w:r>
        <w:t>/very-low</w:t>
      </w:r>
      <w:r w:rsidRPr="00BA081A" w:rsidDel="008B0CCB">
        <w:t xml:space="preserve"> quality evidence limit</w:t>
      </w:r>
      <w:r>
        <w:t>ed</w:t>
      </w:r>
      <w:r w:rsidRPr="00BA081A" w:rsidDel="008B0CCB">
        <w:t xml:space="preserve"> the ability of the</w:t>
      </w:r>
      <w:r>
        <w:t xml:space="preserve"> DCAR to present useful</w:t>
      </w:r>
      <w:r w:rsidRPr="00BA081A" w:rsidDel="008B0CCB">
        <w:t xml:space="preserve"> economic evaluation</w:t>
      </w:r>
      <w:r>
        <w:t>s for each population and created high uncertainty in the modelled results. As such, a stepped cost-utility analysis (CUA) was only feasible for Population 1 and Population 3,</w:t>
      </w:r>
      <w:r w:rsidRPr="00BA081A">
        <w:t xml:space="preserve"> and separated hip and knee. Step 1 used a 1-year time horizon </w:t>
      </w:r>
      <w:r>
        <w:t xml:space="preserve">and SSI rates </w:t>
      </w:r>
      <w:r w:rsidRPr="00BA081A">
        <w:t>based on trial data</w:t>
      </w:r>
      <w:r>
        <w:t>,</w:t>
      </w:r>
      <w:r w:rsidRPr="00BA081A">
        <w:t xml:space="preserve"> </w:t>
      </w:r>
      <w:r>
        <w:t>S</w:t>
      </w:r>
      <w:r w:rsidRPr="00BA081A">
        <w:t xml:space="preserve">tep 2 used Australian SSI rates, and </w:t>
      </w:r>
      <w:r>
        <w:t>S</w:t>
      </w:r>
      <w:r w:rsidRPr="00BA081A">
        <w:t>tep 3 modelled the evaluation over 20 years.</w:t>
      </w:r>
      <w:r>
        <w:t xml:space="preserve"> ESC noted the pre-ESC response raised a number of points regarding the structure and inputs to the economic model. However, ESC was satisfied that detail in the main body of the DCAR addressed the applicant’s points. ESC noted that cost-consequence analyses were also presented for each population except for P</w:t>
      </w:r>
      <w:r w:rsidRPr="00BA081A" w:rsidDel="008B0CCB">
        <w:t xml:space="preserve">opulation 4B </w:t>
      </w:r>
      <w:r>
        <w:t xml:space="preserve">(cost-analysis only due to no available </w:t>
      </w:r>
      <w:r w:rsidRPr="00BA081A" w:rsidDel="008B0CCB">
        <w:t xml:space="preserve">comparative </w:t>
      </w:r>
      <w:r>
        <w:t>evidence).</w:t>
      </w:r>
    </w:p>
    <w:p w14:paraId="73A5F796" w14:textId="77777777" w:rsidR="00437C9C" w:rsidRPr="00BA081A" w:rsidRDefault="00437C9C" w:rsidP="00437C9C">
      <w:pPr>
        <w:keepNext/>
        <w:spacing w:after="120" w:line="240" w:lineRule="auto"/>
      </w:pPr>
      <w:r w:rsidRPr="00BA081A">
        <w:t xml:space="preserve">ESC noted several assumptions were used for the </w:t>
      </w:r>
      <w:r>
        <w:t>stepped CUA for Population 1 and 3</w:t>
      </w:r>
      <w:r w:rsidRPr="00BA081A">
        <w:t>, including:</w:t>
      </w:r>
    </w:p>
    <w:p w14:paraId="41181A0C" w14:textId="77777777" w:rsidR="00437C9C" w:rsidRPr="00BA081A" w:rsidRDefault="00437C9C" w:rsidP="00437C9C">
      <w:pPr>
        <w:pStyle w:val="ListParagraph"/>
        <w:numPr>
          <w:ilvl w:val="0"/>
          <w:numId w:val="22"/>
        </w:numPr>
        <w:tabs>
          <w:tab w:val="num" w:pos="360"/>
        </w:tabs>
        <w:spacing w:after="120" w:line="240" w:lineRule="auto"/>
      </w:pPr>
      <w:r w:rsidRPr="00BA081A">
        <w:t>a maximum of 2 revisions</w:t>
      </w:r>
    </w:p>
    <w:p w14:paraId="54AC0F35" w14:textId="77777777" w:rsidR="00437C9C" w:rsidRPr="00BA081A" w:rsidRDefault="00437C9C" w:rsidP="00437C9C">
      <w:pPr>
        <w:pStyle w:val="ListParagraph"/>
        <w:numPr>
          <w:ilvl w:val="0"/>
          <w:numId w:val="22"/>
        </w:numPr>
        <w:tabs>
          <w:tab w:val="num" w:pos="360"/>
        </w:tabs>
        <w:spacing w:after="120" w:line="240" w:lineRule="auto"/>
      </w:pPr>
      <w:r w:rsidRPr="00BA081A">
        <w:t>hip and knee follow the same pathway (but modelled separately using different model inputs)</w:t>
      </w:r>
    </w:p>
    <w:p w14:paraId="67D03DB7" w14:textId="77777777" w:rsidR="00437C9C" w:rsidRPr="00BA081A" w:rsidRDefault="00437C9C" w:rsidP="00437C9C">
      <w:pPr>
        <w:pStyle w:val="ListParagraph"/>
        <w:numPr>
          <w:ilvl w:val="0"/>
          <w:numId w:val="22"/>
        </w:numPr>
        <w:tabs>
          <w:tab w:val="num" w:pos="360"/>
        </w:tabs>
        <w:spacing w:after="120" w:line="240" w:lineRule="auto"/>
      </w:pPr>
      <w:r w:rsidRPr="00BA081A">
        <w:t>treatment effect of 1 year (risk ratio of transition to SSI state)</w:t>
      </w:r>
    </w:p>
    <w:p w14:paraId="3ADC910A" w14:textId="77777777" w:rsidR="00437C9C" w:rsidRPr="00BA081A" w:rsidRDefault="00437C9C" w:rsidP="00437C9C">
      <w:pPr>
        <w:pStyle w:val="ListParagraph"/>
        <w:numPr>
          <w:ilvl w:val="0"/>
          <w:numId w:val="22"/>
        </w:numPr>
        <w:tabs>
          <w:tab w:val="num" w:pos="360"/>
        </w:tabs>
        <w:spacing w:after="120" w:line="240" w:lineRule="auto"/>
      </w:pPr>
      <w:r w:rsidRPr="00BA081A">
        <w:t>time horizon of 20 years</w:t>
      </w:r>
      <w:r>
        <w:t xml:space="preserve"> in Step 3</w:t>
      </w:r>
      <w:r w:rsidRPr="00BA081A">
        <w:t xml:space="preserve"> (based on the life expectancy of Australian populations)</w:t>
      </w:r>
    </w:p>
    <w:p w14:paraId="3AB4F444" w14:textId="77777777" w:rsidR="00437C9C" w:rsidRPr="00BA081A" w:rsidRDefault="00437C9C" w:rsidP="00437C9C">
      <w:pPr>
        <w:pStyle w:val="ListParagraph"/>
        <w:numPr>
          <w:ilvl w:val="0"/>
          <w:numId w:val="22"/>
        </w:numPr>
        <w:tabs>
          <w:tab w:val="num" w:pos="360"/>
        </w:tabs>
        <w:spacing w:after="120" w:line="240" w:lineRule="auto"/>
      </w:pPr>
      <w:r w:rsidRPr="00BA081A">
        <w:t xml:space="preserve">SSI rates based on data from the AOANJRR </w:t>
      </w:r>
      <w:r>
        <w:t>in Step 2</w:t>
      </w:r>
      <w:r w:rsidRPr="00BA081A">
        <w:t xml:space="preserve"> (but not specific to cementless or comorbidity groups)</w:t>
      </w:r>
    </w:p>
    <w:p w14:paraId="4B0BA10E" w14:textId="77777777" w:rsidR="00437C9C" w:rsidRPr="00BA081A" w:rsidRDefault="00437C9C" w:rsidP="00437C9C">
      <w:pPr>
        <w:pStyle w:val="ListParagraph"/>
        <w:numPr>
          <w:ilvl w:val="0"/>
          <w:numId w:val="22"/>
        </w:numPr>
        <w:tabs>
          <w:tab w:val="num" w:pos="360"/>
        </w:tabs>
        <w:spacing w:after="120" w:line="240" w:lineRule="auto"/>
      </w:pPr>
      <w:r w:rsidRPr="00BA081A">
        <w:t>health-related quality of life (HRQoL) specific to infection (but not comorbidities) from literature (ESC noted</w:t>
      </w:r>
      <w:r>
        <w:t xml:space="preserve"> the impact of using HRQoL that are not specific to comorbidities as well was unclear</w:t>
      </w:r>
      <w:r w:rsidRPr="00BA081A">
        <w:t>)</w:t>
      </w:r>
    </w:p>
    <w:p w14:paraId="182E7373" w14:textId="2AE7115B" w:rsidR="00437C9C" w:rsidRPr="00346EDD" w:rsidRDefault="00437C9C" w:rsidP="00437C9C">
      <w:pPr>
        <w:pStyle w:val="ListParagraph"/>
        <w:numPr>
          <w:ilvl w:val="0"/>
          <w:numId w:val="22"/>
        </w:numPr>
        <w:tabs>
          <w:tab w:val="num" w:pos="360"/>
        </w:tabs>
        <w:spacing w:after="120" w:line="240" w:lineRule="auto"/>
      </w:pPr>
      <w:r w:rsidRPr="00346EDD">
        <w:t xml:space="preserve">direct intervention costs, including the number of kits, </w:t>
      </w:r>
      <w:r>
        <w:t xml:space="preserve">along with relatively small costs for </w:t>
      </w:r>
      <w:r w:rsidRPr="00346EDD">
        <w:t>antibiotics, sterile water, syringe and theatre time (8–15 minutes)</w:t>
      </w:r>
    </w:p>
    <w:p w14:paraId="490FC2B1" w14:textId="77777777" w:rsidR="00437C9C" w:rsidRPr="00346EDD" w:rsidRDefault="00437C9C" w:rsidP="00437C9C">
      <w:pPr>
        <w:pStyle w:val="ListParagraph"/>
        <w:numPr>
          <w:ilvl w:val="0"/>
          <w:numId w:val="22"/>
        </w:numPr>
        <w:tabs>
          <w:tab w:val="num" w:pos="360"/>
        </w:tabs>
        <w:spacing w:after="120" w:line="240" w:lineRule="auto"/>
      </w:pPr>
      <w:r w:rsidRPr="00346EDD">
        <w:t>two-stage revisions represented as one revision</w:t>
      </w:r>
    </w:p>
    <w:p w14:paraId="7CACD7D0" w14:textId="77777777" w:rsidR="00437C9C" w:rsidRPr="00346EDD" w:rsidRDefault="00437C9C" w:rsidP="00437C9C">
      <w:pPr>
        <w:pStyle w:val="ListParagraph"/>
        <w:numPr>
          <w:ilvl w:val="0"/>
          <w:numId w:val="22"/>
        </w:numPr>
        <w:tabs>
          <w:tab w:val="num" w:pos="360"/>
        </w:tabs>
        <w:spacing w:line="240" w:lineRule="auto"/>
      </w:pPr>
      <w:r w:rsidRPr="00346EDD">
        <w:lastRenderedPageBreak/>
        <w:t>other reasons for revisions (other than infection) were not captured</w:t>
      </w:r>
      <w:r>
        <w:t xml:space="preserve"> but likely not relevant</w:t>
      </w:r>
      <w:r w:rsidRPr="00346EDD">
        <w:t>.</w:t>
      </w:r>
    </w:p>
    <w:p w14:paraId="0DE04CC3" w14:textId="77777777" w:rsidR="00437C9C" w:rsidRDefault="00437C9C" w:rsidP="00437C9C">
      <w:pPr>
        <w:spacing w:line="240" w:lineRule="auto"/>
      </w:pPr>
      <w:r w:rsidRPr="00BA081A">
        <w:t xml:space="preserve">ESC noted a key driver of the model </w:t>
      </w:r>
      <w:r>
        <w:t>was</w:t>
      </w:r>
      <w:r w:rsidRPr="00BA081A">
        <w:t xml:space="preserve"> the uncertainty around treatment effect. </w:t>
      </w:r>
      <w:r>
        <w:t xml:space="preserve">When </w:t>
      </w:r>
      <w:r w:rsidRPr="00BA081A">
        <w:t xml:space="preserve">the upper 95% confidence interval (CI) </w:t>
      </w:r>
      <w:r>
        <w:t>was</w:t>
      </w:r>
      <w:r w:rsidRPr="00BA081A">
        <w:t xml:space="preserve"> used, the intervention is dominated</w:t>
      </w:r>
      <w:r>
        <w:t xml:space="preserve"> for both Population 1 and 3</w:t>
      </w:r>
      <w:r w:rsidRPr="00BA081A">
        <w:t>. Given the studies have a high risk of bias</w:t>
      </w:r>
      <w:r>
        <w:t xml:space="preserve">, that the </w:t>
      </w:r>
      <w:r w:rsidRPr="00BA081A">
        <w:t xml:space="preserve">risk ratio estimates are not statistically significant and the evidence is of low quality, </w:t>
      </w:r>
      <w:r>
        <w:t xml:space="preserve">ESC considered </w:t>
      </w:r>
      <w:r w:rsidRPr="00BA081A">
        <w:t xml:space="preserve">it important to consider the </w:t>
      </w:r>
      <w:r>
        <w:t>impact using the upper 95% CI (for the treatment effect) has on the</w:t>
      </w:r>
      <w:r w:rsidRPr="00BA081A">
        <w:t xml:space="preserve"> incremental cost-effectiveness ratios (ICERs).</w:t>
      </w:r>
    </w:p>
    <w:p w14:paraId="70ED949A" w14:textId="77777777" w:rsidR="00437C9C" w:rsidRPr="00BA081A" w:rsidRDefault="00437C9C" w:rsidP="00437C9C">
      <w:pPr>
        <w:spacing w:line="240" w:lineRule="auto"/>
      </w:pPr>
      <w:r>
        <w:t>ESC also noted the rate of SSI was a key driver in the model. ESC noted that Step 1 of the stepped CUA applied the SSI rates from the trial data and when the Australian SSI rates based on AOANJRR data were applied in Step 2 of the stepped CUA</w:t>
      </w:r>
      <w:r>
        <w:rPr>
          <w:rStyle w:val="FootnoteReference"/>
        </w:rPr>
        <w:footnoteReference w:id="28"/>
      </w:r>
      <w:r>
        <w:t xml:space="preserve">, this had a substantial impact on the ICER. For Population 1, the ICER increased from $812,454/$754,451 in Step 1 to $1,662,788/$1,243,016 in Step 2 (hip/knee respectively). For Population 3, the ICER decreased from $188,380/$164,710 in Step 1 to dominant/$11,194 in Step 2 (hip/knee respectively). ESC noted that the pre-ESC response refuted the </w:t>
      </w:r>
      <w:r w:rsidRPr="007A7106">
        <w:t>use of SSI rates based on the AOANJRR</w:t>
      </w:r>
      <w:r>
        <w:t>.</w:t>
      </w:r>
      <w:r w:rsidRPr="007A7106">
        <w:t xml:space="preserve"> ESC</w:t>
      </w:r>
      <w:r>
        <w:t xml:space="preserve"> also</w:t>
      </w:r>
      <w:r w:rsidRPr="007A7106">
        <w:t xml:space="preserve"> noted that the SSI rate based on the AOANJRR is not specific to cementless or </w:t>
      </w:r>
      <w:r>
        <w:t>patients with comorbidities. However, ESC</w:t>
      </w:r>
      <w:r w:rsidRPr="007A7106">
        <w:t xml:space="preserve"> considered the SSI rates based on the AOANJRR data </w:t>
      </w:r>
      <w:r>
        <w:t xml:space="preserve">to be the most </w:t>
      </w:r>
      <w:r w:rsidRPr="007A7106">
        <w:t>appropriate</w:t>
      </w:r>
      <w:r>
        <w:t xml:space="preserve"> available data</w:t>
      </w:r>
      <w:r w:rsidRPr="007A7106">
        <w:t>.</w:t>
      </w:r>
    </w:p>
    <w:p w14:paraId="656AC7E3" w14:textId="47F215A7" w:rsidR="00437C9C" w:rsidRPr="00BA081A" w:rsidRDefault="00437C9C" w:rsidP="00437C9C">
      <w:pPr>
        <w:spacing w:line="240" w:lineRule="auto"/>
      </w:pPr>
      <w:r w:rsidRPr="00BA081A">
        <w:t xml:space="preserve">ESC </w:t>
      </w:r>
      <w:r>
        <w:t xml:space="preserve">also considered </w:t>
      </w:r>
      <w:r w:rsidRPr="00BA081A">
        <w:t>that another key driver of the model was the time horizon. If a time horizon of 1 year is used</w:t>
      </w:r>
      <w:r>
        <w:t xml:space="preserve"> (same as duration of treatment effect of DAC is applied in model)</w:t>
      </w:r>
      <w:r w:rsidRPr="00BA081A">
        <w:t xml:space="preserve">, the ICERs for </w:t>
      </w:r>
      <w:r>
        <w:t>P</w:t>
      </w:r>
      <w:r w:rsidRPr="00BA081A">
        <w:t xml:space="preserve">opulations 1 and 3 </w:t>
      </w:r>
      <w:r>
        <w:t>were</w:t>
      </w:r>
      <w:r w:rsidRPr="00BA081A">
        <w:t xml:space="preserve"> more than $1 million and $72,000, respectively. Other key drivers for population 1 only (population 3 remain</w:t>
      </w:r>
      <w:r>
        <w:t>ed</w:t>
      </w:r>
      <w:r w:rsidRPr="00BA081A">
        <w:t xml:space="preserve"> dominant) are the number of kits (ICERs of about $</w:t>
      </w:r>
      <w:r w:rsidR="00380B34">
        <w:rPr>
          <w:b/>
          <w:bCs/>
        </w:rPr>
        <w:t>redacted</w:t>
      </w:r>
      <w:r w:rsidR="00380B34" w:rsidRPr="00BA081A" w:rsidDel="00380B34">
        <w:t xml:space="preserve"> </w:t>
      </w:r>
      <w:r w:rsidRPr="00BA081A">
        <w:t>[hip]/$</w:t>
      </w:r>
      <w:r w:rsidR="00380B34">
        <w:rPr>
          <w:b/>
          <w:bCs/>
        </w:rPr>
        <w:t>redacted</w:t>
      </w:r>
      <w:r w:rsidR="00380B34" w:rsidRPr="00BA081A" w:rsidDel="00380B34">
        <w:t xml:space="preserve"> </w:t>
      </w:r>
      <w:r w:rsidRPr="00BA081A">
        <w:t xml:space="preserve">[knee] for </w:t>
      </w:r>
      <w:r w:rsidR="00380B34">
        <w:rPr>
          <w:b/>
          <w:bCs/>
        </w:rPr>
        <w:t>redacted</w:t>
      </w:r>
      <w:r w:rsidRPr="00BA081A">
        <w:t> kit, increasing to $</w:t>
      </w:r>
      <w:r w:rsidR="00380B34">
        <w:rPr>
          <w:b/>
          <w:bCs/>
        </w:rPr>
        <w:t>redacted</w:t>
      </w:r>
      <w:r w:rsidR="00380B34" w:rsidRPr="00BA081A" w:rsidDel="00380B34">
        <w:t xml:space="preserve"> </w:t>
      </w:r>
      <w:r>
        <w:t xml:space="preserve">[hip] </w:t>
      </w:r>
      <w:r w:rsidRPr="00BA081A">
        <w:t>/$</w:t>
      </w:r>
      <w:r w:rsidR="00380B34">
        <w:rPr>
          <w:b/>
          <w:bCs/>
        </w:rPr>
        <w:t>redacted</w:t>
      </w:r>
      <w:r w:rsidR="00380B34" w:rsidRPr="00BA081A" w:rsidDel="00380B34">
        <w:t xml:space="preserve"> </w:t>
      </w:r>
      <w:r>
        <w:t>[knee]</w:t>
      </w:r>
      <w:r w:rsidRPr="00BA081A">
        <w:t xml:space="preserve"> for </w:t>
      </w:r>
      <w:r w:rsidR="00380B34">
        <w:rPr>
          <w:b/>
          <w:bCs/>
        </w:rPr>
        <w:t>redacted</w:t>
      </w:r>
      <w:r w:rsidR="00380B34" w:rsidRPr="00BA081A" w:rsidDel="00380B34">
        <w:t xml:space="preserve"> </w:t>
      </w:r>
      <w:r w:rsidRPr="00BA081A">
        <w:t>kits)</w:t>
      </w:r>
      <w:r>
        <w:t xml:space="preserve">, </w:t>
      </w:r>
      <w:r w:rsidRPr="00BA081A">
        <w:t xml:space="preserve">the use of DAC in primary arthroplasty and </w:t>
      </w:r>
      <w:r>
        <w:t xml:space="preserve">any subsequent modelled </w:t>
      </w:r>
      <w:r w:rsidRPr="00BA081A">
        <w:t xml:space="preserve">revisions (decreasing the ICER to around $97,000 for hip, while the ICER for knee is dominant), and the price of DAC. ESC noted that the price of DAC </w:t>
      </w:r>
      <w:r>
        <w:t xml:space="preserve">was not justified and is </w:t>
      </w:r>
      <w:r w:rsidRPr="00BA081A">
        <w:t>uncertain, ranging from $</w:t>
      </w:r>
      <w:r w:rsidR="000256BD">
        <w:rPr>
          <w:b/>
          <w:bCs/>
        </w:rPr>
        <w:t>redacted</w:t>
      </w:r>
      <w:r w:rsidRPr="00BA081A">
        <w:t xml:space="preserve"> (DCAR) to $</w:t>
      </w:r>
      <w:r w:rsidR="000256BD">
        <w:rPr>
          <w:b/>
          <w:bCs/>
        </w:rPr>
        <w:t>redacted</w:t>
      </w:r>
      <w:r w:rsidRPr="00BA081A">
        <w:t xml:space="preserve"> (</w:t>
      </w:r>
      <w:r>
        <w:t xml:space="preserve">pre-ESC response </w:t>
      </w:r>
      <w:r w:rsidRPr="00BA081A">
        <w:t xml:space="preserve">Special Access Scheme funding). ESC </w:t>
      </w:r>
      <w:r>
        <w:t xml:space="preserve">also </w:t>
      </w:r>
      <w:r w:rsidRPr="00BA081A">
        <w:t>noted a European study</w:t>
      </w:r>
      <w:r w:rsidRPr="00BA081A">
        <w:rPr>
          <w:vertAlign w:val="superscript"/>
        </w:rPr>
        <w:footnoteReference w:id="29"/>
      </w:r>
      <w:r w:rsidRPr="00BA081A">
        <w:t xml:space="preserve"> </w:t>
      </w:r>
      <w:r>
        <w:t>reported</w:t>
      </w:r>
      <w:r w:rsidRPr="00BA081A">
        <w:t xml:space="preserve"> the price of the kit to be €500–600</w:t>
      </w:r>
      <w:r>
        <w:t xml:space="preserve"> for 10mL</w:t>
      </w:r>
      <w:r w:rsidRPr="00BA081A">
        <w:t xml:space="preserve">. </w:t>
      </w:r>
      <w:r>
        <w:t>When the lower price from Franceschini et al (2020) was used ($382.03 AUD for 5mL)</w:t>
      </w:r>
      <w:r w:rsidRPr="00BA081A">
        <w:t xml:space="preserve">, the ICER </w:t>
      </w:r>
      <w:r>
        <w:t>for P</w:t>
      </w:r>
      <w:r w:rsidRPr="002210C2">
        <w:t xml:space="preserve">opulation 1 </w:t>
      </w:r>
      <w:r>
        <w:t>reduced to $</w:t>
      </w:r>
      <w:r w:rsidR="00380B34">
        <w:rPr>
          <w:b/>
          <w:bCs/>
        </w:rPr>
        <w:t>redacted</w:t>
      </w:r>
      <w:r w:rsidR="00380B34" w:rsidDel="00380B34">
        <w:t xml:space="preserve"> </w:t>
      </w:r>
      <w:r>
        <w:t>(hip) /$</w:t>
      </w:r>
      <w:r w:rsidR="00380B34">
        <w:rPr>
          <w:b/>
          <w:bCs/>
        </w:rPr>
        <w:t>redacted</w:t>
      </w:r>
      <w:r w:rsidR="00380B34" w:rsidDel="00380B34">
        <w:t xml:space="preserve"> </w:t>
      </w:r>
      <w:r>
        <w:t>(knee) and Population 3 remained dominant</w:t>
      </w:r>
      <w:r w:rsidRPr="00BA081A">
        <w:t xml:space="preserve">, but the feasibility of this </w:t>
      </w:r>
      <w:r>
        <w:t>price</w:t>
      </w:r>
      <w:r w:rsidRPr="00BA081A">
        <w:t xml:space="preserve"> is unclear.</w:t>
      </w:r>
    </w:p>
    <w:p w14:paraId="4C8337B1" w14:textId="77777777" w:rsidR="00437C9C" w:rsidRPr="00BA081A" w:rsidRDefault="00437C9C" w:rsidP="00437C9C">
      <w:pPr>
        <w:keepNext/>
        <w:spacing w:after="120" w:line="240" w:lineRule="auto"/>
      </w:pPr>
      <w:r w:rsidRPr="00BA081A">
        <w:t xml:space="preserve">ESC noted that the annual cost to the MBS </w:t>
      </w:r>
      <w:r>
        <w:t>was</w:t>
      </w:r>
      <w:r w:rsidRPr="00BA081A">
        <w:t xml:space="preserve"> estimated </w:t>
      </w:r>
      <w:r>
        <w:t>to be</w:t>
      </w:r>
      <w:r w:rsidRPr="00BA081A">
        <w:t xml:space="preserve"> less than $100,000 in each population</w:t>
      </w:r>
      <w:r>
        <w:t xml:space="preserve"> as the majority of</w:t>
      </w:r>
      <w:r w:rsidRPr="00BA081A">
        <w:t xml:space="preserve"> the cost would be borne by the private sector</w:t>
      </w:r>
      <w:r>
        <w:t xml:space="preserve"> (private health insurance and/or patients).</w:t>
      </w:r>
      <w:r w:rsidRPr="00BA081A">
        <w:t xml:space="preserve"> The estimated annual cost to private health insurance (and</w:t>
      </w:r>
      <w:r>
        <w:t>/or</w:t>
      </w:r>
      <w:r w:rsidRPr="00BA081A">
        <w:t xml:space="preserve"> patients) per population </w:t>
      </w:r>
      <w:r>
        <w:t>was</w:t>
      </w:r>
      <w:r w:rsidRPr="00BA081A">
        <w:t>:</w:t>
      </w:r>
    </w:p>
    <w:p w14:paraId="60FC4E2D" w14:textId="7A4897CA" w:rsidR="00437C9C" w:rsidRPr="00346EDD" w:rsidRDefault="00437C9C" w:rsidP="00437C9C">
      <w:pPr>
        <w:pStyle w:val="ListParagraph"/>
        <w:numPr>
          <w:ilvl w:val="0"/>
          <w:numId w:val="23"/>
        </w:numPr>
        <w:tabs>
          <w:tab w:val="num" w:pos="360"/>
        </w:tabs>
        <w:spacing w:after="120" w:line="240" w:lineRule="auto"/>
      </w:pPr>
      <w:r w:rsidRPr="00346EDD">
        <w:t>Population 1: $</w:t>
      </w:r>
      <w:r w:rsidR="00380B34">
        <w:rPr>
          <w:b/>
          <w:bCs/>
        </w:rPr>
        <w:t>redacted</w:t>
      </w:r>
      <w:r w:rsidR="00380B34" w:rsidRPr="00346EDD" w:rsidDel="00380B34">
        <w:t xml:space="preserve"> </w:t>
      </w:r>
      <w:r w:rsidRPr="00346EDD">
        <w:t>(hip), $</w:t>
      </w:r>
      <w:r w:rsidR="00380B34">
        <w:rPr>
          <w:b/>
          <w:bCs/>
        </w:rPr>
        <w:t>redacted</w:t>
      </w:r>
      <w:r w:rsidR="00380B34" w:rsidRPr="00346EDD" w:rsidDel="00380B34">
        <w:t xml:space="preserve"> </w:t>
      </w:r>
      <w:r w:rsidRPr="00346EDD">
        <w:t>(knee)</w:t>
      </w:r>
    </w:p>
    <w:p w14:paraId="4A4FFC1F" w14:textId="4DF41EA3" w:rsidR="00437C9C" w:rsidRPr="00346EDD" w:rsidRDefault="00437C9C" w:rsidP="00437C9C">
      <w:pPr>
        <w:pStyle w:val="ListParagraph"/>
        <w:numPr>
          <w:ilvl w:val="0"/>
          <w:numId w:val="23"/>
        </w:numPr>
        <w:tabs>
          <w:tab w:val="num" w:pos="360"/>
        </w:tabs>
        <w:spacing w:after="120" w:line="240" w:lineRule="auto"/>
      </w:pPr>
      <w:r w:rsidRPr="00346EDD">
        <w:t>Population 2: $</w:t>
      </w:r>
      <w:r w:rsidR="00380B34">
        <w:rPr>
          <w:b/>
          <w:bCs/>
        </w:rPr>
        <w:t>redacted</w:t>
      </w:r>
    </w:p>
    <w:p w14:paraId="7988210D" w14:textId="5156FF5C" w:rsidR="00437C9C" w:rsidRPr="00346EDD" w:rsidRDefault="00437C9C" w:rsidP="00437C9C">
      <w:pPr>
        <w:pStyle w:val="ListParagraph"/>
        <w:numPr>
          <w:ilvl w:val="0"/>
          <w:numId w:val="23"/>
        </w:numPr>
        <w:tabs>
          <w:tab w:val="num" w:pos="360"/>
        </w:tabs>
        <w:spacing w:after="120" w:line="240" w:lineRule="auto"/>
      </w:pPr>
      <w:r w:rsidRPr="00346EDD">
        <w:t>Population 3: $</w:t>
      </w:r>
      <w:r w:rsidR="00380B34">
        <w:rPr>
          <w:b/>
          <w:bCs/>
        </w:rPr>
        <w:t>redacted</w:t>
      </w:r>
      <w:r w:rsidR="00380B34" w:rsidRPr="00346EDD" w:rsidDel="00380B34">
        <w:t xml:space="preserve"> </w:t>
      </w:r>
      <w:r w:rsidRPr="00346EDD">
        <w:t>(hip), $</w:t>
      </w:r>
      <w:r w:rsidR="00380B34">
        <w:rPr>
          <w:b/>
          <w:bCs/>
        </w:rPr>
        <w:t>redacted</w:t>
      </w:r>
      <w:r w:rsidR="00380B34" w:rsidRPr="00346EDD" w:rsidDel="00380B34">
        <w:t xml:space="preserve"> </w:t>
      </w:r>
      <w:r w:rsidRPr="00346EDD">
        <w:t>(knee)</w:t>
      </w:r>
    </w:p>
    <w:p w14:paraId="7668F039" w14:textId="118F5327" w:rsidR="00437C9C" w:rsidRPr="00346EDD" w:rsidRDefault="00437C9C" w:rsidP="00437C9C">
      <w:pPr>
        <w:pStyle w:val="ListParagraph"/>
        <w:numPr>
          <w:ilvl w:val="0"/>
          <w:numId w:val="23"/>
        </w:numPr>
        <w:tabs>
          <w:tab w:val="num" w:pos="360"/>
        </w:tabs>
        <w:spacing w:after="120" w:line="240" w:lineRule="auto"/>
      </w:pPr>
      <w:r w:rsidRPr="00346EDD">
        <w:t>Population 4A: $</w:t>
      </w:r>
      <w:r w:rsidR="00380B34">
        <w:rPr>
          <w:b/>
          <w:bCs/>
        </w:rPr>
        <w:t>redacted</w:t>
      </w:r>
    </w:p>
    <w:p w14:paraId="32D4A854" w14:textId="4275B3C5" w:rsidR="00437C9C" w:rsidRPr="00346EDD" w:rsidRDefault="00437C9C" w:rsidP="00437C9C">
      <w:pPr>
        <w:pStyle w:val="ListParagraph"/>
        <w:numPr>
          <w:ilvl w:val="0"/>
          <w:numId w:val="23"/>
        </w:numPr>
        <w:tabs>
          <w:tab w:val="num" w:pos="360"/>
        </w:tabs>
        <w:spacing w:line="240" w:lineRule="auto"/>
      </w:pPr>
      <w:r w:rsidRPr="00346EDD">
        <w:lastRenderedPageBreak/>
        <w:t>Population 4B: $</w:t>
      </w:r>
      <w:r w:rsidR="00380B34">
        <w:rPr>
          <w:b/>
          <w:bCs/>
        </w:rPr>
        <w:t>redacted</w:t>
      </w:r>
      <w:r w:rsidRPr="00346EDD">
        <w:t>.</w:t>
      </w:r>
    </w:p>
    <w:p w14:paraId="234A6E77" w14:textId="77777777" w:rsidR="00437C9C" w:rsidRDefault="00437C9C" w:rsidP="00437C9C">
      <w:pPr>
        <w:spacing w:line="240" w:lineRule="auto"/>
      </w:pPr>
      <w:r w:rsidRPr="00BA081A" w:rsidDel="00DA1645">
        <w:t>ESC noted that the financial estimates were based on MBS utilisation data</w:t>
      </w:r>
      <w:r>
        <w:t xml:space="preserve"> (i.e., MBS claims data for relevant MBS items was accessed for each population)</w:t>
      </w:r>
      <w:r w:rsidRPr="00BA081A" w:rsidDel="00DA1645">
        <w:t xml:space="preserve">, </w:t>
      </w:r>
      <w:r>
        <w:t>then</w:t>
      </w:r>
      <w:r w:rsidRPr="00BA081A" w:rsidDel="00DA1645">
        <w:t xml:space="preserve"> </w:t>
      </w:r>
      <w:r>
        <w:t>an assumption on the proportion</w:t>
      </w:r>
      <w:r w:rsidRPr="00BA081A" w:rsidDel="00DA1645">
        <w:t xml:space="preserve"> of public and private </w:t>
      </w:r>
      <w:r>
        <w:t xml:space="preserve">patients </w:t>
      </w:r>
      <w:r w:rsidRPr="00BA081A" w:rsidDel="00DA1645">
        <w:t>was applied</w:t>
      </w:r>
      <w:r>
        <w:t>. That is,</w:t>
      </w:r>
      <w:r w:rsidRPr="00CE0FDD">
        <w:t xml:space="preserve"> </w:t>
      </w:r>
      <w:r>
        <w:t xml:space="preserve">to estimate the eligible private patient population, </w:t>
      </w:r>
      <w:r w:rsidRPr="00BA081A" w:rsidDel="00DA1645">
        <w:t xml:space="preserve">the proportion thought to be public </w:t>
      </w:r>
      <w:r>
        <w:t xml:space="preserve">patients were </w:t>
      </w:r>
      <w:r w:rsidRPr="00BA081A" w:rsidDel="00DA1645">
        <w:t>removed</w:t>
      </w:r>
      <w:r>
        <w:t xml:space="preserve">. </w:t>
      </w:r>
      <w:r w:rsidRPr="00BA081A">
        <w:t xml:space="preserve">ESC noted that the pre-ESC response disputed the ratio of private and public patients treated for closed fractures that was used in the DCAR. ESC agreed with the pre-ESC response that registry data are not an accurate way to </w:t>
      </w:r>
      <w:r>
        <w:t>determine the ratio of private/public patients treated for closed fractures</w:t>
      </w:r>
      <w:r w:rsidRPr="00BA081A">
        <w:t>.</w:t>
      </w:r>
      <w:r w:rsidRPr="00CD43EE" w:rsidDel="00DA1645">
        <w:t xml:space="preserve"> </w:t>
      </w:r>
      <w:r w:rsidRPr="00BA081A" w:rsidDel="00DA1645">
        <w:t xml:space="preserve">However, ESC noted </w:t>
      </w:r>
      <w:r>
        <w:t>the assumption on the proportion of private/public patients should not have been applied to the estimates. This is because the estimates were based on MBS claims data which do</w:t>
      </w:r>
      <w:r w:rsidRPr="0098390E">
        <w:t xml:space="preserve"> not include services provided by hospital doctors to public patients in public hospitals or services that qualify for a benefit under the Department of Veterans' Affairs National Treatment Account</w:t>
      </w:r>
      <w:r>
        <w:t xml:space="preserve">. </w:t>
      </w:r>
      <w:r w:rsidRPr="00BA081A" w:rsidDel="00DA1645">
        <w:t xml:space="preserve">Therefore, </w:t>
      </w:r>
      <w:r>
        <w:t xml:space="preserve">this assumption should be removed, meaning </w:t>
      </w:r>
      <w:r w:rsidRPr="00BA081A" w:rsidDel="00DA1645">
        <w:t xml:space="preserve">the potential </w:t>
      </w:r>
      <w:r>
        <w:t>eligible population</w:t>
      </w:r>
      <w:r w:rsidRPr="00BA081A" w:rsidDel="00DA1645">
        <w:t xml:space="preserve"> </w:t>
      </w:r>
      <w:r>
        <w:t>w</w:t>
      </w:r>
      <w:r w:rsidRPr="00BA081A" w:rsidDel="00DA1645">
        <w:t>ould</w:t>
      </w:r>
      <w:r w:rsidRPr="001D1754">
        <w:t xml:space="preserve"> </w:t>
      </w:r>
      <w:r>
        <w:t>increase</w:t>
      </w:r>
      <w:r w:rsidRPr="00BA081A" w:rsidDel="00DA1645">
        <w:t>.</w:t>
      </w:r>
    </w:p>
    <w:p w14:paraId="797C9DCC" w14:textId="615CD5C8" w:rsidR="00437C9C" w:rsidRPr="006319B6" w:rsidRDefault="00437C9C" w:rsidP="00437C9C">
      <w:pPr>
        <w:spacing w:before="240" w:line="240" w:lineRule="auto"/>
        <w:rPr>
          <w:rStyle w:val="Strong"/>
          <w:rFonts w:cs="Times New Roman"/>
          <w:color w:val="000000"/>
          <w:szCs w:val="20"/>
        </w:rPr>
      </w:pPr>
      <w:r w:rsidRPr="00BA081A">
        <w:t xml:space="preserve">ESC noted </w:t>
      </w:r>
      <w:r>
        <w:t xml:space="preserve">the DCAR then assumed that 50% of the eligible population would take up DAC+antibiotics. ESC noted that this </w:t>
      </w:r>
      <w:r w:rsidRPr="00BA081A">
        <w:t>assumption</w:t>
      </w:r>
      <w:r>
        <w:t xml:space="preserve"> (</w:t>
      </w:r>
      <w:r w:rsidRPr="00BA081A">
        <w:t>50% uptake rate</w:t>
      </w:r>
      <w:r>
        <w:t>)</w:t>
      </w:r>
      <w:r w:rsidRPr="00BA081A">
        <w:t xml:space="preserve"> was not supported by evidence an</w:t>
      </w:r>
      <w:r>
        <w:t>d</w:t>
      </w:r>
      <w:r w:rsidRPr="00BA081A">
        <w:t xml:space="preserve"> is highly uncertain. Although this does impact the financial consequence of the intervention, ESC acknowledged that it may be difficult to obtain more substantial data</w:t>
      </w:r>
      <w:r>
        <w:t xml:space="preserve"> to inform the assumptions</w:t>
      </w:r>
      <w:r w:rsidRPr="00BA081A">
        <w:t>.</w:t>
      </w:r>
      <w:r>
        <w:t xml:space="preserve"> ESC also noted that the estimated utilisation is higher than the applicant’s estimate that less than </w:t>
      </w:r>
      <w:r w:rsidR="004D53FC">
        <w:rPr>
          <w:b/>
          <w:bCs/>
        </w:rPr>
        <w:t>redacted</w:t>
      </w:r>
      <w:r w:rsidRPr="00BA081A">
        <w:t> </w:t>
      </w:r>
      <w:r>
        <w:t>patients would utilise DAC+antibiotics</w:t>
      </w:r>
      <w:r w:rsidRPr="00BA081A">
        <w:t xml:space="preserve"> in the first year</w:t>
      </w:r>
      <w:r w:rsidR="004D53FC">
        <w:rPr>
          <w:b/>
          <w:bCs/>
        </w:rPr>
        <w:t>redacted</w:t>
      </w:r>
      <w:r>
        <w:t xml:space="preserve">). However, </w:t>
      </w:r>
      <w:r w:rsidRPr="00BA081A">
        <w:t>ESC</w:t>
      </w:r>
      <w:r>
        <w:t xml:space="preserve"> </w:t>
      </w:r>
      <w:r w:rsidRPr="00BA081A">
        <w:t xml:space="preserve">considered that there is a high risk </w:t>
      </w:r>
      <w:r>
        <w:t xml:space="preserve">for DAC+antibiotics to be used beyond the proposed population (i.e. higher utilisation than estimated in the DCAR) </w:t>
      </w:r>
      <w:r w:rsidRPr="00BA081A">
        <w:t>due to the ambiguity of</w:t>
      </w:r>
      <w:r>
        <w:t xml:space="preserve"> </w:t>
      </w:r>
      <w:r w:rsidRPr="00BA081A">
        <w:t xml:space="preserve">what </w:t>
      </w:r>
      <w:r w:rsidRPr="00E62F32">
        <w:t>is considered high-risk for SSI</w:t>
      </w:r>
      <w:r>
        <w:t>.</w:t>
      </w:r>
      <w:r w:rsidRPr="00E62F32">
        <w:t xml:space="preserve"> </w:t>
      </w:r>
      <w:r w:rsidRPr="00E01197">
        <w:t>ESC also noted that the financial impact analysis did not include any offsets due to uncertainty after the first year. Overall, ESC considered the estimated utilisation and estimated financial impact were highly uncertain.</w:t>
      </w:r>
    </w:p>
    <w:p w14:paraId="1079CC7F" w14:textId="3E1E4432" w:rsidR="00681B6B" w:rsidRDefault="00681B6B" w:rsidP="00681B6B">
      <w:pPr>
        <w:pStyle w:val="Heading2"/>
        <w:spacing w:before="360"/>
      </w:pPr>
      <w:r>
        <w:t>17.</w:t>
      </w:r>
      <w:r>
        <w:tab/>
        <w:t>Applicant comments on MSAC’s Public Summary Document</w:t>
      </w:r>
    </w:p>
    <w:p w14:paraId="52DFA51C" w14:textId="77777777" w:rsidR="00380B34" w:rsidRDefault="00380B34" w:rsidP="00380B34">
      <w:r>
        <w:t>Novagenit Australia Pty Ltd respectfully expresses its disappointment with MSAC's appraisal of the cost-effectiveness of the Defensive Antibacterial Coating (DAC) device. Novagenit Australia is concerned that MSAC's analysis relied on factually incorrect AOANJR infection rates and unsubstantiated uptake of DAC, while disregarding published peer-reviewed papers.</w:t>
      </w:r>
    </w:p>
    <w:p w14:paraId="68CDF418" w14:textId="62A76F5A" w:rsidR="00380B34" w:rsidRDefault="00380B34" w:rsidP="00380B34">
      <w:r>
        <w:t>Throughout the evaluation process, Novagenit made MSAC aware that the AOANJR does not report on infections, only revisions. Novagenit Australia highlighted that AOANJR's own publications admit that it substantially underestimates the rates of Surgical Site Infections (SSI) in Australia. We were disappointed that MSAC reports compared AOANJR primary infection data to our submitted published papers, which included up to 30% revision patients..</w:t>
      </w:r>
    </w:p>
    <w:p w14:paraId="44DD323E" w14:textId="2BB60F8A" w:rsidR="00380B34" w:rsidRDefault="00380B34" w:rsidP="00380B34">
      <w:r>
        <w:t xml:space="preserve">Novagenit Australia strongly disagrees with MSAC's Public Summary Findings, </w:t>
      </w:r>
      <w:r w:rsidR="00C048E5">
        <w:t xml:space="preserve">which the applicant considers to be </w:t>
      </w:r>
      <w:r>
        <w:t xml:space="preserve">misled by factually incorrect data and incorrect comparisons of patient cohorts. </w:t>
      </w:r>
    </w:p>
    <w:p w14:paraId="3D9B91D3" w14:textId="77777777" w:rsidR="00681B6B" w:rsidRDefault="00681B6B" w:rsidP="00681B6B">
      <w:pPr>
        <w:pStyle w:val="Heading2"/>
      </w:pPr>
      <w:r>
        <w:t>18.</w:t>
      </w:r>
      <w:r>
        <w:tab/>
        <w:t>Further information on MSAC</w:t>
      </w:r>
    </w:p>
    <w:p w14:paraId="13080636" w14:textId="6CC1E000" w:rsidR="00437C9C" w:rsidRPr="0049079C" w:rsidRDefault="00681B6B" w:rsidP="0049079C">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26" w:tooltip="Link to the MSAC website" w:history="1">
        <w:r w:rsidRPr="00F309FA">
          <w:rPr>
            <w:rStyle w:val="Hyperlink"/>
            <w:rFonts w:ascii="Franklin Gothic Book" w:hAnsi="Franklin Gothic Book"/>
            <w:b w:val="0"/>
            <w:bCs/>
            <w:i w:val="0"/>
            <w:iCs/>
            <w:sz w:val="22"/>
          </w:rPr>
          <w:t>visit the MSAC website</w:t>
        </w:r>
      </w:hyperlink>
    </w:p>
    <w:sectPr w:rsidR="00437C9C" w:rsidRPr="0049079C" w:rsidSect="0080059D">
      <w:headerReference w:type="even" r:id="rId27"/>
      <w:headerReference w:type="default" r:id="rId28"/>
      <w:footerReference w:type="even" r:id="rId29"/>
      <w:headerReference w:type="first" r:id="rId30"/>
      <w:pgSz w:w="11906" w:h="16838"/>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5FBC" w14:textId="77777777" w:rsidR="008F0912" w:rsidRDefault="008F0912" w:rsidP="000C7DE2">
      <w:r>
        <w:separator/>
      </w:r>
    </w:p>
    <w:p w14:paraId="42865775" w14:textId="77777777" w:rsidR="008F0912" w:rsidRDefault="008F0912" w:rsidP="000C7DE2"/>
  </w:endnote>
  <w:endnote w:type="continuationSeparator" w:id="0">
    <w:p w14:paraId="4C75D2D8" w14:textId="77777777" w:rsidR="008F0912" w:rsidRDefault="008F0912" w:rsidP="000C7DE2">
      <w:r>
        <w:continuationSeparator/>
      </w:r>
    </w:p>
    <w:p w14:paraId="5F268AD9" w14:textId="77777777" w:rsidR="008F0912" w:rsidRDefault="008F0912" w:rsidP="000C7DE2"/>
  </w:endnote>
  <w:endnote w:type="continuationNotice" w:id="1">
    <w:p w14:paraId="58915770" w14:textId="77777777" w:rsidR="008F0912" w:rsidRDefault="008F09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6661" w14:textId="77777777" w:rsidR="0098664B" w:rsidRPr="00F568FA" w:rsidRDefault="0098664B" w:rsidP="000C7DE2">
    <w:pPr>
      <w:pStyle w:val="Footer"/>
      <w:rPr>
        <w:rStyle w:val="PageNumber"/>
        <w:rFonts w:ascii="Arial" w:hAnsi="Arial" w:cs="Arial"/>
        <w:b/>
        <w:sz w:val="20"/>
      </w:rPr>
    </w:pPr>
    <w:r w:rsidRPr="00F568FA">
      <w:rPr>
        <w:rStyle w:val="PageNumber"/>
        <w:rFonts w:ascii="Arial" w:hAnsi="Arial" w:cs="Arial"/>
        <w:b/>
        <w:snapToGrid w:val="0"/>
        <w:sz w:val="20"/>
        <w:lang w:eastAsia="en-US"/>
      </w:rPr>
      <w:t xml:space="preserve">Page </w:t>
    </w:r>
    <w:r>
      <w:rPr>
        <w:rStyle w:val="PageNumber"/>
        <w:rFonts w:ascii="Arial" w:hAnsi="Arial" w:cs="Arial"/>
        <w:b/>
        <w:noProof/>
        <w:snapToGrid w:val="0"/>
        <w:sz w:val="20"/>
        <w:lang w:eastAsia="en-US"/>
      </w:rPr>
      <w:t>82</w:t>
    </w:r>
    <w:r w:rsidRPr="00F568FA">
      <w:rPr>
        <w:rStyle w:val="PageNumber"/>
        <w:rFonts w:ascii="Arial" w:hAnsi="Arial" w:cs="Arial"/>
        <w:b/>
        <w:snapToGrid w:val="0"/>
        <w:sz w:val="20"/>
        <w:lang w:eastAsia="en-US"/>
      </w:rPr>
      <w:t xml:space="preserve"> of </w:t>
    </w:r>
    <w:r>
      <w:rPr>
        <w:rStyle w:val="PageNumber"/>
        <w:rFonts w:ascii="Arial" w:hAnsi="Arial" w:cs="Arial"/>
        <w:b/>
        <w:noProof/>
        <w:snapToGrid w:val="0"/>
        <w:sz w:val="20"/>
        <w:lang w:eastAsia="en-US"/>
      </w:rPr>
      <w:t>4</w:t>
    </w:r>
    <w:r>
      <w:rPr>
        <w:rStyle w:val="PageNumber"/>
        <w:rFonts w:ascii="Arial" w:hAnsi="Arial" w:cs="Arial"/>
        <w:b/>
        <w:sz w:val="20"/>
      </w:rPr>
      <w:t xml:space="preserve"> </w:t>
    </w:r>
    <w:r w:rsidRPr="00F568FA">
      <w:rPr>
        <w:rStyle w:val="PageNumber"/>
        <w:rFonts w:ascii="Arial" w:hAnsi="Arial" w:cs="Arial"/>
        <w:b/>
        <w:sz w:val="20"/>
      </w:rPr>
      <w:t xml:space="preserve">Version No. XX DD/MM/YYYY </w:t>
    </w:r>
    <w:r>
      <w:rPr>
        <w:rStyle w:val="PageNumber"/>
        <w:rFonts w:ascii="Arial" w:hAnsi="Arial" w:cs="Arial"/>
        <w:b/>
        <w:sz w:val="20"/>
      </w:rPr>
      <w:tab/>
    </w:r>
    <w:r w:rsidRPr="00014EC1">
      <w:rPr>
        <w:rStyle w:val="PageNumber"/>
        <w:rFonts w:ascii="Arial" w:hAnsi="Arial" w:cs="Arial"/>
        <w:b/>
        <w:sz w:val="20"/>
      </w:rPr>
      <w:t>Application Name &amp; No</w:t>
    </w:r>
    <w:r w:rsidRPr="00014EC1">
      <w:rPr>
        <w:rStyle w:val="PageNumber"/>
        <w:rFonts w:ascii="Arial" w:hAnsi="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59397"/>
      <w:docPartObj>
        <w:docPartGallery w:val="Page Numbers (Bottom of Page)"/>
        <w:docPartUnique/>
      </w:docPartObj>
    </w:sdtPr>
    <w:sdtEndPr>
      <w:rPr>
        <w:noProof/>
      </w:rPr>
    </w:sdtEndPr>
    <w:sdtContent>
      <w:p w14:paraId="4BC955C9" w14:textId="758363F0" w:rsidR="00D13ABE" w:rsidRDefault="00D13ABE" w:rsidP="00E50C67">
        <w:pPr>
          <w:pStyle w:val="Footer"/>
          <w:pBdr>
            <w:top w:val="none" w:sz="0" w:space="0"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FEAC" w14:textId="77777777" w:rsidR="0098664B" w:rsidRPr="00F568FA" w:rsidRDefault="0098664B" w:rsidP="00E50C67">
    <w:pPr>
      <w:pStyle w:val="Footer"/>
      <w:rPr>
        <w:rStyle w:val="PageNumber"/>
        <w:rFonts w:ascii="Arial" w:hAnsi="Arial" w:cs="Arial"/>
        <w:b/>
        <w:sz w:val="20"/>
      </w:rPr>
    </w:pPr>
    <w:r w:rsidRPr="00F568FA">
      <w:rPr>
        <w:rStyle w:val="PageNumber"/>
        <w:rFonts w:ascii="Arial" w:hAnsi="Arial" w:cs="Arial"/>
        <w:b/>
        <w:snapToGrid w:val="0"/>
        <w:sz w:val="20"/>
        <w:lang w:eastAsia="en-US"/>
      </w:rPr>
      <w:t xml:space="preserve">Page </w:t>
    </w:r>
    <w:r>
      <w:rPr>
        <w:rStyle w:val="PageNumber"/>
        <w:rFonts w:ascii="Arial" w:hAnsi="Arial" w:cs="Arial"/>
        <w:b/>
        <w:noProof/>
        <w:snapToGrid w:val="0"/>
        <w:sz w:val="20"/>
        <w:lang w:eastAsia="en-US"/>
      </w:rPr>
      <w:t>82</w:t>
    </w:r>
    <w:r w:rsidRPr="00F568FA">
      <w:rPr>
        <w:rStyle w:val="PageNumber"/>
        <w:rFonts w:ascii="Arial" w:hAnsi="Arial" w:cs="Arial"/>
        <w:b/>
        <w:snapToGrid w:val="0"/>
        <w:sz w:val="20"/>
        <w:lang w:eastAsia="en-US"/>
      </w:rPr>
      <w:t xml:space="preserve"> of </w:t>
    </w:r>
    <w:r>
      <w:rPr>
        <w:rStyle w:val="PageNumber"/>
        <w:rFonts w:ascii="Arial" w:hAnsi="Arial" w:cs="Arial"/>
        <w:b/>
        <w:noProof/>
        <w:snapToGrid w:val="0"/>
        <w:sz w:val="20"/>
        <w:lang w:eastAsia="en-US"/>
      </w:rPr>
      <w:t>4</w:t>
    </w:r>
    <w:r>
      <w:rPr>
        <w:rStyle w:val="PageNumber"/>
        <w:rFonts w:ascii="Arial" w:hAnsi="Arial" w:cs="Arial"/>
        <w:b/>
        <w:sz w:val="20"/>
      </w:rPr>
      <w:t xml:space="preserve"> </w:t>
    </w:r>
    <w:r w:rsidRPr="00F568FA">
      <w:rPr>
        <w:rStyle w:val="PageNumber"/>
        <w:rFonts w:ascii="Arial" w:hAnsi="Arial" w:cs="Arial"/>
        <w:b/>
        <w:sz w:val="20"/>
      </w:rPr>
      <w:t xml:space="preserve">Version No. XX DD/MM/YYYY </w:t>
    </w:r>
    <w:r>
      <w:rPr>
        <w:rStyle w:val="PageNumber"/>
        <w:rFonts w:ascii="Arial" w:hAnsi="Arial" w:cs="Arial"/>
        <w:b/>
        <w:sz w:val="20"/>
      </w:rPr>
      <w:tab/>
    </w:r>
    <w:r w:rsidRPr="00014EC1">
      <w:rPr>
        <w:rStyle w:val="PageNumber"/>
        <w:rFonts w:ascii="Arial" w:hAnsi="Arial" w:cs="Arial"/>
        <w:b/>
        <w:sz w:val="20"/>
      </w:rPr>
      <w:t>Application Name &amp; No</w:t>
    </w:r>
    <w:r w:rsidRPr="00014EC1">
      <w:rPr>
        <w:rStyle w:val="PageNumber"/>
        <w:rFonts w:ascii="Arial" w:hAnsi="Arial"/>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E623" w14:textId="77777777" w:rsidR="0098664B" w:rsidRDefault="0098664B" w:rsidP="003207C6">
    <w:pPr>
      <w:pStyle w:val="Footer"/>
    </w:pP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42</w:t>
    </w:r>
    <w:r>
      <w:rPr>
        <w:rStyle w:val="PageNumber"/>
        <w:bCs/>
      </w:rPr>
      <w:fldChar w:fldCharType="end"/>
    </w:r>
    <w:r>
      <w:rPr>
        <w:rStyle w:val="PageNumber"/>
      </w:rPr>
      <w:tab/>
      <w:t>Vertebroplasty and kyphoplasty</w:t>
    </w:r>
    <w:r>
      <w:rPr>
        <w:vanish/>
        <w:color w:val="0000FF"/>
      </w:rPr>
      <w:t>&lt;Name of application&gt;</w:t>
    </w:r>
  </w:p>
  <w:p w14:paraId="1DC8267E" w14:textId="77777777" w:rsidR="0098664B" w:rsidRDefault="0098664B" w:rsidP="00E50C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604B" w14:textId="77777777" w:rsidR="008F0912" w:rsidRDefault="008F0912" w:rsidP="000C7DE2">
      <w:r>
        <w:separator/>
      </w:r>
    </w:p>
    <w:p w14:paraId="7035E7DF" w14:textId="77777777" w:rsidR="008F0912" w:rsidRDefault="008F0912" w:rsidP="000C7DE2"/>
  </w:footnote>
  <w:footnote w:type="continuationSeparator" w:id="0">
    <w:p w14:paraId="1D32D36C" w14:textId="77777777" w:rsidR="008F0912" w:rsidRDefault="008F0912" w:rsidP="000C7DE2">
      <w:r>
        <w:continuationSeparator/>
      </w:r>
    </w:p>
    <w:p w14:paraId="41E585BD" w14:textId="77777777" w:rsidR="008F0912" w:rsidRDefault="008F0912" w:rsidP="000C7DE2"/>
  </w:footnote>
  <w:footnote w:type="continuationNotice" w:id="1">
    <w:p w14:paraId="01EF1E92" w14:textId="77777777" w:rsidR="008F0912" w:rsidRDefault="008F0912">
      <w:pPr>
        <w:spacing w:before="0" w:after="0" w:line="240" w:lineRule="auto"/>
      </w:pPr>
    </w:p>
  </w:footnote>
  <w:footnote w:id="2">
    <w:p w14:paraId="2EDEA80A" w14:textId="5F2C3481" w:rsidR="007B3B1A" w:rsidRDefault="007B3B1A" w:rsidP="00A9691F">
      <w:pPr>
        <w:pStyle w:val="FootnoteText"/>
        <w:spacing w:before="0"/>
      </w:pPr>
      <w:r>
        <w:rPr>
          <w:rStyle w:val="FootnoteReference"/>
        </w:rPr>
        <w:footnoteRef/>
      </w:r>
      <w:r>
        <w:t xml:space="preserve"> ASA</w:t>
      </w:r>
      <w:r w:rsidR="0055435C">
        <w:t xml:space="preserve"> score</w:t>
      </w:r>
      <w:r>
        <w:t xml:space="preserve"> - American Society of Anaesthesiologists</w:t>
      </w:r>
      <w:r w:rsidR="0055435C">
        <w:t xml:space="preserve"> score</w:t>
      </w:r>
    </w:p>
  </w:footnote>
  <w:footnote w:id="3">
    <w:p w14:paraId="3DAD7F9C" w14:textId="744DB99E" w:rsidR="007B3B1A" w:rsidRDefault="007B3B1A" w:rsidP="00A9691F">
      <w:pPr>
        <w:pStyle w:val="FootnoteText"/>
        <w:spacing w:before="0"/>
      </w:pPr>
      <w:r>
        <w:rPr>
          <w:rStyle w:val="FootnoteReference"/>
        </w:rPr>
        <w:footnoteRef/>
      </w:r>
      <w:r>
        <w:t xml:space="preserve"> BMI - body mass index</w:t>
      </w:r>
    </w:p>
  </w:footnote>
  <w:footnote w:id="4">
    <w:p w14:paraId="6162A21A" w14:textId="77777777" w:rsidR="00063AE8" w:rsidRDefault="00063AE8" w:rsidP="00063AE8">
      <w:pPr>
        <w:pStyle w:val="FootnoteText"/>
        <w:spacing w:before="0"/>
      </w:pPr>
      <w:r>
        <w:rPr>
          <w:rStyle w:val="FootnoteReference"/>
        </w:rPr>
        <w:footnoteRef/>
      </w:r>
      <w:r>
        <w:t xml:space="preserve"> </w:t>
      </w:r>
      <w:r w:rsidRPr="00D85D84">
        <w:t xml:space="preserve">Jin </w:t>
      </w:r>
      <w:r>
        <w:t>X</w:t>
      </w:r>
      <w:r w:rsidRPr="00D85D84">
        <w:t>, Luxan</w:t>
      </w:r>
      <w:r>
        <w:t xml:space="preserve"> BG</w:t>
      </w:r>
      <w:r w:rsidRPr="00D85D84">
        <w:t>, Hanly</w:t>
      </w:r>
      <w:r>
        <w:t xml:space="preserve"> M, et al. (2022)</w:t>
      </w:r>
      <w:r w:rsidRPr="00D85D84">
        <w:t xml:space="preserve"> </w:t>
      </w:r>
      <w:r w:rsidRPr="000A4AD3">
        <w:rPr>
          <w:i/>
          <w:iCs/>
        </w:rPr>
        <w:t>Bone Joint J</w:t>
      </w:r>
      <w:r>
        <w:t>. 104-B(9):1060-1066</w:t>
      </w:r>
    </w:p>
  </w:footnote>
  <w:footnote w:id="5">
    <w:p w14:paraId="1FF1A38D" w14:textId="77777777" w:rsidR="00063AE8" w:rsidRDefault="00063AE8" w:rsidP="00063AE8">
      <w:pPr>
        <w:pStyle w:val="FootnoteText"/>
        <w:spacing w:before="0"/>
      </w:pPr>
      <w:r>
        <w:rPr>
          <w:rStyle w:val="FootnoteReference"/>
        </w:rPr>
        <w:footnoteRef/>
      </w:r>
      <w:r>
        <w:t xml:space="preserve"> </w:t>
      </w:r>
      <w:r w:rsidRPr="00D85D84">
        <w:t xml:space="preserve">Sinagra </w:t>
      </w:r>
      <w:r>
        <w:t>ZP</w:t>
      </w:r>
      <w:r w:rsidRPr="00D85D84">
        <w:t xml:space="preserve">, Davis </w:t>
      </w:r>
      <w:r>
        <w:t>JS</w:t>
      </w:r>
      <w:r w:rsidRPr="00D85D84">
        <w:t>, Lorimer</w:t>
      </w:r>
      <w:r>
        <w:t xml:space="preserve"> M, et al. (2022)</w:t>
      </w:r>
      <w:r w:rsidRPr="00D85D84">
        <w:t xml:space="preserve"> </w:t>
      </w:r>
      <w:r w:rsidRPr="000A4AD3">
        <w:rPr>
          <w:i/>
          <w:iCs/>
        </w:rPr>
        <w:t>Bone Jt Open</w:t>
      </w:r>
      <w:r>
        <w:t>. 3(5):367-373</w:t>
      </w:r>
    </w:p>
  </w:footnote>
  <w:footnote w:id="6">
    <w:p w14:paraId="11C763C8" w14:textId="4A51696B" w:rsidR="00712A4A" w:rsidRDefault="00712A4A">
      <w:pPr>
        <w:pStyle w:val="FootnoteText"/>
      </w:pPr>
      <w:r w:rsidRPr="007A7156">
        <w:rPr>
          <w:rStyle w:val="FootnoteReference"/>
        </w:rPr>
        <w:footnoteRef/>
      </w:r>
      <w:r w:rsidRPr="007A7156">
        <w:t xml:space="preserve"> </w:t>
      </w:r>
      <w:r w:rsidR="007C6E84" w:rsidRPr="007A7156">
        <w:t xml:space="preserve">Since MSAC’s consideration, DAC has been included on the Australian Register of Therapeutic Goods (ARTG, </w:t>
      </w:r>
      <w:hyperlink r:id="rId1" w:history="1">
        <w:r w:rsidR="007C6E84" w:rsidRPr="007A7156">
          <w:rPr>
            <w:rStyle w:val="Hyperlink"/>
          </w:rPr>
          <w:t>ARTG 427290</w:t>
        </w:r>
      </w:hyperlink>
      <w:r w:rsidR="007C6E84" w:rsidRPr="007A7156">
        <w:t xml:space="preserve">). </w:t>
      </w:r>
      <w:r w:rsidR="007C6E84" w:rsidRPr="007A7156">
        <w:rPr>
          <w:rStyle w:val="CommentReference"/>
        </w:rPr>
        <w:t/>
      </w:r>
    </w:p>
  </w:footnote>
  <w:footnote w:id="7">
    <w:p w14:paraId="7B946746" w14:textId="1D2A6AFE" w:rsidR="000B03BF" w:rsidRDefault="000B03BF" w:rsidP="000A4AD3">
      <w:pPr>
        <w:pStyle w:val="FootnoteText"/>
        <w:spacing w:before="0"/>
      </w:pPr>
      <w:r>
        <w:rPr>
          <w:rStyle w:val="FootnoteReference"/>
        </w:rPr>
        <w:footnoteRef/>
      </w:r>
      <w:r>
        <w:t xml:space="preserve"> </w:t>
      </w:r>
      <w:r w:rsidRPr="000B03BF">
        <w:t xml:space="preserve">Romanò CL, Malizos K, Capuano N, et al. </w:t>
      </w:r>
      <w:r>
        <w:t>(</w:t>
      </w:r>
      <w:r w:rsidRPr="000B03BF">
        <w:t>2016</w:t>
      </w:r>
      <w:r>
        <w:t>)</w:t>
      </w:r>
      <w:r w:rsidRPr="000B03BF">
        <w:t xml:space="preserve"> </w:t>
      </w:r>
      <w:r w:rsidRPr="000A4AD3">
        <w:rPr>
          <w:i/>
          <w:iCs/>
        </w:rPr>
        <w:t>J Bone Jt Infect</w:t>
      </w:r>
      <w:r w:rsidRPr="000B03BF">
        <w:t>, 1</w:t>
      </w:r>
      <w:r>
        <w:t>:</w:t>
      </w:r>
      <w:r w:rsidRPr="000B03BF">
        <w:t>34</w:t>
      </w:r>
    </w:p>
  </w:footnote>
  <w:footnote w:id="8">
    <w:p w14:paraId="769E1CEE" w14:textId="730ACDBA" w:rsidR="000B03BF" w:rsidRDefault="000B03BF" w:rsidP="000A4AD3">
      <w:pPr>
        <w:pStyle w:val="FootnoteText"/>
        <w:spacing w:before="0"/>
      </w:pPr>
      <w:r>
        <w:rPr>
          <w:rStyle w:val="FootnoteReference"/>
        </w:rPr>
        <w:footnoteRef/>
      </w:r>
      <w:r>
        <w:t xml:space="preserve"> </w:t>
      </w:r>
      <w:r w:rsidRPr="000B03BF">
        <w:t xml:space="preserve">Malizos K, Blauth M, Danita A, et al. </w:t>
      </w:r>
      <w:r>
        <w:t>(</w:t>
      </w:r>
      <w:r w:rsidRPr="000B03BF">
        <w:t>2017</w:t>
      </w:r>
      <w:r>
        <w:t xml:space="preserve">) </w:t>
      </w:r>
      <w:r w:rsidRPr="000A4AD3">
        <w:rPr>
          <w:i/>
          <w:iCs/>
        </w:rPr>
        <w:t xml:space="preserve">J Orthopaedics </w:t>
      </w:r>
      <w:r>
        <w:rPr>
          <w:i/>
          <w:iCs/>
        </w:rPr>
        <w:t>&amp;</w:t>
      </w:r>
      <w:r w:rsidRPr="000A4AD3">
        <w:rPr>
          <w:i/>
          <w:iCs/>
        </w:rPr>
        <w:t xml:space="preserve"> Traumatology</w:t>
      </w:r>
      <w:r>
        <w:t xml:space="preserve">. </w:t>
      </w:r>
      <w:r w:rsidRPr="000B03BF">
        <w:t>18</w:t>
      </w:r>
      <w:r>
        <w:t>(</w:t>
      </w:r>
      <w:r w:rsidRPr="000B03BF">
        <w:t>2</w:t>
      </w:r>
      <w:r>
        <w:t>):</w:t>
      </w:r>
      <w:r w:rsidRPr="000B03BF">
        <w:t>159-69</w:t>
      </w:r>
    </w:p>
  </w:footnote>
  <w:footnote w:id="9">
    <w:p w14:paraId="3D0D3877" w14:textId="7588230E" w:rsidR="000B03BF" w:rsidRPr="00961DCE" w:rsidRDefault="000B03BF" w:rsidP="000A4AD3">
      <w:pPr>
        <w:pStyle w:val="FootnoteText"/>
        <w:spacing w:before="0"/>
        <w:rPr>
          <w:lang w:val="it-IT"/>
        </w:rPr>
      </w:pPr>
      <w:r>
        <w:rPr>
          <w:rStyle w:val="FootnoteReference"/>
        </w:rPr>
        <w:footnoteRef/>
      </w:r>
      <w:r>
        <w:t xml:space="preserve"> </w:t>
      </w:r>
      <w:r w:rsidRPr="000B03BF">
        <w:t xml:space="preserve">De Meo D, Calogero V, Are L, </w:t>
      </w:r>
      <w:r>
        <w:t>et al.</w:t>
      </w:r>
      <w:r w:rsidRPr="000B03BF">
        <w:t xml:space="preserve"> </w:t>
      </w:r>
      <w:r w:rsidRPr="00961DCE">
        <w:rPr>
          <w:lang w:val="it-IT"/>
        </w:rPr>
        <w:t xml:space="preserve">(2020) </w:t>
      </w:r>
      <w:r w:rsidRPr="00961DCE">
        <w:rPr>
          <w:i/>
          <w:iCs/>
          <w:lang w:val="it-IT"/>
        </w:rPr>
        <w:t>Microorganisms</w:t>
      </w:r>
      <w:r w:rsidRPr="00961DCE">
        <w:rPr>
          <w:lang w:val="it-IT"/>
        </w:rPr>
        <w:t>. 8(4):571</w:t>
      </w:r>
    </w:p>
  </w:footnote>
  <w:footnote w:id="10">
    <w:p w14:paraId="3C3748DA" w14:textId="57F59006" w:rsidR="000B03BF" w:rsidRPr="00961DCE" w:rsidRDefault="000B03BF" w:rsidP="000A4AD3">
      <w:pPr>
        <w:pStyle w:val="FootnoteText"/>
        <w:spacing w:before="0"/>
        <w:rPr>
          <w:lang w:val="it-IT"/>
        </w:rPr>
      </w:pPr>
      <w:r>
        <w:rPr>
          <w:rStyle w:val="FootnoteReference"/>
        </w:rPr>
        <w:footnoteRef/>
      </w:r>
      <w:r w:rsidRPr="00961DCE">
        <w:rPr>
          <w:lang w:val="it-IT"/>
        </w:rPr>
        <w:t xml:space="preserve"> Zoccali C, Scoccianti G, Biagini R, et al. </w:t>
      </w:r>
      <w:r>
        <w:t>(</w:t>
      </w:r>
      <w:r w:rsidRPr="000B03BF">
        <w:t>2021</w:t>
      </w:r>
      <w:r>
        <w:t xml:space="preserve">) </w:t>
      </w:r>
      <w:r w:rsidR="00D85D84" w:rsidRPr="00D85D84">
        <w:rPr>
          <w:i/>
          <w:iCs/>
        </w:rPr>
        <w:t>Eur J Orthop Surg Traumatol</w:t>
      </w:r>
      <w:r w:rsidR="00D85D84">
        <w:rPr>
          <w:i/>
          <w:iCs/>
        </w:rPr>
        <w:t xml:space="preserve">. </w:t>
      </w:r>
      <w:r w:rsidR="00D85D84" w:rsidRPr="00961DCE">
        <w:rPr>
          <w:lang w:val="it-IT"/>
        </w:rPr>
        <w:t>31(8):1647-1655</w:t>
      </w:r>
    </w:p>
  </w:footnote>
  <w:footnote w:id="11">
    <w:p w14:paraId="08AAFF78" w14:textId="2A138326" w:rsidR="000B03BF" w:rsidRPr="00961DCE" w:rsidRDefault="000B03BF" w:rsidP="000A4AD3">
      <w:pPr>
        <w:pStyle w:val="FootnoteText"/>
        <w:spacing w:before="0"/>
        <w:rPr>
          <w:lang w:val="it-IT"/>
        </w:rPr>
      </w:pPr>
      <w:r>
        <w:rPr>
          <w:rStyle w:val="FootnoteReference"/>
        </w:rPr>
        <w:footnoteRef/>
      </w:r>
      <w:r w:rsidRPr="00961DCE">
        <w:rPr>
          <w:lang w:val="it-IT"/>
        </w:rPr>
        <w:t xml:space="preserve"> </w:t>
      </w:r>
      <w:r w:rsidR="00D85D84" w:rsidRPr="00961DCE">
        <w:rPr>
          <w:lang w:val="it-IT"/>
        </w:rPr>
        <w:t xml:space="preserve">Capuano N, Logoluso N, Gallazzi E, et al. (2018) </w:t>
      </w:r>
      <w:r w:rsidR="00D85D84" w:rsidRPr="00961DCE">
        <w:rPr>
          <w:i/>
          <w:iCs/>
          <w:lang w:val="it-IT"/>
        </w:rPr>
        <w:t>Knee Surg Sports Traumatol Arthrosc</w:t>
      </w:r>
      <w:r w:rsidR="00D85D84" w:rsidRPr="00961DCE">
        <w:rPr>
          <w:lang w:val="it-IT"/>
        </w:rPr>
        <w:t>. 26(11):3362-7</w:t>
      </w:r>
    </w:p>
  </w:footnote>
  <w:footnote w:id="12">
    <w:p w14:paraId="2E79DC4B" w14:textId="478B608D" w:rsidR="000B03BF" w:rsidRDefault="000B03BF" w:rsidP="000A4AD3">
      <w:pPr>
        <w:pStyle w:val="FootnoteText"/>
        <w:spacing w:before="0"/>
      </w:pPr>
      <w:r>
        <w:rPr>
          <w:rStyle w:val="FootnoteReference"/>
        </w:rPr>
        <w:footnoteRef/>
      </w:r>
      <w:r w:rsidRPr="00961DCE">
        <w:rPr>
          <w:lang w:val="it-IT"/>
        </w:rPr>
        <w:t xml:space="preserve"> </w:t>
      </w:r>
      <w:r w:rsidR="00D85D84" w:rsidRPr="00961DCE">
        <w:rPr>
          <w:noProof/>
          <w:lang w:val="it-IT"/>
        </w:rPr>
        <w:t xml:space="preserve">Zagra L, Gallazzi E, Romanò D, et al. (2019) </w:t>
      </w:r>
      <w:r w:rsidR="00D85D84" w:rsidRPr="00961DCE">
        <w:rPr>
          <w:i/>
          <w:noProof/>
          <w:lang w:val="it-IT"/>
        </w:rPr>
        <w:t>Int Orthop</w:t>
      </w:r>
      <w:r w:rsidR="00D85D84" w:rsidRPr="00961DCE">
        <w:rPr>
          <w:iCs/>
          <w:noProof/>
          <w:lang w:val="it-IT"/>
        </w:rPr>
        <w:t>.</w:t>
      </w:r>
      <w:r w:rsidR="00D85D84" w:rsidRPr="00961DCE">
        <w:rPr>
          <w:noProof/>
          <w:lang w:val="it-IT"/>
        </w:rPr>
        <w:t xml:space="preserve"> </w:t>
      </w:r>
      <w:r w:rsidR="00D85D84" w:rsidRPr="00CD0194">
        <w:rPr>
          <w:noProof/>
        </w:rPr>
        <w:t>43</w:t>
      </w:r>
      <w:r w:rsidR="00D85D84">
        <w:rPr>
          <w:noProof/>
        </w:rPr>
        <w:t>(</w:t>
      </w:r>
      <w:r w:rsidR="00D85D84" w:rsidRPr="00CD0194">
        <w:rPr>
          <w:noProof/>
        </w:rPr>
        <w:t>1</w:t>
      </w:r>
      <w:r w:rsidR="00D85D84">
        <w:rPr>
          <w:noProof/>
        </w:rPr>
        <w:t>):</w:t>
      </w:r>
      <w:r w:rsidR="00D85D84" w:rsidRPr="00CD0194">
        <w:rPr>
          <w:noProof/>
        </w:rPr>
        <w:t>111-5</w:t>
      </w:r>
    </w:p>
  </w:footnote>
  <w:footnote w:id="13">
    <w:p w14:paraId="69900C40" w14:textId="3FD690B4" w:rsidR="0098664B" w:rsidRDefault="0098664B" w:rsidP="00FC3571">
      <w:pPr>
        <w:pStyle w:val="FootnoteText"/>
      </w:pPr>
      <w:r>
        <w:rPr>
          <w:rStyle w:val="FootnoteReference"/>
        </w:rPr>
        <w:footnoteRef/>
      </w:r>
      <w:r>
        <w:t xml:space="preserve"> Assessed using </w:t>
      </w:r>
      <w:r w:rsidRPr="00815A71">
        <w:t xml:space="preserve">the Revised Cochrane Risk of Bias Tool for Randomised Trials </w:t>
      </w:r>
      <w:r>
        <w:t>(</w:t>
      </w:r>
      <w:r w:rsidRPr="00815A71">
        <w:t>RoB 2</w:t>
      </w:r>
      <w:r>
        <w:t>)</w:t>
      </w:r>
    </w:p>
  </w:footnote>
  <w:footnote w:id="14">
    <w:p w14:paraId="7E3CDA2F" w14:textId="6F973258" w:rsidR="0098664B" w:rsidRDefault="0098664B" w:rsidP="00761439">
      <w:pPr>
        <w:pStyle w:val="FootnoteText"/>
      </w:pPr>
      <w:r>
        <w:rPr>
          <w:rStyle w:val="FootnoteReference"/>
        </w:rPr>
        <w:footnoteRef/>
      </w:r>
      <w:r>
        <w:t xml:space="preserve"> Assessed using the </w:t>
      </w:r>
      <w:r w:rsidRPr="00815A71">
        <w:t>Risk of Bias in Non-randomised Studies of Interventions (ROBINS</w:t>
      </w:r>
      <w:r w:rsidRPr="00815A71">
        <w:rPr>
          <w:rFonts w:ascii="Cambria Math" w:hAnsi="Cambria Math" w:cs="Cambria Math"/>
        </w:rPr>
        <w:t>‐</w:t>
      </w:r>
      <w:r w:rsidRPr="00815A71">
        <w:t>I)</w:t>
      </w:r>
    </w:p>
  </w:footnote>
  <w:footnote w:id="15">
    <w:p w14:paraId="5448345F" w14:textId="77777777" w:rsidR="0098664B" w:rsidRDefault="0098664B" w:rsidP="00761439">
      <w:pPr>
        <w:pStyle w:val="FootnoteText"/>
      </w:pPr>
      <w:r>
        <w:rPr>
          <w:rStyle w:val="FootnoteReference"/>
        </w:rPr>
        <w:footnoteRef/>
      </w:r>
      <w:r>
        <w:t xml:space="preserve"> </w:t>
      </w:r>
      <w:r w:rsidRPr="00105EA7">
        <w:t>Additional treatment, the presence of Serous discharge, Erythema, Purulent exudate, and Separation of the deep tissues, the Isolation of bacteria, and the duration of inpatient Stay (ASEPSIS)</w:t>
      </w:r>
    </w:p>
  </w:footnote>
  <w:footnote w:id="16">
    <w:p w14:paraId="33BC4F9E" w14:textId="77777777" w:rsidR="0098664B" w:rsidRPr="00667E09" w:rsidRDefault="0098664B" w:rsidP="00761439">
      <w:pPr>
        <w:pStyle w:val="Tablenotes0"/>
        <w:rPr>
          <w:lang w:val="en-US"/>
        </w:rPr>
      </w:pPr>
      <w:r>
        <w:rPr>
          <w:rStyle w:val="FootnoteReference"/>
        </w:rPr>
        <w:footnoteRef/>
      </w:r>
      <w:r>
        <w:t xml:space="preserve"> Delayed wound healing was defined as an incomplete healing of the wound at 4 weeks after surgery, including the presence of wound dehiscence, necrosis or serum leakage, that may need further medication, but that did not require any additional surgical treatment.</w:t>
      </w:r>
    </w:p>
  </w:footnote>
  <w:footnote w:id="17">
    <w:p w14:paraId="44852EC4" w14:textId="542C31B8" w:rsidR="002B61F3" w:rsidRDefault="002B61F3">
      <w:pPr>
        <w:pStyle w:val="FootnoteText"/>
      </w:pPr>
      <w:r>
        <w:rPr>
          <w:rStyle w:val="FootnoteReference"/>
        </w:rPr>
        <w:footnoteRef/>
      </w:r>
      <w:r>
        <w:t xml:space="preserve"> </w:t>
      </w:r>
      <w:r w:rsidRPr="002B61F3">
        <w:t xml:space="preserve">Merollini KM, Crawford RW, Whitehouse SL, Graves N </w:t>
      </w:r>
      <w:r>
        <w:t>(</w:t>
      </w:r>
      <w:r w:rsidRPr="002B61F3">
        <w:t>2013</w:t>
      </w:r>
      <w:r>
        <w:t>)</w:t>
      </w:r>
      <w:r w:rsidRPr="002B61F3">
        <w:t xml:space="preserve">, </w:t>
      </w:r>
      <w:r w:rsidRPr="002B61F3">
        <w:rPr>
          <w:i/>
          <w:iCs/>
        </w:rPr>
        <w:t>Am J Infect Control</w:t>
      </w:r>
      <w:r w:rsidRPr="002B61F3">
        <w:t>, 41</w:t>
      </w:r>
      <w:r>
        <w:t>(</w:t>
      </w:r>
      <w:r w:rsidRPr="002B61F3">
        <w:t>9</w:t>
      </w:r>
      <w:r>
        <w:t>):</w:t>
      </w:r>
      <w:r w:rsidRPr="002B61F3">
        <w:t>803-9</w:t>
      </w:r>
    </w:p>
  </w:footnote>
  <w:footnote w:id="18">
    <w:p w14:paraId="4F5EC7F0" w14:textId="77777777" w:rsidR="0098664B" w:rsidRDefault="0098664B" w:rsidP="00761439">
      <w:pPr>
        <w:pStyle w:val="FootnoteText"/>
      </w:pPr>
      <w:r>
        <w:rPr>
          <w:rStyle w:val="FootnoteReference"/>
        </w:rPr>
        <w:footnoteRef/>
      </w:r>
      <w:r>
        <w:t xml:space="preserve"> Novagenit DAC Bio-resorbable hydrogel barrier against infection </w:t>
      </w:r>
      <w:hyperlink r:id="rId2" w:history="1">
        <w:r w:rsidRPr="006C2D7D">
          <w:rPr>
            <w:rStyle w:val="Hyperlink"/>
          </w:rPr>
          <w:t>https://www.scp.no/media/documents/DAC-Gel_brochure.pdf</w:t>
        </w:r>
      </w:hyperlink>
      <w:r>
        <w:t xml:space="preserve"> </w:t>
      </w:r>
    </w:p>
  </w:footnote>
  <w:footnote w:id="19">
    <w:p w14:paraId="7689E9F4" w14:textId="1466B9AA" w:rsidR="0098664B" w:rsidRPr="007F7D40" w:rsidRDefault="0098664B" w:rsidP="000A4AD3">
      <w:pPr>
        <w:pStyle w:val="FootnoteText"/>
        <w:rPr>
          <w:i/>
          <w:iCs/>
        </w:rPr>
      </w:pPr>
      <w:r>
        <w:rPr>
          <w:rStyle w:val="FootnoteReference"/>
        </w:rPr>
        <w:footnoteRef/>
      </w:r>
      <w:r>
        <w:t xml:space="preserve"> Manning L, Metcalf S, Clark B, Robinson JO, Huggan P, et al. (2020) </w:t>
      </w:r>
      <w:r w:rsidRPr="007F7D40">
        <w:rPr>
          <w:i/>
          <w:iCs/>
        </w:rPr>
        <w:t>Open Forum Infect Dis</w:t>
      </w:r>
      <w:r w:rsidRPr="007F7D40">
        <w:t>.  14;7(5):ofaa068. doi: 10.1093/ofid/ofaa068.</w:t>
      </w:r>
    </w:p>
  </w:footnote>
  <w:footnote w:id="20">
    <w:p w14:paraId="05C0EEF5" w14:textId="77777777" w:rsidR="0098664B" w:rsidRDefault="0098664B" w:rsidP="00E50C67">
      <w:pPr>
        <w:pStyle w:val="FootnoteText"/>
      </w:pPr>
      <w:r>
        <w:rPr>
          <w:rStyle w:val="FootnoteReference"/>
        </w:rPr>
        <w:footnoteRef/>
      </w:r>
      <w:r>
        <w:t xml:space="preserve"> Australian Commission on Safety and Quality in Health Care. AURA 2021: fourth Australian report on antimicrobial use and resistance in human health. Sydney: ACSQHC; 2021.</w:t>
      </w:r>
    </w:p>
  </w:footnote>
  <w:footnote w:id="21">
    <w:p w14:paraId="3CBEA1C2" w14:textId="77777777" w:rsidR="00437C9C" w:rsidRPr="00087EE8" w:rsidRDefault="00437C9C" w:rsidP="00437C9C">
      <w:pPr>
        <w:pStyle w:val="FootnoteText"/>
        <w:spacing w:before="0"/>
        <w:rPr>
          <w:iCs/>
        </w:rPr>
      </w:pPr>
      <w:r>
        <w:rPr>
          <w:rStyle w:val="FootnoteReference"/>
        </w:rPr>
        <w:footnoteRef/>
      </w:r>
      <w:r w:rsidRPr="00961DCE">
        <w:rPr>
          <w:lang w:val="it-IT"/>
        </w:rPr>
        <w:t xml:space="preserve"> Izakovicova P, Borens O &amp; Trampuz A (2019). </w:t>
      </w:r>
      <w:r>
        <w:rPr>
          <w:i/>
        </w:rPr>
        <w:t>EFFORT Open Rev</w:t>
      </w:r>
      <w:r>
        <w:rPr>
          <w:iCs/>
        </w:rPr>
        <w:t xml:space="preserve"> </w:t>
      </w:r>
      <w:r w:rsidRPr="00087EE8">
        <w:rPr>
          <w:iCs/>
        </w:rPr>
        <w:t>4(7):</w:t>
      </w:r>
      <w:r>
        <w:rPr>
          <w:iCs/>
        </w:rPr>
        <w:t>482–494.</w:t>
      </w:r>
    </w:p>
  </w:footnote>
  <w:footnote w:id="22">
    <w:p w14:paraId="785052AF" w14:textId="77777777" w:rsidR="00437C9C" w:rsidRPr="00087EE8" w:rsidRDefault="00437C9C" w:rsidP="00437C9C">
      <w:pPr>
        <w:pStyle w:val="FootnoteText"/>
        <w:spacing w:before="0"/>
      </w:pPr>
      <w:r>
        <w:rPr>
          <w:rStyle w:val="FootnoteReference"/>
        </w:rPr>
        <w:footnoteRef/>
      </w:r>
      <w:r>
        <w:t xml:space="preserve"> Wasterlain AS, Goswami K, Ghasemi SA &amp; Parvizi J (2020). </w:t>
      </w:r>
      <w:r>
        <w:rPr>
          <w:i/>
          <w:iCs/>
        </w:rPr>
        <w:t>J Bone Joint Surg Am</w:t>
      </w:r>
      <w:r>
        <w:t xml:space="preserve"> 102(15):1366–1375.</w:t>
      </w:r>
    </w:p>
  </w:footnote>
  <w:footnote w:id="23">
    <w:p w14:paraId="3C810128" w14:textId="77777777" w:rsidR="00437C9C" w:rsidRDefault="00437C9C" w:rsidP="00437C9C">
      <w:pPr>
        <w:pStyle w:val="FootnoteText"/>
        <w:spacing w:before="0"/>
      </w:pPr>
      <w:r>
        <w:rPr>
          <w:rStyle w:val="FootnoteReference"/>
        </w:rPr>
        <w:footnoteRef/>
      </w:r>
      <w:r w:rsidRPr="00961DCE">
        <w:rPr>
          <w:lang w:val="it-IT"/>
        </w:rPr>
        <w:t xml:space="preserve"> Capuano N, Logoluso N, Gallazzi E, et al. </w:t>
      </w:r>
      <w:r>
        <w:t>(</w:t>
      </w:r>
      <w:r w:rsidRPr="00D85D84">
        <w:t>2018</w:t>
      </w:r>
      <w:r>
        <w:t xml:space="preserve">) </w:t>
      </w:r>
      <w:r w:rsidRPr="0083767D">
        <w:rPr>
          <w:i/>
          <w:iCs/>
        </w:rPr>
        <w:t>Knee Surg Sports Traumatol Arthrosc</w:t>
      </w:r>
      <w:r>
        <w:t xml:space="preserve">. </w:t>
      </w:r>
      <w:r w:rsidRPr="00D85D84">
        <w:t>26</w:t>
      </w:r>
      <w:r>
        <w:t>(</w:t>
      </w:r>
      <w:r w:rsidRPr="00D85D84">
        <w:t>11</w:t>
      </w:r>
      <w:r>
        <w:t>):</w:t>
      </w:r>
      <w:r w:rsidRPr="00D85D84">
        <w:t>3362-7</w:t>
      </w:r>
    </w:p>
  </w:footnote>
  <w:footnote w:id="24">
    <w:p w14:paraId="3C161F7E" w14:textId="77777777" w:rsidR="00437C9C" w:rsidRDefault="00437C9C" w:rsidP="00437C9C">
      <w:pPr>
        <w:pStyle w:val="FootnoteText"/>
        <w:spacing w:before="0"/>
      </w:pPr>
      <w:r>
        <w:rPr>
          <w:rStyle w:val="FootnoteReference"/>
        </w:rPr>
        <w:footnoteRef/>
      </w:r>
      <w:r>
        <w:t xml:space="preserve"> </w:t>
      </w:r>
      <w:r w:rsidRPr="00D85D84">
        <w:t xml:space="preserve">Jin </w:t>
      </w:r>
      <w:r>
        <w:t>X</w:t>
      </w:r>
      <w:r w:rsidRPr="00D85D84">
        <w:t>, Luxan</w:t>
      </w:r>
      <w:r>
        <w:t xml:space="preserve"> BG</w:t>
      </w:r>
      <w:r w:rsidRPr="00D85D84">
        <w:t>, Hanly</w:t>
      </w:r>
      <w:r>
        <w:t xml:space="preserve"> M, et al. (2022)</w:t>
      </w:r>
      <w:r w:rsidRPr="00D85D84">
        <w:t xml:space="preserve"> </w:t>
      </w:r>
      <w:r w:rsidRPr="000A4AD3">
        <w:rPr>
          <w:i/>
          <w:iCs/>
        </w:rPr>
        <w:t>Bone Joint J</w:t>
      </w:r>
      <w:r>
        <w:t>. 104-B(9):1060-1066</w:t>
      </w:r>
    </w:p>
  </w:footnote>
  <w:footnote w:id="25">
    <w:p w14:paraId="37C2F4F3" w14:textId="77777777" w:rsidR="00437C9C" w:rsidRDefault="00437C9C" w:rsidP="00437C9C">
      <w:pPr>
        <w:pStyle w:val="FootnoteText"/>
        <w:spacing w:before="0"/>
      </w:pPr>
      <w:r>
        <w:rPr>
          <w:rStyle w:val="FootnoteReference"/>
        </w:rPr>
        <w:footnoteRef/>
      </w:r>
      <w:r>
        <w:t xml:space="preserve"> </w:t>
      </w:r>
      <w:r w:rsidRPr="00D85D84">
        <w:t xml:space="preserve">Sinagra </w:t>
      </w:r>
      <w:r>
        <w:t>ZP</w:t>
      </w:r>
      <w:r w:rsidRPr="00D85D84">
        <w:t xml:space="preserve">, Davis </w:t>
      </w:r>
      <w:r>
        <w:t>JS</w:t>
      </w:r>
      <w:r w:rsidRPr="00D85D84">
        <w:t>, Lorimer</w:t>
      </w:r>
      <w:r>
        <w:t xml:space="preserve"> M, et al. (2022)</w:t>
      </w:r>
      <w:r w:rsidRPr="00D85D84">
        <w:t xml:space="preserve"> </w:t>
      </w:r>
      <w:r w:rsidRPr="000A4AD3">
        <w:rPr>
          <w:i/>
          <w:iCs/>
        </w:rPr>
        <w:t>Bone Jt Open</w:t>
      </w:r>
      <w:r>
        <w:t>. 3(5):367-373</w:t>
      </w:r>
    </w:p>
  </w:footnote>
  <w:footnote w:id="26">
    <w:p w14:paraId="4D3BCF64" w14:textId="77777777" w:rsidR="00437C9C" w:rsidRPr="004F1F26" w:rsidRDefault="00437C9C" w:rsidP="00437C9C">
      <w:pPr>
        <w:pStyle w:val="FootnoteText"/>
        <w:spacing w:before="0"/>
      </w:pPr>
      <w:r>
        <w:rPr>
          <w:rStyle w:val="FootnoteReference"/>
        </w:rPr>
        <w:footnoteRef/>
      </w:r>
      <w:r>
        <w:t xml:space="preserve"> Tsikopoulos K, Bidossi A, </w:t>
      </w:r>
      <w:r w:rsidRPr="009E03EC">
        <w:t>Drago</w:t>
      </w:r>
      <w:r>
        <w:t xml:space="preserve"> L, Petrenyov DR, Givissis P, Mavridis D et al. (2019). </w:t>
      </w:r>
      <w:r>
        <w:rPr>
          <w:i/>
          <w:iCs/>
        </w:rPr>
        <w:t>Clin Orthop Relat Res</w:t>
      </w:r>
      <w:r>
        <w:t xml:space="preserve"> 477(7):1736–1746.</w:t>
      </w:r>
    </w:p>
  </w:footnote>
  <w:footnote w:id="27">
    <w:p w14:paraId="0A900340" w14:textId="77777777" w:rsidR="00437C9C" w:rsidRPr="00A75C72" w:rsidRDefault="00437C9C" w:rsidP="00437C9C">
      <w:pPr>
        <w:pStyle w:val="FootnoteText"/>
        <w:spacing w:before="0"/>
      </w:pPr>
      <w:r>
        <w:rPr>
          <w:rStyle w:val="FootnoteReference"/>
        </w:rPr>
        <w:footnoteRef/>
      </w:r>
      <w:r>
        <w:t xml:space="preserve"> Wong MT, Sridharan SS, Davison EM, Ng R &amp; Desy NM (2021). </w:t>
      </w:r>
      <w:r>
        <w:rPr>
          <w:i/>
          <w:iCs/>
        </w:rPr>
        <w:t>Clin Orthrop Relat Res</w:t>
      </w:r>
      <w:r>
        <w:t xml:space="preserve"> 479(8):1655–1664.</w:t>
      </w:r>
    </w:p>
  </w:footnote>
  <w:footnote w:id="28">
    <w:p w14:paraId="51D97282" w14:textId="77777777" w:rsidR="00437C9C" w:rsidRDefault="00437C9C" w:rsidP="00437C9C">
      <w:pPr>
        <w:pStyle w:val="FootnoteText"/>
      </w:pPr>
      <w:r>
        <w:rPr>
          <w:rStyle w:val="FootnoteReference"/>
        </w:rPr>
        <w:footnoteRef/>
      </w:r>
      <w:r>
        <w:t xml:space="preserve"> The SSI rates from the AOANJRR were applied to the comparator and </w:t>
      </w:r>
      <w:r w:rsidRPr="00C2651F">
        <w:t xml:space="preserve">the SSI rate for the </w:t>
      </w:r>
      <w:r>
        <w:t>intervention (</w:t>
      </w:r>
      <w:r w:rsidRPr="00C2651F">
        <w:t>DAC+antibiotics</w:t>
      </w:r>
      <w:r>
        <w:t>)</w:t>
      </w:r>
      <w:r w:rsidRPr="00C2651F">
        <w:t xml:space="preserve"> was derived by applying the relative risk (0.24 f</w:t>
      </w:r>
      <w:r>
        <w:t>o</w:t>
      </w:r>
      <w:r w:rsidRPr="00C2651F">
        <w:t xml:space="preserve">r Population 1 and 0.064 for Population 3) from </w:t>
      </w:r>
      <w:r w:rsidRPr="002B61F3">
        <w:t>Romanò</w:t>
      </w:r>
      <w:r w:rsidRPr="00C2651F">
        <w:t xml:space="preserve"> 2016 to the AOANJRR SSI rate.</w:t>
      </w:r>
    </w:p>
  </w:footnote>
  <w:footnote w:id="29">
    <w:p w14:paraId="1E0AD147" w14:textId="77777777" w:rsidR="00437C9C" w:rsidRPr="007F50E5" w:rsidRDefault="00437C9C" w:rsidP="00437C9C">
      <w:pPr>
        <w:pStyle w:val="FootnoteText"/>
      </w:pPr>
      <w:r>
        <w:rPr>
          <w:rStyle w:val="FootnoteReference"/>
        </w:rPr>
        <w:footnoteRef/>
      </w:r>
      <w:r w:rsidRPr="00961DCE">
        <w:rPr>
          <w:lang w:val="it-IT"/>
        </w:rPr>
        <w:t xml:space="preserve"> Franceschini M, Sandiford NA, Cerbone V, de Araujo LCT &amp; Kendoff D (2020). </w:t>
      </w:r>
      <w:r>
        <w:rPr>
          <w:i/>
          <w:iCs/>
        </w:rPr>
        <w:t>HIP International</w:t>
      </w:r>
      <w:r>
        <w:t xml:space="preserve"> 30(1_suppl):7–11.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8B29" w14:textId="77777777" w:rsidR="0098664B" w:rsidRDefault="00000000" w:rsidP="00E50C67">
    <w:pPr>
      <w:pStyle w:val="Header"/>
    </w:pPr>
    <w:r>
      <w:rPr>
        <w:noProof/>
      </w:rPr>
      <w:pict w14:anchorId="39674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508" o:spid="_x0000_s1026" type="#_x0000_t136" style="position:absolute;margin-left:0;margin-top:0;width:412.2pt;height:247.3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25EEED59" w14:textId="77777777" w:rsidR="0098664B" w:rsidRDefault="0098664B" w:rsidP="00E50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C287" w14:textId="77777777" w:rsidR="0098664B" w:rsidRDefault="0098664B" w:rsidP="006077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1A79" w14:textId="77777777" w:rsidR="0098664B" w:rsidRDefault="00000000" w:rsidP="00E50C67">
    <w:pPr>
      <w:pStyle w:val="Header"/>
    </w:pPr>
    <w:r>
      <w:rPr>
        <w:noProof/>
      </w:rPr>
      <w:pict w14:anchorId="49BBE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507" o:spid="_x0000_s1025" type="#_x0000_t136" style="position:absolute;margin-left:0;margin-top:0;width:412.2pt;height:247.3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C403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05138"/>
    <w:multiLevelType w:val="hybridMultilevel"/>
    <w:tmpl w:val="F0EAC6B4"/>
    <w:lvl w:ilvl="0" w:tplc="EC840366">
      <w:start w:val="1"/>
      <w:numFmt w:val="bullet"/>
      <w:lvlText w:val="–"/>
      <w:lvlJc w:val="left"/>
      <w:pPr>
        <w:tabs>
          <w:tab w:val="num" w:pos="576"/>
        </w:tabs>
        <w:ind w:left="720" w:firstLine="0"/>
      </w:pPr>
      <w:rPr>
        <w:rFonts w:ascii="Times New Roman" w:hAnsi="Times New Roman" w:cs="Times New Roman" w:hint="default"/>
        <w:sz w:val="16"/>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60568D"/>
    <w:multiLevelType w:val="hybridMultilevel"/>
    <w:tmpl w:val="D3D05F38"/>
    <w:lvl w:ilvl="0" w:tplc="E3EED696">
      <w:numFmt w:val="bullet"/>
      <w:lvlText w:val="-"/>
      <w:lvlJc w:val="left"/>
      <w:pPr>
        <w:ind w:left="410" w:hanging="360"/>
      </w:pPr>
      <w:rPr>
        <w:rFonts w:ascii="Franklin Gothic Book" w:eastAsia="Times New Roman" w:hAnsi="Franklin Gothic Book" w:cs="Tahoma"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0C1C3E81"/>
    <w:multiLevelType w:val="hybridMultilevel"/>
    <w:tmpl w:val="01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D3FA0"/>
    <w:multiLevelType w:val="hybridMultilevel"/>
    <w:tmpl w:val="8902A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6" w15:restartNumberingAfterBreak="0">
    <w:nsid w:val="15D70371"/>
    <w:multiLevelType w:val="hybridMultilevel"/>
    <w:tmpl w:val="6436C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C615BB"/>
    <w:multiLevelType w:val="hybridMultilevel"/>
    <w:tmpl w:val="8D3831FC"/>
    <w:lvl w:ilvl="0" w:tplc="7F2A011A">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 w15:restartNumberingAfterBreak="0">
    <w:nsid w:val="198B186A"/>
    <w:multiLevelType w:val="multilevel"/>
    <w:tmpl w:val="B2D2AB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3647A5"/>
    <w:multiLevelType w:val="hybridMultilevel"/>
    <w:tmpl w:val="817CE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E791E74"/>
    <w:multiLevelType w:val="hybridMultilevel"/>
    <w:tmpl w:val="E9AACB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2E3757E"/>
    <w:multiLevelType w:val="multilevel"/>
    <w:tmpl w:val="42843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CB202B"/>
    <w:multiLevelType w:val="hybridMultilevel"/>
    <w:tmpl w:val="A7C26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136E1"/>
    <w:multiLevelType w:val="hybridMultilevel"/>
    <w:tmpl w:val="2810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F6A49"/>
    <w:multiLevelType w:val="hybridMultilevel"/>
    <w:tmpl w:val="6764C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E83705"/>
    <w:multiLevelType w:val="hybridMultilevel"/>
    <w:tmpl w:val="FFE0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A1660"/>
    <w:multiLevelType w:val="hybridMultilevel"/>
    <w:tmpl w:val="80E0A8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2AF4BA5"/>
    <w:multiLevelType w:val="hybridMultilevel"/>
    <w:tmpl w:val="D534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3C377A"/>
    <w:multiLevelType w:val="hybridMultilevel"/>
    <w:tmpl w:val="EC1EC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AB44D9"/>
    <w:multiLevelType w:val="hybridMultilevel"/>
    <w:tmpl w:val="AEFE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E54118"/>
    <w:multiLevelType w:val="hybridMultilevel"/>
    <w:tmpl w:val="3C42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C54F61"/>
    <w:multiLevelType w:val="hybridMultilevel"/>
    <w:tmpl w:val="126E4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25" w15:restartNumberingAfterBreak="0">
    <w:nsid w:val="64BB32BE"/>
    <w:multiLevelType w:val="hybridMultilevel"/>
    <w:tmpl w:val="2788D6C6"/>
    <w:lvl w:ilvl="0" w:tplc="B0DA2C7E">
      <w:start w:val="1"/>
      <w:numFmt w:val="decimal"/>
      <w:pStyle w:val="MainBodySectionHeading-numbered"/>
      <w:lvlText w:val="A.%1"/>
      <w:lvlJc w:val="left"/>
      <w:pPr>
        <w:ind w:left="720" w:hanging="360"/>
      </w:pPr>
      <w:rPr>
        <w:rFonts w:ascii="Calibri" w:hAnsi="Calibri" w:hint="default"/>
        <w:b/>
        <w:i w:val="0"/>
        <w:color w:val="auto"/>
        <w:sz w:val="28"/>
      </w:rPr>
    </w:lvl>
    <w:lvl w:ilvl="1" w:tplc="3412F0B6" w:tentative="1">
      <w:start w:val="1"/>
      <w:numFmt w:val="lowerLetter"/>
      <w:lvlText w:val="%2."/>
      <w:lvlJc w:val="left"/>
      <w:pPr>
        <w:ind w:left="1440" w:hanging="360"/>
      </w:pPr>
    </w:lvl>
    <w:lvl w:ilvl="2" w:tplc="0A2C92E8" w:tentative="1">
      <w:start w:val="1"/>
      <w:numFmt w:val="lowerRoman"/>
      <w:lvlText w:val="%3."/>
      <w:lvlJc w:val="right"/>
      <w:pPr>
        <w:ind w:left="2160" w:hanging="180"/>
      </w:pPr>
    </w:lvl>
    <w:lvl w:ilvl="3" w:tplc="51E06328" w:tentative="1">
      <w:start w:val="1"/>
      <w:numFmt w:val="decimal"/>
      <w:lvlText w:val="%4."/>
      <w:lvlJc w:val="left"/>
      <w:pPr>
        <w:ind w:left="2880" w:hanging="360"/>
      </w:pPr>
    </w:lvl>
    <w:lvl w:ilvl="4" w:tplc="55121EB0" w:tentative="1">
      <w:start w:val="1"/>
      <w:numFmt w:val="lowerLetter"/>
      <w:lvlText w:val="%5."/>
      <w:lvlJc w:val="left"/>
      <w:pPr>
        <w:ind w:left="3600" w:hanging="360"/>
      </w:pPr>
    </w:lvl>
    <w:lvl w:ilvl="5" w:tplc="C0BC6618" w:tentative="1">
      <w:start w:val="1"/>
      <w:numFmt w:val="lowerRoman"/>
      <w:lvlText w:val="%6."/>
      <w:lvlJc w:val="right"/>
      <w:pPr>
        <w:ind w:left="4320" w:hanging="180"/>
      </w:pPr>
    </w:lvl>
    <w:lvl w:ilvl="6" w:tplc="2C762004" w:tentative="1">
      <w:start w:val="1"/>
      <w:numFmt w:val="decimal"/>
      <w:lvlText w:val="%7."/>
      <w:lvlJc w:val="left"/>
      <w:pPr>
        <w:ind w:left="5040" w:hanging="360"/>
      </w:pPr>
    </w:lvl>
    <w:lvl w:ilvl="7" w:tplc="AAE0D5E4" w:tentative="1">
      <w:start w:val="1"/>
      <w:numFmt w:val="lowerLetter"/>
      <w:lvlText w:val="%8."/>
      <w:lvlJc w:val="left"/>
      <w:pPr>
        <w:ind w:left="5760" w:hanging="360"/>
      </w:pPr>
    </w:lvl>
    <w:lvl w:ilvl="8" w:tplc="37CCD67A" w:tentative="1">
      <w:start w:val="1"/>
      <w:numFmt w:val="lowerRoman"/>
      <w:lvlText w:val="%9."/>
      <w:lvlJc w:val="right"/>
      <w:pPr>
        <w:ind w:left="6480" w:hanging="180"/>
      </w:pPr>
    </w:lvl>
  </w:abstractNum>
  <w:abstractNum w:abstractNumId="26" w15:restartNumberingAfterBreak="0">
    <w:nsid w:val="676F4DB6"/>
    <w:multiLevelType w:val="hybridMultilevel"/>
    <w:tmpl w:val="12E8D4B6"/>
    <w:lvl w:ilvl="0" w:tplc="EA46FBF8">
      <w:start w:val="1"/>
      <w:numFmt w:val="bullet"/>
      <w:lvlText w:val=""/>
      <w:lvlJc w:val="left"/>
      <w:pPr>
        <w:tabs>
          <w:tab w:val="num" w:pos="720"/>
        </w:tabs>
        <w:ind w:left="720" w:hanging="360"/>
      </w:pPr>
      <w:rPr>
        <w:rFonts w:ascii="Wingdings" w:hAnsi="Wingdings" w:hint="default"/>
      </w:rPr>
    </w:lvl>
    <w:lvl w:ilvl="1" w:tplc="E6CA6518" w:tentative="1">
      <w:start w:val="1"/>
      <w:numFmt w:val="bullet"/>
      <w:lvlText w:val=""/>
      <w:lvlJc w:val="left"/>
      <w:pPr>
        <w:tabs>
          <w:tab w:val="num" w:pos="1440"/>
        </w:tabs>
        <w:ind w:left="1440" w:hanging="360"/>
      </w:pPr>
      <w:rPr>
        <w:rFonts w:ascii="Wingdings" w:hAnsi="Wingdings" w:hint="default"/>
      </w:rPr>
    </w:lvl>
    <w:lvl w:ilvl="2" w:tplc="B4F808F8" w:tentative="1">
      <w:start w:val="1"/>
      <w:numFmt w:val="bullet"/>
      <w:lvlText w:val=""/>
      <w:lvlJc w:val="left"/>
      <w:pPr>
        <w:tabs>
          <w:tab w:val="num" w:pos="2160"/>
        </w:tabs>
        <w:ind w:left="2160" w:hanging="360"/>
      </w:pPr>
      <w:rPr>
        <w:rFonts w:ascii="Wingdings" w:hAnsi="Wingdings" w:hint="default"/>
      </w:rPr>
    </w:lvl>
    <w:lvl w:ilvl="3" w:tplc="515E0D3C" w:tentative="1">
      <w:start w:val="1"/>
      <w:numFmt w:val="bullet"/>
      <w:lvlText w:val=""/>
      <w:lvlJc w:val="left"/>
      <w:pPr>
        <w:tabs>
          <w:tab w:val="num" w:pos="2880"/>
        </w:tabs>
        <w:ind w:left="2880" w:hanging="360"/>
      </w:pPr>
      <w:rPr>
        <w:rFonts w:ascii="Wingdings" w:hAnsi="Wingdings" w:hint="default"/>
      </w:rPr>
    </w:lvl>
    <w:lvl w:ilvl="4" w:tplc="F8CAF4F4" w:tentative="1">
      <w:start w:val="1"/>
      <w:numFmt w:val="bullet"/>
      <w:lvlText w:val=""/>
      <w:lvlJc w:val="left"/>
      <w:pPr>
        <w:tabs>
          <w:tab w:val="num" w:pos="3600"/>
        </w:tabs>
        <w:ind w:left="3600" w:hanging="360"/>
      </w:pPr>
      <w:rPr>
        <w:rFonts w:ascii="Wingdings" w:hAnsi="Wingdings" w:hint="default"/>
      </w:rPr>
    </w:lvl>
    <w:lvl w:ilvl="5" w:tplc="00BEF010" w:tentative="1">
      <w:start w:val="1"/>
      <w:numFmt w:val="bullet"/>
      <w:lvlText w:val=""/>
      <w:lvlJc w:val="left"/>
      <w:pPr>
        <w:tabs>
          <w:tab w:val="num" w:pos="4320"/>
        </w:tabs>
        <w:ind w:left="4320" w:hanging="360"/>
      </w:pPr>
      <w:rPr>
        <w:rFonts w:ascii="Wingdings" w:hAnsi="Wingdings" w:hint="default"/>
      </w:rPr>
    </w:lvl>
    <w:lvl w:ilvl="6" w:tplc="1BDE8A46" w:tentative="1">
      <w:start w:val="1"/>
      <w:numFmt w:val="bullet"/>
      <w:lvlText w:val=""/>
      <w:lvlJc w:val="left"/>
      <w:pPr>
        <w:tabs>
          <w:tab w:val="num" w:pos="5040"/>
        </w:tabs>
        <w:ind w:left="5040" w:hanging="360"/>
      </w:pPr>
      <w:rPr>
        <w:rFonts w:ascii="Wingdings" w:hAnsi="Wingdings" w:hint="default"/>
      </w:rPr>
    </w:lvl>
    <w:lvl w:ilvl="7" w:tplc="4918B514" w:tentative="1">
      <w:start w:val="1"/>
      <w:numFmt w:val="bullet"/>
      <w:lvlText w:val=""/>
      <w:lvlJc w:val="left"/>
      <w:pPr>
        <w:tabs>
          <w:tab w:val="num" w:pos="5760"/>
        </w:tabs>
        <w:ind w:left="5760" w:hanging="360"/>
      </w:pPr>
      <w:rPr>
        <w:rFonts w:ascii="Wingdings" w:hAnsi="Wingdings" w:hint="default"/>
      </w:rPr>
    </w:lvl>
    <w:lvl w:ilvl="8" w:tplc="600414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60E95"/>
    <w:multiLevelType w:val="hybridMultilevel"/>
    <w:tmpl w:val="4024F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3528CB"/>
    <w:multiLevelType w:val="hybridMultilevel"/>
    <w:tmpl w:val="749871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0415E7"/>
    <w:multiLevelType w:val="hybridMultilevel"/>
    <w:tmpl w:val="3A24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D843E8"/>
    <w:multiLevelType w:val="hybridMultilevel"/>
    <w:tmpl w:val="16F4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6075E0"/>
    <w:multiLevelType w:val="hybridMultilevel"/>
    <w:tmpl w:val="B7861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8302C2"/>
    <w:multiLevelType w:val="hybridMultilevel"/>
    <w:tmpl w:val="69345B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E74FF"/>
    <w:multiLevelType w:val="multilevel"/>
    <w:tmpl w:val="5656A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D200C70"/>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36" w15:restartNumberingAfterBreak="0">
    <w:nsid w:val="7EE577ED"/>
    <w:multiLevelType w:val="hybridMultilevel"/>
    <w:tmpl w:val="48265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96020471">
    <w:abstractNumId w:val="24"/>
  </w:num>
  <w:num w:numId="2" w16cid:durableId="19548532">
    <w:abstractNumId w:val="5"/>
  </w:num>
  <w:num w:numId="3" w16cid:durableId="1326737401">
    <w:abstractNumId w:val="37"/>
  </w:num>
  <w:num w:numId="4" w16cid:durableId="736975891">
    <w:abstractNumId w:val="25"/>
  </w:num>
  <w:num w:numId="5" w16cid:durableId="1695571323">
    <w:abstractNumId w:val="10"/>
  </w:num>
  <w:num w:numId="6" w16cid:durableId="345255046">
    <w:abstractNumId w:val="35"/>
  </w:num>
  <w:num w:numId="7" w16cid:durableId="1486820010">
    <w:abstractNumId w:val="32"/>
  </w:num>
  <w:num w:numId="8" w16cid:durableId="1383140195">
    <w:abstractNumId w:val="0"/>
  </w:num>
  <w:num w:numId="9" w16cid:durableId="501357451">
    <w:abstractNumId w:val="18"/>
  </w:num>
  <w:num w:numId="10" w16cid:durableId="2090804739">
    <w:abstractNumId w:val="13"/>
  </w:num>
  <w:num w:numId="11" w16cid:durableId="1494491666">
    <w:abstractNumId w:val="4"/>
  </w:num>
  <w:num w:numId="12" w16cid:durableId="358093457">
    <w:abstractNumId w:val="15"/>
  </w:num>
  <w:num w:numId="13" w16cid:durableId="762723738">
    <w:abstractNumId w:val="27"/>
  </w:num>
  <w:num w:numId="14" w16cid:durableId="759064437">
    <w:abstractNumId w:val="31"/>
  </w:num>
  <w:num w:numId="15" w16cid:durableId="608320651">
    <w:abstractNumId w:val="14"/>
  </w:num>
  <w:num w:numId="16" w16cid:durableId="719865233">
    <w:abstractNumId w:val="23"/>
  </w:num>
  <w:num w:numId="17" w16cid:durableId="1689327925">
    <w:abstractNumId w:val="19"/>
  </w:num>
  <w:num w:numId="18" w16cid:durableId="504395929">
    <w:abstractNumId w:val="9"/>
  </w:num>
  <w:num w:numId="19" w16cid:durableId="2043506568">
    <w:abstractNumId w:val="1"/>
  </w:num>
  <w:num w:numId="20" w16cid:durableId="154078937">
    <w:abstractNumId w:val="30"/>
  </w:num>
  <w:num w:numId="21" w16cid:durableId="913853400">
    <w:abstractNumId w:val="22"/>
  </w:num>
  <w:num w:numId="22" w16cid:durableId="155196018">
    <w:abstractNumId w:val="21"/>
  </w:num>
  <w:num w:numId="23" w16cid:durableId="1655642359">
    <w:abstractNumId w:val="3"/>
  </w:num>
  <w:num w:numId="24" w16cid:durableId="950017488">
    <w:abstractNumId w:val="36"/>
  </w:num>
  <w:num w:numId="25" w16cid:durableId="696931506">
    <w:abstractNumId w:val="17"/>
  </w:num>
  <w:num w:numId="26" w16cid:durableId="896084836">
    <w:abstractNumId w:val="28"/>
  </w:num>
  <w:num w:numId="27" w16cid:durableId="160780976">
    <w:abstractNumId w:val="20"/>
  </w:num>
  <w:num w:numId="28" w16cid:durableId="964703708">
    <w:abstractNumId w:val="7"/>
  </w:num>
  <w:num w:numId="29" w16cid:durableId="1707875091">
    <w:abstractNumId w:val="6"/>
  </w:num>
  <w:num w:numId="30" w16cid:durableId="713768551">
    <w:abstractNumId w:val="29"/>
  </w:num>
  <w:num w:numId="31" w16cid:durableId="157968283">
    <w:abstractNumId w:val="33"/>
  </w:num>
  <w:num w:numId="32" w16cid:durableId="1575704844">
    <w:abstractNumId w:val="12"/>
  </w:num>
  <w:num w:numId="33" w16cid:durableId="1653942383">
    <w:abstractNumId w:val="34"/>
  </w:num>
  <w:num w:numId="34" w16cid:durableId="755513926">
    <w:abstractNumId w:val="26"/>
  </w:num>
  <w:num w:numId="35" w16cid:durableId="1253705234">
    <w:abstractNumId w:val="8"/>
  </w:num>
  <w:num w:numId="36" w16cid:durableId="1083257032">
    <w:abstractNumId w:val="2"/>
  </w:num>
  <w:num w:numId="37" w16cid:durableId="545920561">
    <w:abstractNumId w:val="16"/>
  </w:num>
  <w:num w:numId="38" w16cid:durableId="18162788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K0MDI1NzWxMLA0MzNT0lEKTi0uzszPAykwNq8FAFkuwDstAAAA"/>
    <w:docVar w:name="EN.InstantFormat" w:val="&lt;ENInstantFormat&gt;&lt;Enabled&gt;0&lt;/Enabled&gt;&lt;ScanUnformatted&gt;1&lt;/ScanUnformatted&gt;&lt;ScanChanges&gt;1&lt;/ScanChanges&gt;&lt;Suspended&gt;0&lt;/Suspended&gt;&lt;/ENInstantFormat&gt;"/>
    <w:docVar w:name="EN.Layout" w:val="&lt;ENLayout&gt;&lt;Style&gt;MSACStyle Copy&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p00rr90ndp0vpepfz8pxrzn5z2eazxpfzz5&quot;&gt;ashley.soytemiz@mq.edu.au&lt;record-ids&gt;&lt;item&gt;80&lt;/item&gt;&lt;item&gt;3427&lt;/item&gt;&lt;item&gt;3635&lt;/item&gt;&lt;item&gt;6640&lt;/item&gt;&lt;item&gt;6647&lt;/item&gt;&lt;item&gt;6652&lt;/item&gt;&lt;item&gt;6653&lt;/item&gt;&lt;item&gt;6654&lt;/item&gt;&lt;item&gt;6655&lt;/item&gt;&lt;item&gt;6657&lt;/item&gt;&lt;item&gt;6661&lt;/item&gt;&lt;item&gt;6662&lt;/item&gt;&lt;item&gt;7098&lt;/item&gt;&lt;item&gt;7106&lt;/item&gt;&lt;item&gt;7107&lt;/item&gt;&lt;item&gt;7108&lt;/item&gt;&lt;item&gt;7109&lt;/item&gt;&lt;item&gt;7112&lt;/item&gt;&lt;item&gt;7113&lt;/item&gt;&lt;item&gt;7116&lt;/item&gt;&lt;item&gt;7169&lt;/item&gt;&lt;item&gt;7170&lt;/item&gt;&lt;item&gt;7171&lt;/item&gt;&lt;item&gt;7172&lt;/item&gt;&lt;item&gt;7194&lt;/item&gt;&lt;item&gt;7202&lt;/item&gt;&lt;item&gt;7203&lt;/item&gt;&lt;item&gt;7204&lt;/item&gt;&lt;item&gt;7205&lt;/item&gt;&lt;item&gt;7206&lt;/item&gt;&lt;item&gt;7207&lt;/item&gt;&lt;item&gt;7208&lt;/item&gt;&lt;item&gt;7209&lt;/item&gt;&lt;item&gt;7211&lt;/item&gt;&lt;item&gt;7305&lt;/item&gt;&lt;item&gt;7337&lt;/item&gt;&lt;item&gt;7338&lt;/item&gt;&lt;item&gt;7339&lt;/item&gt;&lt;item&gt;7340&lt;/item&gt;&lt;item&gt;7341&lt;/item&gt;&lt;item&gt;7343&lt;/item&gt;&lt;item&gt;7344&lt;/item&gt;&lt;item&gt;7346&lt;/item&gt;&lt;item&gt;7347&lt;/item&gt;&lt;item&gt;7348&lt;/item&gt;&lt;item&gt;7349&lt;/item&gt;&lt;item&gt;7352&lt;/item&gt;&lt;item&gt;7354&lt;/item&gt;&lt;item&gt;7355&lt;/item&gt;&lt;item&gt;7360&lt;/item&gt;&lt;/record-ids&gt;&lt;/item&gt;&lt;/Libraries&gt;"/>
  </w:docVars>
  <w:rsids>
    <w:rsidRoot w:val="00640EBD"/>
    <w:rsid w:val="0000013A"/>
    <w:rsid w:val="000006B5"/>
    <w:rsid w:val="00000B9C"/>
    <w:rsid w:val="00000BEB"/>
    <w:rsid w:val="00000C42"/>
    <w:rsid w:val="00000FA9"/>
    <w:rsid w:val="00001121"/>
    <w:rsid w:val="0000127D"/>
    <w:rsid w:val="0000136D"/>
    <w:rsid w:val="000013C6"/>
    <w:rsid w:val="0000190C"/>
    <w:rsid w:val="00001C3C"/>
    <w:rsid w:val="00001E31"/>
    <w:rsid w:val="00001F98"/>
    <w:rsid w:val="0000226A"/>
    <w:rsid w:val="0000228D"/>
    <w:rsid w:val="00002552"/>
    <w:rsid w:val="000029F2"/>
    <w:rsid w:val="00002B57"/>
    <w:rsid w:val="00002EED"/>
    <w:rsid w:val="00003287"/>
    <w:rsid w:val="00003796"/>
    <w:rsid w:val="00003BA5"/>
    <w:rsid w:val="0000430A"/>
    <w:rsid w:val="00004AD5"/>
    <w:rsid w:val="00004B9E"/>
    <w:rsid w:val="00004D0D"/>
    <w:rsid w:val="00004D16"/>
    <w:rsid w:val="00005109"/>
    <w:rsid w:val="00005257"/>
    <w:rsid w:val="0000536A"/>
    <w:rsid w:val="00005403"/>
    <w:rsid w:val="000055D4"/>
    <w:rsid w:val="000056E8"/>
    <w:rsid w:val="000056FA"/>
    <w:rsid w:val="00006627"/>
    <w:rsid w:val="00006641"/>
    <w:rsid w:val="00006961"/>
    <w:rsid w:val="000069A7"/>
    <w:rsid w:val="00006C74"/>
    <w:rsid w:val="000070F9"/>
    <w:rsid w:val="0000714B"/>
    <w:rsid w:val="000078F6"/>
    <w:rsid w:val="00007948"/>
    <w:rsid w:val="00007A44"/>
    <w:rsid w:val="00007A4C"/>
    <w:rsid w:val="00007BE0"/>
    <w:rsid w:val="00007D81"/>
    <w:rsid w:val="00007DC0"/>
    <w:rsid w:val="000105A9"/>
    <w:rsid w:val="000106F7"/>
    <w:rsid w:val="0001085B"/>
    <w:rsid w:val="0001088E"/>
    <w:rsid w:val="000108EE"/>
    <w:rsid w:val="000109F3"/>
    <w:rsid w:val="00010BF8"/>
    <w:rsid w:val="00010FB8"/>
    <w:rsid w:val="000111D2"/>
    <w:rsid w:val="0001135D"/>
    <w:rsid w:val="00011550"/>
    <w:rsid w:val="00011758"/>
    <w:rsid w:val="00011772"/>
    <w:rsid w:val="00011787"/>
    <w:rsid w:val="000118E0"/>
    <w:rsid w:val="00011B3C"/>
    <w:rsid w:val="00011F10"/>
    <w:rsid w:val="00012769"/>
    <w:rsid w:val="00012EA4"/>
    <w:rsid w:val="00012EA6"/>
    <w:rsid w:val="0001307B"/>
    <w:rsid w:val="000130D3"/>
    <w:rsid w:val="000133F9"/>
    <w:rsid w:val="000134C1"/>
    <w:rsid w:val="000134D9"/>
    <w:rsid w:val="0001357B"/>
    <w:rsid w:val="00013791"/>
    <w:rsid w:val="0001388D"/>
    <w:rsid w:val="00013934"/>
    <w:rsid w:val="000139D1"/>
    <w:rsid w:val="000139E2"/>
    <w:rsid w:val="000139EB"/>
    <w:rsid w:val="00013B46"/>
    <w:rsid w:val="00013FA1"/>
    <w:rsid w:val="00014736"/>
    <w:rsid w:val="000147C0"/>
    <w:rsid w:val="00014917"/>
    <w:rsid w:val="000149C2"/>
    <w:rsid w:val="00014A66"/>
    <w:rsid w:val="00014D6D"/>
    <w:rsid w:val="00014EC1"/>
    <w:rsid w:val="00015282"/>
    <w:rsid w:val="000155E6"/>
    <w:rsid w:val="0001563F"/>
    <w:rsid w:val="000156F4"/>
    <w:rsid w:val="00015787"/>
    <w:rsid w:val="00015BFD"/>
    <w:rsid w:val="00015C26"/>
    <w:rsid w:val="00015E03"/>
    <w:rsid w:val="000160B3"/>
    <w:rsid w:val="00016333"/>
    <w:rsid w:val="0001667E"/>
    <w:rsid w:val="00016792"/>
    <w:rsid w:val="00016933"/>
    <w:rsid w:val="0001695D"/>
    <w:rsid w:val="00016A81"/>
    <w:rsid w:val="00016D7D"/>
    <w:rsid w:val="00016F50"/>
    <w:rsid w:val="00016FDF"/>
    <w:rsid w:val="000171FD"/>
    <w:rsid w:val="000173C3"/>
    <w:rsid w:val="0001794E"/>
    <w:rsid w:val="00017B2B"/>
    <w:rsid w:val="00017D44"/>
    <w:rsid w:val="00017E9A"/>
    <w:rsid w:val="0002045F"/>
    <w:rsid w:val="000204B6"/>
    <w:rsid w:val="000208A2"/>
    <w:rsid w:val="00020A61"/>
    <w:rsid w:val="00020C59"/>
    <w:rsid w:val="00020F15"/>
    <w:rsid w:val="00021072"/>
    <w:rsid w:val="00021712"/>
    <w:rsid w:val="000219BC"/>
    <w:rsid w:val="00021BA0"/>
    <w:rsid w:val="00021FDC"/>
    <w:rsid w:val="00022065"/>
    <w:rsid w:val="0002230A"/>
    <w:rsid w:val="0002265C"/>
    <w:rsid w:val="00022FCD"/>
    <w:rsid w:val="00023199"/>
    <w:rsid w:val="000236CF"/>
    <w:rsid w:val="00023792"/>
    <w:rsid w:val="000243EA"/>
    <w:rsid w:val="0002446C"/>
    <w:rsid w:val="000244C7"/>
    <w:rsid w:val="00024819"/>
    <w:rsid w:val="00024AF2"/>
    <w:rsid w:val="0002538F"/>
    <w:rsid w:val="000256BD"/>
    <w:rsid w:val="0002581D"/>
    <w:rsid w:val="00025AB6"/>
    <w:rsid w:val="00025D96"/>
    <w:rsid w:val="00025F1A"/>
    <w:rsid w:val="000265D7"/>
    <w:rsid w:val="000266AD"/>
    <w:rsid w:val="0002695E"/>
    <w:rsid w:val="00026CA7"/>
    <w:rsid w:val="00026D2F"/>
    <w:rsid w:val="00026D6A"/>
    <w:rsid w:val="00027055"/>
    <w:rsid w:val="0002707D"/>
    <w:rsid w:val="00027329"/>
    <w:rsid w:val="0002749F"/>
    <w:rsid w:val="00027611"/>
    <w:rsid w:val="00027B53"/>
    <w:rsid w:val="00027DDF"/>
    <w:rsid w:val="00027F1B"/>
    <w:rsid w:val="000303D8"/>
    <w:rsid w:val="000309B7"/>
    <w:rsid w:val="00030C76"/>
    <w:rsid w:val="00030E6F"/>
    <w:rsid w:val="00030FB4"/>
    <w:rsid w:val="000311A8"/>
    <w:rsid w:val="00031330"/>
    <w:rsid w:val="0003136E"/>
    <w:rsid w:val="000313F3"/>
    <w:rsid w:val="000314E2"/>
    <w:rsid w:val="000318F9"/>
    <w:rsid w:val="00031A2C"/>
    <w:rsid w:val="000321D9"/>
    <w:rsid w:val="000324E2"/>
    <w:rsid w:val="0003260D"/>
    <w:rsid w:val="00032DF1"/>
    <w:rsid w:val="00033927"/>
    <w:rsid w:val="00033E27"/>
    <w:rsid w:val="000340BA"/>
    <w:rsid w:val="000343FF"/>
    <w:rsid w:val="00034AE9"/>
    <w:rsid w:val="00034CFE"/>
    <w:rsid w:val="0003587F"/>
    <w:rsid w:val="0003595E"/>
    <w:rsid w:val="00035FF2"/>
    <w:rsid w:val="00036221"/>
    <w:rsid w:val="0003639B"/>
    <w:rsid w:val="0003669F"/>
    <w:rsid w:val="000368B9"/>
    <w:rsid w:val="000368DB"/>
    <w:rsid w:val="00036954"/>
    <w:rsid w:val="00036CBD"/>
    <w:rsid w:val="00036D3B"/>
    <w:rsid w:val="00036F0B"/>
    <w:rsid w:val="00036F3D"/>
    <w:rsid w:val="000373D6"/>
    <w:rsid w:val="000373E8"/>
    <w:rsid w:val="00037729"/>
    <w:rsid w:val="00037B2B"/>
    <w:rsid w:val="00040305"/>
    <w:rsid w:val="0004054C"/>
    <w:rsid w:val="000406B4"/>
    <w:rsid w:val="00040D41"/>
    <w:rsid w:val="00040DD2"/>
    <w:rsid w:val="0004109F"/>
    <w:rsid w:val="0004148B"/>
    <w:rsid w:val="0004165A"/>
    <w:rsid w:val="00041867"/>
    <w:rsid w:val="00041ADB"/>
    <w:rsid w:val="00041B23"/>
    <w:rsid w:val="00041C6F"/>
    <w:rsid w:val="00041D49"/>
    <w:rsid w:val="00041DF1"/>
    <w:rsid w:val="00041F2B"/>
    <w:rsid w:val="000422F5"/>
    <w:rsid w:val="000424B4"/>
    <w:rsid w:val="00042771"/>
    <w:rsid w:val="000427F8"/>
    <w:rsid w:val="00042DF4"/>
    <w:rsid w:val="00043293"/>
    <w:rsid w:val="00043510"/>
    <w:rsid w:val="00043C04"/>
    <w:rsid w:val="0004468B"/>
    <w:rsid w:val="00044B7A"/>
    <w:rsid w:val="000450C3"/>
    <w:rsid w:val="0004536B"/>
    <w:rsid w:val="00045A72"/>
    <w:rsid w:val="00045C50"/>
    <w:rsid w:val="000462C2"/>
    <w:rsid w:val="0004642F"/>
    <w:rsid w:val="000464C3"/>
    <w:rsid w:val="00046E1D"/>
    <w:rsid w:val="000473DD"/>
    <w:rsid w:val="000478D5"/>
    <w:rsid w:val="00050356"/>
    <w:rsid w:val="000508A4"/>
    <w:rsid w:val="00050D2F"/>
    <w:rsid w:val="00050DAA"/>
    <w:rsid w:val="00051060"/>
    <w:rsid w:val="00051085"/>
    <w:rsid w:val="0005119A"/>
    <w:rsid w:val="000512A0"/>
    <w:rsid w:val="0005156D"/>
    <w:rsid w:val="00051666"/>
    <w:rsid w:val="00051A96"/>
    <w:rsid w:val="00051F0D"/>
    <w:rsid w:val="0005232D"/>
    <w:rsid w:val="00052434"/>
    <w:rsid w:val="0005272E"/>
    <w:rsid w:val="00052741"/>
    <w:rsid w:val="0005281F"/>
    <w:rsid w:val="0005287C"/>
    <w:rsid w:val="00052935"/>
    <w:rsid w:val="00052B09"/>
    <w:rsid w:val="00052E05"/>
    <w:rsid w:val="00052E3F"/>
    <w:rsid w:val="00052FBC"/>
    <w:rsid w:val="00053A89"/>
    <w:rsid w:val="0005408B"/>
    <w:rsid w:val="00054C69"/>
    <w:rsid w:val="000554AA"/>
    <w:rsid w:val="00055AC3"/>
    <w:rsid w:val="00055E08"/>
    <w:rsid w:val="00056684"/>
    <w:rsid w:val="00056AEF"/>
    <w:rsid w:val="00056BE2"/>
    <w:rsid w:val="00056DC4"/>
    <w:rsid w:val="00056DD9"/>
    <w:rsid w:val="00056ED1"/>
    <w:rsid w:val="000577FF"/>
    <w:rsid w:val="00057834"/>
    <w:rsid w:val="00057FD3"/>
    <w:rsid w:val="00057FDD"/>
    <w:rsid w:val="00060875"/>
    <w:rsid w:val="000608FD"/>
    <w:rsid w:val="000609A2"/>
    <w:rsid w:val="00060B82"/>
    <w:rsid w:val="00060E4F"/>
    <w:rsid w:val="00060E70"/>
    <w:rsid w:val="0006122C"/>
    <w:rsid w:val="000613E7"/>
    <w:rsid w:val="0006162F"/>
    <w:rsid w:val="00061A1C"/>
    <w:rsid w:val="00061AF5"/>
    <w:rsid w:val="00061DB6"/>
    <w:rsid w:val="00062064"/>
    <w:rsid w:val="000620D0"/>
    <w:rsid w:val="000625F7"/>
    <w:rsid w:val="00062F2F"/>
    <w:rsid w:val="0006306E"/>
    <w:rsid w:val="00063167"/>
    <w:rsid w:val="0006327E"/>
    <w:rsid w:val="00063311"/>
    <w:rsid w:val="0006384B"/>
    <w:rsid w:val="00063A3A"/>
    <w:rsid w:val="00063AE8"/>
    <w:rsid w:val="00063C88"/>
    <w:rsid w:val="00063CC4"/>
    <w:rsid w:val="00063F44"/>
    <w:rsid w:val="00063FE3"/>
    <w:rsid w:val="0006406E"/>
    <w:rsid w:val="0006420B"/>
    <w:rsid w:val="0006422B"/>
    <w:rsid w:val="00064DEA"/>
    <w:rsid w:val="00064E4D"/>
    <w:rsid w:val="000650CB"/>
    <w:rsid w:val="0006531D"/>
    <w:rsid w:val="00065420"/>
    <w:rsid w:val="00065CD5"/>
    <w:rsid w:val="00065DD7"/>
    <w:rsid w:val="0006617E"/>
    <w:rsid w:val="00066798"/>
    <w:rsid w:val="00066A6C"/>
    <w:rsid w:val="00066CD5"/>
    <w:rsid w:val="00066F5D"/>
    <w:rsid w:val="00067A65"/>
    <w:rsid w:val="00067BF6"/>
    <w:rsid w:val="00070526"/>
    <w:rsid w:val="00070B84"/>
    <w:rsid w:val="0007149F"/>
    <w:rsid w:val="000715CB"/>
    <w:rsid w:val="00071963"/>
    <w:rsid w:val="00071B67"/>
    <w:rsid w:val="00071BA0"/>
    <w:rsid w:val="00071F5B"/>
    <w:rsid w:val="00072199"/>
    <w:rsid w:val="0007284B"/>
    <w:rsid w:val="00072A22"/>
    <w:rsid w:val="00072DC0"/>
    <w:rsid w:val="00073235"/>
    <w:rsid w:val="00073267"/>
    <w:rsid w:val="00073339"/>
    <w:rsid w:val="00073376"/>
    <w:rsid w:val="00073636"/>
    <w:rsid w:val="0007379A"/>
    <w:rsid w:val="00073882"/>
    <w:rsid w:val="000739E5"/>
    <w:rsid w:val="00073A8D"/>
    <w:rsid w:val="00073EC5"/>
    <w:rsid w:val="00074ABF"/>
    <w:rsid w:val="00074F92"/>
    <w:rsid w:val="00075A7C"/>
    <w:rsid w:val="00075C24"/>
    <w:rsid w:val="00076210"/>
    <w:rsid w:val="000768BB"/>
    <w:rsid w:val="00076A45"/>
    <w:rsid w:val="00076A70"/>
    <w:rsid w:val="00076F32"/>
    <w:rsid w:val="00077247"/>
    <w:rsid w:val="000774DB"/>
    <w:rsid w:val="00077880"/>
    <w:rsid w:val="000802CC"/>
    <w:rsid w:val="0008033F"/>
    <w:rsid w:val="00080706"/>
    <w:rsid w:val="00080957"/>
    <w:rsid w:val="00080986"/>
    <w:rsid w:val="000809D5"/>
    <w:rsid w:val="00080C9E"/>
    <w:rsid w:val="0008168D"/>
    <w:rsid w:val="00081A87"/>
    <w:rsid w:val="00081E89"/>
    <w:rsid w:val="000821BD"/>
    <w:rsid w:val="000822BF"/>
    <w:rsid w:val="000822EA"/>
    <w:rsid w:val="0008260B"/>
    <w:rsid w:val="0008261B"/>
    <w:rsid w:val="000826B4"/>
    <w:rsid w:val="00082712"/>
    <w:rsid w:val="00082977"/>
    <w:rsid w:val="00082C5A"/>
    <w:rsid w:val="00082CDD"/>
    <w:rsid w:val="00082E66"/>
    <w:rsid w:val="00082EC5"/>
    <w:rsid w:val="00083099"/>
    <w:rsid w:val="00083498"/>
    <w:rsid w:val="0008367E"/>
    <w:rsid w:val="000838C2"/>
    <w:rsid w:val="0008396B"/>
    <w:rsid w:val="000842A2"/>
    <w:rsid w:val="00084AE7"/>
    <w:rsid w:val="00084CE9"/>
    <w:rsid w:val="00084DE1"/>
    <w:rsid w:val="00084F83"/>
    <w:rsid w:val="00085083"/>
    <w:rsid w:val="00085282"/>
    <w:rsid w:val="00085400"/>
    <w:rsid w:val="00085883"/>
    <w:rsid w:val="00085981"/>
    <w:rsid w:val="00085C31"/>
    <w:rsid w:val="0008612D"/>
    <w:rsid w:val="000861FA"/>
    <w:rsid w:val="00086491"/>
    <w:rsid w:val="000868BD"/>
    <w:rsid w:val="000869F6"/>
    <w:rsid w:val="00086C4D"/>
    <w:rsid w:val="00086D44"/>
    <w:rsid w:val="00086DB8"/>
    <w:rsid w:val="00087F4E"/>
    <w:rsid w:val="00090330"/>
    <w:rsid w:val="000903F9"/>
    <w:rsid w:val="000904C2"/>
    <w:rsid w:val="000905F4"/>
    <w:rsid w:val="0009089A"/>
    <w:rsid w:val="00090904"/>
    <w:rsid w:val="00090AA3"/>
    <w:rsid w:val="00090BD2"/>
    <w:rsid w:val="00090C03"/>
    <w:rsid w:val="00090DDE"/>
    <w:rsid w:val="00090EF8"/>
    <w:rsid w:val="00091296"/>
    <w:rsid w:val="000915B2"/>
    <w:rsid w:val="00091667"/>
    <w:rsid w:val="000917C7"/>
    <w:rsid w:val="00091989"/>
    <w:rsid w:val="00091A2F"/>
    <w:rsid w:val="00092116"/>
    <w:rsid w:val="000928B0"/>
    <w:rsid w:val="00092A35"/>
    <w:rsid w:val="00092CFA"/>
    <w:rsid w:val="000933E6"/>
    <w:rsid w:val="000937B3"/>
    <w:rsid w:val="0009386C"/>
    <w:rsid w:val="000939B9"/>
    <w:rsid w:val="00093C9A"/>
    <w:rsid w:val="00093CE9"/>
    <w:rsid w:val="00093DC4"/>
    <w:rsid w:val="00093EE9"/>
    <w:rsid w:val="00094977"/>
    <w:rsid w:val="00094DBD"/>
    <w:rsid w:val="00096AAE"/>
    <w:rsid w:val="00096B92"/>
    <w:rsid w:val="00096BD5"/>
    <w:rsid w:val="00096EBE"/>
    <w:rsid w:val="00096EC1"/>
    <w:rsid w:val="00097AAC"/>
    <w:rsid w:val="000A0146"/>
    <w:rsid w:val="000A051D"/>
    <w:rsid w:val="000A0790"/>
    <w:rsid w:val="000A07CB"/>
    <w:rsid w:val="000A0B9B"/>
    <w:rsid w:val="000A0C9C"/>
    <w:rsid w:val="000A0D18"/>
    <w:rsid w:val="000A1298"/>
    <w:rsid w:val="000A1338"/>
    <w:rsid w:val="000A138A"/>
    <w:rsid w:val="000A13F7"/>
    <w:rsid w:val="000A1508"/>
    <w:rsid w:val="000A1599"/>
    <w:rsid w:val="000A1D85"/>
    <w:rsid w:val="000A2278"/>
    <w:rsid w:val="000A2445"/>
    <w:rsid w:val="000A272A"/>
    <w:rsid w:val="000A2C9E"/>
    <w:rsid w:val="000A375A"/>
    <w:rsid w:val="000A39F4"/>
    <w:rsid w:val="000A3AAF"/>
    <w:rsid w:val="000A3E60"/>
    <w:rsid w:val="000A3F8D"/>
    <w:rsid w:val="000A456C"/>
    <w:rsid w:val="000A4AD3"/>
    <w:rsid w:val="000A4DF3"/>
    <w:rsid w:val="000A4E39"/>
    <w:rsid w:val="000A546E"/>
    <w:rsid w:val="000A54AD"/>
    <w:rsid w:val="000A55B4"/>
    <w:rsid w:val="000A5CE8"/>
    <w:rsid w:val="000A5DB5"/>
    <w:rsid w:val="000A612B"/>
    <w:rsid w:val="000A6787"/>
    <w:rsid w:val="000A6C01"/>
    <w:rsid w:val="000A7356"/>
    <w:rsid w:val="000A76B2"/>
    <w:rsid w:val="000A77C8"/>
    <w:rsid w:val="000A7943"/>
    <w:rsid w:val="000A7B08"/>
    <w:rsid w:val="000A7D0A"/>
    <w:rsid w:val="000B0364"/>
    <w:rsid w:val="000B03BF"/>
    <w:rsid w:val="000B06C4"/>
    <w:rsid w:val="000B0993"/>
    <w:rsid w:val="000B0F0F"/>
    <w:rsid w:val="000B1165"/>
    <w:rsid w:val="000B1434"/>
    <w:rsid w:val="000B164F"/>
    <w:rsid w:val="000B1F56"/>
    <w:rsid w:val="000B21CB"/>
    <w:rsid w:val="000B23EA"/>
    <w:rsid w:val="000B2675"/>
    <w:rsid w:val="000B274D"/>
    <w:rsid w:val="000B28E7"/>
    <w:rsid w:val="000B2DCA"/>
    <w:rsid w:val="000B2E4B"/>
    <w:rsid w:val="000B30A2"/>
    <w:rsid w:val="000B3610"/>
    <w:rsid w:val="000B37DE"/>
    <w:rsid w:val="000B3CA5"/>
    <w:rsid w:val="000B4253"/>
    <w:rsid w:val="000B4A87"/>
    <w:rsid w:val="000B4BDC"/>
    <w:rsid w:val="000B4CAD"/>
    <w:rsid w:val="000B508C"/>
    <w:rsid w:val="000B525C"/>
    <w:rsid w:val="000B52F5"/>
    <w:rsid w:val="000B5C7B"/>
    <w:rsid w:val="000B5D81"/>
    <w:rsid w:val="000B63E1"/>
    <w:rsid w:val="000B688F"/>
    <w:rsid w:val="000B7A2F"/>
    <w:rsid w:val="000B7B78"/>
    <w:rsid w:val="000B7CB7"/>
    <w:rsid w:val="000B7DFE"/>
    <w:rsid w:val="000B7EE2"/>
    <w:rsid w:val="000B7EE7"/>
    <w:rsid w:val="000B7F5D"/>
    <w:rsid w:val="000C0364"/>
    <w:rsid w:val="000C0493"/>
    <w:rsid w:val="000C04C1"/>
    <w:rsid w:val="000C0684"/>
    <w:rsid w:val="000C0CEA"/>
    <w:rsid w:val="000C10BA"/>
    <w:rsid w:val="000C14EF"/>
    <w:rsid w:val="000C1599"/>
    <w:rsid w:val="000C1714"/>
    <w:rsid w:val="000C1747"/>
    <w:rsid w:val="000C1AFE"/>
    <w:rsid w:val="000C226B"/>
    <w:rsid w:val="000C25B0"/>
    <w:rsid w:val="000C2827"/>
    <w:rsid w:val="000C2B33"/>
    <w:rsid w:val="000C2FB9"/>
    <w:rsid w:val="000C32A4"/>
    <w:rsid w:val="000C3984"/>
    <w:rsid w:val="000C3CDE"/>
    <w:rsid w:val="000C4137"/>
    <w:rsid w:val="000C4404"/>
    <w:rsid w:val="000C44CA"/>
    <w:rsid w:val="000C49F7"/>
    <w:rsid w:val="000C53B8"/>
    <w:rsid w:val="000C5752"/>
    <w:rsid w:val="000C5A70"/>
    <w:rsid w:val="000C5D0A"/>
    <w:rsid w:val="000C5F36"/>
    <w:rsid w:val="000C61C5"/>
    <w:rsid w:val="000C651F"/>
    <w:rsid w:val="000C6D10"/>
    <w:rsid w:val="000C6E65"/>
    <w:rsid w:val="000C769F"/>
    <w:rsid w:val="000C7874"/>
    <w:rsid w:val="000C7C2A"/>
    <w:rsid w:val="000C7C44"/>
    <w:rsid w:val="000C7DE2"/>
    <w:rsid w:val="000C7F6A"/>
    <w:rsid w:val="000D00C1"/>
    <w:rsid w:val="000D0128"/>
    <w:rsid w:val="000D04F4"/>
    <w:rsid w:val="000D0784"/>
    <w:rsid w:val="000D0E4E"/>
    <w:rsid w:val="000D1300"/>
    <w:rsid w:val="000D134D"/>
    <w:rsid w:val="000D13CD"/>
    <w:rsid w:val="000D180A"/>
    <w:rsid w:val="000D186C"/>
    <w:rsid w:val="000D18A2"/>
    <w:rsid w:val="000D1C4C"/>
    <w:rsid w:val="000D2CFA"/>
    <w:rsid w:val="000D2D78"/>
    <w:rsid w:val="000D2D89"/>
    <w:rsid w:val="000D2E96"/>
    <w:rsid w:val="000D2EB6"/>
    <w:rsid w:val="000D3024"/>
    <w:rsid w:val="000D328F"/>
    <w:rsid w:val="000D3317"/>
    <w:rsid w:val="000D33CE"/>
    <w:rsid w:val="000D34EB"/>
    <w:rsid w:val="000D3562"/>
    <w:rsid w:val="000D3AD0"/>
    <w:rsid w:val="000D3B89"/>
    <w:rsid w:val="000D3E93"/>
    <w:rsid w:val="000D4203"/>
    <w:rsid w:val="000D4324"/>
    <w:rsid w:val="000D449F"/>
    <w:rsid w:val="000D4515"/>
    <w:rsid w:val="000D4AB6"/>
    <w:rsid w:val="000D4D6A"/>
    <w:rsid w:val="000D4DDB"/>
    <w:rsid w:val="000D4DFE"/>
    <w:rsid w:val="000D4F8C"/>
    <w:rsid w:val="000D4FCE"/>
    <w:rsid w:val="000D50CD"/>
    <w:rsid w:val="000D5419"/>
    <w:rsid w:val="000D58BB"/>
    <w:rsid w:val="000D5A53"/>
    <w:rsid w:val="000D5AF8"/>
    <w:rsid w:val="000D60AA"/>
    <w:rsid w:val="000D63E0"/>
    <w:rsid w:val="000D64B4"/>
    <w:rsid w:val="000D6602"/>
    <w:rsid w:val="000D6684"/>
    <w:rsid w:val="000D6840"/>
    <w:rsid w:val="000D6A41"/>
    <w:rsid w:val="000D6D60"/>
    <w:rsid w:val="000D708E"/>
    <w:rsid w:val="000D7473"/>
    <w:rsid w:val="000D7541"/>
    <w:rsid w:val="000D7D61"/>
    <w:rsid w:val="000E02D8"/>
    <w:rsid w:val="000E073C"/>
    <w:rsid w:val="000E09A4"/>
    <w:rsid w:val="000E0B6A"/>
    <w:rsid w:val="000E0D09"/>
    <w:rsid w:val="000E0E5E"/>
    <w:rsid w:val="000E125E"/>
    <w:rsid w:val="000E1439"/>
    <w:rsid w:val="000E145B"/>
    <w:rsid w:val="000E1520"/>
    <w:rsid w:val="000E160C"/>
    <w:rsid w:val="000E1AC4"/>
    <w:rsid w:val="000E1C9D"/>
    <w:rsid w:val="000E1D12"/>
    <w:rsid w:val="000E21A2"/>
    <w:rsid w:val="000E25D1"/>
    <w:rsid w:val="000E2864"/>
    <w:rsid w:val="000E2B85"/>
    <w:rsid w:val="000E2C6C"/>
    <w:rsid w:val="000E2DF5"/>
    <w:rsid w:val="000E2DFD"/>
    <w:rsid w:val="000E3362"/>
    <w:rsid w:val="000E362B"/>
    <w:rsid w:val="000E398C"/>
    <w:rsid w:val="000E3A90"/>
    <w:rsid w:val="000E3D82"/>
    <w:rsid w:val="000E3FD0"/>
    <w:rsid w:val="000E455E"/>
    <w:rsid w:val="000E4A06"/>
    <w:rsid w:val="000E4D70"/>
    <w:rsid w:val="000E50DC"/>
    <w:rsid w:val="000E551B"/>
    <w:rsid w:val="000E5E5C"/>
    <w:rsid w:val="000E5EAC"/>
    <w:rsid w:val="000E6179"/>
    <w:rsid w:val="000E6255"/>
    <w:rsid w:val="000E63DD"/>
    <w:rsid w:val="000E6784"/>
    <w:rsid w:val="000E6891"/>
    <w:rsid w:val="000E6A1B"/>
    <w:rsid w:val="000E6B02"/>
    <w:rsid w:val="000E6C55"/>
    <w:rsid w:val="000E7851"/>
    <w:rsid w:val="000E7969"/>
    <w:rsid w:val="000E7A82"/>
    <w:rsid w:val="000E7AC3"/>
    <w:rsid w:val="000E7B84"/>
    <w:rsid w:val="000E7E43"/>
    <w:rsid w:val="000E7E95"/>
    <w:rsid w:val="000E7EE5"/>
    <w:rsid w:val="000F0696"/>
    <w:rsid w:val="000F06E8"/>
    <w:rsid w:val="000F0975"/>
    <w:rsid w:val="000F0C54"/>
    <w:rsid w:val="000F0D08"/>
    <w:rsid w:val="000F1088"/>
    <w:rsid w:val="000F1265"/>
    <w:rsid w:val="000F1454"/>
    <w:rsid w:val="000F1FA8"/>
    <w:rsid w:val="000F204E"/>
    <w:rsid w:val="000F219E"/>
    <w:rsid w:val="000F236B"/>
    <w:rsid w:val="000F27DD"/>
    <w:rsid w:val="000F285B"/>
    <w:rsid w:val="000F3674"/>
    <w:rsid w:val="000F3B50"/>
    <w:rsid w:val="000F426F"/>
    <w:rsid w:val="000F4CB0"/>
    <w:rsid w:val="000F508A"/>
    <w:rsid w:val="000F50C5"/>
    <w:rsid w:val="000F5C10"/>
    <w:rsid w:val="000F5DBB"/>
    <w:rsid w:val="000F5EC7"/>
    <w:rsid w:val="000F5FC9"/>
    <w:rsid w:val="000F63C2"/>
    <w:rsid w:val="000F640C"/>
    <w:rsid w:val="000F66F8"/>
    <w:rsid w:val="000F6918"/>
    <w:rsid w:val="000F6A24"/>
    <w:rsid w:val="000F6D1C"/>
    <w:rsid w:val="000F7361"/>
    <w:rsid w:val="000F763D"/>
    <w:rsid w:val="000F76EF"/>
    <w:rsid w:val="000F7A58"/>
    <w:rsid w:val="000F7B8B"/>
    <w:rsid w:val="000F7C32"/>
    <w:rsid w:val="000F7FD2"/>
    <w:rsid w:val="00100046"/>
    <w:rsid w:val="00100186"/>
    <w:rsid w:val="001001F0"/>
    <w:rsid w:val="00100281"/>
    <w:rsid w:val="00100570"/>
    <w:rsid w:val="001005AA"/>
    <w:rsid w:val="00100970"/>
    <w:rsid w:val="00101616"/>
    <w:rsid w:val="001019F6"/>
    <w:rsid w:val="00101DAF"/>
    <w:rsid w:val="00101EA6"/>
    <w:rsid w:val="001024C0"/>
    <w:rsid w:val="001024FE"/>
    <w:rsid w:val="0010271E"/>
    <w:rsid w:val="00102752"/>
    <w:rsid w:val="00102ACE"/>
    <w:rsid w:val="00102C26"/>
    <w:rsid w:val="00103282"/>
    <w:rsid w:val="00103470"/>
    <w:rsid w:val="001035BE"/>
    <w:rsid w:val="0010377A"/>
    <w:rsid w:val="00103CD9"/>
    <w:rsid w:val="00103FE2"/>
    <w:rsid w:val="0010407C"/>
    <w:rsid w:val="001042DB"/>
    <w:rsid w:val="001043DF"/>
    <w:rsid w:val="00104531"/>
    <w:rsid w:val="001047AE"/>
    <w:rsid w:val="0010496A"/>
    <w:rsid w:val="00104B59"/>
    <w:rsid w:val="001053AD"/>
    <w:rsid w:val="001059C5"/>
    <w:rsid w:val="00105EA7"/>
    <w:rsid w:val="00105FE2"/>
    <w:rsid w:val="0010618E"/>
    <w:rsid w:val="001064DF"/>
    <w:rsid w:val="001064E2"/>
    <w:rsid w:val="00106705"/>
    <w:rsid w:val="00106994"/>
    <w:rsid w:val="00106CAC"/>
    <w:rsid w:val="00106D47"/>
    <w:rsid w:val="00106D5A"/>
    <w:rsid w:val="00106FCD"/>
    <w:rsid w:val="00106FE7"/>
    <w:rsid w:val="00107317"/>
    <w:rsid w:val="00107E45"/>
    <w:rsid w:val="00110528"/>
    <w:rsid w:val="001106E0"/>
    <w:rsid w:val="00110763"/>
    <w:rsid w:val="00110A0A"/>
    <w:rsid w:val="00110A66"/>
    <w:rsid w:val="00110B91"/>
    <w:rsid w:val="0011120F"/>
    <w:rsid w:val="00111444"/>
    <w:rsid w:val="00111A9D"/>
    <w:rsid w:val="00111FD8"/>
    <w:rsid w:val="00112454"/>
    <w:rsid w:val="001130CF"/>
    <w:rsid w:val="001131C7"/>
    <w:rsid w:val="001134B2"/>
    <w:rsid w:val="001140D8"/>
    <w:rsid w:val="0011422A"/>
    <w:rsid w:val="00114341"/>
    <w:rsid w:val="00114A80"/>
    <w:rsid w:val="00114A88"/>
    <w:rsid w:val="00114AF5"/>
    <w:rsid w:val="00114E32"/>
    <w:rsid w:val="0011532F"/>
    <w:rsid w:val="001158F0"/>
    <w:rsid w:val="001167F7"/>
    <w:rsid w:val="00116D1A"/>
    <w:rsid w:val="00116F9A"/>
    <w:rsid w:val="00116FF7"/>
    <w:rsid w:val="0011710A"/>
    <w:rsid w:val="00117291"/>
    <w:rsid w:val="00117514"/>
    <w:rsid w:val="001176B4"/>
    <w:rsid w:val="001176E9"/>
    <w:rsid w:val="00117704"/>
    <w:rsid w:val="001178D8"/>
    <w:rsid w:val="00117C27"/>
    <w:rsid w:val="00117D72"/>
    <w:rsid w:val="001203AE"/>
    <w:rsid w:val="00120EA6"/>
    <w:rsid w:val="001214B2"/>
    <w:rsid w:val="001214FB"/>
    <w:rsid w:val="001217CB"/>
    <w:rsid w:val="00121E37"/>
    <w:rsid w:val="00122253"/>
    <w:rsid w:val="00122B58"/>
    <w:rsid w:val="00122BFE"/>
    <w:rsid w:val="00122C89"/>
    <w:rsid w:val="0012306C"/>
    <w:rsid w:val="00123707"/>
    <w:rsid w:val="00123994"/>
    <w:rsid w:val="001246F3"/>
    <w:rsid w:val="001246FF"/>
    <w:rsid w:val="00124B78"/>
    <w:rsid w:val="00124D5D"/>
    <w:rsid w:val="00124EA4"/>
    <w:rsid w:val="00125441"/>
    <w:rsid w:val="00125879"/>
    <w:rsid w:val="00125C85"/>
    <w:rsid w:val="00125D53"/>
    <w:rsid w:val="00125FE7"/>
    <w:rsid w:val="0012607A"/>
    <w:rsid w:val="001263D0"/>
    <w:rsid w:val="001266D5"/>
    <w:rsid w:val="001268BF"/>
    <w:rsid w:val="00126943"/>
    <w:rsid w:val="00126DE3"/>
    <w:rsid w:val="00126EFA"/>
    <w:rsid w:val="00127363"/>
    <w:rsid w:val="001273C4"/>
    <w:rsid w:val="00127561"/>
    <w:rsid w:val="00127CA9"/>
    <w:rsid w:val="001302CC"/>
    <w:rsid w:val="0013042C"/>
    <w:rsid w:val="00130648"/>
    <w:rsid w:val="00130AD5"/>
    <w:rsid w:val="00130D24"/>
    <w:rsid w:val="00130DC9"/>
    <w:rsid w:val="0013111A"/>
    <w:rsid w:val="00131140"/>
    <w:rsid w:val="00131257"/>
    <w:rsid w:val="00131895"/>
    <w:rsid w:val="00131D70"/>
    <w:rsid w:val="001320D4"/>
    <w:rsid w:val="001324EC"/>
    <w:rsid w:val="00133128"/>
    <w:rsid w:val="001333E5"/>
    <w:rsid w:val="00133697"/>
    <w:rsid w:val="00133752"/>
    <w:rsid w:val="00133825"/>
    <w:rsid w:val="00133A4B"/>
    <w:rsid w:val="00133A8D"/>
    <w:rsid w:val="001341F5"/>
    <w:rsid w:val="0013468D"/>
    <w:rsid w:val="001346B4"/>
    <w:rsid w:val="001349E0"/>
    <w:rsid w:val="001353E6"/>
    <w:rsid w:val="00135585"/>
    <w:rsid w:val="001358F1"/>
    <w:rsid w:val="00135E02"/>
    <w:rsid w:val="0013623F"/>
    <w:rsid w:val="0013708B"/>
    <w:rsid w:val="001372D7"/>
    <w:rsid w:val="00137928"/>
    <w:rsid w:val="00137B1B"/>
    <w:rsid w:val="00137C4D"/>
    <w:rsid w:val="00137C61"/>
    <w:rsid w:val="00137CA8"/>
    <w:rsid w:val="00137F23"/>
    <w:rsid w:val="00140185"/>
    <w:rsid w:val="00140573"/>
    <w:rsid w:val="00140654"/>
    <w:rsid w:val="00140C12"/>
    <w:rsid w:val="00140D15"/>
    <w:rsid w:val="00140E14"/>
    <w:rsid w:val="00140F50"/>
    <w:rsid w:val="00141210"/>
    <w:rsid w:val="001412E5"/>
    <w:rsid w:val="001415B8"/>
    <w:rsid w:val="0014188E"/>
    <w:rsid w:val="00141D60"/>
    <w:rsid w:val="00141E2E"/>
    <w:rsid w:val="0014200D"/>
    <w:rsid w:val="00142285"/>
    <w:rsid w:val="0014254D"/>
    <w:rsid w:val="001428F3"/>
    <w:rsid w:val="001429FA"/>
    <w:rsid w:val="00142AAA"/>
    <w:rsid w:val="00142BE7"/>
    <w:rsid w:val="00142E27"/>
    <w:rsid w:val="00142FAB"/>
    <w:rsid w:val="00143063"/>
    <w:rsid w:val="001431A4"/>
    <w:rsid w:val="001433BE"/>
    <w:rsid w:val="00143940"/>
    <w:rsid w:val="00143A51"/>
    <w:rsid w:val="00143A58"/>
    <w:rsid w:val="00143DB1"/>
    <w:rsid w:val="00143DDC"/>
    <w:rsid w:val="00143F52"/>
    <w:rsid w:val="001441DB"/>
    <w:rsid w:val="001442F1"/>
    <w:rsid w:val="0014430E"/>
    <w:rsid w:val="0014499A"/>
    <w:rsid w:val="00144A0B"/>
    <w:rsid w:val="00144D58"/>
    <w:rsid w:val="00144E91"/>
    <w:rsid w:val="0014524F"/>
    <w:rsid w:val="00145259"/>
    <w:rsid w:val="00145798"/>
    <w:rsid w:val="001458BC"/>
    <w:rsid w:val="00145926"/>
    <w:rsid w:val="00145A91"/>
    <w:rsid w:val="00145AE0"/>
    <w:rsid w:val="001465EA"/>
    <w:rsid w:val="0014669C"/>
    <w:rsid w:val="00146708"/>
    <w:rsid w:val="00146ABA"/>
    <w:rsid w:val="00146BFB"/>
    <w:rsid w:val="00146C81"/>
    <w:rsid w:val="00146CD6"/>
    <w:rsid w:val="0014710C"/>
    <w:rsid w:val="0014750D"/>
    <w:rsid w:val="001479B1"/>
    <w:rsid w:val="00147BE1"/>
    <w:rsid w:val="00147BFF"/>
    <w:rsid w:val="00147FB2"/>
    <w:rsid w:val="00150300"/>
    <w:rsid w:val="0015033A"/>
    <w:rsid w:val="001503B1"/>
    <w:rsid w:val="00150675"/>
    <w:rsid w:val="00150BCB"/>
    <w:rsid w:val="00151798"/>
    <w:rsid w:val="00151ABF"/>
    <w:rsid w:val="00151D89"/>
    <w:rsid w:val="0015209D"/>
    <w:rsid w:val="00152100"/>
    <w:rsid w:val="001525DB"/>
    <w:rsid w:val="001530D6"/>
    <w:rsid w:val="00153514"/>
    <w:rsid w:val="00153BBF"/>
    <w:rsid w:val="00153C4D"/>
    <w:rsid w:val="00153E7B"/>
    <w:rsid w:val="00153FD2"/>
    <w:rsid w:val="001544FF"/>
    <w:rsid w:val="00154836"/>
    <w:rsid w:val="00154913"/>
    <w:rsid w:val="00154B49"/>
    <w:rsid w:val="001550E8"/>
    <w:rsid w:val="00155135"/>
    <w:rsid w:val="001553C1"/>
    <w:rsid w:val="001555D6"/>
    <w:rsid w:val="00155C9E"/>
    <w:rsid w:val="00155DA4"/>
    <w:rsid w:val="0015616E"/>
    <w:rsid w:val="00156461"/>
    <w:rsid w:val="00156759"/>
    <w:rsid w:val="00156859"/>
    <w:rsid w:val="0015692D"/>
    <w:rsid w:val="00156D16"/>
    <w:rsid w:val="0015712D"/>
    <w:rsid w:val="001576B4"/>
    <w:rsid w:val="00157BEF"/>
    <w:rsid w:val="00157DCC"/>
    <w:rsid w:val="001603FF"/>
    <w:rsid w:val="00160435"/>
    <w:rsid w:val="00160452"/>
    <w:rsid w:val="00160593"/>
    <w:rsid w:val="00160761"/>
    <w:rsid w:val="00160C6B"/>
    <w:rsid w:val="00160D13"/>
    <w:rsid w:val="00160E43"/>
    <w:rsid w:val="00161263"/>
    <w:rsid w:val="00161324"/>
    <w:rsid w:val="001615C1"/>
    <w:rsid w:val="00161B4A"/>
    <w:rsid w:val="00161B8B"/>
    <w:rsid w:val="00162196"/>
    <w:rsid w:val="0016230E"/>
    <w:rsid w:val="0016247E"/>
    <w:rsid w:val="001624A7"/>
    <w:rsid w:val="00162928"/>
    <w:rsid w:val="00162B88"/>
    <w:rsid w:val="0016314A"/>
    <w:rsid w:val="00163E6F"/>
    <w:rsid w:val="00163F13"/>
    <w:rsid w:val="001645B3"/>
    <w:rsid w:val="001647C1"/>
    <w:rsid w:val="00164C64"/>
    <w:rsid w:val="00164EDF"/>
    <w:rsid w:val="00165002"/>
    <w:rsid w:val="001654F6"/>
    <w:rsid w:val="001655AF"/>
    <w:rsid w:val="00165813"/>
    <w:rsid w:val="0016686F"/>
    <w:rsid w:val="00166B64"/>
    <w:rsid w:val="00167152"/>
    <w:rsid w:val="00167B2A"/>
    <w:rsid w:val="00167BB4"/>
    <w:rsid w:val="00167E78"/>
    <w:rsid w:val="001702C4"/>
    <w:rsid w:val="001705B7"/>
    <w:rsid w:val="0017075B"/>
    <w:rsid w:val="0017093A"/>
    <w:rsid w:val="00170CD1"/>
    <w:rsid w:val="00170CEB"/>
    <w:rsid w:val="00170D30"/>
    <w:rsid w:val="0017160F"/>
    <w:rsid w:val="00171806"/>
    <w:rsid w:val="001719B3"/>
    <w:rsid w:val="001719C4"/>
    <w:rsid w:val="00171A53"/>
    <w:rsid w:val="00171B8C"/>
    <w:rsid w:val="00171C02"/>
    <w:rsid w:val="00171CFA"/>
    <w:rsid w:val="00171FC7"/>
    <w:rsid w:val="001728A5"/>
    <w:rsid w:val="00172D3B"/>
    <w:rsid w:val="00172FA1"/>
    <w:rsid w:val="00173048"/>
    <w:rsid w:val="0017344D"/>
    <w:rsid w:val="0017367D"/>
    <w:rsid w:val="00173922"/>
    <w:rsid w:val="00173CF0"/>
    <w:rsid w:val="00173ED2"/>
    <w:rsid w:val="00174536"/>
    <w:rsid w:val="00174A82"/>
    <w:rsid w:val="00174C1E"/>
    <w:rsid w:val="00174CBB"/>
    <w:rsid w:val="00175429"/>
    <w:rsid w:val="001755CA"/>
    <w:rsid w:val="0017567B"/>
    <w:rsid w:val="00175691"/>
    <w:rsid w:val="00175AFF"/>
    <w:rsid w:val="001762ED"/>
    <w:rsid w:val="00176377"/>
    <w:rsid w:val="00176716"/>
    <w:rsid w:val="0017680D"/>
    <w:rsid w:val="001769AB"/>
    <w:rsid w:val="00176BA6"/>
    <w:rsid w:val="00176C84"/>
    <w:rsid w:val="00177067"/>
    <w:rsid w:val="00177987"/>
    <w:rsid w:val="00177A89"/>
    <w:rsid w:val="00177BE4"/>
    <w:rsid w:val="00177F02"/>
    <w:rsid w:val="00177FF7"/>
    <w:rsid w:val="00180295"/>
    <w:rsid w:val="00180A95"/>
    <w:rsid w:val="001810C7"/>
    <w:rsid w:val="001814EC"/>
    <w:rsid w:val="00181942"/>
    <w:rsid w:val="00181AB2"/>
    <w:rsid w:val="00181ADE"/>
    <w:rsid w:val="00181B0D"/>
    <w:rsid w:val="00181B39"/>
    <w:rsid w:val="001822C4"/>
    <w:rsid w:val="00182C18"/>
    <w:rsid w:val="00182D1F"/>
    <w:rsid w:val="00182ED0"/>
    <w:rsid w:val="0018308E"/>
    <w:rsid w:val="0018337A"/>
    <w:rsid w:val="001838C7"/>
    <w:rsid w:val="00183A45"/>
    <w:rsid w:val="00183B2F"/>
    <w:rsid w:val="00183E4D"/>
    <w:rsid w:val="00183FF4"/>
    <w:rsid w:val="00184148"/>
    <w:rsid w:val="001846DA"/>
    <w:rsid w:val="0018480C"/>
    <w:rsid w:val="00185081"/>
    <w:rsid w:val="001850C0"/>
    <w:rsid w:val="00185497"/>
    <w:rsid w:val="00185995"/>
    <w:rsid w:val="00185A14"/>
    <w:rsid w:val="00185AAE"/>
    <w:rsid w:val="00185DC1"/>
    <w:rsid w:val="00185E19"/>
    <w:rsid w:val="00186246"/>
    <w:rsid w:val="001866BF"/>
    <w:rsid w:val="00186861"/>
    <w:rsid w:val="00186A92"/>
    <w:rsid w:val="00186AA4"/>
    <w:rsid w:val="00186C9F"/>
    <w:rsid w:val="00187020"/>
    <w:rsid w:val="001870D1"/>
    <w:rsid w:val="0018775D"/>
    <w:rsid w:val="0018777D"/>
    <w:rsid w:val="00187792"/>
    <w:rsid w:val="00187ACC"/>
    <w:rsid w:val="00187CF5"/>
    <w:rsid w:val="00187F3E"/>
    <w:rsid w:val="00190459"/>
    <w:rsid w:val="0019056A"/>
    <w:rsid w:val="00190D6F"/>
    <w:rsid w:val="00190E47"/>
    <w:rsid w:val="00190E57"/>
    <w:rsid w:val="00191577"/>
    <w:rsid w:val="001921A1"/>
    <w:rsid w:val="001926D6"/>
    <w:rsid w:val="00192AA4"/>
    <w:rsid w:val="00192B76"/>
    <w:rsid w:val="00192F46"/>
    <w:rsid w:val="001930AF"/>
    <w:rsid w:val="001932BF"/>
    <w:rsid w:val="001937F6"/>
    <w:rsid w:val="00193AB1"/>
    <w:rsid w:val="00193AD0"/>
    <w:rsid w:val="00193B36"/>
    <w:rsid w:val="00193B87"/>
    <w:rsid w:val="00193B9C"/>
    <w:rsid w:val="00193DE2"/>
    <w:rsid w:val="00193E3B"/>
    <w:rsid w:val="00193EC8"/>
    <w:rsid w:val="00194025"/>
    <w:rsid w:val="001941FC"/>
    <w:rsid w:val="00194F13"/>
    <w:rsid w:val="0019554C"/>
    <w:rsid w:val="00195BF9"/>
    <w:rsid w:val="0019680C"/>
    <w:rsid w:val="00196C39"/>
    <w:rsid w:val="00196EED"/>
    <w:rsid w:val="00196F63"/>
    <w:rsid w:val="00196FD6"/>
    <w:rsid w:val="0019703A"/>
    <w:rsid w:val="00197964"/>
    <w:rsid w:val="001A0148"/>
    <w:rsid w:val="001A08C4"/>
    <w:rsid w:val="001A12A4"/>
    <w:rsid w:val="001A1429"/>
    <w:rsid w:val="001A1623"/>
    <w:rsid w:val="001A1860"/>
    <w:rsid w:val="001A1A6E"/>
    <w:rsid w:val="001A1BE5"/>
    <w:rsid w:val="001A1C32"/>
    <w:rsid w:val="001A1C91"/>
    <w:rsid w:val="001A1E0A"/>
    <w:rsid w:val="001A1E83"/>
    <w:rsid w:val="001A2CC1"/>
    <w:rsid w:val="001A3113"/>
    <w:rsid w:val="001A31BB"/>
    <w:rsid w:val="001A3319"/>
    <w:rsid w:val="001A3363"/>
    <w:rsid w:val="001A361C"/>
    <w:rsid w:val="001A3CCD"/>
    <w:rsid w:val="001A415F"/>
    <w:rsid w:val="001A41E3"/>
    <w:rsid w:val="001A43AC"/>
    <w:rsid w:val="001A4BD8"/>
    <w:rsid w:val="001A4FAC"/>
    <w:rsid w:val="001A5665"/>
    <w:rsid w:val="001A589C"/>
    <w:rsid w:val="001A5972"/>
    <w:rsid w:val="001A5C3F"/>
    <w:rsid w:val="001A5EF8"/>
    <w:rsid w:val="001A6320"/>
    <w:rsid w:val="001A652C"/>
    <w:rsid w:val="001A664A"/>
    <w:rsid w:val="001A6B50"/>
    <w:rsid w:val="001A6B5E"/>
    <w:rsid w:val="001A6B84"/>
    <w:rsid w:val="001A736A"/>
    <w:rsid w:val="001A73C9"/>
    <w:rsid w:val="001B0D83"/>
    <w:rsid w:val="001B1030"/>
    <w:rsid w:val="001B1BB3"/>
    <w:rsid w:val="001B24EA"/>
    <w:rsid w:val="001B25F4"/>
    <w:rsid w:val="001B279B"/>
    <w:rsid w:val="001B2A0B"/>
    <w:rsid w:val="001B2A7E"/>
    <w:rsid w:val="001B33AE"/>
    <w:rsid w:val="001B3489"/>
    <w:rsid w:val="001B35B1"/>
    <w:rsid w:val="001B3A2C"/>
    <w:rsid w:val="001B3A9D"/>
    <w:rsid w:val="001B45BF"/>
    <w:rsid w:val="001B49CC"/>
    <w:rsid w:val="001B4CC7"/>
    <w:rsid w:val="001B4D88"/>
    <w:rsid w:val="001B4DDE"/>
    <w:rsid w:val="001B4E96"/>
    <w:rsid w:val="001B51C9"/>
    <w:rsid w:val="001B54C3"/>
    <w:rsid w:val="001B5EDE"/>
    <w:rsid w:val="001B600A"/>
    <w:rsid w:val="001B601D"/>
    <w:rsid w:val="001B64C4"/>
    <w:rsid w:val="001B6A91"/>
    <w:rsid w:val="001B6D1F"/>
    <w:rsid w:val="001B7309"/>
    <w:rsid w:val="001B7522"/>
    <w:rsid w:val="001C011D"/>
    <w:rsid w:val="001C0218"/>
    <w:rsid w:val="001C041A"/>
    <w:rsid w:val="001C0441"/>
    <w:rsid w:val="001C0511"/>
    <w:rsid w:val="001C0761"/>
    <w:rsid w:val="001C0CEF"/>
    <w:rsid w:val="001C0F86"/>
    <w:rsid w:val="001C197E"/>
    <w:rsid w:val="001C1A17"/>
    <w:rsid w:val="001C2D9A"/>
    <w:rsid w:val="001C2DA6"/>
    <w:rsid w:val="001C2E1E"/>
    <w:rsid w:val="001C38B6"/>
    <w:rsid w:val="001C3A68"/>
    <w:rsid w:val="001C3C5F"/>
    <w:rsid w:val="001C3E29"/>
    <w:rsid w:val="001C421A"/>
    <w:rsid w:val="001C4872"/>
    <w:rsid w:val="001C4A57"/>
    <w:rsid w:val="001C4A9A"/>
    <w:rsid w:val="001C4C64"/>
    <w:rsid w:val="001C58AF"/>
    <w:rsid w:val="001C5B79"/>
    <w:rsid w:val="001C5E20"/>
    <w:rsid w:val="001C62B6"/>
    <w:rsid w:val="001C62F2"/>
    <w:rsid w:val="001C69A9"/>
    <w:rsid w:val="001C69AC"/>
    <w:rsid w:val="001C6A22"/>
    <w:rsid w:val="001C6B12"/>
    <w:rsid w:val="001C6D80"/>
    <w:rsid w:val="001C75A6"/>
    <w:rsid w:val="001C766A"/>
    <w:rsid w:val="001C79EC"/>
    <w:rsid w:val="001C7B87"/>
    <w:rsid w:val="001D00AA"/>
    <w:rsid w:val="001D0548"/>
    <w:rsid w:val="001D0764"/>
    <w:rsid w:val="001D08EE"/>
    <w:rsid w:val="001D0E71"/>
    <w:rsid w:val="001D102B"/>
    <w:rsid w:val="001D137B"/>
    <w:rsid w:val="001D152F"/>
    <w:rsid w:val="001D1546"/>
    <w:rsid w:val="001D169C"/>
    <w:rsid w:val="001D1754"/>
    <w:rsid w:val="001D1AD6"/>
    <w:rsid w:val="001D1BF1"/>
    <w:rsid w:val="001D1CC7"/>
    <w:rsid w:val="001D1DDF"/>
    <w:rsid w:val="001D212B"/>
    <w:rsid w:val="001D22EB"/>
    <w:rsid w:val="001D269C"/>
    <w:rsid w:val="001D3018"/>
    <w:rsid w:val="001D396E"/>
    <w:rsid w:val="001D3A9B"/>
    <w:rsid w:val="001D3AA3"/>
    <w:rsid w:val="001D45C1"/>
    <w:rsid w:val="001D48F3"/>
    <w:rsid w:val="001D5263"/>
    <w:rsid w:val="001D5380"/>
    <w:rsid w:val="001D53A0"/>
    <w:rsid w:val="001D565B"/>
    <w:rsid w:val="001D5676"/>
    <w:rsid w:val="001D5F0B"/>
    <w:rsid w:val="001D62B4"/>
    <w:rsid w:val="001D6423"/>
    <w:rsid w:val="001D646C"/>
    <w:rsid w:val="001D6BA0"/>
    <w:rsid w:val="001D6C21"/>
    <w:rsid w:val="001D7A0B"/>
    <w:rsid w:val="001D7B2F"/>
    <w:rsid w:val="001D7CCE"/>
    <w:rsid w:val="001D7D4A"/>
    <w:rsid w:val="001E009C"/>
    <w:rsid w:val="001E025C"/>
    <w:rsid w:val="001E061D"/>
    <w:rsid w:val="001E0C2D"/>
    <w:rsid w:val="001E0EA2"/>
    <w:rsid w:val="001E0EBE"/>
    <w:rsid w:val="001E157A"/>
    <w:rsid w:val="001E1692"/>
    <w:rsid w:val="001E170A"/>
    <w:rsid w:val="001E17C1"/>
    <w:rsid w:val="001E1B6F"/>
    <w:rsid w:val="001E1E8B"/>
    <w:rsid w:val="001E22A7"/>
    <w:rsid w:val="001E25DF"/>
    <w:rsid w:val="001E287C"/>
    <w:rsid w:val="001E28D2"/>
    <w:rsid w:val="001E2DFB"/>
    <w:rsid w:val="001E31F3"/>
    <w:rsid w:val="001E32B9"/>
    <w:rsid w:val="001E3578"/>
    <w:rsid w:val="001E3645"/>
    <w:rsid w:val="001E384A"/>
    <w:rsid w:val="001E3946"/>
    <w:rsid w:val="001E3963"/>
    <w:rsid w:val="001E3AA0"/>
    <w:rsid w:val="001E3FE5"/>
    <w:rsid w:val="001E4217"/>
    <w:rsid w:val="001E44D8"/>
    <w:rsid w:val="001E4BD6"/>
    <w:rsid w:val="001E4F09"/>
    <w:rsid w:val="001E4F23"/>
    <w:rsid w:val="001E5397"/>
    <w:rsid w:val="001E54C8"/>
    <w:rsid w:val="001E55CD"/>
    <w:rsid w:val="001E5BF0"/>
    <w:rsid w:val="001E65D9"/>
    <w:rsid w:val="001E66FC"/>
    <w:rsid w:val="001E69E3"/>
    <w:rsid w:val="001E705F"/>
    <w:rsid w:val="001E709D"/>
    <w:rsid w:val="001E7165"/>
    <w:rsid w:val="001E71F5"/>
    <w:rsid w:val="001E723D"/>
    <w:rsid w:val="001E7831"/>
    <w:rsid w:val="001E7F65"/>
    <w:rsid w:val="001F01C5"/>
    <w:rsid w:val="001F0369"/>
    <w:rsid w:val="001F069E"/>
    <w:rsid w:val="001F0799"/>
    <w:rsid w:val="001F0FDD"/>
    <w:rsid w:val="001F11EB"/>
    <w:rsid w:val="001F199A"/>
    <w:rsid w:val="001F1C68"/>
    <w:rsid w:val="001F1C78"/>
    <w:rsid w:val="001F24C9"/>
    <w:rsid w:val="001F2743"/>
    <w:rsid w:val="001F2819"/>
    <w:rsid w:val="001F289A"/>
    <w:rsid w:val="001F301C"/>
    <w:rsid w:val="001F3859"/>
    <w:rsid w:val="001F3ECF"/>
    <w:rsid w:val="001F44A0"/>
    <w:rsid w:val="001F4B29"/>
    <w:rsid w:val="001F5116"/>
    <w:rsid w:val="001F5208"/>
    <w:rsid w:val="001F579B"/>
    <w:rsid w:val="001F59FD"/>
    <w:rsid w:val="001F5D87"/>
    <w:rsid w:val="001F61E5"/>
    <w:rsid w:val="001F622B"/>
    <w:rsid w:val="001F686A"/>
    <w:rsid w:val="001F6CF7"/>
    <w:rsid w:val="001F6E99"/>
    <w:rsid w:val="001F70E6"/>
    <w:rsid w:val="001F7224"/>
    <w:rsid w:val="001F7690"/>
    <w:rsid w:val="0020001C"/>
    <w:rsid w:val="0020018B"/>
    <w:rsid w:val="002002F1"/>
    <w:rsid w:val="00200315"/>
    <w:rsid w:val="002003A2"/>
    <w:rsid w:val="0020044D"/>
    <w:rsid w:val="0020072D"/>
    <w:rsid w:val="00200DE0"/>
    <w:rsid w:val="002016B4"/>
    <w:rsid w:val="00201A06"/>
    <w:rsid w:val="00201E6C"/>
    <w:rsid w:val="0020228D"/>
    <w:rsid w:val="002023A3"/>
    <w:rsid w:val="00202400"/>
    <w:rsid w:val="0020283B"/>
    <w:rsid w:val="00202AB1"/>
    <w:rsid w:val="00202B51"/>
    <w:rsid w:val="0020361D"/>
    <w:rsid w:val="00203947"/>
    <w:rsid w:val="00203DD7"/>
    <w:rsid w:val="0020500D"/>
    <w:rsid w:val="00205356"/>
    <w:rsid w:val="00205A91"/>
    <w:rsid w:val="00205C6E"/>
    <w:rsid w:val="00205D71"/>
    <w:rsid w:val="00205E54"/>
    <w:rsid w:val="00206065"/>
    <w:rsid w:val="00206886"/>
    <w:rsid w:val="002068C1"/>
    <w:rsid w:val="00206C27"/>
    <w:rsid w:val="00207278"/>
    <w:rsid w:val="00207309"/>
    <w:rsid w:val="00207AAF"/>
    <w:rsid w:val="00207B1E"/>
    <w:rsid w:val="00207B7F"/>
    <w:rsid w:val="00207C1C"/>
    <w:rsid w:val="00210315"/>
    <w:rsid w:val="00210407"/>
    <w:rsid w:val="002106B9"/>
    <w:rsid w:val="00210C5E"/>
    <w:rsid w:val="0021141E"/>
    <w:rsid w:val="00211642"/>
    <w:rsid w:val="00211DCE"/>
    <w:rsid w:val="002120D8"/>
    <w:rsid w:val="00212330"/>
    <w:rsid w:val="0021273B"/>
    <w:rsid w:val="0021294E"/>
    <w:rsid w:val="00212D8E"/>
    <w:rsid w:val="00212E6A"/>
    <w:rsid w:val="00212EE0"/>
    <w:rsid w:val="00212EFC"/>
    <w:rsid w:val="0021311F"/>
    <w:rsid w:val="00213374"/>
    <w:rsid w:val="002133C9"/>
    <w:rsid w:val="0021352C"/>
    <w:rsid w:val="0021376A"/>
    <w:rsid w:val="0021388F"/>
    <w:rsid w:val="00213B43"/>
    <w:rsid w:val="00213CA2"/>
    <w:rsid w:val="00213EA5"/>
    <w:rsid w:val="00213ECD"/>
    <w:rsid w:val="00213EED"/>
    <w:rsid w:val="002145BE"/>
    <w:rsid w:val="00214C6A"/>
    <w:rsid w:val="00214CE7"/>
    <w:rsid w:val="00214DA2"/>
    <w:rsid w:val="00214F43"/>
    <w:rsid w:val="00214F7B"/>
    <w:rsid w:val="002161EB"/>
    <w:rsid w:val="0021639E"/>
    <w:rsid w:val="002165BB"/>
    <w:rsid w:val="00216A34"/>
    <w:rsid w:val="00216D21"/>
    <w:rsid w:val="00216E16"/>
    <w:rsid w:val="00217A8E"/>
    <w:rsid w:val="00220029"/>
    <w:rsid w:val="0022035F"/>
    <w:rsid w:val="002204C7"/>
    <w:rsid w:val="00220A74"/>
    <w:rsid w:val="00220CBB"/>
    <w:rsid w:val="00220EF6"/>
    <w:rsid w:val="002210C2"/>
    <w:rsid w:val="0022114B"/>
    <w:rsid w:val="002211C8"/>
    <w:rsid w:val="002215D1"/>
    <w:rsid w:val="002217FB"/>
    <w:rsid w:val="002219B8"/>
    <w:rsid w:val="0022211F"/>
    <w:rsid w:val="002221F6"/>
    <w:rsid w:val="00222419"/>
    <w:rsid w:val="0022247B"/>
    <w:rsid w:val="00222570"/>
    <w:rsid w:val="002226F6"/>
    <w:rsid w:val="00222A28"/>
    <w:rsid w:val="00222B11"/>
    <w:rsid w:val="0022318A"/>
    <w:rsid w:val="00223476"/>
    <w:rsid w:val="0022359D"/>
    <w:rsid w:val="00223804"/>
    <w:rsid w:val="00224278"/>
    <w:rsid w:val="002245F8"/>
    <w:rsid w:val="00224619"/>
    <w:rsid w:val="002249E6"/>
    <w:rsid w:val="00224E39"/>
    <w:rsid w:val="0022525A"/>
    <w:rsid w:val="0022588C"/>
    <w:rsid w:val="00225B70"/>
    <w:rsid w:val="00225FEC"/>
    <w:rsid w:val="00226063"/>
    <w:rsid w:val="002264CB"/>
    <w:rsid w:val="002265DA"/>
    <w:rsid w:val="0022719F"/>
    <w:rsid w:val="00227269"/>
    <w:rsid w:val="0022768B"/>
    <w:rsid w:val="00227788"/>
    <w:rsid w:val="00227CE6"/>
    <w:rsid w:val="00227DC8"/>
    <w:rsid w:val="00227F47"/>
    <w:rsid w:val="0023007B"/>
    <w:rsid w:val="0023020D"/>
    <w:rsid w:val="0023050C"/>
    <w:rsid w:val="002305E3"/>
    <w:rsid w:val="00230718"/>
    <w:rsid w:val="00230999"/>
    <w:rsid w:val="0023168C"/>
    <w:rsid w:val="00231795"/>
    <w:rsid w:val="00231B9E"/>
    <w:rsid w:val="00231CED"/>
    <w:rsid w:val="0023205F"/>
    <w:rsid w:val="0023225E"/>
    <w:rsid w:val="00232336"/>
    <w:rsid w:val="00232586"/>
    <w:rsid w:val="00232730"/>
    <w:rsid w:val="0023297A"/>
    <w:rsid w:val="00232C74"/>
    <w:rsid w:val="00232FED"/>
    <w:rsid w:val="00233065"/>
    <w:rsid w:val="002339E3"/>
    <w:rsid w:val="00233ADB"/>
    <w:rsid w:val="00233F0F"/>
    <w:rsid w:val="002349F9"/>
    <w:rsid w:val="00234C5A"/>
    <w:rsid w:val="00234D1D"/>
    <w:rsid w:val="00235882"/>
    <w:rsid w:val="00235ECB"/>
    <w:rsid w:val="0023636C"/>
    <w:rsid w:val="0023643C"/>
    <w:rsid w:val="002368EB"/>
    <w:rsid w:val="00236A7B"/>
    <w:rsid w:val="00236D26"/>
    <w:rsid w:val="002371C0"/>
    <w:rsid w:val="00240168"/>
    <w:rsid w:val="00240214"/>
    <w:rsid w:val="0024027B"/>
    <w:rsid w:val="002407F1"/>
    <w:rsid w:val="00240D9D"/>
    <w:rsid w:val="00240DF9"/>
    <w:rsid w:val="00240E92"/>
    <w:rsid w:val="002410DF"/>
    <w:rsid w:val="00241E85"/>
    <w:rsid w:val="002422FA"/>
    <w:rsid w:val="002425EC"/>
    <w:rsid w:val="00242920"/>
    <w:rsid w:val="00242BED"/>
    <w:rsid w:val="00242D36"/>
    <w:rsid w:val="00242FE6"/>
    <w:rsid w:val="00243503"/>
    <w:rsid w:val="00243530"/>
    <w:rsid w:val="002436E9"/>
    <w:rsid w:val="0024380D"/>
    <w:rsid w:val="00243AC8"/>
    <w:rsid w:val="00243D2F"/>
    <w:rsid w:val="002440A5"/>
    <w:rsid w:val="00244533"/>
    <w:rsid w:val="00244875"/>
    <w:rsid w:val="00245071"/>
    <w:rsid w:val="00245CC6"/>
    <w:rsid w:val="002461B6"/>
    <w:rsid w:val="002463BD"/>
    <w:rsid w:val="002465C9"/>
    <w:rsid w:val="00246647"/>
    <w:rsid w:val="00246BCE"/>
    <w:rsid w:val="00247320"/>
    <w:rsid w:val="00247672"/>
    <w:rsid w:val="00247F76"/>
    <w:rsid w:val="002509F3"/>
    <w:rsid w:val="00250A90"/>
    <w:rsid w:val="00250AD3"/>
    <w:rsid w:val="00250E0F"/>
    <w:rsid w:val="00251081"/>
    <w:rsid w:val="002511B6"/>
    <w:rsid w:val="0025138F"/>
    <w:rsid w:val="00251C98"/>
    <w:rsid w:val="00251E8F"/>
    <w:rsid w:val="0025242F"/>
    <w:rsid w:val="00252539"/>
    <w:rsid w:val="002528E9"/>
    <w:rsid w:val="00252BAA"/>
    <w:rsid w:val="00252D88"/>
    <w:rsid w:val="00252E96"/>
    <w:rsid w:val="002530FF"/>
    <w:rsid w:val="00253357"/>
    <w:rsid w:val="0025353D"/>
    <w:rsid w:val="002536E5"/>
    <w:rsid w:val="00253941"/>
    <w:rsid w:val="00253D77"/>
    <w:rsid w:val="002540E4"/>
    <w:rsid w:val="00254254"/>
    <w:rsid w:val="002544A5"/>
    <w:rsid w:val="00254906"/>
    <w:rsid w:val="00254D43"/>
    <w:rsid w:val="00254E88"/>
    <w:rsid w:val="00255B28"/>
    <w:rsid w:val="00255C7C"/>
    <w:rsid w:val="00255F4E"/>
    <w:rsid w:val="00255FB0"/>
    <w:rsid w:val="00256AC6"/>
    <w:rsid w:val="00256C93"/>
    <w:rsid w:val="00257377"/>
    <w:rsid w:val="002575EA"/>
    <w:rsid w:val="002579B5"/>
    <w:rsid w:val="00257A4F"/>
    <w:rsid w:val="00257B8F"/>
    <w:rsid w:val="00257EAF"/>
    <w:rsid w:val="002604D1"/>
    <w:rsid w:val="00260983"/>
    <w:rsid w:val="002611B2"/>
    <w:rsid w:val="002612AE"/>
    <w:rsid w:val="002615A7"/>
    <w:rsid w:val="00261CCC"/>
    <w:rsid w:val="00261E92"/>
    <w:rsid w:val="0026214D"/>
    <w:rsid w:val="00262DBC"/>
    <w:rsid w:val="00262FC1"/>
    <w:rsid w:val="0026308E"/>
    <w:rsid w:val="0026326C"/>
    <w:rsid w:val="002638FC"/>
    <w:rsid w:val="0026420A"/>
    <w:rsid w:val="002644DF"/>
    <w:rsid w:val="002646F0"/>
    <w:rsid w:val="002648F6"/>
    <w:rsid w:val="00264944"/>
    <w:rsid w:val="00264B97"/>
    <w:rsid w:val="00264CC5"/>
    <w:rsid w:val="00264E3C"/>
    <w:rsid w:val="002653CF"/>
    <w:rsid w:val="002655A7"/>
    <w:rsid w:val="0026653C"/>
    <w:rsid w:val="0026665A"/>
    <w:rsid w:val="00266665"/>
    <w:rsid w:val="002666EA"/>
    <w:rsid w:val="00266B0C"/>
    <w:rsid w:val="00266ECA"/>
    <w:rsid w:val="00267259"/>
    <w:rsid w:val="0026730A"/>
    <w:rsid w:val="0026730F"/>
    <w:rsid w:val="002679CF"/>
    <w:rsid w:val="002707B7"/>
    <w:rsid w:val="00270D7C"/>
    <w:rsid w:val="002711DC"/>
    <w:rsid w:val="002718FF"/>
    <w:rsid w:val="00271AD3"/>
    <w:rsid w:val="00271AF4"/>
    <w:rsid w:val="00271BA3"/>
    <w:rsid w:val="00271BF8"/>
    <w:rsid w:val="00271E8A"/>
    <w:rsid w:val="002720B6"/>
    <w:rsid w:val="00272585"/>
    <w:rsid w:val="002728EB"/>
    <w:rsid w:val="002729C7"/>
    <w:rsid w:val="00272E24"/>
    <w:rsid w:val="00273148"/>
    <w:rsid w:val="00273362"/>
    <w:rsid w:val="002735E7"/>
    <w:rsid w:val="00273978"/>
    <w:rsid w:val="00273AE5"/>
    <w:rsid w:val="00273B16"/>
    <w:rsid w:val="00273B9D"/>
    <w:rsid w:val="00273D00"/>
    <w:rsid w:val="00274085"/>
    <w:rsid w:val="002740F9"/>
    <w:rsid w:val="002743F6"/>
    <w:rsid w:val="00274733"/>
    <w:rsid w:val="00274872"/>
    <w:rsid w:val="00274895"/>
    <w:rsid w:val="00274CAF"/>
    <w:rsid w:val="00274D7B"/>
    <w:rsid w:val="00274F96"/>
    <w:rsid w:val="00275321"/>
    <w:rsid w:val="00275DD6"/>
    <w:rsid w:val="002760D3"/>
    <w:rsid w:val="00276230"/>
    <w:rsid w:val="0027625C"/>
    <w:rsid w:val="0027645A"/>
    <w:rsid w:val="002764F7"/>
    <w:rsid w:val="00276718"/>
    <w:rsid w:val="002767F8"/>
    <w:rsid w:val="00276A66"/>
    <w:rsid w:val="00276CC7"/>
    <w:rsid w:val="00276D3C"/>
    <w:rsid w:val="00276F3D"/>
    <w:rsid w:val="002771B7"/>
    <w:rsid w:val="00277981"/>
    <w:rsid w:val="00277AF6"/>
    <w:rsid w:val="00277D37"/>
    <w:rsid w:val="00277DD8"/>
    <w:rsid w:val="002800C0"/>
    <w:rsid w:val="002806AF"/>
    <w:rsid w:val="00280826"/>
    <w:rsid w:val="00280A6D"/>
    <w:rsid w:val="00280A78"/>
    <w:rsid w:val="00280A91"/>
    <w:rsid w:val="00280CDB"/>
    <w:rsid w:val="00280E58"/>
    <w:rsid w:val="00281055"/>
    <w:rsid w:val="002812F1"/>
    <w:rsid w:val="00281742"/>
    <w:rsid w:val="00281909"/>
    <w:rsid w:val="00281F58"/>
    <w:rsid w:val="00281F97"/>
    <w:rsid w:val="00282015"/>
    <w:rsid w:val="002826E9"/>
    <w:rsid w:val="0028281C"/>
    <w:rsid w:val="00282D87"/>
    <w:rsid w:val="00283046"/>
    <w:rsid w:val="002832EB"/>
    <w:rsid w:val="00283613"/>
    <w:rsid w:val="0028392D"/>
    <w:rsid w:val="00283B5E"/>
    <w:rsid w:val="002845AC"/>
    <w:rsid w:val="002845D9"/>
    <w:rsid w:val="00284FDB"/>
    <w:rsid w:val="0028571D"/>
    <w:rsid w:val="00285B99"/>
    <w:rsid w:val="00285BAA"/>
    <w:rsid w:val="0028613C"/>
    <w:rsid w:val="0028652F"/>
    <w:rsid w:val="0028655C"/>
    <w:rsid w:val="00286D1F"/>
    <w:rsid w:val="00286D2F"/>
    <w:rsid w:val="00287626"/>
    <w:rsid w:val="00287657"/>
    <w:rsid w:val="002902F6"/>
    <w:rsid w:val="00290522"/>
    <w:rsid w:val="0029090E"/>
    <w:rsid w:val="00290ADF"/>
    <w:rsid w:val="00290ECA"/>
    <w:rsid w:val="00290F21"/>
    <w:rsid w:val="00291322"/>
    <w:rsid w:val="002915CD"/>
    <w:rsid w:val="002915EA"/>
    <w:rsid w:val="00291F03"/>
    <w:rsid w:val="00292039"/>
    <w:rsid w:val="0029235B"/>
    <w:rsid w:val="00292470"/>
    <w:rsid w:val="002925AF"/>
    <w:rsid w:val="00292832"/>
    <w:rsid w:val="002929B8"/>
    <w:rsid w:val="002929E5"/>
    <w:rsid w:val="00293364"/>
    <w:rsid w:val="0029349E"/>
    <w:rsid w:val="002939E7"/>
    <w:rsid w:val="00293DC0"/>
    <w:rsid w:val="00293FDA"/>
    <w:rsid w:val="00294042"/>
    <w:rsid w:val="00294328"/>
    <w:rsid w:val="0029449C"/>
    <w:rsid w:val="00294ADE"/>
    <w:rsid w:val="0029502E"/>
    <w:rsid w:val="0029507C"/>
    <w:rsid w:val="002950E0"/>
    <w:rsid w:val="00295460"/>
    <w:rsid w:val="0029561A"/>
    <w:rsid w:val="00295A7F"/>
    <w:rsid w:val="00295D83"/>
    <w:rsid w:val="00295F8E"/>
    <w:rsid w:val="0029600B"/>
    <w:rsid w:val="002960E5"/>
    <w:rsid w:val="002964E2"/>
    <w:rsid w:val="002968E0"/>
    <w:rsid w:val="00296CD6"/>
    <w:rsid w:val="002976AF"/>
    <w:rsid w:val="002977F8"/>
    <w:rsid w:val="00297E4B"/>
    <w:rsid w:val="00297E60"/>
    <w:rsid w:val="00297EB7"/>
    <w:rsid w:val="002A01F3"/>
    <w:rsid w:val="002A0439"/>
    <w:rsid w:val="002A0700"/>
    <w:rsid w:val="002A0A46"/>
    <w:rsid w:val="002A0AEB"/>
    <w:rsid w:val="002A0C34"/>
    <w:rsid w:val="002A106A"/>
    <w:rsid w:val="002A1CFA"/>
    <w:rsid w:val="002A215C"/>
    <w:rsid w:val="002A25D2"/>
    <w:rsid w:val="002A25E1"/>
    <w:rsid w:val="002A276A"/>
    <w:rsid w:val="002A2B94"/>
    <w:rsid w:val="002A2D19"/>
    <w:rsid w:val="002A3146"/>
    <w:rsid w:val="002A3293"/>
    <w:rsid w:val="002A34E6"/>
    <w:rsid w:val="002A38D0"/>
    <w:rsid w:val="002A3B6A"/>
    <w:rsid w:val="002A3C59"/>
    <w:rsid w:val="002A3F0F"/>
    <w:rsid w:val="002A40BC"/>
    <w:rsid w:val="002A414E"/>
    <w:rsid w:val="002A4295"/>
    <w:rsid w:val="002A4415"/>
    <w:rsid w:val="002A47B2"/>
    <w:rsid w:val="002A4C57"/>
    <w:rsid w:val="002A5F93"/>
    <w:rsid w:val="002A5FBB"/>
    <w:rsid w:val="002A613A"/>
    <w:rsid w:val="002A63EB"/>
    <w:rsid w:val="002A69BC"/>
    <w:rsid w:val="002A6B8E"/>
    <w:rsid w:val="002A6D11"/>
    <w:rsid w:val="002A6DEE"/>
    <w:rsid w:val="002A6F22"/>
    <w:rsid w:val="002A7385"/>
    <w:rsid w:val="002A745F"/>
    <w:rsid w:val="002A75B6"/>
    <w:rsid w:val="002A7917"/>
    <w:rsid w:val="002A7B09"/>
    <w:rsid w:val="002B01FE"/>
    <w:rsid w:val="002B0221"/>
    <w:rsid w:val="002B076C"/>
    <w:rsid w:val="002B0853"/>
    <w:rsid w:val="002B0906"/>
    <w:rsid w:val="002B0A32"/>
    <w:rsid w:val="002B0AFB"/>
    <w:rsid w:val="002B0BD1"/>
    <w:rsid w:val="002B0EBA"/>
    <w:rsid w:val="002B0EF3"/>
    <w:rsid w:val="002B0F0C"/>
    <w:rsid w:val="002B103B"/>
    <w:rsid w:val="002B14F7"/>
    <w:rsid w:val="002B15E2"/>
    <w:rsid w:val="002B182F"/>
    <w:rsid w:val="002B1885"/>
    <w:rsid w:val="002B1E4F"/>
    <w:rsid w:val="002B1FD7"/>
    <w:rsid w:val="002B2085"/>
    <w:rsid w:val="002B28C0"/>
    <w:rsid w:val="002B2C5A"/>
    <w:rsid w:val="002B2CF4"/>
    <w:rsid w:val="002B2EF6"/>
    <w:rsid w:val="002B2FEE"/>
    <w:rsid w:val="002B343F"/>
    <w:rsid w:val="002B3676"/>
    <w:rsid w:val="002B3A81"/>
    <w:rsid w:val="002B3C11"/>
    <w:rsid w:val="002B45D0"/>
    <w:rsid w:val="002B476D"/>
    <w:rsid w:val="002B47FC"/>
    <w:rsid w:val="002B481D"/>
    <w:rsid w:val="002B4945"/>
    <w:rsid w:val="002B4D29"/>
    <w:rsid w:val="002B4F23"/>
    <w:rsid w:val="002B5158"/>
    <w:rsid w:val="002B5288"/>
    <w:rsid w:val="002B54BA"/>
    <w:rsid w:val="002B56F7"/>
    <w:rsid w:val="002B607B"/>
    <w:rsid w:val="002B6198"/>
    <w:rsid w:val="002B61F3"/>
    <w:rsid w:val="002B63F5"/>
    <w:rsid w:val="002B6500"/>
    <w:rsid w:val="002B6D8D"/>
    <w:rsid w:val="002B6EC6"/>
    <w:rsid w:val="002B7219"/>
    <w:rsid w:val="002B791F"/>
    <w:rsid w:val="002B7C35"/>
    <w:rsid w:val="002C031B"/>
    <w:rsid w:val="002C04D4"/>
    <w:rsid w:val="002C04E2"/>
    <w:rsid w:val="002C0564"/>
    <w:rsid w:val="002C0825"/>
    <w:rsid w:val="002C086E"/>
    <w:rsid w:val="002C0A64"/>
    <w:rsid w:val="002C148E"/>
    <w:rsid w:val="002C14E9"/>
    <w:rsid w:val="002C179B"/>
    <w:rsid w:val="002C1AC2"/>
    <w:rsid w:val="002C1EF4"/>
    <w:rsid w:val="002C2175"/>
    <w:rsid w:val="002C21ED"/>
    <w:rsid w:val="002C222A"/>
    <w:rsid w:val="002C2AFB"/>
    <w:rsid w:val="002C2CC5"/>
    <w:rsid w:val="002C2CCE"/>
    <w:rsid w:val="002C2FFB"/>
    <w:rsid w:val="002C31C1"/>
    <w:rsid w:val="002C31D6"/>
    <w:rsid w:val="002C378A"/>
    <w:rsid w:val="002C3EBD"/>
    <w:rsid w:val="002C40F8"/>
    <w:rsid w:val="002C4198"/>
    <w:rsid w:val="002C42C9"/>
    <w:rsid w:val="002C42E8"/>
    <w:rsid w:val="002C45D7"/>
    <w:rsid w:val="002C46FE"/>
    <w:rsid w:val="002C49FA"/>
    <w:rsid w:val="002C4AAA"/>
    <w:rsid w:val="002C51A5"/>
    <w:rsid w:val="002C5B95"/>
    <w:rsid w:val="002C5DAC"/>
    <w:rsid w:val="002C5DD4"/>
    <w:rsid w:val="002C5FD8"/>
    <w:rsid w:val="002C631C"/>
    <w:rsid w:val="002C659B"/>
    <w:rsid w:val="002C65A2"/>
    <w:rsid w:val="002C6936"/>
    <w:rsid w:val="002C6AAC"/>
    <w:rsid w:val="002C6AEC"/>
    <w:rsid w:val="002C6E73"/>
    <w:rsid w:val="002C706C"/>
    <w:rsid w:val="002C73D5"/>
    <w:rsid w:val="002C741B"/>
    <w:rsid w:val="002C774A"/>
    <w:rsid w:val="002D0203"/>
    <w:rsid w:val="002D0490"/>
    <w:rsid w:val="002D0575"/>
    <w:rsid w:val="002D0801"/>
    <w:rsid w:val="002D0ABC"/>
    <w:rsid w:val="002D0C3A"/>
    <w:rsid w:val="002D0DA8"/>
    <w:rsid w:val="002D1417"/>
    <w:rsid w:val="002D17A9"/>
    <w:rsid w:val="002D180F"/>
    <w:rsid w:val="002D1B59"/>
    <w:rsid w:val="002D1C8F"/>
    <w:rsid w:val="002D207C"/>
    <w:rsid w:val="002D2081"/>
    <w:rsid w:val="002D2319"/>
    <w:rsid w:val="002D271D"/>
    <w:rsid w:val="002D2760"/>
    <w:rsid w:val="002D28B4"/>
    <w:rsid w:val="002D2CF7"/>
    <w:rsid w:val="002D301B"/>
    <w:rsid w:val="002D3215"/>
    <w:rsid w:val="002D33C4"/>
    <w:rsid w:val="002D3573"/>
    <w:rsid w:val="002D395E"/>
    <w:rsid w:val="002D3EFB"/>
    <w:rsid w:val="002D3F92"/>
    <w:rsid w:val="002D4230"/>
    <w:rsid w:val="002D44DB"/>
    <w:rsid w:val="002D4DBB"/>
    <w:rsid w:val="002D522C"/>
    <w:rsid w:val="002D557B"/>
    <w:rsid w:val="002D5C43"/>
    <w:rsid w:val="002D5C5E"/>
    <w:rsid w:val="002D64D4"/>
    <w:rsid w:val="002D654D"/>
    <w:rsid w:val="002D694A"/>
    <w:rsid w:val="002D6DF1"/>
    <w:rsid w:val="002D7722"/>
    <w:rsid w:val="002D7924"/>
    <w:rsid w:val="002D7A50"/>
    <w:rsid w:val="002D7AFA"/>
    <w:rsid w:val="002D7FD7"/>
    <w:rsid w:val="002E0526"/>
    <w:rsid w:val="002E0C15"/>
    <w:rsid w:val="002E253F"/>
    <w:rsid w:val="002E255D"/>
    <w:rsid w:val="002E266A"/>
    <w:rsid w:val="002E2C6B"/>
    <w:rsid w:val="002E2D57"/>
    <w:rsid w:val="002E2E09"/>
    <w:rsid w:val="002E3458"/>
    <w:rsid w:val="002E3709"/>
    <w:rsid w:val="002E3A74"/>
    <w:rsid w:val="002E3B0C"/>
    <w:rsid w:val="002E3E7C"/>
    <w:rsid w:val="002E3F3C"/>
    <w:rsid w:val="002E3FAD"/>
    <w:rsid w:val="002E4562"/>
    <w:rsid w:val="002E4AF8"/>
    <w:rsid w:val="002E4C40"/>
    <w:rsid w:val="002E4D55"/>
    <w:rsid w:val="002E50C5"/>
    <w:rsid w:val="002E5149"/>
    <w:rsid w:val="002E5632"/>
    <w:rsid w:val="002E56E1"/>
    <w:rsid w:val="002E595C"/>
    <w:rsid w:val="002E5D5F"/>
    <w:rsid w:val="002E5F0C"/>
    <w:rsid w:val="002E646C"/>
    <w:rsid w:val="002E64A2"/>
    <w:rsid w:val="002E6B7F"/>
    <w:rsid w:val="002E6D72"/>
    <w:rsid w:val="002E6EC9"/>
    <w:rsid w:val="002E72B0"/>
    <w:rsid w:val="002E74E2"/>
    <w:rsid w:val="002E7842"/>
    <w:rsid w:val="002F0446"/>
    <w:rsid w:val="002F10F0"/>
    <w:rsid w:val="002F127C"/>
    <w:rsid w:val="002F143D"/>
    <w:rsid w:val="002F1956"/>
    <w:rsid w:val="002F1A6F"/>
    <w:rsid w:val="002F1C32"/>
    <w:rsid w:val="002F1C4F"/>
    <w:rsid w:val="002F2314"/>
    <w:rsid w:val="002F27A6"/>
    <w:rsid w:val="002F2838"/>
    <w:rsid w:val="002F334F"/>
    <w:rsid w:val="002F353C"/>
    <w:rsid w:val="002F3930"/>
    <w:rsid w:val="002F3D8D"/>
    <w:rsid w:val="002F3D91"/>
    <w:rsid w:val="002F440B"/>
    <w:rsid w:val="002F44D3"/>
    <w:rsid w:val="002F47BB"/>
    <w:rsid w:val="002F4A37"/>
    <w:rsid w:val="002F50E1"/>
    <w:rsid w:val="002F52FE"/>
    <w:rsid w:val="002F559F"/>
    <w:rsid w:val="002F5782"/>
    <w:rsid w:val="002F5B62"/>
    <w:rsid w:val="002F5CAF"/>
    <w:rsid w:val="002F5F9B"/>
    <w:rsid w:val="002F64D0"/>
    <w:rsid w:val="002F6679"/>
    <w:rsid w:val="002F6788"/>
    <w:rsid w:val="002F68E5"/>
    <w:rsid w:val="002F7A15"/>
    <w:rsid w:val="002F7AEA"/>
    <w:rsid w:val="002F7BCB"/>
    <w:rsid w:val="00300199"/>
    <w:rsid w:val="003001A2"/>
    <w:rsid w:val="003004ED"/>
    <w:rsid w:val="00300593"/>
    <w:rsid w:val="003006E3"/>
    <w:rsid w:val="003006F8"/>
    <w:rsid w:val="00300C8E"/>
    <w:rsid w:val="00301230"/>
    <w:rsid w:val="00301265"/>
    <w:rsid w:val="00301419"/>
    <w:rsid w:val="00301492"/>
    <w:rsid w:val="003017EE"/>
    <w:rsid w:val="00301978"/>
    <w:rsid w:val="00302719"/>
    <w:rsid w:val="00302AEA"/>
    <w:rsid w:val="00302E30"/>
    <w:rsid w:val="003030AB"/>
    <w:rsid w:val="00303117"/>
    <w:rsid w:val="00303CA6"/>
    <w:rsid w:val="00303D54"/>
    <w:rsid w:val="0030469D"/>
    <w:rsid w:val="00304D76"/>
    <w:rsid w:val="003053AF"/>
    <w:rsid w:val="00305473"/>
    <w:rsid w:val="003057C8"/>
    <w:rsid w:val="003059BD"/>
    <w:rsid w:val="003059CE"/>
    <w:rsid w:val="00305AD3"/>
    <w:rsid w:val="00305E70"/>
    <w:rsid w:val="003060DC"/>
    <w:rsid w:val="0030624A"/>
    <w:rsid w:val="0030651C"/>
    <w:rsid w:val="0030662D"/>
    <w:rsid w:val="003069A5"/>
    <w:rsid w:val="003069DD"/>
    <w:rsid w:val="00306C3C"/>
    <w:rsid w:val="00306CF3"/>
    <w:rsid w:val="00306F22"/>
    <w:rsid w:val="00306F6C"/>
    <w:rsid w:val="003072EF"/>
    <w:rsid w:val="003078F6"/>
    <w:rsid w:val="0030790E"/>
    <w:rsid w:val="003079EF"/>
    <w:rsid w:val="00307E73"/>
    <w:rsid w:val="00307FB9"/>
    <w:rsid w:val="00310008"/>
    <w:rsid w:val="003104A6"/>
    <w:rsid w:val="00310BCD"/>
    <w:rsid w:val="00310F06"/>
    <w:rsid w:val="003112A8"/>
    <w:rsid w:val="003112FE"/>
    <w:rsid w:val="0031155A"/>
    <w:rsid w:val="003115A5"/>
    <w:rsid w:val="00311EC9"/>
    <w:rsid w:val="00312133"/>
    <w:rsid w:val="003121A5"/>
    <w:rsid w:val="003122EE"/>
    <w:rsid w:val="003122F3"/>
    <w:rsid w:val="00312327"/>
    <w:rsid w:val="003124D8"/>
    <w:rsid w:val="0031256E"/>
    <w:rsid w:val="0031272A"/>
    <w:rsid w:val="00312856"/>
    <w:rsid w:val="00312A5B"/>
    <w:rsid w:val="00312C9B"/>
    <w:rsid w:val="0031303D"/>
    <w:rsid w:val="00313404"/>
    <w:rsid w:val="00313426"/>
    <w:rsid w:val="00313480"/>
    <w:rsid w:val="00313AAB"/>
    <w:rsid w:val="00313CDE"/>
    <w:rsid w:val="00313E18"/>
    <w:rsid w:val="00313F0F"/>
    <w:rsid w:val="003143CF"/>
    <w:rsid w:val="00314C45"/>
    <w:rsid w:val="00314C87"/>
    <w:rsid w:val="00314E9E"/>
    <w:rsid w:val="00315100"/>
    <w:rsid w:val="003155E0"/>
    <w:rsid w:val="00315C77"/>
    <w:rsid w:val="00315ED4"/>
    <w:rsid w:val="00315EEC"/>
    <w:rsid w:val="00315F23"/>
    <w:rsid w:val="00315F37"/>
    <w:rsid w:val="00316596"/>
    <w:rsid w:val="0031687B"/>
    <w:rsid w:val="00316F4B"/>
    <w:rsid w:val="003174D9"/>
    <w:rsid w:val="00317898"/>
    <w:rsid w:val="00317C36"/>
    <w:rsid w:val="00320025"/>
    <w:rsid w:val="00320397"/>
    <w:rsid w:val="00320492"/>
    <w:rsid w:val="003207C6"/>
    <w:rsid w:val="0032080D"/>
    <w:rsid w:val="00320CBA"/>
    <w:rsid w:val="00320E9B"/>
    <w:rsid w:val="00320F9A"/>
    <w:rsid w:val="0032145A"/>
    <w:rsid w:val="003215BC"/>
    <w:rsid w:val="003217F6"/>
    <w:rsid w:val="003219E1"/>
    <w:rsid w:val="0032213E"/>
    <w:rsid w:val="00322151"/>
    <w:rsid w:val="003225DE"/>
    <w:rsid w:val="00322661"/>
    <w:rsid w:val="00322845"/>
    <w:rsid w:val="00322A9D"/>
    <w:rsid w:val="00322E09"/>
    <w:rsid w:val="00323033"/>
    <w:rsid w:val="0032374D"/>
    <w:rsid w:val="00323901"/>
    <w:rsid w:val="00323AEB"/>
    <w:rsid w:val="00323BFA"/>
    <w:rsid w:val="00323D1A"/>
    <w:rsid w:val="00323D36"/>
    <w:rsid w:val="00324172"/>
    <w:rsid w:val="0032455D"/>
    <w:rsid w:val="0032483C"/>
    <w:rsid w:val="00324D3A"/>
    <w:rsid w:val="00324EEC"/>
    <w:rsid w:val="003262F9"/>
    <w:rsid w:val="0032640E"/>
    <w:rsid w:val="00326A7C"/>
    <w:rsid w:val="00326AD1"/>
    <w:rsid w:val="00326AFF"/>
    <w:rsid w:val="00326E84"/>
    <w:rsid w:val="003272F9"/>
    <w:rsid w:val="00327A42"/>
    <w:rsid w:val="00327A7D"/>
    <w:rsid w:val="00327ABF"/>
    <w:rsid w:val="00327F60"/>
    <w:rsid w:val="00330069"/>
    <w:rsid w:val="00330260"/>
    <w:rsid w:val="00330AD4"/>
    <w:rsid w:val="00330C5F"/>
    <w:rsid w:val="00330EB8"/>
    <w:rsid w:val="003313E3"/>
    <w:rsid w:val="003317F5"/>
    <w:rsid w:val="0033180A"/>
    <w:rsid w:val="003318E7"/>
    <w:rsid w:val="00331A21"/>
    <w:rsid w:val="00332049"/>
    <w:rsid w:val="003325C1"/>
    <w:rsid w:val="00333527"/>
    <w:rsid w:val="0033352A"/>
    <w:rsid w:val="00333F0E"/>
    <w:rsid w:val="00334216"/>
    <w:rsid w:val="003346E0"/>
    <w:rsid w:val="003349D1"/>
    <w:rsid w:val="003349E9"/>
    <w:rsid w:val="00334F6B"/>
    <w:rsid w:val="0033520B"/>
    <w:rsid w:val="003352DB"/>
    <w:rsid w:val="003356F9"/>
    <w:rsid w:val="00335872"/>
    <w:rsid w:val="003360DF"/>
    <w:rsid w:val="0033648B"/>
    <w:rsid w:val="003366F2"/>
    <w:rsid w:val="003369C1"/>
    <w:rsid w:val="00336A6A"/>
    <w:rsid w:val="00336B1A"/>
    <w:rsid w:val="00336BBD"/>
    <w:rsid w:val="00336E39"/>
    <w:rsid w:val="00336F02"/>
    <w:rsid w:val="00336FDA"/>
    <w:rsid w:val="0033707D"/>
    <w:rsid w:val="003370D6"/>
    <w:rsid w:val="00337118"/>
    <w:rsid w:val="00337205"/>
    <w:rsid w:val="0033799C"/>
    <w:rsid w:val="003379B7"/>
    <w:rsid w:val="00337A85"/>
    <w:rsid w:val="00337F75"/>
    <w:rsid w:val="00340287"/>
    <w:rsid w:val="0034028D"/>
    <w:rsid w:val="003403BD"/>
    <w:rsid w:val="003408F6"/>
    <w:rsid w:val="00340C6F"/>
    <w:rsid w:val="00340D19"/>
    <w:rsid w:val="00341093"/>
    <w:rsid w:val="00341142"/>
    <w:rsid w:val="0034140E"/>
    <w:rsid w:val="00341568"/>
    <w:rsid w:val="0034179F"/>
    <w:rsid w:val="00341A05"/>
    <w:rsid w:val="00341A6A"/>
    <w:rsid w:val="00341D5F"/>
    <w:rsid w:val="00341FD4"/>
    <w:rsid w:val="00342029"/>
    <w:rsid w:val="003420C2"/>
    <w:rsid w:val="0034225B"/>
    <w:rsid w:val="00342D5D"/>
    <w:rsid w:val="003430E6"/>
    <w:rsid w:val="003431DA"/>
    <w:rsid w:val="00343780"/>
    <w:rsid w:val="00343AEA"/>
    <w:rsid w:val="00343F86"/>
    <w:rsid w:val="00344AB9"/>
    <w:rsid w:val="00344B62"/>
    <w:rsid w:val="00344F04"/>
    <w:rsid w:val="00345746"/>
    <w:rsid w:val="00345CF0"/>
    <w:rsid w:val="00346045"/>
    <w:rsid w:val="0034667F"/>
    <w:rsid w:val="003467A2"/>
    <w:rsid w:val="003467B7"/>
    <w:rsid w:val="00346ADC"/>
    <w:rsid w:val="00346EDD"/>
    <w:rsid w:val="00347A90"/>
    <w:rsid w:val="00347D27"/>
    <w:rsid w:val="00347EC2"/>
    <w:rsid w:val="003503D2"/>
    <w:rsid w:val="00350586"/>
    <w:rsid w:val="00350763"/>
    <w:rsid w:val="00350D63"/>
    <w:rsid w:val="00350E2D"/>
    <w:rsid w:val="00350F4E"/>
    <w:rsid w:val="00351191"/>
    <w:rsid w:val="00351321"/>
    <w:rsid w:val="003516FF"/>
    <w:rsid w:val="00351835"/>
    <w:rsid w:val="003519E4"/>
    <w:rsid w:val="00351CD8"/>
    <w:rsid w:val="00351FE9"/>
    <w:rsid w:val="00352213"/>
    <w:rsid w:val="00352342"/>
    <w:rsid w:val="003529C5"/>
    <w:rsid w:val="00352A30"/>
    <w:rsid w:val="00352A8B"/>
    <w:rsid w:val="00352F69"/>
    <w:rsid w:val="0035318D"/>
    <w:rsid w:val="0035329D"/>
    <w:rsid w:val="0035375B"/>
    <w:rsid w:val="00353CB6"/>
    <w:rsid w:val="003540C2"/>
    <w:rsid w:val="003544BF"/>
    <w:rsid w:val="003546C7"/>
    <w:rsid w:val="003547F8"/>
    <w:rsid w:val="00354FD0"/>
    <w:rsid w:val="003558F2"/>
    <w:rsid w:val="00356127"/>
    <w:rsid w:val="003565A5"/>
    <w:rsid w:val="00356634"/>
    <w:rsid w:val="00356784"/>
    <w:rsid w:val="003569DE"/>
    <w:rsid w:val="00356C10"/>
    <w:rsid w:val="00357444"/>
    <w:rsid w:val="0036040E"/>
    <w:rsid w:val="0036073D"/>
    <w:rsid w:val="00360A50"/>
    <w:rsid w:val="00360AD5"/>
    <w:rsid w:val="00360BAA"/>
    <w:rsid w:val="00360C54"/>
    <w:rsid w:val="00360D87"/>
    <w:rsid w:val="003612AC"/>
    <w:rsid w:val="00361825"/>
    <w:rsid w:val="00362100"/>
    <w:rsid w:val="003622F2"/>
    <w:rsid w:val="0036281D"/>
    <w:rsid w:val="0036290B"/>
    <w:rsid w:val="003630D9"/>
    <w:rsid w:val="00363100"/>
    <w:rsid w:val="00363589"/>
    <w:rsid w:val="00363B21"/>
    <w:rsid w:val="00363BDF"/>
    <w:rsid w:val="00363DD8"/>
    <w:rsid w:val="00363E12"/>
    <w:rsid w:val="00363E87"/>
    <w:rsid w:val="00364233"/>
    <w:rsid w:val="00364640"/>
    <w:rsid w:val="00365279"/>
    <w:rsid w:val="003652EB"/>
    <w:rsid w:val="00365CA3"/>
    <w:rsid w:val="00365D50"/>
    <w:rsid w:val="00365D8D"/>
    <w:rsid w:val="00365D9B"/>
    <w:rsid w:val="00366514"/>
    <w:rsid w:val="0036667E"/>
    <w:rsid w:val="003666B9"/>
    <w:rsid w:val="00366796"/>
    <w:rsid w:val="00366ACF"/>
    <w:rsid w:val="00366BD2"/>
    <w:rsid w:val="00366CE1"/>
    <w:rsid w:val="003674B8"/>
    <w:rsid w:val="003675F2"/>
    <w:rsid w:val="003677C1"/>
    <w:rsid w:val="00367879"/>
    <w:rsid w:val="00367A98"/>
    <w:rsid w:val="00367C92"/>
    <w:rsid w:val="00367CBD"/>
    <w:rsid w:val="00367F95"/>
    <w:rsid w:val="00370871"/>
    <w:rsid w:val="00370C30"/>
    <w:rsid w:val="00370DBC"/>
    <w:rsid w:val="00370EDC"/>
    <w:rsid w:val="00370FF5"/>
    <w:rsid w:val="003711D3"/>
    <w:rsid w:val="003712E5"/>
    <w:rsid w:val="00371460"/>
    <w:rsid w:val="00371A84"/>
    <w:rsid w:val="00371CD5"/>
    <w:rsid w:val="00371E92"/>
    <w:rsid w:val="0037283C"/>
    <w:rsid w:val="00372898"/>
    <w:rsid w:val="003728FA"/>
    <w:rsid w:val="00372D7E"/>
    <w:rsid w:val="00373051"/>
    <w:rsid w:val="00373408"/>
    <w:rsid w:val="00373C1F"/>
    <w:rsid w:val="00373E8E"/>
    <w:rsid w:val="00373F93"/>
    <w:rsid w:val="00374541"/>
    <w:rsid w:val="0037454F"/>
    <w:rsid w:val="0037470E"/>
    <w:rsid w:val="003747D4"/>
    <w:rsid w:val="00374982"/>
    <w:rsid w:val="00374BB8"/>
    <w:rsid w:val="003752E0"/>
    <w:rsid w:val="003756EE"/>
    <w:rsid w:val="00375869"/>
    <w:rsid w:val="00375891"/>
    <w:rsid w:val="00375AAB"/>
    <w:rsid w:val="00375B3F"/>
    <w:rsid w:val="00375EF7"/>
    <w:rsid w:val="00376648"/>
    <w:rsid w:val="0037666E"/>
    <w:rsid w:val="0037672B"/>
    <w:rsid w:val="00376B3C"/>
    <w:rsid w:val="00376BF1"/>
    <w:rsid w:val="00376C4C"/>
    <w:rsid w:val="00376E0A"/>
    <w:rsid w:val="00376F1E"/>
    <w:rsid w:val="00377334"/>
    <w:rsid w:val="0037738A"/>
    <w:rsid w:val="003773F8"/>
    <w:rsid w:val="00377778"/>
    <w:rsid w:val="003778C9"/>
    <w:rsid w:val="00377CC2"/>
    <w:rsid w:val="00377E7C"/>
    <w:rsid w:val="00377EC5"/>
    <w:rsid w:val="00380473"/>
    <w:rsid w:val="003805A2"/>
    <w:rsid w:val="003806EF"/>
    <w:rsid w:val="00380733"/>
    <w:rsid w:val="00380B34"/>
    <w:rsid w:val="00380B96"/>
    <w:rsid w:val="003815DD"/>
    <w:rsid w:val="0038179A"/>
    <w:rsid w:val="00381BDD"/>
    <w:rsid w:val="00381C2F"/>
    <w:rsid w:val="00382187"/>
    <w:rsid w:val="0038272D"/>
    <w:rsid w:val="00382BF8"/>
    <w:rsid w:val="00382C76"/>
    <w:rsid w:val="003831B4"/>
    <w:rsid w:val="003841A1"/>
    <w:rsid w:val="00384331"/>
    <w:rsid w:val="0038436D"/>
    <w:rsid w:val="00384427"/>
    <w:rsid w:val="0038469C"/>
    <w:rsid w:val="0038498E"/>
    <w:rsid w:val="00384C91"/>
    <w:rsid w:val="00384F92"/>
    <w:rsid w:val="003854DB"/>
    <w:rsid w:val="00385558"/>
    <w:rsid w:val="0038576A"/>
    <w:rsid w:val="00385AB7"/>
    <w:rsid w:val="00386D1D"/>
    <w:rsid w:val="00386F36"/>
    <w:rsid w:val="0038700D"/>
    <w:rsid w:val="00387391"/>
    <w:rsid w:val="003876B0"/>
    <w:rsid w:val="00387BC1"/>
    <w:rsid w:val="00387D75"/>
    <w:rsid w:val="00390077"/>
    <w:rsid w:val="0039021F"/>
    <w:rsid w:val="00390528"/>
    <w:rsid w:val="00390555"/>
    <w:rsid w:val="0039081B"/>
    <w:rsid w:val="00390CA7"/>
    <w:rsid w:val="00390E49"/>
    <w:rsid w:val="00390F74"/>
    <w:rsid w:val="00391C36"/>
    <w:rsid w:val="00391D4F"/>
    <w:rsid w:val="00391E2C"/>
    <w:rsid w:val="00391EA8"/>
    <w:rsid w:val="00392060"/>
    <w:rsid w:val="00392140"/>
    <w:rsid w:val="0039226F"/>
    <w:rsid w:val="00392F0C"/>
    <w:rsid w:val="0039322D"/>
    <w:rsid w:val="00393367"/>
    <w:rsid w:val="00393371"/>
    <w:rsid w:val="003938BD"/>
    <w:rsid w:val="00393B17"/>
    <w:rsid w:val="00393DBC"/>
    <w:rsid w:val="00393F24"/>
    <w:rsid w:val="003948F3"/>
    <w:rsid w:val="00394BBE"/>
    <w:rsid w:val="00394D13"/>
    <w:rsid w:val="0039544D"/>
    <w:rsid w:val="00395D3D"/>
    <w:rsid w:val="00396366"/>
    <w:rsid w:val="003964BE"/>
    <w:rsid w:val="00396624"/>
    <w:rsid w:val="003967AC"/>
    <w:rsid w:val="003968D1"/>
    <w:rsid w:val="00396B7F"/>
    <w:rsid w:val="00397189"/>
    <w:rsid w:val="0039725D"/>
    <w:rsid w:val="00397636"/>
    <w:rsid w:val="00397669"/>
    <w:rsid w:val="003A00F3"/>
    <w:rsid w:val="003A033C"/>
    <w:rsid w:val="003A0F14"/>
    <w:rsid w:val="003A0F28"/>
    <w:rsid w:val="003A1538"/>
    <w:rsid w:val="003A1FE8"/>
    <w:rsid w:val="003A22ED"/>
    <w:rsid w:val="003A26F7"/>
    <w:rsid w:val="003A286D"/>
    <w:rsid w:val="003A2B36"/>
    <w:rsid w:val="003A2CA5"/>
    <w:rsid w:val="003A315E"/>
    <w:rsid w:val="003A3704"/>
    <w:rsid w:val="003A38AB"/>
    <w:rsid w:val="003A3A44"/>
    <w:rsid w:val="003A3D98"/>
    <w:rsid w:val="003A445A"/>
    <w:rsid w:val="003A4A8B"/>
    <w:rsid w:val="003A4B01"/>
    <w:rsid w:val="003A4EF1"/>
    <w:rsid w:val="003A4F4E"/>
    <w:rsid w:val="003A51DF"/>
    <w:rsid w:val="003A53F4"/>
    <w:rsid w:val="003A54B0"/>
    <w:rsid w:val="003A5603"/>
    <w:rsid w:val="003A577A"/>
    <w:rsid w:val="003A5820"/>
    <w:rsid w:val="003A5868"/>
    <w:rsid w:val="003A5A3A"/>
    <w:rsid w:val="003A5DDD"/>
    <w:rsid w:val="003A5FFA"/>
    <w:rsid w:val="003A5FFD"/>
    <w:rsid w:val="003A62CB"/>
    <w:rsid w:val="003A63CF"/>
    <w:rsid w:val="003A6400"/>
    <w:rsid w:val="003A6692"/>
    <w:rsid w:val="003A6F23"/>
    <w:rsid w:val="003A74EA"/>
    <w:rsid w:val="003A7673"/>
    <w:rsid w:val="003A7836"/>
    <w:rsid w:val="003A7C22"/>
    <w:rsid w:val="003A7C8F"/>
    <w:rsid w:val="003A7E35"/>
    <w:rsid w:val="003B05D2"/>
    <w:rsid w:val="003B0625"/>
    <w:rsid w:val="003B0A02"/>
    <w:rsid w:val="003B0CA2"/>
    <w:rsid w:val="003B1CDA"/>
    <w:rsid w:val="003B20DA"/>
    <w:rsid w:val="003B29A8"/>
    <w:rsid w:val="003B3003"/>
    <w:rsid w:val="003B3267"/>
    <w:rsid w:val="003B3DE8"/>
    <w:rsid w:val="003B40C2"/>
    <w:rsid w:val="003B4101"/>
    <w:rsid w:val="003B4146"/>
    <w:rsid w:val="003B4341"/>
    <w:rsid w:val="003B4A5B"/>
    <w:rsid w:val="003B4B50"/>
    <w:rsid w:val="003B4B69"/>
    <w:rsid w:val="003B5131"/>
    <w:rsid w:val="003B52C9"/>
    <w:rsid w:val="003B559E"/>
    <w:rsid w:val="003B5731"/>
    <w:rsid w:val="003B599D"/>
    <w:rsid w:val="003B5A3A"/>
    <w:rsid w:val="003B5ABD"/>
    <w:rsid w:val="003B5AD6"/>
    <w:rsid w:val="003B5F3E"/>
    <w:rsid w:val="003B5FA9"/>
    <w:rsid w:val="003B6124"/>
    <w:rsid w:val="003B650F"/>
    <w:rsid w:val="003B67E3"/>
    <w:rsid w:val="003B714A"/>
    <w:rsid w:val="003B7856"/>
    <w:rsid w:val="003B7CD6"/>
    <w:rsid w:val="003B7FCC"/>
    <w:rsid w:val="003C0C38"/>
    <w:rsid w:val="003C0CB9"/>
    <w:rsid w:val="003C0E23"/>
    <w:rsid w:val="003C1038"/>
    <w:rsid w:val="003C11EE"/>
    <w:rsid w:val="003C12E2"/>
    <w:rsid w:val="003C1379"/>
    <w:rsid w:val="003C143C"/>
    <w:rsid w:val="003C188E"/>
    <w:rsid w:val="003C208D"/>
    <w:rsid w:val="003C233C"/>
    <w:rsid w:val="003C27F9"/>
    <w:rsid w:val="003C31E6"/>
    <w:rsid w:val="003C3424"/>
    <w:rsid w:val="003C36F6"/>
    <w:rsid w:val="003C3A6B"/>
    <w:rsid w:val="003C431B"/>
    <w:rsid w:val="003C465D"/>
    <w:rsid w:val="003C48BD"/>
    <w:rsid w:val="003C4B2C"/>
    <w:rsid w:val="003C4E43"/>
    <w:rsid w:val="003C4F76"/>
    <w:rsid w:val="003C5130"/>
    <w:rsid w:val="003C5158"/>
    <w:rsid w:val="003C5960"/>
    <w:rsid w:val="003C5A3C"/>
    <w:rsid w:val="003C61BF"/>
    <w:rsid w:val="003C61C3"/>
    <w:rsid w:val="003C6276"/>
    <w:rsid w:val="003C6937"/>
    <w:rsid w:val="003C7129"/>
    <w:rsid w:val="003C7350"/>
    <w:rsid w:val="003C7731"/>
    <w:rsid w:val="003C79ED"/>
    <w:rsid w:val="003C7A14"/>
    <w:rsid w:val="003C7A70"/>
    <w:rsid w:val="003C7B1D"/>
    <w:rsid w:val="003C7EF3"/>
    <w:rsid w:val="003D02AA"/>
    <w:rsid w:val="003D0724"/>
    <w:rsid w:val="003D07C2"/>
    <w:rsid w:val="003D0969"/>
    <w:rsid w:val="003D0DF5"/>
    <w:rsid w:val="003D0F14"/>
    <w:rsid w:val="003D0F5C"/>
    <w:rsid w:val="003D1199"/>
    <w:rsid w:val="003D1B55"/>
    <w:rsid w:val="003D228D"/>
    <w:rsid w:val="003D2A96"/>
    <w:rsid w:val="003D2ABD"/>
    <w:rsid w:val="003D2DA1"/>
    <w:rsid w:val="003D32AB"/>
    <w:rsid w:val="003D3331"/>
    <w:rsid w:val="003D34FC"/>
    <w:rsid w:val="003D3562"/>
    <w:rsid w:val="003D3DB5"/>
    <w:rsid w:val="003D42F3"/>
    <w:rsid w:val="003D42FB"/>
    <w:rsid w:val="003D435A"/>
    <w:rsid w:val="003D436A"/>
    <w:rsid w:val="003D46D9"/>
    <w:rsid w:val="003D47E3"/>
    <w:rsid w:val="003D4930"/>
    <w:rsid w:val="003D4C24"/>
    <w:rsid w:val="003D5146"/>
    <w:rsid w:val="003D54CE"/>
    <w:rsid w:val="003D562E"/>
    <w:rsid w:val="003D5B24"/>
    <w:rsid w:val="003D5DDA"/>
    <w:rsid w:val="003D6180"/>
    <w:rsid w:val="003D623C"/>
    <w:rsid w:val="003D6407"/>
    <w:rsid w:val="003D70FA"/>
    <w:rsid w:val="003D745C"/>
    <w:rsid w:val="003D745D"/>
    <w:rsid w:val="003D781D"/>
    <w:rsid w:val="003D795B"/>
    <w:rsid w:val="003D7EF3"/>
    <w:rsid w:val="003D7F5B"/>
    <w:rsid w:val="003E0125"/>
    <w:rsid w:val="003E017E"/>
    <w:rsid w:val="003E03F7"/>
    <w:rsid w:val="003E054B"/>
    <w:rsid w:val="003E05C0"/>
    <w:rsid w:val="003E0648"/>
    <w:rsid w:val="003E0B10"/>
    <w:rsid w:val="003E0D55"/>
    <w:rsid w:val="003E0D7C"/>
    <w:rsid w:val="003E0EE1"/>
    <w:rsid w:val="003E11FF"/>
    <w:rsid w:val="003E1413"/>
    <w:rsid w:val="003E14C6"/>
    <w:rsid w:val="003E1827"/>
    <w:rsid w:val="003E1A47"/>
    <w:rsid w:val="003E1B16"/>
    <w:rsid w:val="003E1C24"/>
    <w:rsid w:val="003E1FC8"/>
    <w:rsid w:val="003E2D79"/>
    <w:rsid w:val="003E2E57"/>
    <w:rsid w:val="003E30C6"/>
    <w:rsid w:val="003E31F7"/>
    <w:rsid w:val="003E352E"/>
    <w:rsid w:val="003E3615"/>
    <w:rsid w:val="003E3736"/>
    <w:rsid w:val="003E3748"/>
    <w:rsid w:val="003E391A"/>
    <w:rsid w:val="003E3F0F"/>
    <w:rsid w:val="003E4042"/>
    <w:rsid w:val="003E4265"/>
    <w:rsid w:val="003E44CB"/>
    <w:rsid w:val="003E4A00"/>
    <w:rsid w:val="003E5452"/>
    <w:rsid w:val="003E55C9"/>
    <w:rsid w:val="003E626D"/>
    <w:rsid w:val="003E6272"/>
    <w:rsid w:val="003E6476"/>
    <w:rsid w:val="003E6698"/>
    <w:rsid w:val="003E686C"/>
    <w:rsid w:val="003E68BE"/>
    <w:rsid w:val="003E6BD2"/>
    <w:rsid w:val="003E6F31"/>
    <w:rsid w:val="003E6FCC"/>
    <w:rsid w:val="003E7374"/>
    <w:rsid w:val="003E73BB"/>
    <w:rsid w:val="003E789A"/>
    <w:rsid w:val="003E7C79"/>
    <w:rsid w:val="003E7F7D"/>
    <w:rsid w:val="003F0004"/>
    <w:rsid w:val="003F05D6"/>
    <w:rsid w:val="003F0FE3"/>
    <w:rsid w:val="003F169D"/>
    <w:rsid w:val="003F1732"/>
    <w:rsid w:val="003F1BA2"/>
    <w:rsid w:val="003F1C21"/>
    <w:rsid w:val="003F1CAD"/>
    <w:rsid w:val="003F1CE5"/>
    <w:rsid w:val="003F250F"/>
    <w:rsid w:val="003F25E9"/>
    <w:rsid w:val="003F27A5"/>
    <w:rsid w:val="003F2811"/>
    <w:rsid w:val="003F2B77"/>
    <w:rsid w:val="003F2C1C"/>
    <w:rsid w:val="003F2E17"/>
    <w:rsid w:val="003F30D0"/>
    <w:rsid w:val="003F3676"/>
    <w:rsid w:val="003F39C3"/>
    <w:rsid w:val="003F3FCA"/>
    <w:rsid w:val="003F45FD"/>
    <w:rsid w:val="003F5101"/>
    <w:rsid w:val="003F51D6"/>
    <w:rsid w:val="003F5213"/>
    <w:rsid w:val="003F5AE6"/>
    <w:rsid w:val="003F5B53"/>
    <w:rsid w:val="003F5C1D"/>
    <w:rsid w:val="003F5C8F"/>
    <w:rsid w:val="003F5D56"/>
    <w:rsid w:val="003F60C2"/>
    <w:rsid w:val="003F62E3"/>
    <w:rsid w:val="003F655E"/>
    <w:rsid w:val="003F693C"/>
    <w:rsid w:val="003F6D36"/>
    <w:rsid w:val="003F6F94"/>
    <w:rsid w:val="003F75E2"/>
    <w:rsid w:val="003F7658"/>
    <w:rsid w:val="003F7692"/>
    <w:rsid w:val="003F7727"/>
    <w:rsid w:val="003F7786"/>
    <w:rsid w:val="003F7884"/>
    <w:rsid w:val="003F7946"/>
    <w:rsid w:val="003F7E35"/>
    <w:rsid w:val="003F7F2D"/>
    <w:rsid w:val="004000E4"/>
    <w:rsid w:val="004002DE"/>
    <w:rsid w:val="004007FC"/>
    <w:rsid w:val="004009F5"/>
    <w:rsid w:val="004010FE"/>
    <w:rsid w:val="004012BA"/>
    <w:rsid w:val="004015BF"/>
    <w:rsid w:val="004018BD"/>
    <w:rsid w:val="004019EA"/>
    <w:rsid w:val="00401BFB"/>
    <w:rsid w:val="00401CC1"/>
    <w:rsid w:val="00401EEF"/>
    <w:rsid w:val="00401F9E"/>
    <w:rsid w:val="00402028"/>
    <w:rsid w:val="00402140"/>
    <w:rsid w:val="004023B8"/>
    <w:rsid w:val="00402B7A"/>
    <w:rsid w:val="00402CE8"/>
    <w:rsid w:val="00402D6E"/>
    <w:rsid w:val="00402DD9"/>
    <w:rsid w:val="00402E51"/>
    <w:rsid w:val="00402FBA"/>
    <w:rsid w:val="0040306F"/>
    <w:rsid w:val="00403204"/>
    <w:rsid w:val="004037CD"/>
    <w:rsid w:val="0040389F"/>
    <w:rsid w:val="00403926"/>
    <w:rsid w:val="00403C41"/>
    <w:rsid w:val="00403E59"/>
    <w:rsid w:val="00403E7B"/>
    <w:rsid w:val="00404037"/>
    <w:rsid w:val="0040406F"/>
    <w:rsid w:val="00404277"/>
    <w:rsid w:val="0040440A"/>
    <w:rsid w:val="00404428"/>
    <w:rsid w:val="004046C1"/>
    <w:rsid w:val="00404BE7"/>
    <w:rsid w:val="00404C3F"/>
    <w:rsid w:val="00404D13"/>
    <w:rsid w:val="00404E68"/>
    <w:rsid w:val="00405079"/>
    <w:rsid w:val="00405539"/>
    <w:rsid w:val="00405797"/>
    <w:rsid w:val="00406C9B"/>
    <w:rsid w:val="00406DB2"/>
    <w:rsid w:val="00407068"/>
    <w:rsid w:val="0040770C"/>
    <w:rsid w:val="00410514"/>
    <w:rsid w:val="0041089B"/>
    <w:rsid w:val="004109CC"/>
    <w:rsid w:val="00410CD4"/>
    <w:rsid w:val="00411746"/>
    <w:rsid w:val="00411CA1"/>
    <w:rsid w:val="00411E03"/>
    <w:rsid w:val="00412BEB"/>
    <w:rsid w:val="00412D83"/>
    <w:rsid w:val="0041313B"/>
    <w:rsid w:val="004135BF"/>
    <w:rsid w:val="0041388D"/>
    <w:rsid w:val="00413A22"/>
    <w:rsid w:val="00413C7F"/>
    <w:rsid w:val="00414215"/>
    <w:rsid w:val="004144C3"/>
    <w:rsid w:val="004149B5"/>
    <w:rsid w:val="00414AAC"/>
    <w:rsid w:val="00414E37"/>
    <w:rsid w:val="00414E86"/>
    <w:rsid w:val="00414EAC"/>
    <w:rsid w:val="00414FD7"/>
    <w:rsid w:val="00415CF2"/>
    <w:rsid w:val="00415D1A"/>
    <w:rsid w:val="0041656C"/>
    <w:rsid w:val="004166D2"/>
    <w:rsid w:val="00416A1E"/>
    <w:rsid w:val="00416A79"/>
    <w:rsid w:val="00416C2B"/>
    <w:rsid w:val="00416DF4"/>
    <w:rsid w:val="0041715E"/>
    <w:rsid w:val="0041735A"/>
    <w:rsid w:val="00417696"/>
    <w:rsid w:val="004177D4"/>
    <w:rsid w:val="00417CBF"/>
    <w:rsid w:val="00417DE7"/>
    <w:rsid w:val="0042014A"/>
    <w:rsid w:val="0042103B"/>
    <w:rsid w:val="00421094"/>
    <w:rsid w:val="00421129"/>
    <w:rsid w:val="0042127A"/>
    <w:rsid w:val="00421694"/>
    <w:rsid w:val="004218D9"/>
    <w:rsid w:val="0042256E"/>
    <w:rsid w:val="004225F6"/>
    <w:rsid w:val="004229DE"/>
    <w:rsid w:val="0042356F"/>
    <w:rsid w:val="00423821"/>
    <w:rsid w:val="004239FE"/>
    <w:rsid w:val="00423F03"/>
    <w:rsid w:val="0042408C"/>
    <w:rsid w:val="00424481"/>
    <w:rsid w:val="0042486F"/>
    <w:rsid w:val="00424E44"/>
    <w:rsid w:val="00424E90"/>
    <w:rsid w:val="00425154"/>
    <w:rsid w:val="00425172"/>
    <w:rsid w:val="0042535D"/>
    <w:rsid w:val="00425DA5"/>
    <w:rsid w:val="0042601C"/>
    <w:rsid w:val="00426279"/>
    <w:rsid w:val="0042636F"/>
    <w:rsid w:val="0042651B"/>
    <w:rsid w:val="00426F73"/>
    <w:rsid w:val="00427321"/>
    <w:rsid w:val="0042794D"/>
    <w:rsid w:val="00427AC6"/>
    <w:rsid w:val="00430005"/>
    <w:rsid w:val="004300C6"/>
    <w:rsid w:val="004307BF"/>
    <w:rsid w:val="004308BC"/>
    <w:rsid w:val="00430CE3"/>
    <w:rsid w:val="00430D0C"/>
    <w:rsid w:val="0043125A"/>
    <w:rsid w:val="004313CF"/>
    <w:rsid w:val="004314F0"/>
    <w:rsid w:val="0043164A"/>
    <w:rsid w:val="0043216F"/>
    <w:rsid w:val="004322AC"/>
    <w:rsid w:val="00432B0C"/>
    <w:rsid w:val="00432BF4"/>
    <w:rsid w:val="00432F85"/>
    <w:rsid w:val="00433163"/>
    <w:rsid w:val="00433336"/>
    <w:rsid w:val="00433896"/>
    <w:rsid w:val="00433AB3"/>
    <w:rsid w:val="00433D24"/>
    <w:rsid w:val="00433D8E"/>
    <w:rsid w:val="00434342"/>
    <w:rsid w:val="00434A97"/>
    <w:rsid w:val="00434BFF"/>
    <w:rsid w:val="00434DF9"/>
    <w:rsid w:val="00434F7E"/>
    <w:rsid w:val="00435408"/>
    <w:rsid w:val="004358FF"/>
    <w:rsid w:val="00435B56"/>
    <w:rsid w:val="00435EB5"/>
    <w:rsid w:val="00435EF3"/>
    <w:rsid w:val="004360A8"/>
    <w:rsid w:val="004362EC"/>
    <w:rsid w:val="00436583"/>
    <w:rsid w:val="00436DEC"/>
    <w:rsid w:val="00437147"/>
    <w:rsid w:val="004376D0"/>
    <w:rsid w:val="00437915"/>
    <w:rsid w:val="00437B2F"/>
    <w:rsid w:val="00437B60"/>
    <w:rsid w:val="00437C9C"/>
    <w:rsid w:val="00437D9C"/>
    <w:rsid w:val="00437DE4"/>
    <w:rsid w:val="00440114"/>
    <w:rsid w:val="00440136"/>
    <w:rsid w:val="0044045C"/>
    <w:rsid w:val="004404CD"/>
    <w:rsid w:val="0044089F"/>
    <w:rsid w:val="00440966"/>
    <w:rsid w:val="00441306"/>
    <w:rsid w:val="004413BA"/>
    <w:rsid w:val="0044183A"/>
    <w:rsid w:val="00441845"/>
    <w:rsid w:val="00441D63"/>
    <w:rsid w:val="00441FCE"/>
    <w:rsid w:val="00442131"/>
    <w:rsid w:val="00442150"/>
    <w:rsid w:val="004422F6"/>
    <w:rsid w:val="004426A2"/>
    <w:rsid w:val="0044279A"/>
    <w:rsid w:val="004429C1"/>
    <w:rsid w:val="00442C49"/>
    <w:rsid w:val="00442E18"/>
    <w:rsid w:val="00442FF4"/>
    <w:rsid w:val="00443ADB"/>
    <w:rsid w:val="00443B56"/>
    <w:rsid w:val="00444187"/>
    <w:rsid w:val="00444444"/>
    <w:rsid w:val="004446C5"/>
    <w:rsid w:val="004447AF"/>
    <w:rsid w:val="00444935"/>
    <w:rsid w:val="004449C4"/>
    <w:rsid w:val="004450D5"/>
    <w:rsid w:val="00445286"/>
    <w:rsid w:val="00445375"/>
    <w:rsid w:val="004456A0"/>
    <w:rsid w:val="004457AF"/>
    <w:rsid w:val="00445A94"/>
    <w:rsid w:val="004464F2"/>
    <w:rsid w:val="00446856"/>
    <w:rsid w:val="00446BD5"/>
    <w:rsid w:val="00446E3B"/>
    <w:rsid w:val="00447016"/>
    <w:rsid w:val="00447850"/>
    <w:rsid w:val="004504EB"/>
    <w:rsid w:val="00450506"/>
    <w:rsid w:val="00450967"/>
    <w:rsid w:val="00450B91"/>
    <w:rsid w:val="00450CB7"/>
    <w:rsid w:val="00450F52"/>
    <w:rsid w:val="004512F6"/>
    <w:rsid w:val="004514A1"/>
    <w:rsid w:val="00451B2B"/>
    <w:rsid w:val="00451FDB"/>
    <w:rsid w:val="00451FE7"/>
    <w:rsid w:val="00452169"/>
    <w:rsid w:val="00452746"/>
    <w:rsid w:val="0045279B"/>
    <w:rsid w:val="004527D8"/>
    <w:rsid w:val="00452AC9"/>
    <w:rsid w:val="00452F32"/>
    <w:rsid w:val="00452FDB"/>
    <w:rsid w:val="00452FDE"/>
    <w:rsid w:val="004534F3"/>
    <w:rsid w:val="004535C3"/>
    <w:rsid w:val="00453971"/>
    <w:rsid w:val="004539DF"/>
    <w:rsid w:val="00453A9C"/>
    <w:rsid w:val="00453EE4"/>
    <w:rsid w:val="004543CC"/>
    <w:rsid w:val="004553C6"/>
    <w:rsid w:val="004553F8"/>
    <w:rsid w:val="00455D88"/>
    <w:rsid w:val="00455DF3"/>
    <w:rsid w:val="00456EB7"/>
    <w:rsid w:val="00457516"/>
    <w:rsid w:val="004603ED"/>
    <w:rsid w:val="00460891"/>
    <w:rsid w:val="00460A55"/>
    <w:rsid w:val="00460E43"/>
    <w:rsid w:val="00461747"/>
    <w:rsid w:val="00461B43"/>
    <w:rsid w:val="00461BA6"/>
    <w:rsid w:val="00461DF8"/>
    <w:rsid w:val="00462004"/>
    <w:rsid w:val="004626DA"/>
    <w:rsid w:val="00462725"/>
    <w:rsid w:val="00462965"/>
    <w:rsid w:val="00462D78"/>
    <w:rsid w:val="00462EBA"/>
    <w:rsid w:val="004630DA"/>
    <w:rsid w:val="004631A5"/>
    <w:rsid w:val="0046335C"/>
    <w:rsid w:val="00463536"/>
    <w:rsid w:val="00463863"/>
    <w:rsid w:val="004639A8"/>
    <w:rsid w:val="004639BC"/>
    <w:rsid w:val="00463B7F"/>
    <w:rsid w:val="00463C24"/>
    <w:rsid w:val="004640D7"/>
    <w:rsid w:val="00464438"/>
    <w:rsid w:val="00464577"/>
    <w:rsid w:val="00464A01"/>
    <w:rsid w:val="00464A8C"/>
    <w:rsid w:val="00464F41"/>
    <w:rsid w:val="00464FCB"/>
    <w:rsid w:val="00465442"/>
    <w:rsid w:val="00465916"/>
    <w:rsid w:val="0046657C"/>
    <w:rsid w:val="0046690D"/>
    <w:rsid w:val="00466B37"/>
    <w:rsid w:val="00466BAE"/>
    <w:rsid w:val="00466C5D"/>
    <w:rsid w:val="00466D88"/>
    <w:rsid w:val="00466F02"/>
    <w:rsid w:val="00467094"/>
    <w:rsid w:val="004672CC"/>
    <w:rsid w:val="00467586"/>
    <w:rsid w:val="004679F5"/>
    <w:rsid w:val="00467B9D"/>
    <w:rsid w:val="004705AA"/>
    <w:rsid w:val="004705ED"/>
    <w:rsid w:val="004709C4"/>
    <w:rsid w:val="00471016"/>
    <w:rsid w:val="0047105E"/>
    <w:rsid w:val="00471384"/>
    <w:rsid w:val="00471403"/>
    <w:rsid w:val="00471675"/>
    <w:rsid w:val="004718CA"/>
    <w:rsid w:val="00471E82"/>
    <w:rsid w:val="00472770"/>
    <w:rsid w:val="00472BA1"/>
    <w:rsid w:val="00472EA0"/>
    <w:rsid w:val="0047367C"/>
    <w:rsid w:val="004738ED"/>
    <w:rsid w:val="004739C7"/>
    <w:rsid w:val="00473BE5"/>
    <w:rsid w:val="00473D9B"/>
    <w:rsid w:val="00473E00"/>
    <w:rsid w:val="00474303"/>
    <w:rsid w:val="00474515"/>
    <w:rsid w:val="00474639"/>
    <w:rsid w:val="00474EAB"/>
    <w:rsid w:val="004753DE"/>
    <w:rsid w:val="004757AC"/>
    <w:rsid w:val="00475845"/>
    <w:rsid w:val="00476B3A"/>
    <w:rsid w:val="00476C6D"/>
    <w:rsid w:val="00476E96"/>
    <w:rsid w:val="00476EE9"/>
    <w:rsid w:val="004770FE"/>
    <w:rsid w:val="004772F6"/>
    <w:rsid w:val="00477CC0"/>
    <w:rsid w:val="00477D37"/>
    <w:rsid w:val="00477F34"/>
    <w:rsid w:val="00477F62"/>
    <w:rsid w:val="00480A28"/>
    <w:rsid w:val="00480A4E"/>
    <w:rsid w:val="004810F0"/>
    <w:rsid w:val="00481504"/>
    <w:rsid w:val="00481526"/>
    <w:rsid w:val="0048157D"/>
    <w:rsid w:val="00481FC1"/>
    <w:rsid w:val="00482144"/>
    <w:rsid w:val="0048226E"/>
    <w:rsid w:val="0048227C"/>
    <w:rsid w:val="004825DC"/>
    <w:rsid w:val="00482802"/>
    <w:rsid w:val="00482D5C"/>
    <w:rsid w:val="00482E9A"/>
    <w:rsid w:val="0048320A"/>
    <w:rsid w:val="00483371"/>
    <w:rsid w:val="00483381"/>
    <w:rsid w:val="00483A86"/>
    <w:rsid w:val="00483AE7"/>
    <w:rsid w:val="00483B9F"/>
    <w:rsid w:val="00483DD9"/>
    <w:rsid w:val="00483E01"/>
    <w:rsid w:val="00483E41"/>
    <w:rsid w:val="00483EB8"/>
    <w:rsid w:val="00483FA8"/>
    <w:rsid w:val="004841B6"/>
    <w:rsid w:val="00484381"/>
    <w:rsid w:val="004844C1"/>
    <w:rsid w:val="00484F13"/>
    <w:rsid w:val="00485AC4"/>
    <w:rsid w:val="00485B21"/>
    <w:rsid w:val="00486375"/>
    <w:rsid w:val="004864B6"/>
    <w:rsid w:val="004864D4"/>
    <w:rsid w:val="00486546"/>
    <w:rsid w:val="004866E7"/>
    <w:rsid w:val="00486A64"/>
    <w:rsid w:val="00486C36"/>
    <w:rsid w:val="00486D61"/>
    <w:rsid w:val="00486E73"/>
    <w:rsid w:val="00486E9C"/>
    <w:rsid w:val="00487411"/>
    <w:rsid w:val="00487B53"/>
    <w:rsid w:val="004900F4"/>
    <w:rsid w:val="0049030D"/>
    <w:rsid w:val="0049079C"/>
    <w:rsid w:val="00490858"/>
    <w:rsid w:val="00490D2C"/>
    <w:rsid w:val="004914B6"/>
    <w:rsid w:val="00491532"/>
    <w:rsid w:val="0049156F"/>
    <w:rsid w:val="004916FA"/>
    <w:rsid w:val="00491AB0"/>
    <w:rsid w:val="00491ADB"/>
    <w:rsid w:val="0049206E"/>
    <w:rsid w:val="00492AF5"/>
    <w:rsid w:val="00492BEF"/>
    <w:rsid w:val="00492C76"/>
    <w:rsid w:val="00492F6D"/>
    <w:rsid w:val="00492FD5"/>
    <w:rsid w:val="00493145"/>
    <w:rsid w:val="004933D2"/>
    <w:rsid w:val="00493C60"/>
    <w:rsid w:val="004941DB"/>
    <w:rsid w:val="004941FF"/>
    <w:rsid w:val="004949FB"/>
    <w:rsid w:val="00494B45"/>
    <w:rsid w:val="00494B6E"/>
    <w:rsid w:val="004950AE"/>
    <w:rsid w:val="00495274"/>
    <w:rsid w:val="0049561D"/>
    <w:rsid w:val="00495829"/>
    <w:rsid w:val="0049596E"/>
    <w:rsid w:val="00495AB5"/>
    <w:rsid w:val="00495B32"/>
    <w:rsid w:val="00495D86"/>
    <w:rsid w:val="004964E8"/>
    <w:rsid w:val="00496BCA"/>
    <w:rsid w:val="00496D1B"/>
    <w:rsid w:val="0049722F"/>
    <w:rsid w:val="00497726"/>
    <w:rsid w:val="0049795E"/>
    <w:rsid w:val="004A0100"/>
    <w:rsid w:val="004A03DA"/>
    <w:rsid w:val="004A05DA"/>
    <w:rsid w:val="004A14A5"/>
    <w:rsid w:val="004A1718"/>
    <w:rsid w:val="004A20A2"/>
    <w:rsid w:val="004A21AA"/>
    <w:rsid w:val="004A2325"/>
    <w:rsid w:val="004A26C1"/>
    <w:rsid w:val="004A2D43"/>
    <w:rsid w:val="004A31A3"/>
    <w:rsid w:val="004A33F9"/>
    <w:rsid w:val="004A378E"/>
    <w:rsid w:val="004A3DFE"/>
    <w:rsid w:val="004A3FD8"/>
    <w:rsid w:val="004A4130"/>
    <w:rsid w:val="004A4259"/>
    <w:rsid w:val="004A4454"/>
    <w:rsid w:val="004A4471"/>
    <w:rsid w:val="004A479A"/>
    <w:rsid w:val="004A4D63"/>
    <w:rsid w:val="004A55A6"/>
    <w:rsid w:val="004A5770"/>
    <w:rsid w:val="004A5927"/>
    <w:rsid w:val="004A59AC"/>
    <w:rsid w:val="004A5A00"/>
    <w:rsid w:val="004A669A"/>
    <w:rsid w:val="004A66AF"/>
    <w:rsid w:val="004A66EE"/>
    <w:rsid w:val="004A7679"/>
    <w:rsid w:val="004A7F00"/>
    <w:rsid w:val="004B0295"/>
    <w:rsid w:val="004B047D"/>
    <w:rsid w:val="004B0C08"/>
    <w:rsid w:val="004B0D63"/>
    <w:rsid w:val="004B1699"/>
    <w:rsid w:val="004B1735"/>
    <w:rsid w:val="004B1DB2"/>
    <w:rsid w:val="004B2036"/>
    <w:rsid w:val="004B26BB"/>
    <w:rsid w:val="004B27B0"/>
    <w:rsid w:val="004B2863"/>
    <w:rsid w:val="004B29B9"/>
    <w:rsid w:val="004B302D"/>
    <w:rsid w:val="004B3A25"/>
    <w:rsid w:val="004B3A71"/>
    <w:rsid w:val="004B3AD1"/>
    <w:rsid w:val="004B3C53"/>
    <w:rsid w:val="004B3C89"/>
    <w:rsid w:val="004B41D8"/>
    <w:rsid w:val="004B460C"/>
    <w:rsid w:val="004B46F9"/>
    <w:rsid w:val="004B4C5A"/>
    <w:rsid w:val="004B5157"/>
    <w:rsid w:val="004B5508"/>
    <w:rsid w:val="004B5806"/>
    <w:rsid w:val="004B591F"/>
    <w:rsid w:val="004B5992"/>
    <w:rsid w:val="004B5AE2"/>
    <w:rsid w:val="004B5B32"/>
    <w:rsid w:val="004B5BED"/>
    <w:rsid w:val="004B5C80"/>
    <w:rsid w:val="004B5D5B"/>
    <w:rsid w:val="004B611D"/>
    <w:rsid w:val="004B6131"/>
    <w:rsid w:val="004B67C6"/>
    <w:rsid w:val="004B6876"/>
    <w:rsid w:val="004B69FC"/>
    <w:rsid w:val="004B6AB7"/>
    <w:rsid w:val="004B6B40"/>
    <w:rsid w:val="004B6DAC"/>
    <w:rsid w:val="004B744D"/>
    <w:rsid w:val="004B7879"/>
    <w:rsid w:val="004B79B1"/>
    <w:rsid w:val="004B7A12"/>
    <w:rsid w:val="004C01D0"/>
    <w:rsid w:val="004C0747"/>
    <w:rsid w:val="004C07F7"/>
    <w:rsid w:val="004C1804"/>
    <w:rsid w:val="004C215E"/>
    <w:rsid w:val="004C2A04"/>
    <w:rsid w:val="004C2AC6"/>
    <w:rsid w:val="004C2E66"/>
    <w:rsid w:val="004C3060"/>
    <w:rsid w:val="004C3219"/>
    <w:rsid w:val="004C39CD"/>
    <w:rsid w:val="004C3E23"/>
    <w:rsid w:val="004C3EA6"/>
    <w:rsid w:val="004C3F77"/>
    <w:rsid w:val="004C4115"/>
    <w:rsid w:val="004C454A"/>
    <w:rsid w:val="004C4B96"/>
    <w:rsid w:val="004C4CC8"/>
    <w:rsid w:val="004C4DF1"/>
    <w:rsid w:val="004C4EE6"/>
    <w:rsid w:val="004C4F45"/>
    <w:rsid w:val="004C56A0"/>
    <w:rsid w:val="004C5A84"/>
    <w:rsid w:val="004C5E79"/>
    <w:rsid w:val="004C5E9D"/>
    <w:rsid w:val="004C5F58"/>
    <w:rsid w:val="004C5FAF"/>
    <w:rsid w:val="004C609C"/>
    <w:rsid w:val="004C617B"/>
    <w:rsid w:val="004C61BE"/>
    <w:rsid w:val="004C65BB"/>
    <w:rsid w:val="004C6788"/>
    <w:rsid w:val="004C68D9"/>
    <w:rsid w:val="004C6B15"/>
    <w:rsid w:val="004C6CA6"/>
    <w:rsid w:val="004C72A9"/>
    <w:rsid w:val="004C746A"/>
    <w:rsid w:val="004C7B75"/>
    <w:rsid w:val="004D005A"/>
    <w:rsid w:val="004D01B8"/>
    <w:rsid w:val="004D05C5"/>
    <w:rsid w:val="004D09BD"/>
    <w:rsid w:val="004D0C04"/>
    <w:rsid w:val="004D10A9"/>
    <w:rsid w:val="004D123A"/>
    <w:rsid w:val="004D12B5"/>
    <w:rsid w:val="004D17A5"/>
    <w:rsid w:val="004D18CC"/>
    <w:rsid w:val="004D19C8"/>
    <w:rsid w:val="004D1B18"/>
    <w:rsid w:val="004D2074"/>
    <w:rsid w:val="004D26D2"/>
    <w:rsid w:val="004D2C2F"/>
    <w:rsid w:val="004D2C77"/>
    <w:rsid w:val="004D2EC0"/>
    <w:rsid w:val="004D3A0B"/>
    <w:rsid w:val="004D3E22"/>
    <w:rsid w:val="004D41D4"/>
    <w:rsid w:val="004D424A"/>
    <w:rsid w:val="004D43FA"/>
    <w:rsid w:val="004D50E6"/>
    <w:rsid w:val="004D53A0"/>
    <w:rsid w:val="004D53FC"/>
    <w:rsid w:val="004D5C14"/>
    <w:rsid w:val="004D6133"/>
    <w:rsid w:val="004D6276"/>
    <w:rsid w:val="004D64BC"/>
    <w:rsid w:val="004D64E0"/>
    <w:rsid w:val="004D6547"/>
    <w:rsid w:val="004D6569"/>
    <w:rsid w:val="004D6B89"/>
    <w:rsid w:val="004D6C03"/>
    <w:rsid w:val="004D6C2F"/>
    <w:rsid w:val="004D727B"/>
    <w:rsid w:val="004D732D"/>
    <w:rsid w:val="004D7601"/>
    <w:rsid w:val="004D7A16"/>
    <w:rsid w:val="004D7C52"/>
    <w:rsid w:val="004D7EEA"/>
    <w:rsid w:val="004E050F"/>
    <w:rsid w:val="004E076E"/>
    <w:rsid w:val="004E07D9"/>
    <w:rsid w:val="004E0F6C"/>
    <w:rsid w:val="004E15CD"/>
    <w:rsid w:val="004E162C"/>
    <w:rsid w:val="004E2005"/>
    <w:rsid w:val="004E25AE"/>
    <w:rsid w:val="004E2FE2"/>
    <w:rsid w:val="004E3411"/>
    <w:rsid w:val="004E3635"/>
    <w:rsid w:val="004E3835"/>
    <w:rsid w:val="004E389B"/>
    <w:rsid w:val="004E39FE"/>
    <w:rsid w:val="004E3C42"/>
    <w:rsid w:val="004E4347"/>
    <w:rsid w:val="004E43BB"/>
    <w:rsid w:val="004E45C4"/>
    <w:rsid w:val="004E504A"/>
    <w:rsid w:val="004E5198"/>
    <w:rsid w:val="004E5363"/>
    <w:rsid w:val="004E5471"/>
    <w:rsid w:val="004E579C"/>
    <w:rsid w:val="004E5856"/>
    <w:rsid w:val="004E596C"/>
    <w:rsid w:val="004E598D"/>
    <w:rsid w:val="004E5A45"/>
    <w:rsid w:val="004E5B38"/>
    <w:rsid w:val="004E7433"/>
    <w:rsid w:val="004E745B"/>
    <w:rsid w:val="004E75C8"/>
    <w:rsid w:val="004E7766"/>
    <w:rsid w:val="004E77B8"/>
    <w:rsid w:val="004E78A0"/>
    <w:rsid w:val="004E7F71"/>
    <w:rsid w:val="004F0317"/>
    <w:rsid w:val="004F07BA"/>
    <w:rsid w:val="004F0D27"/>
    <w:rsid w:val="004F14EA"/>
    <w:rsid w:val="004F1C5F"/>
    <w:rsid w:val="004F1EB1"/>
    <w:rsid w:val="004F249F"/>
    <w:rsid w:val="004F25F8"/>
    <w:rsid w:val="004F27D7"/>
    <w:rsid w:val="004F28B8"/>
    <w:rsid w:val="004F3637"/>
    <w:rsid w:val="004F36F1"/>
    <w:rsid w:val="004F3970"/>
    <w:rsid w:val="004F3A7D"/>
    <w:rsid w:val="004F3EFC"/>
    <w:rsid w:val="004F4129"/>
    <w:rsid w:val="004F4859"/>
    <w:rsid w:val="004F586C"/>
    <w:rsid w:val="004F58AF"/>
    <w:rsid w:val="004F6159"/>
    <w:rsid w:val="004F61AD"/>
    <w:rsid w:val="004F61B0"/>
    <w:rsid w:val="004F61DA"/>
    <w:rsid w:val="004F628E"/>
    <w:rsid w:val="004F6685"/>
    <w:rsid w:val="004F66DF"/>
    <w:rsid w:val="004F6AD0"/>
    <w:rsid w:val="004F7712"/>
    <w:rsid w:val="004F7813"/>
    <w:rsid w:val="004F7897"/>
    <w:rsid w:val="004F7BEA"/>
    <w:rsid w:val="004F7BF4"/>
    <w:rsid w:val="004F7D8B"/>
    <w:rsid w:val="004F7E75"/>
    <w:rsid w:val="0050071E"/>
    <w:rsid w:val="00500FE1"/>
    <w:rsid w:val="005012AB"/>
    <w:rsid w:val="00501472"/>
    <w:rsid w:val="005014FD"/>
    <w:rsid w:val="0050177A"/>
    <w:rsid w:val="00501B2A"/>
    <w:rsid w:val="00501B61"/>
    <w:rsid w:val="00501D0C"/>
    <w:rsid w:val="00501FFC"/>
    <w:rsid w:val="0050207F"/>
    <w:rsid w:val="0050217B"/>
    <w:rsid w:val="005021EC"/>
    <w:rsid w:val="00502267"/>
    <w:rsid w:val="0050232B"/>
    <w:rsid w:val="005024D9"/>
    <w:rsid w:val="00502F65"/>
    <w:rsid w:val="005035C6"/>
    <w:rsid w:val="00503677"/>
    <w:rsid w:val="00503852"/>
    <w:rsid w:val="00503C5B"/>
    <w:rsid w:val="00503CE8"/>
    <w:rsid w:val="00503E46"/>
    <w:rsid w:val="00503F66"/>
    <w:rsid w:val="00503FB0"/>
    <w:rsid w:val="00504209"/>
    <w:rsid w:val="005044A8"/>
    <w:rsid w:val="005046EE"/>
    <w:rsid w:val="005049F5"/>
    <w:rsid w:val="00505027"/>
    <w:rsid w:val="00505086"/>
    <w:rsid w:val="00505124"/>
    <w:rsid w:val="005051F6"/>
    <w:rsid w:val="00505641"/>
    <w:rsid w:val="005057C2"/>
    <w:rsid w:val="005062EA"/>
    <w:rsid w:val="0050664E"/>
    <w:rsid w:val="00506671"/>
    <w:rsid w:val="005067ED"/>
    <w:rsid w:val="0050680D"/>
    <w:rsid w:val="00506878"/>
    <w:rsid w:val="005068F5"/>
    <w:rsid w:val="0050694B"/>
    <w:rsid w:val="00506D81"/>
    <w:rsid w:val="005071FD"/>
    <w:rsid w:val="005072DF"/>
    <w:rsid w:val="005072E1"/>
    <w:rsid w:val="005073E6"/>
    <w:rsid w:val="00507419"/>
    <w:rsid w:val="005074B8"/>
    <w:rsid w:val="00507AB2"/>
    <w:rsid w:val="00507ABE"/>
    <w:rsid w:val="00507D2C"/>
    <w:rsid w:val="005104D8"/>
    <w:rsid w:val="0051096D"/>
    <w:rsid w:val="00510C3E"/>
    <w:rsid w:val="00510E7D"/>
    <w:rsid w:val="00510EF4"/>
    <w:rsid w:val="00511292"/>
    <w:rsid w:val="005112E5"/>
    <w:rsid w:val="005116F2"/>
    <w:rsid w:val="00511D3C"/>
    <w:rsid w:val="0051205F"/>
    <w:rsid w:val="00512694"/>
    <w:rsid w:val="00513073"/>
    <w:rsid w:val="0051335E"/>
    <w:rsid w:val="0051392A"/>
    <w:rsid w:val="005139BC"/>
    <w:rsid w:val="00513C4E"/>
    <w:rsid w:val="00513D8F"/>
    <w:rsid w:val="00513EAA"/>
    <w:rsid w:val="0051452F"/>
    <w:rsid w:val="00514694"/>
    <w:rsid w:val="00514BDE"/>
    <w:rsid w:val="00515330"/>
    <w:rsid w:val="005158DD"/>
    <w:rsid w:val="00515930"/>
    <w:rsid w:val="00515BC6"/>
    <w:rsid w:val="00515D3B"/>
    <w:rsid w:val="00515EA8"/>
    <w:rsid w:val="00516041"/>
    <w:rsid w:val="00516182"/>
    <w:rsid w:val="00516396"/>
    <w:rsid w:val="005164DE"/>
    <w:rsid w:val="00516A95"/>
    <w:rsid w:val="00517584"/>
    <w:rsid w:val="00517679"/>
    <w:rsid w:val="00517CD1"/>
    <w:rsid w:val="00517D8C"/>
    <w:rsid w:val="00520095"/>
    <w:rsid w:val="005200E2"/>
    <w:rsid w:val="00520108"/>
    <w:rsid w:val="005208D7"/>
    <w:rsid w:val="0052165C"/>
    <w:rsid w:val="00521FAD"/>
    <w:rsid w:val="0052200F"/>
    <w:rsid w:val="00522187"/>
    <w:rsid w:val="0052247F"/>
    <w:rsid w:val="0052270C"/>
    <w:rsid w:val="00522A4C"/>
    <w:rsid w:val="00522B0F"/>
    <w:rsid w:val="00522E88"/>
    <w:rsid w:val="00523152"/>
    <w:rsid w:val="00523C5D"/>
    <w:rsid w:val="00523C99"/>
    <w:rsid w:val="0052409B"/>
    <w:rsid w:val="005244E9"/>
    <w:rsid w:val="00524AEB"/>
    <w:rsid w:val="00524C71"/>
    <w:rsid w:val="00524E33"/>
    <w:rsid w:val="00525934"/>
    <w:rsid w:val="00525F1A"/>
    <w:rsid w:val="005262A5"/>
    <w:rsid w:val="005265C4"/>
    <w:rsid w:val="00526F13"/>
    <w:rsid w:val="00526F9A"/>
    <w:rsid w:val="0052731A"/>
    <w:rsid w:val="005275D5"/>
    <w:rsid w:val="00527860"/>
    <w:rsid w:val="005278E7"/>
    <w:rsid w:val="00527959"/>
    <w:rsid w:val="00527D00"/>
    <w:rsid w:val="00527E51"/>
    <w:rsid w:val="005303A4"/>
    <w:rsid w:val="0053085E"/>
    <w:rsid w:val="00530908"/>
    <w:rsid w:val="00530BCB"/>
    <w:rsid w:val="00530D38"/>
    <w:rsid w:val="00530FDA"/>
    <w:rsid w:val="005313BF"/>
    <w:rsid w:val="00531828"/>
    <w:rsid w:val="00531FA5"/>
    <w:rsid w:val="0053269E"/>
    <w:rsid w:val="0053290B"/>
    <w:rsid w:val="00533226"/>
    <w:rsid w:val="00533643"/>
    <w:rsid w:val="005336CD"/>
    <w:rsid w:val="00533732"/>
    <w:rsid w:val="00533830"/>
    <w:rsid w:val="00533E16"/>
    <w:rsid w:val="00534492"/>
    <w:rsid w:val="0053459C"/>
    <w:rsid w:val="005345E0"/>
    <w:rsid w:val="00534EF8"/>
    <w:rsid w:val="00534F13"/>
    <w:rsid w:val="00535065"/>
    <w:rsid w:val="005350B7"/>
    <w:rsid w:val="00535262"/>
    <w:rsid w:val="005354F8"/>
    <w:rsid w:val="0053589D"/>
    <w:rsid w:val="005358D5"/>
    <w:rsid w:val="00535B3F"/>
    <w:rsid w:val="0053625B"/>
    <w:rsid w:val="00536CBD"/>
    <w:rsid w:val="00536D4A"/>
    <w:rsid w:val="00536D8F"/>
    <w:rsid w:val="005370FC"/>
    <w:rsid w:val="00537E9D"/>
    <w:rsid w:val="0054004F"/>
    <w:rsid w:val="00540066"/>
    <w:rsid w:val="0054025E"/>
    <w:rsid w:val="0054047A"/>
    <w:rsid w:val="00540C86"/>
    <w:rsid w:val="00540F5E"/>
    <w:rsid w:val="00541513"/>
    <w:rsid w:val="005417EB"/>
    <w:rsid w:val="005418F4"/>
    <w:rsid w:val="005420BF"/>
    <w:rsid w:val="00542174"/>
    <w:rsid w:val="00542244"/>
    <w:rsid w:val="00542570"/>
    <w:rsid w:val="00542577"/>
    <w:rsid w:val="00542C3E"/>
    <w:rsid w:val="00542CA4"/>
    <w:rsid w:val="00542E81"/>
    <w:rsid w:val="005431DA"/>
    <w:rsid w:val="005434C0"/>
    <w:rsid w:val="00543563"/>
    <w:rsid w:val="005439C8"/>
    <w:rsid w:val="005440E8"/>
    <w:rsid w:val="00544745"/>
    <w:rsid w:val="00544764"/>
    <w:rsid w:val="0054485E"/>
    <w:rsid w:val="005448DA"/>
    <w:rsid w:val="005449BC"/>
    <w:rsid w:val="005449C6"/>
    <w:rsid w:val="00544B79"/>
    <w:rsid w:val="005454FB"/>
    <w:rsid w:val="0054554A"/>
    <w:rsid w:val="00545687"/>
    <w:rsid w:val="0054574A"/>
    <w:rsid w:val="00545BAA"/>
    <w:rsid w:val="00545C12"/>
    <w:rsid w:val="00545FB7"/>
    <w:rsid w:val="005467E9"/>
    <w:rsid w:val="005468A1"/>
    <w:rsid w:val="00546F58"/>
    <w:rsid w:val="005475BB"/>
    <w:rsid w:val="0054778B"/>
    <w:rsid w:val="00547BFA"/>
    <w:rsid w:val="00547C68"/>
    <w:rsid w:val="0055069F"/>
    <w:rsid w:val="00550AB6"/>
    <w:rsid w:val="0055118E"/>
    <w:rsid w:val="00551390"/>
    <w:rsid w:val="00551C6A"/>
    <w:rsid w:val="005524D4"/>
    <w:rsid w:val="00552DEC"/>
    <w:rsid w:val="00552F12"/>
    <w:rsid w:val="00552F6F"/>
    <w:rsid w:val="00553006"/>
    <w:rsid w:val="00553167"/>
    <w:rsid w:val="0055323C"/>
    <w:rsid w:val="0055330F"/>
    <w:rsid w:val="00553518"/>
    <w:rsid w:val="0055363D"/>
    <w:rsid w:val="005538C9"/>
    <w:rsid w:val="0055435C"/>
    <w:rsid w:val="005548C0"/>
    <w:rsid w:val="00554EF5"/>
    <w:rsid w:val="0055525A"/>
    <w:rsid w:val="005553F4"/>
    <w:rsid w:val="00555630"/>
    <w:rsid w:val="005558F8"/>
    <w:rsid w:val="00555DAC"/>
    <w:rsid w:val="00555EDF"/>
    <w:rsid w:val="00555F07"/>
    <w:rsid w:val="00556235"/>
    <w:rsid w:val="00556319"/>
    <w:rsid w:val="00556472"/>
    <w:rsid w:val="005569EA"/>
    <w:rsid w:val="00556C2A"/>
    <w:rsid w:val="00556D54"/>
    <w:rsid w:val="0055709F"/>
    <w:rsid w:val="005570A6"/>
    <w:rsid w:val="00557133"/>
    <w:rsid w:val="00557167"/>
    <w:rsid w:val="005572A7"/>
    <w:rsid w:val="00557380"/>
    <w:rsid w:val="005573F6"/>
    <w:rsid w:val="005576B5"/>
    <w:rsid w:val="00557B92"/>
    <w:rsid w:val="005601D2"/>
    <w:rsid w:val="005602D3"/>
    <w:rsid w:val="00560575"/>
    <w:rsid w:val="005606A5"/>
    <w:rsid w:val="005609CB"/>
    <w:rsid w:val="00560D53"/>
    <w:rsid w:val="00560E52"/>
    <w:rsid w:val="00560E5D"/>
    <w:rsid w:val="00560F26"/>
    <w:rsid w:val="005612D3"/>
    <w:rsid w:val="005613FD"/>
    <w:rsid w:val="0056151E"/>
    <w:rsid w:val="005615E7"/>
    <w:rsid w:val="00561D7A"/>
    <w:rsid w:val="00561DBB"/>
    <w:rsid w:val="00561EA8"/>
    <w:rsid w:val="005620E2"/>
    <w:rsid w:val="0056225F"/>
    <w:rsid w:val="005625A4"/>
    <w:rsid w:val="00562D04"/>
    <w:rsid w:val="00562FFA"/>
    <w:rsid w:val="00563043"/>
    <w:rsid w:val="005631A9"/>
    <w:rsid w:val="005631BC"/>
    <w:rsid w:val="005632B0"/>
    <w:rsid w:val="00563335"/>
    <w:rsid w:val="00563502"/>
    <w:rsid w:val="005636B6"/>
    <w:rsid w:val="00563D45"/>
    <w:rsid w:val="00564592"/>
    <w:rsid w:val="00564603"/>
    <w:rsid w:val="0056466E"/>
    <w:rsid w:val="005646B8"/>
    <w:rsid w:val="00564BC8"/>
    <w:rsid w:val="00565EDD"/>
    <w:rsid w:val="00565F9F"/>
    <w:rsid w:val="0056618E"/>
    <w:rsid w:val="00566331"/>
    <w:rsid w:val="0056656B"/>
    <w:rsid w:val="00566715"/>
    <w:rsid w:val="00566D1E"/>
    <w:rsid w:val="00567517"/>
    <w:rsid w:val="00567821"/>
    <w:rsid w:val="00567A5A"/>
    <w:rsid w:val="00567AFD"/>
    <w:rsid w:val="00567C20"/>
    <w:rsid w:val="00567CC7"/>
    <w:rsid w:val="00567E1B"/>
    <w:rsid w:val="00567F43"/>
    <w:rsid w:val="00570445"/>
    <w:rsid w:val="00570640"/>
    <w:rsid w:val="005707F6"/>
    <w:rsid w:val="0057105A"/>
    <w:rsid w:val="00571163"/>
    <w:rsid w:val="00571267"/>
    <w:rsid w:val="0057194A"/>
    <w:rsid w:val="00571C57"/>
    <w:rsid w:val="00572C6E"/>
    <w:rsid w:val="005730EA"/>
    <w:rsid w:val="005735DE"/>
    <w:rsid w:val="0057411D"/>
    <w:rsid w:val="005743A7"/>
    <w:rsid w:val="0057443A"/>
    <w:rsid w:val="005744F6"/>
    <w:rsid w:val="005745B8"/>
    <w:rsid w:val="00574605"/>
    <w:rsid w:val="005746D0"/>
    <w:rsid w:val="00574ADC"/>
    <w:rsid w:val="00574BF8"/>
    <w:rsid w:val="005754A5"/>
    <w:rsid w:val="005754D8"/>
    <w:rsid w:val="00575CAE"/>
    <w:rsid w:val="00575EC9"/>
    <w:rsid w:val="00575EFE"/>
    <w:rsid w:val="00576C2E"/>
    <w:rsid w:val="00576C8F"/>
    <w:rsid w:val="00576D65"/>
    <w:rsid w:val="00577570"/>
    <w:rsid w:val="005775B6"/>
    <w:rsid w:val="00577720"/>
    <w:rsid w:val="0058046C"/>
    <w:rsid w:val="005804C2"/>
    <w:rsid w:val="005804D8"/>
    <w:rsid w:val="00580655"/>
    <w:rsid w:val="00580726"/>
    <w:rsid w:val="00581159"/>
    <w:rsid w:val="005811EC"/>
    <w:rsid w:val="005811F0"/>
    <w:rsid w:val="005814B7"/>
    <w:rsid w:val="00581514"/>
    <w:rsid w:val="005819DD"/>
    <w:rsid w:val="00581A83"/>
    <w:rsid w:val="00581B24"/>
    <w:rsid w:val="00581C2F"/>
    <w:rsid w:val="00581D41"/>
    <w:rsid w:val="00581FCA"/>
    <w:rsid w:val="00582613"/>
    <w:rsid w:val="0058272D"/>
    <w:rsid w:val="0058290E"/>
    <w:rsid w:val="0058294C"/>
    <w:rsid w:val="00582FD0"/>
    <w:rsid w:val="005833DB"/>
    <w:rsid w:val="005834AA"/>
    <w:rsid w:val="005836F1"/>
    <w:rsid w:val="00583965"/>
    <w:rsid w:val="00583DE0"/>
    <w:rsid w:val="00584196"/>
    <w:rsid w:val="00584479"/>
    <w:rsid w:val="00584679"/>
    <w:rsid w:val="0058480B"/>
    <w:rsid w:val="00584E15"/>
    <w:rsid w:val="005853F1"/>
    <w:rsid w:val="005854B4"/>
    <w:rsid w:val="005856BE"/>
    <w:rsid w:val="00585924"/>
    <w:rsid w:val="00585C31"/>
    <w:rsid w:val="00585DEA"/>
    <w:rsid w:val="00585E48"/>
    <w:rsid w:val="0058637B"/>
    <w:rsid w:val="0058640F"/>
    <w:rsid w:val="00586E4A"/>
    <w:rsid w:val="00586F56"/>
    <w:rsid w:val="00586FD9"/>
    <w:rsid w:val="0058726E"/>
    <w:rsid w:val="00587284"/>
    <w:rsid w:val="00587422"/>
    <w:rsid w:val="005900B7"/>
    <w:rsid w:val="005900E0"/>
    <w:rsid w:val="00590116"/>
    <w:rsid w:val="005901D1"/>
    <w:rsid w:val="005902A2"/>
    <w:rsid w:val="0059056D"/>
    <w:rsid w:val="00590688"/>
    <w:rsid w:val="00590933"/>
    <w:rsid w:val="00590FE7"/>
    <w:rsid w:val="005911D5"/>
    <w:rsid w:val="00591206"/>
    <w:rsid w:val="005913CD"/>
    <w:rsid w:val="0059199C"/>
    <w:rsid w:val="00591A6D"/>
    <w:rsid w:val="00591DEF"/>
    <w:rsid w:val="0059219E"/>
    <w:rsid w:val="005927FD"/>
    <w:rsid w:val="005929F3"/>
    <w:rsid w:val="00592D90"/>
    <w:rsid w:val="00592FEF"/>
    <w:rsid w:val="0059316B"/>
    <w:rsid w:val="005932AF"/>
    <w:rsid w:val="00593423"/>
    <w:rsid w:val="005934DB"/>
    <w:rsid w:val="0059370A"/>
    <w:rsid w:val="0059381D"/>
    <w:rsid w:val="00593DA6"/>
    <w:rsid w:val="00594243"/>
    <w:rsid w:val="005945CC"/>
    <w:rsid w:val="00594A22"/>
    <w:rsid w:val="00594BB7"/>
    <w:rsid w:val="00594BC6"/>
    <w:rsid w:val="00594F35"/>
    <w:rsid w:val="00595003"/>
    <w:rsid w:val="005953B5"/>
    <w:rsid w:val="0059576F"/>
    <w:rsid w:val="00595CD5"/>
    <w:rsid w:val="00596058"/>
    <w:rsid w:val="0059665E"/>
    <w:rsid w:val="00596ADE"/>
    <w:rsid w:val="005972B0"/>
    <w:rsid w:val="0059751A"/>
    <w:rsid w:val="005978CF"/>
    <w:rsid w:val="0059791D"/>
    <w:rsid w:val="00597BBC"/>
    <w:rsid w:val="00597DFA"/>
    <w:rsid w:val="005A0180"/>
    <w:rsid w:val="005A0630"/>
    <w:rsid w:val="005A064F"/>
    <w:rsid w:val="005A0B6C"/>
    <w:rsid w:val="005A1230"/>
    <w:rsid w:val="005A125C"/>
    <w:rsid w:val="005A158B"/>
    <w:rsid w:val="005A1874"/>
    <w:rsid w:val="005A1D75"/>
    <w:rsid w:val="005A20E0"/>
    <w:rsid w:val="005A21FB"/>
    <w:rsid w:val="005A23F5"/>
    <w:rsid w:val="005A2494"/>
    <w:rsid w:val="005A24EC"/>
    <w:rsid w:val="005A2610"/>
    <w:rsid w:val="005A2B76"/>
    <w:rsid w:val="005A2E15"/>
    <w:rsid w:val="005A30B5"/>
    <w:rsid w:val="005A3952"/>
    <w:rsid w:val="005A3FB5"/>
    <w:rsid w:val="005A4149"/>
    <w:rsid w:val="005A41F5"/>
    <w:rsid w:val="005A42DD"/>
    <w:rsid w:val="005A4CA3"/>
    <w:rsid w:val="005A5594"/>
    <w:rsid w:val="005A5831"/>
    <w:rsid w:val="005A58D6"/>
    <w:rsid w:val="005A5ABE"/>
    <w:rsid w:val="005A5DE3"/>
    <w:rsid w:val="005A5EC8"/>
    <w:rsid w:val="005A60F5"/>
    <w:rsid w:val="005A6353"/>
    <w:rsid w:val="005A71D3"/>
    <w:rsid w:val="005A7223"/>
    <w:rsid w:val="005A725E"/>
    <w:rsid w:val="005A72AE"/>
    <w:rsid w:val="005A733E"/>
    <w:rsid w:val="005A77EA"/>
    <w:rsid w:val="005A7F8F"/>
    <w:rsid w:val="005B0162"/>
    <w:rsid w:val="005B07E0"/>
    <w:rsid w:val="005B08D7"/>
    <w:rsid w:val="005B0AE8"/>
    <w:rsid w:val="005B0CA0"/>
    <w:rsid w:val="005B154C"/>
    <w:rsid w:val="005B20D8"/>
    <w:rsid w:val="005B2939"/>
    <w:rsid w:val="005B298D"/>
    <w:rsid w:val="005B2A33"/>
    <w:rsid w:val="005B3045"/>
    <w:rsid w:val="005B32F2"/>
    <w:rsid w:val="005B3496"/>
    <w:rsid w:val="005B35CA"/>
    <w:rsid w:val="005B3646"/>
    <w:rsid w:val="005B38DC"/>
    <w:rsid w:val="005B3957"/>
    <w:rsid w:val="005B43AD"/>
    <w:rsid w:val="005B4507"/>
    <w:rsid w:val="005B475B"/>
    <w:rsid w:val="005B4B03"/>
    <w:rsid w:val="005B5346"/>
    <w:rsid w:val="005B549F"/>
    <w:rsid w:val="005B591C"/>
    <w:rsid w:val="005B5B40"/>
    <w:rsid w:val="005B6270"/>
    <w:rsid w:val="005B631C"/>
    <w:rsid w:val="005B673A"/>
    <w:rsid w:val="005B6BEB"/>
    <w:rsid w:val="005B6CC2"/>
    <w:rsid w:val="005B7303"/>
    <w:rsid w:val="005B7A48"/>
    <w:rsid w:val="005B7AA4"/>
    <w:rsid w:val="005B7C55"/>
    <w:rsid w:val="005B7C71"/>
    <w:rsid w:val="005C03B3"/>
    <w:rsid w:val="005C061E"/>
    <w:rsid w:val="005C0874"/>
    <w:rsid w:val="005C0949"/>
    <w:rsid w:val="005C099D"/>
    <w:rsid w:val="005C0C30"/>
    <w:rsid w:val="005C0D82"/>
    <w:rsid w:val="005C19AE"/>
    <w:rsid w:val="005C1F2D"/>
    <w:rsid w:val="005C20A8"/>
    <w:rsid w:val="005C25AA"/>
    <w:rsid w:val="005C2702"/>
    <w:rsid w:val="005C28C2"/>
    <w:rsid w:val="005C2B32"/>
    <w:rsid w:val="005C2FB0"/>
    <w:rsid w:val="005C35B8"/>
    <w:rsid w:val="005C3AA9"/>
    <w:rsid w:val="005C3E17"/>
    <w:rsid w:val="005C40C2"/>
    <w:rsid w:val="005C40F3"/>
    <w:rsid w:val="005C4181"/>
    <w:rsid w:val="005C44A6"/>
    <w:rsid w:val="005C4640"/>
    <w:rsid w:val="005C4ED5"/>
    <w:rsid w:val="005C512F"/>
    <w:rsid w:val="005C5316"/>
    <w:rsid w:val="005C5428"/>
    <w:rsid w:val="005C5790"/>
    <w:rsid w:val="005C59DC"/>
    <w:rsid w:val="005C6209"/>
    <w:rsid w:val="005C7342"/>
    <w:rsid w:val="005C7403"/>
    <w:rsid w:val="005C7913"/>
    <w:rsid w:val="005C7989"/>
    <w:rsid w:val="005C7FEF"/>
    <w:rsid w:val="005D0027"/>
    <w:rsid w:val="005D00A2"/>
    <w:rsid w:val="005D0247"/>
    <w:rsid w:val="005D0258"/>
    <w:rsid w:val="005D0795"/>
    <w:rsid w:val="005D08D2"/>
    <w:rsid w:val="005D0A84"/>
    <w:rsid w:val="005D0B1E"/>
    <w:rsid w:val="005D1509"/>
    <w:rsid w:val="005D1776"/>
    <w:rsid w:val="005D191A"/>
    <w:rsid w:val="005D1DC2"/>
    <w:rsid w:val="005D1DF1"/>
    <w:rsid w:val="005D1E74"/>
    <w:rsid w:val="005D2375"/>
    <w:rsid w:val="005D23C0"/>
    <w:rsid w:val="005D28B5"/>
    <w:rsid w:val="005D29DE"/>
    <w:rsid w:val="005D2B8A"/>
    <w:rsid w:val="005D3738"/>
    <w:rsid w:val="005D3F74"/>
    <w:rsid w:val="005D4209"/>
    <w:rsid w:val="005D42C9"/>
    <w:rsid w:val="005D4640"/>
    <w:rsid w:val="005D475E"/>
    <w:rsid w:val="005D49C5"/>
    <w:rsid w:val="005D4C0A"/>
    <w:rsid w:val="005D5830"/>
    <w:rsid w:val="005D5AB7"/>
    <w:rsid w:val="005D5C54"/>
    <w:rsid w:val="005D5D4E"/>
    <w:rsid w:val="005D5DED"/>
    <w:rsid w:val="005D5E96"/>
    <w:rsid w:val="005D5E9E"/>
    <w:rsid w:val="005D65DC"/>
    <w:rsid w:val="005D6696"/>
    <w:rsid w:val="005D7636"/>
    <w:rsid w:val="005D763B"/>
    <w:rsid w:val="005D772D"/>
    <w:rsid w:val="005D7835"/>
    <w:rsid w:val="005D7C36"/>
    <w:rsid w:val="005D7E75"/>
    <w:rsid w:val="005E070F"/>
    <w:rsid w:val="005E07E6"/>
    <w:rsid w:val="005E094B"/>
    <w:rsid w:val="005E0A21"/>
    <w:rsid w:val="005E0AC2"/>
    <w:rsid w:val="005E0D5A"/>
    <w:rsid w:val="005E160F"/>
    <w:rsid w:val="005E1915"/>
    <w:rsid w:val="005E198E"/>
    <w:rsid w:val="005E1BFE"/>
    <w:rsid w:val="005E1DA2"/>
    <w:rsid w:val="005E1F83"/>
    <w:rsid w:val="005E20FE"/>
    <w:rsid w:val="005E273B"/>
    <w:rsid w:val="005E2B1E"/>
    <w:rsid w:val="005E2C0A"/>
    <w:rsid w:val="005E2C47"/>
    <w:rsid w:val="005E2C97"/>
    <w:rsid w:val="005E316A"/>
    <w:rsid w:val="005E38DA"/>
    <w:rsid w:val="005E391D"/>
    <w:rsid w:val="005E3C35"/>
    <w:rsid w:val="005E3CC8"/>
    <w:rsid w:val="005E3CEE"/>
    <w:rsid w:val="005E3F0C"/>
    <w:rsid w:val="005E4190"/>
    <w:rsid w:val="005E437F"/>
    <w:rsid w:val="005E4862"/>
    <w:rsid w:val="005E48E4"/>
    <w:rsid w:val="005E56FF"/>
    <w:rsid w:val="005E5984"/>
    <w:rsid w:val="005E5A62"/>
    <w:rsid w:val="005E5FCF"/>
    <w:rsid w:val="005E60E7"/>
    <w:rsid w:val="005E6D57"/>
    <w:rsid w:val="005E74B6"/>
    <w:rsid w:val="005E75DD"/>
    <w:rsid w:val="005E78A5"/>
    <w:rsid w:val="005E7A41"/>
    <w:rsid w:val="005E7D59"/>
    <w:rsid w:val="005F0A12"/>
    <w:rsid w:val="005F14D4"/>
    <w:rsid w:val="005F1676"/>
    <w:rsid w:val="005F2098"/>
    <w:rsid w:val="005F2135"/>
    <w:rsid w:val="005F21C2"/>
    <w:rsid w:val="005F21E7"/>
    <w:rsid w:val="005F2368"/>
    <w:rsid w:val="005F260B"/>
    <w:rsid w:val="005F26F8"/>
    <w:rsid w:val="005F2A85"/>
    <w:rsid w:val="005F2B37"/>
    <w:rsid w:val="005F2C64"/>
    <w:rsid w:val="005F3012"/>
    <w:rsid w:val="005F35E7"/>
    <w:rsid w:val="005F3747"/>
    <w:rsid w:val="005F4029"/>
    <w:rsid w:val="005F4198"/>
    <w:rsid w:val="005F48FA"/>
    <w:rsid w:val="005F4A40"/>
    <w:rsid w:val="005F4AE6"/>
    <w:rsid w:val="005F4CC5"/>
    <w:rsid w:val="005F53FF"/>
    <w:rsid w:val="005F543E"/>
    <w:rsid w:val="005F5720"/>
    <w:rsid w:val="005F5963"/>
    <w:rsid w:val="005F5BDD"/>
    <w:rsid w:val="005F5DE1"/>
    <w:rsid w:val="005F603D"/>
    <w:rsid w:val="005F624D"/>
    <w:rsid w:val="005F6753"/>
    <w:rsid w:val="005F6999"/>
    <w:rsid w:val="005F6AE2"/>
    <w:rsid w:val="005F6C75"/>
    <w:rsid w:val="005F7024"/>
    <w:rsid w:val="005F715D"/>
    <w:rsid w:val="005F71F6"/>
    <w:rsid w:val="005F77C1"/>
    <w:rsid w:val="005F79C5"/>
    <w:rsid w:val="005F7A6D"/>
    <w:rsid w:val="005F7E52"/>
    <w:rsid w:val="00600003"/>
    <w:rsid w:val="0060006A"/>
    <w:rsid w:val="006000EE"/>
    <w:rsid w:val="0060025E"/>
    <w:rsid w:val="006002D6"/>
    <w:rsid w:val="00600F8C"/>
    <w:rsid w:val="00601246"/>
    <w:rsid w:val="006013CB"/>
    <w:rsid w:val="0060180B"/>
    <w:rsid w:val="00601B38"/>
    <w:rsid w:val="00601FB6"/>
    <w:rsid w:val="006022EE"/>
    <w:rsid w:val="006023D0"/>
    <w:rsid w:val="00603D32"/>
    <w:rsid w:val="00603EF9"/>
    <w:rsid w:val="00604026"/>
    <w:rsid w:val="006040D2"/>
    <w:rsid w:val="006041B0"/>
    <w:rsid w:val="006048CF"/>
    <w:rsid w:val="00604AA8"/>
    <w:rsid w:val="00604BB7"/>
    <w:rsid w:val="00605330"/>
    <w:rsid w:val="00605A2E"/>
    <w:rsid w:val="00605B03"/>
    <w:rsid w:val="00605EA9"/>
    <w:rsid w:val="00605ECD"/>
    <w:rsid w:val="00605F03"/>
    <w:rsid w:val="006068F1"/>
    <w:rsid w:val="00606927"/>
    <w:rsid w:val="00606ADE"/>
    <w:rsid w:val="00606B23"/>
    <w:rsid w:val="00607468"/>
    <w:rsid w:val="00607623"/>
    <w:rsid w:val="00607722"/>
    <w:rsid w:val="00607808"/>
    <w:rsid w:val="00607821"/>
    <w:rsid w:val="00607947"/>
    <w:rsid w:val="00607D01"/>
    <w:rsid w:val="00607EA2"/>
    <w:rsid w:val="0061013F"/>
    <w:rsid w:val="0061016F"/>
    <w:rsid w:val="00610269"/>
    <w:rsid w:val="00610286"/>
    <w:rsid w:val="00610D9C"/>
    <w:rsid w:val="00610F37"/>
    <w:rsid w:val="00611235"/>
    <w:rsid w:val="0061169D"/>
    <w:rsid w:val="00611895"/>
    <w:rsid w:val="0061191F"/>
    <w:rsid w:val="00611A48"/>
    <w:rsid w:val="0061234A"/>
    <w:rsid w:val="0061237F"/>
    <w:rsid w:val="006123B4"/>
    <w:rsid w:val="006126DE"/>
    <w:rsid w:val="00612760"/>
    <w:rsid w:val="0061282A"/>
    <w:rsid w:val="00613152"/>
    <w:rsid w:val="006134AF"/>
    <w:rsid w:val="00613C85"/>
    <w:rsid w:val="00613CDB"/>
    <w:rsid w:val="00613FDD"/>
    <w:rsid w:val="0061406E"/>
    <w:rsid w:val="006145F1"/>
    <w:rsid w:val="0061485E"/>
    <w:rsid w:val="00614B96"/>
    <w:rsid w:val="006151D6"/>
    <w:rsid w:val="006155B8"/>
    <w:rsid w:val="006156BA"/>
    <w:rsid w:val="00615B25"/>
    <w:rsid w:val="00615C8C"/>
    <w:rsid w:val="00615CBB"/>
    <w:rsid w:val="00615CE4"/>
    <w:rsid w:val="00616545"/>
    <w:rsid w:val="00616E9B"/>
    <w:rsid w:val="00617212"/>
    <w:rsid w:val="006172B2"/>
    <w:rsid w:val="00617399"/>
    <w:rsid w:val="00617DCD"/>
    <w:rsid w:val="00617EA4"/>
    <w:rsid w:val="00620316"/>
    <w:rsid w:val="00620518"/>
    <w:rsid w:val="0062096F"/>
    <w:rsid w:val="00620AF2"/>
    <w:rsid w:val="00620E19"/>
    <w:rsid w:val="00620FF3"/>
    <w:rsid w:val="00621047"/>
    <w:rsid w:val="00621094"/>
    <w:rsid w:val="00621262"/>
    <w:rsid w:val="00621472"/>
    <w:rsid w:val="006214A4"/>
    <w:rsid w:val="00621761"/>
    <w:rsid w:val="006217EA"/>
    <w:rsid w:val="00621855"/>
    <w:rsid w:val="006221DA"/>
    <w:rsid w:val="006225D8"/>
    <w:rsid w:val="00622770"/>
    <w:rsid w:val="00622CDA"/>
    <w:rsid w:val="00622CE3"/>
    <w:rsid w:val="006232F4"/>
    <w:rsid w:val="006233F7"/>
    <w:rsid w:val="00623411"/>
    <w:rsid w:val="0062366A"/>
    <w:rsid w:val="00623E28"/>
    <w:rsid w:val="0062408A"/>
    <w:rsid w:val="006240C6"/>
    <w:rsid w:val="0062448A"/>
    <w:rsid w:val="0062461F"/>
    <w:rsid w:val="0062465B"/>
    <w:rsid w:val="0062467C"/>
    <w:rsid w:val="00624871"/>
    <w:rsid w:val="00624893"/>
    <w:rsid w:val="00624F89"/>
    <w:rsid w:val="006251A6"/>
    <w:rsid w:val="0062567A"/>
    <w:rsid w:val="00625B4D"/>
    <w:rsid w:val="00625B96"/>
    <w:rsid w:val="00625D6C"/>
    <w:rsid w:val="00625FF5"/>
    <w:rsid w:val="00626023"/>
    <w:rsid w:val="00626478"/>
    <w:rsid w:val="006267D5"/>
    <w:rsid w:val="00626ECC"/>
    <w:rsid w:val="006270F4"/>
    <w:rsid w:val="006276EB"/>
    <w:rsid w:val="00627723"/>
    <w:rsid w:val="006279BA"/>
    <w:rsid w:val="00627B1D"/>
    <w:rsid w:val="00630133"/>
    <w:rsid w:val="00630259"/>
    <w:rsid w:val="00630828"/>
    <w:rsid w:val="00630910"/>
    <w:rsid w:val="00630A98"/>
    <w:rsid w:val="006312C6"/>
    <w:rsid w:val="006313BF"/>
    <w:rsid w:val="006315F7"/>
    <w:rsid w:val="00631635"/>
    <w:rsid w:val="006317FF"/>
    <w:rsid w:val="00631974"/>
    <w:rsid w:val="006319B6"/>
    <w:rsid w:val="00632116"/>
    <w:rsid w:val="0063219B"/>
    <w:rsid w:val="00632314"/>
    <w:rsid w:val="006328D5"/>
    <w:rsid w:val="00632FA9"/>
    <w:rsid w:val="00633145"/>
    <w:rsid w:val="006338B8"/>
    <w:rsid w:val="00633AF5"/>
    <w:rsid w:val="00633B81"/>
    <w:rsid w:val="00633CA5"/>
    <w:rsid w:val="00634807"/>
    <w:rsid w:val="00634B62"/>
    <w:rsid w:val="00635650"/>
    <w:rsid w:val="00635EEE"/>
    <w:rsid w:val="0063640A"/>
    <w:rsid w:val="00636957"/>
    <w:rsid w:val="006369DE"/>
    <w:rsid w:val="00636ACB"/>
    <w:rsid w:val="00636CBE"/>
    <w:rsid w:val="00636CE6"/>
    <w:rsid w:val="00636FF4"/>
    <w:rsid w:val="0063765F"/>
    <w:rsid w:val="00637704"/>
    <w:rsid w:val="0063777D"/>
    <w:rsid w:val="00637886"/>
    <w:rsid w:val="006378AE"/>
    <w:rsid w:val="00637A18"/>
    <w:rsid w:val="00637CC8"/>
    <w:rsid w:val="00637FA7"/>
    <w:rsid w:val="006405C0"/>
    <w:rsid w:val="006406F9"/>
    <w:rsid w:val="00640A03"/>
    <w:rsid w:val="00640C27"/>
    <w:rsid w:val="00640EBD"/>
    <w:rsid w:val="00640EF1"/>
    <w:rsid w:val="006412F2"/>
    <w:rsid w:val="0064162F"/>
    <w:rsid w:val="00641692"/>
    <w:rsid w:val="006416EA"/>
    <w:rsid w:val="006419B2"/>
    <w:rsid w:val="00641A7B"/>
    <w:rsid w:val="00641BEC"/>
    <w:rsid w:val="00641D34"/>
    <w:rsid w:val="00641E63"/>
    <w:rsid w:val="00641ECC"/>
    <w:rsid w:val="00641F14"/>
    <w:rsid w:val="00641F4A"/>
    <w:rsid w:val="006424E8"/>
    <w:rsid w:val="0064262C"/>
    <w:rsid w:val="00642641"/>
    <w:rsid w:val="006429E1"/>
    <w:rsid w:val="00642AFB"/>
    <w:rsid w:val="00643041"/>
    <w:rsid w:val="00643301"/>
    <w:rsid w:val="006435FE"/>
    <w:rsid w:val="0064392A"/>
    <w:rsid w:val="00643BE3"/>
    <w:rsid w:val="00643DB4"/>
    <w:rsid w:val="00643DEA"/>
    <w:rsid w:val="00643F0E"/>
    <w:rsid w:val="00644099"/>
    <w:rsid w:val="0064449D"/>
    <w:rsid w:val="0064476C"/>
    <w:rsid w:val="0064486F"/>
    <w:rsid w:val="00644A81"/>
    <w:rsid w:val="00644B62"/>
    <w:rsid w:val="00644F34"/>
    <w:rsid w:val="00645479"/>
    <w:rsid w:val="00645679"/>
    <w:rsid w:val="006458F9"/>
    <w:rsid w:val="006458FB"/>
    <w:rsid w:val="00645D51"/>
    <w:rsid w:val="00645E86"/>
    <w:rsid w:val="00646110"/>
    <w:rsid w:val="006463B9"/>
    <w:rsid w:val="00646ED9"/>
    <w:rsid w:val="00646F34"/>
    <w:rsid w:val="0064724E"/>
    <w:rsid w:val="006472D1"/>
    <w:rsid w:val="00647306"/>
    <w:rsid w:val="006473EB"/>
    <w:rsid w:val="00647A0E"/>
    <w:rsid w:val="00647B95"/>
    <w:rsid w:val="00647D38"/>
    <w:rsid w:val="00647E3C"/>
    <w:rsid w:val="00647EB8"/>
    <w:rsid w:val="00647F16"/>
    <w:rsid w:val="006506EA"/>
    <w:rsid w:val="00650BDA"/>
    <w:rsid w:val="00651618"/>
    <w:rsid w:val="006516C3"/>
    <w:rsid w:val="006518EE"/>
    <w:rsid w:val="00651CEE"/>
    <w:rsid w:val="006520BA"/>
    <w:rsid w:val="006522F5"/>
    <w:rsid w:val="00652566"/>
    <w:rsid w:val="006527E8"/>
    <w:rsid w:val="00652E9C"/>
    <w:rsid w:val="00652F09"/>
    <w:rsid w:val="006530BA"/>
    <w:rsid w:val="00653764"/>
    <w:rsid w:val="00653B2B"/>
    <w:rsid w:val="00653D79"/>
    <w:rsid w:val="00653E00"/>
    <w:rsid w:val="00653FA8"/>
    <w:rsid w:val="0065424F"/>
    <w:rsid w:val="00654AAE"/>
    <w:rsid w:val="00654B30"/>
    <w:rsid w:val="00654C78"/>
    <w:rsid w:val="006551C4"/>
    <w:rsid w:val="0065532A"/>
    <w:rsid w:val="006553AD"/>
    <w:rsid w:val="006553E2"/>
    <w:rsid w:val="006557C2"/>
    <w:rsid w:val="0065590A"/>
    <w:rsid w:val="00655B4A"/>
    <w:rsid w:val="00655B51"/>
    <w:rsid w:val="00655C2E"/>
    <w:rsid w:val="00655CC9"/>
    <w:rsid w:val="00655D0C"/>
    <w:rsid w:val="006563DF"/>
    <w:rsid w:val="00656561"/>
    <w:rsid w:val="006565C7"/>
    <w:rsid w:val="00656C5F"/>
    <w:rsid w:val="00657B36"/>
    <w:rsid w:val="00657DB6"/>
    <w:rsid w:val="006603F1"/>
    <w:rsid w:val="00660454"/>
    <w:rsid w:val="006606AA"/>
    <w:rsid w:val="00660727"/>
    <w:rsid w:val="006608B8"/>
    <w:rsid w:val="006608CF"/>
    <w:rsid w:val="00660ACD"/>
    <w:rsid w:val="00660AF9"/>
    <w:rsid w:val="00661261"/>
    <w:rsid w:val="00661579"/>
    <w:rsid w:val="0066168F"/>
    <w:rsid w:val="006619FD"/>
    <w:rsid w:val="00661D10"/>
    <w:rsid w:val="00661D1C"/>
    <w:rsid w:val="00661DE7"/>
    <w:rsid w:val="00661E80"/>
    <w:rsid w:val="0066214B"/>
    <w:rsid w:val="00662166"/>
    <w:rsid w:val="0066227F"/>
    <w:rsid w:val="0066250C"/>
    <w:rsid w:val="00662679"/>
    <w:rsid w:val="006626E4"/>
    <w:rsid w:val="00662A3B"/>
    <w:rsid w:val="00662A53"/>
    <w:rsid w:val="00662BB8"/>
    <w:rsid w:val="00663116"/>
    <w:rsid w:val="00663477"/>
    <w:rsid w:val="00663993"/>
    <w:rsid w:val="0066407A"/>
    <w:rsid w:val="00664948"/>
    <w:rsid w:val="00664A0C"/>
    <w:rsid w:val="00664FD1"/>
    <w:rsid w:val="006650A6"/>
    <w:rsid w:val="00665179"/>
    <w:rsid w:val="006652E9"/>
    <w:rsid w:val="006657A0"/>
    <w:rsid w:val="00665AD0"/>
    <w:rsid w:val="00665C2A"/>
    <w:rsid w:val="00665FFD"/>
    <w:rsid w:val="00666286"/>
    <w:rsid w:val="00666777"/>
    <w:rsid w:val="00666B6E"/>
    <w:rsid w:val="00666D5E"/>
    <w:rsid w:val="00666F9E"/>
    <w:rsid w:val="006670BB"/>
    <w:rsid w:val="00667318"/>
    <w:rsid w:val="00667482"/>
    <w:rsid w:val="006677FE"/>
    <w:rsid w:val="0067002D"/>
    <w:rsid w:val="006705BD"/>
    <w:rsid w:val="00670A41"/>
    <w:rsid w:val="00670F1D"/>
    <w:rsid w:val="0067156D"/>
    <w:rsid w:val="00671785"/>
    <w:rsid w:val="00671824"/>
    <w:rsid w:val="00671A4F"/>
    <w:rsid w:val="00672186"/>
    <w:rsid w:val="006722B0"/>
    <w:rsid w:val="00672447"/>
    <w:rsid w:val="0067282E"/>
    <w:rsid w:val="0067291F"/>
    <w:rsid w:val="00672A82"/>
    <w:rsid w:val="00672D16"/>
    <w:rsid w:val="00673001"/>
    <w:rsid w:val="006732C6"/>
    <w:rsid w:val="006734CD"/>
    <w:rsid w:val="0067378A"/>
    <w:rsid w:val="00673A54"/>
    <w:rsid w:val="00673CA8"/>
    <w:rsid w:val="0067412B"/>
    <w:rsid w:val="006743F5"/>
    <w:rsid w:val="006744CC"/>
    <w:rsid w:val="00674C10"/>
    <w:rsid w:val="006755E5"/>
    <w:rsid w:val="0067565F"/>
    <w:rsid w:val="006757FC"/>
    <w:rsid w:val="00675F14"/>
    <w:rsid w:val="006760BC"/>
    <w:rsid w:val="0067660A"/>
    <w:rsid w:val="006766A7"/>
    <w:rsid w:val="00676774"/>
    <w:rsid w:val="00676860"/>
    <w:rsid w:val="00676B3F"/>
    <w:rsid w:val="00677363"/>
    <w:rsid w:val="006773E1"/>
    <w:rsid w:val="0067745C"/>
    <w:rsid w:val="0067766E"/>
    <w:rsid w:val="00677E78"/>
    <w:rsid w:val="0068028A"/>
    <w:rsid w:val="006804CF"/>
    <w:rsid w:val="00680C06"/>
    <w:rsid w:val="00681B6B"/>
    <w:rsid w:val="00681E2D"/>
    <w:rsid w:val="00681EB5"/>
    <w:rsid w:val="0068268D"/>
    <w:rsid w:val="00682A5A"/>
    <w:rsid w:val="006830F3"/>
    <w:rsid w:val="00683118"/>
    <w:rsid w:val="00683359"/>
    <w:rsid w:val="0068350A"/>
    <w:rsid w:val="00683AB9"/>
    <w:rsid w:val="00683CE2"/>
    <w:rsid w:val="00684137"/>
    <w:rsid w:val="00684140"/>
    <w:rsid w:val="0068422E"/>
    <w:rsid w:val="006844BB"/>
    <w:rsid w:val="0068461F"/>
    <w:rsid w:val="00684CB2"/>
    <w:rsid w:val="00684EF5"/>
    <w:rsid w:val="006854B0"/>
    <w:rsid w:val="00685D8D"/>
    <w:rsid w:val="006861E3"/>
    <w:rsid w:val="006862B9"/>
    <w:rsid w:val="00686302"/>
    <w:rsid w:val="006863C5"/>
    <w:rsid w:val="00687106"/>
    <w:rsid w:val="006873F6"/>
    <w:rsid w:val="006876E2"/>
    <w:rsid w:val="00687A35"/>
    <w:rsid w:val="00687B68"/>
    <w:rsid w:val="00687C72"/>
    <w:rsid w:val="00687CF3"/>
    <w:rsid w:val="00687F59"/>
    <w:rsid w:val="0069040E"/>
    <w:rsid w:val="0069066E"/>
    <w:rsid w:val="006907D5"/>
    <w:rsid w:val="00690890"/>
    <w:rsid w:val="00690D99"/>
    <w:rsid w:val="00690E6E"/>
    <w:rsid w:val="00690FEE"/>
    <w:rsid w:val="0069111F"/>
    <w:rsid w:val="006914F3"/>
    <w:rsid w:val="00691745"/>
    <w:rsid w:val="006918F1"/>
    <w:rsid w:val="006921F5"/>
    <w:rsid w:val="0069265B"/>
    <w:rsid w:val="00692C39"/>
    <w:rsid w:val="00692CE4"/>
    <w:rsid w:val="00693036"/>
    <w:rsid w:val="00693109"/>
    <w:rsid w:val="00693237"/>
    <w:rsid w:val="0069363F"/>
    <w:rsid w:val="006937BC"/>
    <w:rsid w:val="00693CA3"/>
    <w:rsid w:val="00693EB9"/>
    <w:rsid w:val="0069468C"/>
    <w:rsid w:val="00694D77"/>
    <w:rsid w:val="00695075"/>
    <w:rsid w:val="0069531E"/>
    <w:rsid w:val="006956BA"/>
    <w:rsid w:val="006956D4"/>
    <w:rsid w:val="006956E1"/>
    <w:rsid w:val="00695731"/>
    <w:rsid w:val="00695928"/>
    <w:rsid w:val="00695BAF"/>
    <w:rsid w:val="00695BF5"/>
    <w:rsid w:val="00695DDE"/>
    <w:rsid w:val="00695EE2"/>
    <w:rsid w:val="00695FAA"/>
    <w:rsid w:val="00696330"/>
    <w:rsid w:val="006963D0"/>
    <w:rsid w:val="00696594"/>
    <w:rsid w:val="00696C06"/>
    <w:rsid w:val="0069723C"/>
    <w:rsid w:val="006972D3"/>
    <w:rsid w:val="0069761E"/>
    <w:rsid w:val="00697AEE"/>
    <w:rsid w:val="00697D1A"/>
    <w:rsid w:val="00697D5F"/>
    <w:rsid w:val="00697F8E"/>
    <w:rsid w:val="006A03A4"/>
    <w:rsid w:val="006A03A9"/>
    <w:rsid w:val="006A03AC"/>
    <w:rsid w:val="006A064A"/>
    <w:rsid w:val="006A0715"/>
    <w:rsid w:val="006A0875"/>
    <w:rsid w:val="006A10B6"/>
    <w:rsid w:val="006A128D"/>
    <w:rsid w:val="006A13EB"/>
    <w:rsid w:val="006A1417"/>
    <w:rsid w:val="006A1828"/>
    <w:rsid w:val="006A19A4"/>
    <w:rsid w:val="006A1A69"/>
    <w:rsid w:val="006A1FF0"/>
    <w:rsid w:val="006A28F3"/>
    <w:rsid w:val="006A2D78"/>
    <w:rsid w:val="006A39AB"/>
    <w:rsid w:val="006A42A8"/>
    <w:rsid w:val="006A433F"/>
    <w:rsid w:val="006A4554"/>
    <w:rsid w:val="006A458C"/>
    <w:rsid w:val="006A46A2"/>
    <w:rsid w:val="006A4738"/>
    <w:rsid w:val="006A4FF3"/>
    <w:rsid w:val="006A5313"/>
    <w:rsid w:val="006A55B2"/>
    <w:rsid w:val="006A5814"/>
    <w:rsid w:val="006A5D71"/>
    <w:rsid w:val="006A5F72"/>
    <w:rsid w:val="006A61BE"/>
    <w:rsid w:val="006A6907"/>
    <w:rsid w:val="006A6B9A"/>
    <w:rsid w:val="006A6D61"/>
    <w:rsid w:val="006A6FE4"/>
    <w:rsid w:val="006A7101"/>
    <w:rsid w:val="006A717D"/>
    <w:rsid w:val="006A788D"/>
    <w:rsid w:val="006A78FB"/>
    <w:rsid w:val="006A7BD7"/>
    <w:rsid w:val="006B0074"/>
    <w:rsid w:val="006B0450"/>
    <w:rsid w:val="006B0A4F"/>
    <w:rsid w:val="006B0D16"/>
    <w:rsid w:val="006B0DFF"/>
    <w:rsid w:val="006B13EB"/>
    <w:rsid w:val="006B1625"/>
    <w:rsid w:val="006B1915"/>
    <w:rsid w:val="006B20D9"/>
    <w:rsid w:val="006B262D"/>
    <w:rsid w:val="006B27C9"/>
    <w:rsid w:val="006B2CF1"/>
    <w:rsid w:val="006B2D6C"/>
    <w:rsid w:val="006B2FAD"/>
    <w:rsid w:val="006B37A0"/>
    <w:rsid w:val="006B37B4"/>
    <w:rsid w:val="006B3C28"/>
    <w:rsid w:val="006B3FC9"/>
    <w:rsid w:val="006B40C1"/>
    <w:rsid w:val="006B4155"/>
    <w:rsid w:val="006B444C"/>
    <w:rsid w:val="006B469C"/>
    <w:rsid w:val="006B476E"/>
    <w:rsid w:val="006B47E3"/>
    <w:rsid w:val="006B4CAE"/>
    <w:rsid w:val="006B519B"/>
    <w:rsid w:val="006B51A6"/>
    <w:rsid w:val="006B52E7"/>
    <w:rsid w:val="006B5611"/>
    <w:rsid w:val="006B590A"/>
    <w:rsid w:val="006B5ECD"/>
    <w:rsid w:val="006B65C2"/>
    <w:rsid w:val="006B6785"/>
    <w:rsid w:val="006B696D"/>
    <w:rsid w:val="006B6B57"/>
    <w:rsid w:val="006B6B82"/>
    <w:rsid w:val="006B6BC7"/>
    <w:rsid w:val="006B7A7B"/>
    <w:rsid w:val="006B7AAE"/>
    <w:rsid w:val="006B7C8A"/>
    <w:rsid w:val="006C0016"/>
    <w:rsid w:val="006C0024"/>
    <w:rsid w:val="006C002A"/>
    <w:rsid w:val="006C0851"/>
    <w:rsid w:val="006C0BD6"/>
    <w:rsid w:val="006C0D6D"/>
    <w:rsid w:val="006C0DE1"/>
    <w:rsid w:val="006C10AD"/>
    <w:rsid w:val="006C135F"/>
    <w:rsid w:val="006C148F"/>
    <w:rsid w:val="006C2265"/>
    <w:rsid w:val="006C26E1"/>
    <w:rsid w:val="006C2729"/>
    <w:rsid w:val="006C2773"/>
    <w:rsid w:val="006C2A5F"/>
    <w:rsid w:val="006C339D"/>
    <w:rsid w:val="006C3878"/>
    <w:rsid w:val="006C3890"/>
    <w:rsid w:val="006C3D19"/>
    <w:rsid w:val="006C428E"/>
    <w:rsid w:val="006C4623"/>
    <w:rsid w:val="006C4764"/>
    <w:rsid w:val="006C4B49"/>
    <w:rsid w:val="006C4FF1"/>
    <w:rsid w:val="006C5107"/>
    <w:rsid w:val="006C5472"/>
    <w:rsid w:val="006C549F"/>
    <w:rsid w:val="006C587D"/>
    <w:rsid w:val="006C5B34"/>
    <w:rsid w:val="006C60A0"/>
    <w:rsid w:val="006C63B0"/>
    <w:rsid w:val="006C64DA"/>
    <w:rsid w:val="006C713C"/>
    <w:rsid w:val="006C7228"/>
    <w:rsid w:val="006D0012"/>
    <w:rsid w:val="006D06DB"/>
    <w:rsid w:val="006D0A17"/>
    <w:rsid w:val="006D0D57"/>
    <w:rsid w:val="006D0DFC"/>
    <w:rsid w:val="006D16C9"/>
    <w:rsid w:val="006D1C02"/>
    <w:rsid w:val="006D246F"/>
    <w:rsid w:val="006D2F8E"/>
    <w:rsid w:val="006D331D"/>
    <w:rsid w:val="006D377C"/>
    <w:rsid w:val="006D38E5"/>
    <w:rsid w:val="006D3E62"/>
    <w:rsid w:val="006D455A"/>
    <w:rsid w:val="006D456F"/>
    <w:rsid w:val="006D4F60"/>
    <w:rsid w:val="006D5173"/>
    <w:rsid w:val="006D55A5"/>
    <w:rsid w:val="006D574D"/>
    <w:rsid w:val="006D5D2A"/>
    <w:rsid w:val="006D6067"/>
    <w:rsid w:val="006D6273"/>
    <w:rsid w:val="006D659B"/>
    <w:rsid w:val="006D65D0"/>
    <w:rsid w:val="006D669C"/>
    <w:rsid w:val="006D6992"/>
    <w:rsid w:val="006D6FE2"/>
    <w:rsid w:val="006D7A60"/>
    <w:rsid w:val="006D7C0E"/>
    <w:rsid w:val="006D7C45"/>
    <w:rsid w:val="006D7FDD"/>
    <w:rsid w:val="006E006D"/>
    <w:rsid w:val="006E021D"/>
    <w:rsid w:val="006E03A6"/>
    <w:rsid w:val="006E04A8"/>
    <w:rsid w:val="006E0BCF"/>
    <w:rsid w:val="006E0CB9"/>
    <w:rsid w:val="006E0D78"/>
    <w:rsid w:val="006E0E70"/>
    <w:rsid w:val="006E0EB6"/>
    <w:rsid w:val="006E1047"/>
    <w:rsid w:val="006E1210"/>
    <w:rsid w:val="006E152C"/>
    <w:rsid w:val="006E15AC"/>
    <w:rsid w:val="006E163F"/>
    <w:rsid w:val="006E16FF"/>
    <w:rsid w:val="006E1B95"/>
    <w:rsid w:val="006E1F21"/>
    <w:rsid w:val="006E2311"/>
    <w:rsid w:val="006E2496"/>
    <w:rsid w:val="006E277E"/>
    <w:rsid w:val="006E2D55"/>
    <w:rsid w:val="006E2EA3"/>
    <w:rsid w:val="006E328F"/>
    <w:rsid w:val="006E34C0"/>
    <w:rsid w:val="006E3562"/>
    <w:rsid w:val="006E3820"/>
    <w:rsid w:val="006E4178"/>
    <w:rsid w:val="006E429A"/>
    <w:rsid w:val="006E4401"/>
    <w:rsid w:val="006E4617"/>
    <w:rsid w:val="006E49C8"/>
    <w:rsid w:val="006E4D5F"/>
    <w:rsid w:val="006E505D"/>
    <w:rsid w:val="006E5065"/>
    <w:rsid w:val="006E50E6"/>
    <w:rsid w:val="006E54C5"/>
    <w:rsid w:val="006E569A"/>
    <w:rsid w:val="006E5AF0"/>
    <w:rsid w:val="006E5EA8"/>
    <w:rsid w:val="006E5ED1"/>
    <w:rsid w:val="006E60B9"/>
    <w:rsid w:val="006E60D0"/>
    <w:rsid w:val="006E6290"/>
    <w:rsid w:val="006E6397"/>
    <w:rsid w:val="006E67C4"/>
    <w:rsid w:val="006E6A0B"/>
    <w:rsid w:val="006E6A5E"/>
    <w:rsid w:val="006E6B4B"/>
    <w:rsid w:val="006E6E33"/>
    <w:rsid w:val="006E700F"/>
    <w:rsid w:val="006E7140"/>
    <w:rsid w:val="006E77E8"/>
    <w:rsid w:val="006E78B9"/>
    <w:rsid w:val="006E79F0"/>
    <w:rsid w:val="006E7AD3"/>
    <w:rsid w:val="006E7CCB"/>
    <w:rsid w:val="006E7E2E"/>
    <w:rsid w:val="006F01B1"/>
    <w:rsid w:val="006F04C3"/>
    <w:rsid w:val="006F065C"/>
    <w:rsid w:val="006F08DA"/>
    <w:rsid w:val="006F1041"/>
    <w:rsid w:val="006F1283"/>
    <w:rsid w:val="006F138C"/>
    <w:rsid w:val="006F1929"/>
    <w:rsid w:val="006F1A58"/>
    <w:rsid w:val="006F1C26"/>
    <w:rsid w:val="006F1D0B"/>
    <w:rsid w:val="006F24FD"/>
    <w:rsid w:val="006F258C"/>
    <w:rsid w:val="006F2687"/>
    <w:rsid w:val="006F2CF7"/>
    <w:rsid w:val="006F2D2D"/>
    <w:rsid w:val="006F2E70"/>
    <w:rsid w:val="006F2F03"/>
    <w:rsid w:val="006F305F"/>
    <w:rsid w:val="006F36A0"/>
    <w:rsid w:val="006F3B9A"/>
    <w:rsid w:val="006F3C47"/>
    <w:rsid w:val="006F4227"/>
    <w:rsid w:val="006F4302"/>
    <w:rsid w:val="006F4365"/>
    <w:rsid w:val="006F450E"/>
    <w:rsid w:val="006F459D"/>
    <w:rsid w:val="006F4686"/>
    <w:rsid w:val="006F4E75"/>
    <w:rsid w:val="006F5623"/>
    <w:rsid w:val="006F5683"/>
    <w:rsid w:val="006F5B5F"/>
    <w:rsid w:val="006F5E63"/>
    <w:rsid w:val="006F669F"/>
    <w:rsid w:val="006F6931"/>
    <w:rsid w:val="006F6A37"/>
    <w:rsid w:val="006F6F0D"/>
    <w:rsid w:val="006F6F69"/>
    <w:rsid w:val="006F7156"/>
    <w:rsid w:val="006F729A"/>
    <w:rsid w:val="006F7491"/>
    <w:rsid w:val="006F7BC8"/>
    <w:rsid w:val="006F7CB7"/>
    <w:rsid w:val="006F7F1B"/>
    <w:rsid w:val="00700393"/>
    <w:rsid w:val="00700394"/>
    <w:rsid w:val="00700446"/>
    <w:rsid w:val="007005FE"/>
    <w:rsid w:val="00700A27"/>
    <w:rsid w:val="00700BCE"/>
    <w:rsid w:val="00701057"/>
    <w:rsid w:val="007010E2"/>
    <w:rsid w:val="00701161"/>
    <w:rsid w:val="007018D7"/>
    <w:rsid w:val="00701AE7"/>
    <w:rsid w:val="00701DA9"/>
    <w:rsid w:val="00702535"/>
    <w:rsid w:val="00702542"/>
    <w:rsid w:val="007025A3"/>
    <w:rsid w:val="00702888"/>
    <w:rsid w:val="007034F4"/>
    <w:rsid w:val="0070361F"/>
    <w:rsid w:val="00703668"/>
    <w:rsid w:val="00703A05"/>
    <w:rsid w:val="00703A79"/>
    <w:rsid w:val="00703AB2"/>
    <w:rsid w:val="0070413A"/>
    <w:rsid w:val="007041C8"/>
    <w:rsid w:val="0070423B"/>
    <w:rsid w:val="0070435D"/>
    <w:rsid w:val="00704447"/>
    <w:rsid w:val="007044E5"/>
    <w:rsid w:val="007046A6"/>
    <w:rsid w:val="007048E6"/>
    <w:rsid w:val="00704B0B"/>
    <w:rsid w:val="00704B5C"/>
    <w:rsid w:val="00704CEC"/>
    <w:rsid w:val="00704F18"/>
    <w:rsid w:val="0070512D"/>
    <w:rsid w:val="0070513A"/>
    <w:rsid w:val="00705415"/>
    <w:rsid w:val="00705774"/>
    <w:rsid w:val="007060EC"/>
    <w:rsid w:val="00706A35"/>
    <w:rsid w:val="00706BAD"/>
    <w:rsid w:val="00707184"/>
    <w:rsid w:val="007071FC"/>
    <w:rsid w:val="00707294"/>
    <w:rsid w:val="0070755A"/>
    <w:rsid w:val="007077E0"/>
    <w:rsid w:val="007079EF"/>
    <w:rsid w:val="00707B0B"/>
    <w:rsid w:val="00707C25"/>
    <w:rsid w:val="00707FC9"/>
    <w:rsid w:val="0071000F"/>
    <w:rsid w:val="007100E2"/>
    <w:rsid w:val="00710832"/>
    <w:rsid w:val="00710844"/>
    <w:rsid w:val="007108D1"/>
    <w:rsid w:val="00710D77"/>
    <w:rsid w:val="00711197"/>
    <w:rsid w:val="00711470"/>
    <w:rsid w:val="00711689"/>
    <w:rsid w:val="007118C1"/>
    <w:rsid w:val="007119D8"/>
    <w:rsid w:val="00711A18"/>
    <w:rsid w:val="00711B4D"/>
    <w:rsid w:val="00711DF6"/>
    <w:rsid w:val="00711F6F"/>
    <w:rsid w:val="0071213B"/>
    <w:rsid w:val="007122D0"/>
    <w:rsid w:val="00712431"/>
    <w:rsid w:val="00712A4A"/>
    <w:rsid w:val="00712E0D"/>
    <w:rsid w:val="007131F9"/>
    <w:rsid w:val="00713686"/>
    <w:rsid w:val="007136B7"/>
    <w:rsid w:val="0071395E"/>
    <w:rsid w:val="00713C52"/>
    <w:rsid w:val="00713EF0"/>
    <w:rsid w:val="00713F16"/>
    <w:rsid w:val="00714078"/>
    <w:rsid w:val="007140CB"/>
    <w:rsid w:val="007143E4"/>
    <w:rsid w:val="00714551"/>
    <w:rsid w:val="00714C78"/>
    <w:rsid w:val="00715135"/>
    <w:rsid w:val="00715379"/>
    <w:rsid w:val="00715384"/>
    <w:rsid w:val="007161C3"/>
    <w:rsid w:val="00716216"/>
    <w:rsid w:val="00716257"/>
    <w:rsid w:val="0071637F"/>
    <w:rsid w:val="007165A0"/>
    <w:rsid w:val="00716A6F"/>
    <w:rsid w:val="00716B51"/>
    <w:rsid w:val="00716C0A"/>
    <w:rsid w:val="00716EBD"/>
    <w:rsid w:val="007172B4"/>
    <w:rsid w:val="007176B3"/>
    <w:rsid w:val="00720159"/>
    <w:rsid w:val="007201B1"/>
    <w:rsid w:val="00720277"/>
    <w:rsid w:val="00720340"/>
    <w:rsid w:val="007203A6"/>
    <w:rsid w:val="00720876"/>
    <w:rsid w:val="00720C09"/>
    <w:rsid w:val="00720CF9"/>
    <w:rsid w:val="00720DB7"/>
    <w:rsid w:val="007212BE"/>
    <w:rsid w:val="007214CC"/>
    <w:rsid w:val="00721532"/>
    <w:rsid w:val="00721AA5"/>
    <w:rsid w:val="00721CDA"/>
    <w:rsid w:val="00722B87"/>
    <w:rsid w:val="00723350"/>
    <w:rsid w:val="007236AE"/>
    <w:rsid w:val="007236F0"/>
    <w:rsid w:val="00723EB3"/>
    <w:rsid w:val="007242CA"/>
    <w:rsid w:val="0072464B"/>
    <w:rsid w:val="00724779"/>
    <w:rsid w:val="00724983"/>
    <w:rsid w:val="00724C19"/>
    <w:rsid w:val="00725F55"/>
    <w:rsid w:val="007261B2"/>
    <w:rsid w:val="007263C3"/>
    <w:rsid w:val="00726515"/>
    <w:rsid w:val="00726CA1"/>
    <w:rsid w:val="00726DDC"/>
    <w:rsid w:val="00727607"/>
    <w:rsid w:val="0072772F"/>
    <w:rsid w:val="00727CB9"/>
    <w:rsid w:val="00727D38"/>
    <w:rsid w:val="00727D8E"/>
    <w:rsid w:val="007301DF"/>
    <w:rsid w:val="00730894"/>
    <w:rsid w:val="007308CD"/>
    <w:rsid w:val="00730911"/>
    <w:rsid w:val="00730C7A"/>
    <w:rsid w:val="0073118F"/>
    <w:rsid w:val="00731674"/>
    <w:rsid w:val="00731C5A"/>
    <w:rsid w:val="00731F25"/>
    <w:rsid w:val="00731FFE"/>
    <w:rsid w:val="00732351"/>
    <w:rsid w:val="007331E8"/>
    <w:rsid w:val="0073354A"/>
    <w:rsid w:val="00733941"/>
    <w:rsid w:val="00733DB8"/>
    <w:rsid w:val="00733F01"/>
    <w:rsid w:val="00734011"/>
    <w:rsid w:val="00734573"/>
    <w:rsid w:val="00734EB2"/>
    <w:rsid w:val="00734ECE"/>
    <w:rsid w:val="00734EFE"/>
    <w:rsid w:val="007350F6"/>
    <w:rsid w:val="00735468"/>
    <w:rsid w:val="007356AA"/>
    <w:rsid w:val="00735727"/>
    <w:rsid w:val="0073591D"/>
    <w:rsid w:val="00735E3B"/>
    <w:rsid w:val="00736F9E"/>
    <w:rsid w:val="00737362"/>
    <w:rsid w:val="0073743B"/>
    <w:rsid w:val="00737543"/>
    <w:rsid w:val="00737D4E"/>
    <w:rsid w:val="007400F6"/>
    <w:rsid w:val="00740369"/>
    <w:rsid w:val="0074042B"/>
    <w:rsid w:val="007405FD"/>
    <w:rsid w:val="00740640"/>
    <w:rsid w:val="00740F40"/>
    <w:rsid w:val="00740F4B"/>
    <w:rsid w:val="007410AA"/>
    <w:rsid w:val="00741176"/>
    <w:rsid w:val="007415D5"/>
    <w:rsid w:val="007416A8"/>
    <w:rsid w:val="007418FE"/>
    <w:rsid w:val="00741B48"/>
    <w:rsid w:val="007422E4"/>
    <w:rsid w:val="00742565"/>
    <w:rsid w:val="007427A1"/>
    <w:rsid w:val="007428AF"/>
    <w:rsid w:val="00742D13"/>
    <w:rsid w:val="00742E41"/>
    <w:rsid w:val="00742FAB"/>
    <w:rsid w:val="00743EC4"/>
    <w:rsid w:val="00744493"/>
    <w:rsid w:val="00744555"/>
    <w:rsid w:val="0074468B"/>
    <w:rsid w:val="007449D9"/>
    <w:rsid w:val="00744C31"/>
    <w:rsid w:val="00744E75"/>
    <w:rsid w:val="00744F56"/>
    <w:rsid w:val="00745364"/>
    <w:rsid w:val="00745374"/>
    <w:rsid w:val="00745565"/>
    <w:rsid w:val="00745843"/>
    <w:rsid w:val="00745A51"/>
    <w:rsid w:val="00745E07"/>
    <w:rsid w:val="0074615F"/>
    <w:rsid w:val="0074685C"/>
    <w:rsid w:val="00746974"/>
    <w:rsid w:val="00746FEA"/>
    <w:rsid w:val="0074751E"/>
    <w:rsid w:val="00747533"/>
    <w:rsid w:val="00747962"/>
    <w:rsid w:val="00747C9D"/>
    <w:rsid w:val="0075008B"/>
    <w:rsid w:val="00750445"/>
    <w:rsid w:val="00750999"/>
    <w:rsid w:val="007513FC"/>
    <w:rsid w:val="007514CB"/>
    <w:rsid w:val="0075151D"/>
    <w:rsid w:val="00751A06"/>
    <w:rsid w:val="00751A96"/>
    <w:rsid w:val="00751D2F"/>
    <w:rsid w:val="00751E32"/>
    <w:rsid w:val="00752019"/>
    <w:rsid w:val="00752C99"/>
    <w:rsid w:val="00753141"/>
    <w:rsid w:val="007531F1"/>
    <w:rsid w:val="00753B09"/>
    <w:rsid w:val="00753F70"/>
    <w:rsid w:val="0075405E"/>
    <w:rsid w:val="00754531"/>
    <w:rsid w:val="0075460A"/>
    <w:rsid w:val="00754990"/>
    <w:rsid w:val="00754D3E"/>
    <w:rsid w:val="00754D98"/>
    <w:rsid w:val="00754E01"/>
    <w:rsid w:val="00754F1D"/>
    <w:rsid w:val="00755916"/>
    <w:rsid w:val="00755961"/>
    <w:rsid w:val="00755C3E"/>
    <w:rsid w:val="00755D76"/>
    <w:rsid w:val="00756166"/>
    <w:rsid w:val="0075630F"/>
    <w:rsid w:val="007563A4"/>
    <w:rsid w:val="0075658B"/>
    <w:rsid w:val="007566AA"/>
    <w:rsid w:val="00756824"/>
    <w:rsid w:val="00756931"/>
    <w:rsid w:val="007569E5"/>
    <w:rsid w:val="00756AA0"/>
    <w:rsid w:val="00756E1F"/>
    <w:rsid w:val="0075747D"/>
    <w:rsid w:val="007574B0"/>
    <w:rsid w:val="00760994"/>
    <w:rsid w:val="00761226"/>
    <w:rsid w:val="00761439"/>
    <w:rsid w:val="00761CAB"/>
    <w:rsid w:val="00761D8C"/>
    <w:rsid w:val="00761DFC"/>
    <w:rsid w:val="00761FC8"/>
    <w:rsid w:val="00762155"/>
    <w:rsid w:val="007627F5"/>
    <w:rsid w:val="0076284E"/>
    <w:rsid w:val="00762C0C"/>
    <w:rsid w:val="00762DA2"/>
    <w:rsid w:val="00762E16"/>
    <w:rsid w:val="007630F6"/>
    <w:rsid w:val="007638C3"/>
    <w:rsid w:val="007639CA"/>
    <w:rsid w:val="007639DF"/>
    <w:rsid w:val="00764329"/>
    <w:rsid w:val="007646D2"/>
    <w:rsid w:val="007648E9"/>
    <w:rsid w:val="00764A08"/>
    <w:rsid w:val="00764B63"/>
    <w:rsid w:val="00764BF3"/>
    <w:rsid w:val="00764CE9"/>
    <w:rsid w:val="00765660"/>
    <w:rsid w:val="00765D44"/>
    <w:rsid w:val="00765D55"/>
    <w:rsid w:val="00765F50"/>
    <w:rsid w:val="00765FB5"/>
    <w:rsid w:val="00766014"/>
    <w:rsid w:val="0076601B"/>
    <w:rsid w:val="00766606"/>
    <w:rsid w:val="00766950"/>
    <w:rsid w:val="00766C53"/>
    <w:rsid w:val="00766CCB"/>
    <w:rsid w:val="00766FAB"/>
    <w:rsid w:val="00766FEC"/>
    <w:rsid w:val="0076720F"/>
    <w:rsid w:val="0076778B"/>
    <w:rsid w:val="0076792A"/>
    <w:rsid w:val="00767A52"/>
    <w:rsid w:val="00767B5B"/>
    <w:rsid w:val="00767F87"/>
    <w:rsid w:val="007709C2"/>
    <w:rsid w:val="00770DC2"/>
    <w:rsid w:val="00770F71"/>
    <w:rsid w:val="00770FD1"/>
    <w:rsid w:val="0077131A"/>
    <w:rsid w:val="00771454"/>
    <w:rsid w:val="007716BF"/>
    <w:rsid w:val="00771756"/>
    <w:rsid w:val="007717EA"/>
    <w:rsid w:val="007724DF"/>
    <w:rsid w:val="00772B77"/>
    <w:rsid w:val="00772E67"/>
    <w:rsid w:val="007733A7"/>
    <w:rsid w:val="0077352B"/>
    <w:rsid w:val="007736E3"/>
    <w:rsid w:val="00773E87"/>
    <w:rsid w:val="00773F7B"/>
    <w:rsid w:val="00774113"/>
    <w:rsid w:val="0077418B"/>
    <w:rsid w:val="007743DB"/>
    <w:rsid w:val="0077481C"/>
    <w:rsid w:val="007748EC"/>
    <w:rsid w:val="00775A26"/>
    <w:rsid w:val="00776092"/>
    <w:rsid w:val="007761EB"/>
    <w:rsid w:val="00776201"/>
    <w:rsid w:val="00776237"/>
    <w:rsid w:val="00776331"/>
    <w:rsid w:val="0077655F"/>
    <w:rsid w:val="00776777"/>
    <w:rsid w:val="00776D6E"/>
    <w:rsid w:val="007771D9"/>
    <w:rsid w:val="007772CC"/>
    <w:rsid w:val="0077738B"/>
    <w:rsid w:val="007774C4"/>
    <w:rsid w:val="007777E1"/>
    <w:rsid w:val="00777842"/>
    <w:rsid w:val="00777D5A"/>
    <w:rsid w:val="00777DB1"/>
    <w:rsid w:val="00780685"/>
    <w:rsid w:val="00780A9C"/>
    <w:rsid w:val="00780BDD"/>
    <w:rsid w:val="00780DEE"/>
    <w:rsid w:val="00780FD4"/>
    <w:rsid w:val="00781691"/>
    <w:rsid w:val="00781B83"/>
    <w:rsid w:val="00781CDC"/>
    <w:rsid w:val="00781E39"/>
    <w:rsid w:val="007822AD"/>
    <w:rsid w:val="00782FFB"/>
    <w:rsid w:val="00783178"/>
    <w:rsid w:val="0078331F"/>
    <w:rsid w:val="0078351D"/>
    <w:rsid w:val="007835FD"/>
    <w:rsid w:val="00783607"/>
    <w:rsid w:val="00783896"/>
    <w:rsid w:val="007839F9"/>
    <w:rsid w:val="00783C0F"/>
    <w:rsid w:val="00783C3E"/>
    <w:rsid w:val="00783DF7"/>
    <w:rsid w:val="007840E2"/>
    <w:rsid w:val="00784773"/>
    <w:rsid w:val="00784A69"/>
    <w:rsid w:val="00784E8E"/>
    <w:rsid w:val="00785020"/>
    <w:rsid w:val="0078502D"/>
    <w:rsid w:val="0078510A"/>
    <w:rsid w:val="00785165"/>
    <w:rsid w:val="0078518F"/>
    <w:rsid w:val="0078589C"/>
    <w:rsid w:val="00785A42"/>
    <w:rsid w:val="00785A53"/>
    <w:rsid w:val="00785A74"/>
    <w:rsid w:val="0078637E"/>
    <w:rsid w:val="007864A3"/>
    <w:rsid w:val="00786937"/>
    <w:rsid w:val="00786A36"/>
    <w:rsid w:val="00786B89"/>
    <w:rsid w:val="00786D70"/>
    <w:rsid w:val="00786E58"/>
    <w:rsid w:val="00787189"/>
    <w:rsid w:val="007877DE"/>
    <w:rsid w:val="00787A08"/>
    <w:rsid w:val="00787A5D"/>
    <w:rsid w:val="00787B32"/>
    <w:rsid w:val="0079008A"/>
    <w:rsid w:val="0079023C"/>
    <w:rsid w:val="007903AE"/>
    <w:rsid w:val="0079057F"/>
    <w:rsid w:val="007906C8"/>
    <w:rsid w:val="00790F71"/>
    <w:rsid w:val="007910C2"/>
    <w:rsid w:val="00791280"/>
    <w:rsid w:val="007913A7"/>
    <w:rsid w:val="007914F7"/>
    <w:rsid w:val="007915D1"/>
    <w:rsid w:val="00791836"/>
    <w:rsid w:val="00791D36"/>
    <w:rsid w:val="00791EED"/>
    <w:rsid w:val="007924DC"/>
    <w:rsid w:val="0079258F"/>
    <w:rsid w:val="007927CC"/>
    <w:rsid w:val="0079295F"/>
    <w:rsid w:val="00792AC3"/>
    <w:rsid w:val="00793AC3"/>
    <w:rsid w:val="00794001"/>
    <w:rsid w:val="007947E1"/>
    <w:rsid w:val="00794BA2"/>
    <w:rsid w:val="00794D12"/>
    <w:rsid w:val="00794FDB"/>
    <w:rsid w:val="007955E2"/>
    <w:rsid w:val="00795AB3"/>
    <w:rsid w:val="00795AEA"/>
    <w:rsid w:val="00795B32"/>
    <w:rsid w:val="00795BB2"/>
    <w:rsid w:val="00795BF8"/>
    <w:rsid w:val="00796207"/>
    <w:rsid w:val="0079670B"/>
    <w:rsid w:val="00797213"/>
    <w:rsid w:val="007973F6"/>
    <w:rsid w:val="0079772E"/>
    <w:rsid w:val="0079776C"/>
    <w:rsid w:val="00797789"/>
    <w:rsid w:val="00797CDE"/>
    <w:rsid w:val="00797FC7"/>
    <w:rsid w:val="007A0068"/>
    <w:rsid w:val="007A0085"/>
    <w:rsid w:val="007A0392"/>
    <w:rsid w:val="007A04F4"/>
    <w:rsid w:val="007A0B02"/>
    <w:rsid w:val="007A0D0F"/>
    <w:rsid w:val="007A0FF0"/>
    <w:rsid w:val="007A155F"/>
    <w:rsid w:val="007A1C6E"/>
    <w:rsid w:val="007A1DAB"/>
    <w:rsid w:val="007A1DE6"/>
    <w:rsid w:val="007A20BD"/>
    <w:rsid w:val="007A21E3"/>
    <w:rsid w:val="007A22D9"/>
    <w:rsid w:val="007A2341"/>
    <w:rsid w:val="007A259A"/>
    <w:rsid w:val="007A2B96"/>
    <w:rsid w:val="007A2EA6"/>
    <w:rsid w:val="007A315D"/>
    <w:rsid w:val="007A34D4"/>
    <w:rsid w:val="007A391A"/>
    <w:rsid w:val="007A3C14"/>
    <w:rsid w:val="007A3C29"/>
    <w:rsid w:val="007A40FA"/>
    <w:rsid w:val="007A4161"/>
    <w:rsid w:val="007A4A4E"/>
    <w:rsid w:val="007A4DD5"/>
    <w:rsid w:val="007A50B8"/>
    <w:rsid w:val="007A5114"/>
    <w:rsid w:val="007A5173"/>
    <w:rsid w:val="007A519C"/>
    <w:rsid w:val="007A532F"/>
    <w:rsid w:val="007A559E"/>
    <w:rsid w:val="007A6124"/>
    <w:rsid w:val="007A615D"/>
    <w:rsid w:val="007A61A1"/>
    <w:rsid w:val="007A622E"/>
    <w:rsid w:val="007A66F4"/>
    <w:rsid w:val="007A6C66"/>
    <w:rsid w:val="007A6D11"/>
    <w:rsid w:val="007A6E7B"/>
    <w:rsid w:val="007A6EF7"/>
    <w:rsid w:val="007A7106"/>
    <w:rsid w:val="007A7156"/>
    <w:rsid w:val="007A71CD"/>
    <w:rsid w:val="007A731D"/>
    <w:rsid w:val="007A73DC"/>
    <w:rsid w:val="007A7436"/>
    <w:rsid w:val="007A7555"/>
    <w:rsid w:val="007A7960"/>
    <w:rsid w:val="007A7DD8"/>
    <w:rsid w:val="007B0448"/>
    <w:rsid w:val="007B0482"/>
    <w:rsid w:val="007B0527"/>
    <w:rsid w:val="007B094F"/>
    <w:rsid w:val="007B0ABF"/>
    <w:rsid w:val="007B135A"/>
    <w:rsid w:val="007B139D"/>
    <w:rsid w:val="007B162D"/>
    <w:rsid w:val="007B16A5"/>
    <w:rsid w:val="007B1A8F"/>
    <w:rsid w:val="007B1DC8"/>
    <w:rsid w:val="007B217A"/>
    <w:rsid w:val="007B25A2"/>
    <w:rsid w:val="007B2812"/>
    <w:rsid w:val="007B2BF6"/>
    <w:rsid w:val="007B2C4F"/>
    <w:rsid w:val="007B2FEE"/>
    <w:rsid w:val="007B32E8"/>
    <w:rsid w:val="007B378B"/>
    <w:rsid w:val="007B3B1A"/>
    <w:rsid w:val="007B3B3C"/>
    <w:rsid w:val="007B3F87"/>
    <w:rsid w:val="007B4014"/>
    <w:rsid w:val="007B41F6"/>
    <w:rsid w:val="007B4370"/>
    <w:rsid w:val="007B445F"/>
    <w:rsid w:val="007B46BB"/>
    <w:rsid w:val="007B4B4F"/>
    <w:rsid w:val="007B4FB9"/>
    <w:rsid w:val="007B5518"/>
    <w:rsid w:val="007B5729"/>
    <w:rsid w:val="007B592B"/>
    <w:rsid w:val="007B5970"/>
    <w:rsid w:val="007B5BCF"/>
    <w:rsid w:val="007B5C5E"/>
    <w:rsid w:val="007B631E"/>
    <w:rsid w:val="007B67D6"/>
    <w:rsid w:val="007B6A0A"/>
    <w:rsid w:val="007B6A3B"/>
    <w:rsid w:val="007B6D02"/>
    <w:rsid w:val="007B6E94"/>
    <w:rsid w:val="007B7366"/>
    <w:rsid w:val="007B74BB"/>
    <w:rsid w:val="007B74E0"/>
    <w:rsid w:val="007B7AB0"/>
    <w:rsid w:val="007B7AD7"/>
    <w:rsid w:val="007B7B13"/>
    <w:rsid w:val="007B7BCB"/>
    <w:rsid w:val="007B7EDF"/>
    <w:rsid w:val="007C0437"/>
    <w:rsid w:val="007C091A"/>
    <w:rsid w:val="007C0E29"/>
    <w:rsid w:val="007C0F1E"/>
    <w:rsid w:val="007C1130"/>
    <w:rsid w:val="007C1643"/>
    <w:rsid w:val="007C1751"/>
    <w:rsid w:val="007C1A0B"/>
    <w:rsid w:val="007C1B18"/>
    <w:rsid w:val="007C26BC"/>
    <w:rsid w:val="007C28FD"/>
    <w:rsid w:val="007C2CDD"/>
    <w:rsid w:val="007C2DBB"/>
    <w:rsid w:val="007C2ED7"/>
    <w:rsid w:val="007C33AB"/>
    <w:rsid w:val="007C354F"/>
    <w:rsid w:val="007C3682"/>
    <w:rsid w:val="007C36B2"/>
    <w:rsid w:val="007C3716"/>
    <w:rsid w:val="007C37CF"/>
    <w:rsid w:val="007C3A98"/>
    <w:rsid w:val="007C3BA3"/>
    <w:rsid w:val="007C4243"/>
    <w:rsid w:val="007C435B"/>
    <w:rsid w:val="007C4938"/>
    <w:rsid w:val="007C49AB"/>
    <w:rsid w:val="007C4BBB"/>
    <w:rsid w:val="007C4F0E"/>
    <w:rsid w:val="007C5163"/>
    <w:rsid w:val="007C56B1"/>
    <w:rsid w:val="007C5F86"/>
    <w:rsid w:val="007C6003"/>
    <w:rsid w:val="007C66AE"/>
    <w:rsid w:val="007C6B7C"/>
    <w:rsid w:val="007C6BB0"/>
    <w:rsid w:val="007C6DDD"/>
    <w:rsid w:val="007C6E50"/>
    <w:rsid w:val="007C6E84"/>
    <w:rsid w:val="007C724A"/>
    <w:rsid w:val="007C754D"/>
    <w:rsid w:val="007C75DB"/>
    <w:rsid w:val="007C76DA"/>
    <w:rsid w:val="007C7922"/>
    <w:rsid w:val="007C7978"/>
    <w:rsid w:val="007C79DF"/>
    <w:rsid w:val="007C7B63"/>
    <w:rsid w:val="007D01C4"/>
    <w:rsid w:val="007D0235"/>
    <w:rsid w:val="007D02A1"/>
    <w:rsid w:val="007D0B01"/>
    <w:rsid w:val="007D0BE2"/>
    <w:rsid w:val="007D0DE3"/>
    <w:rsid w:val="007D0EE3"/>
    <w:rsid w:val="007D114D"/>
    <w:rsid w:val="007D127C"/>
    <w:rsid w:val="007D139F"/>
    <w:rsid w:val="007D24A5"/>
    <w:rsid w:val="007D2548"/>
    <w:rsid w:val="007D255B"/>
    <w:rsid w:val="007D2B25"/>
    <w:rsid w:val="007D2D76"/>
    <w:rsid w:val="007D2D81"/>
    <w:rsid w:val="007D31C6"/>
    <w:rsid w:val="007D3AD9"/>
    <w:rsid w:val="007D481F"/>
    <w:rsid w:val="007D4CD2"/>
    <w:rsid w:val="007D568C"/>
    <w:rsid w:val="007D57ED"/>
    <w:rsid w:val="007D61D3"/>
    <w:rsid w:val="007D661A"/>
    <w:rsid w:val="007D6630"/>
    <w:rsid w:val="007D6FFC"/>
    <w:rsid w:val="007D71D8"/>
    <w:rsid w:val="007D738E"/>
    <w:rsid w:val="007D746C"/>
    <w:rsid w:val="007D763E"/>
    <w:rsid w:val="007D7A19"/>
    <w:rsid w:val="007E012C"/>
    <w:rsid w:val="007E0648"/>
    <w:rsid w:val="007E0E0D"/>
    <w:rsid w:val="007E0F24"/>
    <w:rsid w:val="007E104E"/>
    <w:rsid w:val="007E1130"/>
    <w:rsid w:val="007E123A"/>
    <w:rsid w:val="007E1292"/>
    <w:rsid w:val="007E153C"/>
    <w:rsid w:val="007E2268"/>
    <w:rsid w:val="007E25E5"/>
    <w:rsid w:val="007E2709"/>
    <w:rsid w:val="007E28C5"/>
    <w:rsid w:val="007E28D9"/>
    <w:rsid w:val="007E2951"/>
    <w:rsid w:val="007E2E38"/>
    <w:rsid w:val="007E2E46"/>
    <w:rsid w:val="007E30BB"/>
    <w:rsid w:val="007E3168"/>
    <w:rsid w:val="007E3688"/>
    <w:rsid w:val="007E3D35"/>
    <w:rsid w:val="007E41E7"/>
    <w:rsid w:val="007E4233"/>
    <w:rsid w:val="007E44F7"/>
    <w:rsid w:val="007E475F"/>
    <w:rsid w:val="007E4A02"/>
    <w:rsid w:val="007E4A63"/>
    <w:rsid w:val="007E4CAD"/>
    <w:rsid w:val="007E510D"/>
    <w:rsid w:val="007E51B6"/>
    <w:rsid w:val="007E5398"/>
    <w:rsid w:val="007E55E7"/>
    <w:rsid w:val="007E5B5C"/>
    <w:rsid w:val="007E5F88"/>
    <w:rsid w:val="007E62E3"/>
    <w:rsid w:val="007E6554"/>
    <w:rsid w:val="007E6768"/>
    <w:rsid w:val="007E6B89"/>
    <w:rsid w:val="007E6C52"/>
    <w:rsid w:val="007E745E"/>
    <w:rsid w:val="007E7679"/>
    <w:rsid w:val="007E78A7"/>
    <w:rsid w:val="007F02A2"/>
    <w:rsid w:val="007F063E"/>
    <w:rsid w:val="007F0650"/>
    <w:rsid w:val="007F074A"/>
    <w:rsid w:val="007F08A3"/>
    <w:rsid w:val="007F0F8E"/>
    <w:rsid w:val="007F1416"/>
    <w:rsid w:val="007F1445"/>
    <w:rsid w:val="007F1524"/>
    <w:rsid w:val="007F1890"/>
    <w:rsid w:val="007F1DB1"/>
    <w:rsid w:val="007F1E89"/>
    <w:rsid w:val="007F20B9"/>
    <w:rsid w:val="007F2221"/>
    <w:rsid w:val="007F26F8"/>
    <w:rsid w:val="007F28F0"/>
    <w:rsid w:val="007F2D2B"/>
    <w:rsid w:val="007F2D8D"/>
    <w:rsid w:val="007F33F1"/>
    <w:rsid w:val="007F361A"/>
    <w:rsid w:val="007F3B52"/>
    <w:rsid w:val="007F3B75"/>
    <w:rsid w:val="007F40C9"/>
    <w:rsid w:val="007F452A"/>
    <w:rsid w:val="007F471E"/>
    <w:rsid w:val="007F51C5"/>
    <w:rsid w:val="007F5411"/>
    <w:rsid w:val="007F5901"/>
    <w:rsid w:val="007F5B73"/>
    <w:rsid w:val="007F5DFD"/>
    <w:rsid w:val="007F6B9E"/>
    <w:rsid w:val="007F6D11"/>
    <w:rsid w:val="007F6DD2"/>
    <w:rsid w:val="007F6E1D"/>
    <w:rsid w:val="007F6EF6"/>
    <w:rsid w:val="007F6FFF"/>
    <w:rsid w:val="007F7181"/>
    <w:rsid w:val="007F739E"/>
    <w:rsid w:val="007F740E"/>
    <w:rsid w:val="007F7930"/>
    <w:rsid w:val="007F7B4C"/>
    <w:rsid w:val="007F7BEC"/>
    <w:rsid w:val="007F7D40"/>
    <w:rsid w:val="007F7DCE"/>
    <w:rsid w:val="007F7E3C"/>
    <w:rsid w:val="008001D1"/>
    <w:rsid w:val="008002B7"/>
    <w:rsid w:val="0080059D"/>
    <w:rsid w:val="008006A6"/>
    <w:rsid w:val="008007A7"/>
    <w:rsid w:val="008007DE"/>
    <w:rsid w:val="00800950"/>
    <w:rsid w:val="00800BFA"/>
    <w:rsid w:val="00800C1B"/>
    <w:rsid w:val="00801145"/>
    <w:rsid w:val="0080129E"/>
    <w:rsid w:val="0080150F"/>
    <w:rsid w:val="00801B4E"/>
    <w:rsid w:val="00801C9E"/>
    <w:rsid w:val="00801EAC"/>
    <w:rsid w:val="00802162"/>
    <w:rsid w:val="00802348"/>
    <w:rsid w:val="00802AC3"/>
    <w:rsid w:val="00802AFE"/>
    <w:rsid w:val="00802BE7"/>
    <w:rsid w:val="00802CD8"/>
    <w:rsid w:val="00802D39"/>
    <w:rsid w:val="008036F0"/>
    <w:rsid w:val="0080378E"/>
    <w:rsid w:val="00803851"/>
    <w:rsid w:val="00803F88"/>
    <w:rsid w:val="008044F8"/>
    <w:rsid w:val="00805170"/>
    <w:rsid w:val="00805277"/>
    <w:rsid w:val="0080543C"/>
    <w:rsid w:val="0080577A"/>
    <w:rsid w:val="00805DDF"/>
    <w:rsid w:val="00805F35"/>
    <w:rsid w:val="0080609E"/>
    <w:rsid w:val="00806238"/>
    <w:rsid w:val="00806305"/>
    <w:rsid w:val="0080679A"/>
    <w:rsid w:val="008069B7"/>
    <w:rsid w:val="00806A36"/>
    <w:rsid w:val="00806D42"/>
    <w:rsid w:val="008070B3"/>
    <w:rsid w:val="008070F0"/>
    <w:rsid w:val="0080720A"/>
    <w:rsid w:val="00807246"/>
    <w:rsid w:val="00807665"/>
    <w:rsid w:val="00807769"/>
    <w:rsid w:val="0081021B"/>
    <w:rsid w:val="0081074A"/>
    <w:rsid w:val="00810ECD"/>
    <w:rsid w:val="008120C8"/>
    <w:rsid w:val="00812226"/>
    <w:rsid w:val="008123C1"/>
    <w:rsid w:val="00812C60"/>
    <w:rsid w:val="00812F17"/>
    <w:rsid w:val="00813420"/>
    <w:rsid w:val="00813608"/>
    <w:rsid w:val="0081386F"/>
    <w:rsid w:val="00813CFD"/>
    <w:rsid w:val="00813DA4"/>
    <w:rsid w:val="008140E2"/>
    <w:rsid w:val="008144C7"/>
    <w:rsid w:val="00814536"/>
    <w:rsid w:val="0081489C"/>
    <w:rsid w:val="00814C24"/>
    <w:rsid w:val="00814EFA"/>
    <w:rsid w:val="00815579"/>
    <w:rsid w:val="0081586A"/>
    <w:rsid w:val="00815893"/>
    <w:rsid w:val="00815998"/>
    <w:rsid w:val="008159B0"/>
    <w:rsid w:val="00815A71"/>
    <w:rsid w:val="00816291"/>
    <w:rsid w:val="008167C2"/>
    <w:rsid w:val="008167ED"/>
    <w:rsid w:val="00816893"/>
    <w:rsid w:val="00816A21"/>
    <w:rsid w:val="00816F35"/>
    <w:rsid w:val="008170B6"/>
    <w:rsid w:val="00817790"/>
    <w:rsid w:val="00817A33"/>
    <w:rsid w:val="008201FA"/>
    <w:rsid w:val="00820809"/>
    <w:rsid w:val="008209D1"/>
    <w:rsid w:val="00820C28"/>
    <w:rsid w:val="00821450"/>
    <w:rsid w:val="00821574"/>
    <w:rsid w:val="008216D5"/>
    <w:rsid w:val="0082190D"/>
    <w:rsid w:val="00821BBC"/>
    <w:rsid w:val="008220B1"/>
    <w:rsid w:val="008222B0"/>
    <w:rsid w:val="00822631"/>
    <w:rsid w:val="008226EB"/>
    <w:rsid w:val="00822AA7"/>
    <w:rsid w:val="008230A9"/>
    <w:rsid w:val="00823195"/>
    <w:rsid w:val="0082347E"/>
    <w:rsid w:val="008234E2"/>
    <w:rsid w:val="0082361C"/>
    <w:rsid w:val="00823922"/>
    <w:rsid w:val="00823C17"/>
    <w:rsid w:val="00823D71"/>
    <w:rsid w:val="00823F8E"/>
    <w:rsid w:val="008245C2"/>
    <w:rsid w:val="008245E5"/>
    <w:rsid w:val="00824DBA"/>
    <w:rsid w:val="00825028"/>
    <w:rsid w:val="008250B0"/>
    <w:rsid w:val="00826020"/>
    <w:rsid w:val="00826259"/>
    <w:rsid w:val="0082651A"/>
    <w:rsid w:val="00826A25"/>
    <w:rsid w:val="00826E8B"/>
    <w:rsid w:val="0082741F"/>
    <w:rsid w:val="008275A1"/>
    <w:rsid w:val="008275B4"/>
    <w:rsid w:val="008275E9"/>
    <w:rsid w:val="00827A1F"/>
    <w:rsid w:val="00827B80"/>
    <w:rsid w:val="00830301"/>
    <w:rsid w:val="00830F13"/>
    <w:rsid w:val="00830F16"/>
    <w:rsid w:val="008311E6"/>
    <w:rsid w:val="008317EB"/>
    <w:rsid w:val="008318A2"/>
    <w:rsid w:val="008318C0"/>
    <w:rsid w:val="00831CDE"/>
    <w:rsid w:val="00831DE1"/>
    <w:rsid w:val="00832450"/>
    <w:rsid w:val="008325D8"/>
    <w:rsid w:val="00832AF4"/>
    <w:rsid w:val="00832BC9"/>
    <w:rsid w:val="00832C0F"/>
    <w:rsid w:val="0083328D"/>
    <w:rsid w:val="00833627"/>
    <w:rsid w:val="00833702"/>
    <w:rsid w:val="00833C6B"/>
    <w:rsid w:val="008340E9"/>
    <w:rsid w:val="008343F9"/>
    <w:rsid w:val="008344DE"/>
    <w:rsid w:val="008344F3"/>
    <w:rsid w:val="0083477B"/>
    <w:rsid w:val="00834837"/>
    <w:rsid w:val="00834D75"/>
    <w:rsid w:val="00835007"/>
    <w:rsid w:val="0083564D"/>
    <w:rsid w:val="00835CE6"/>
    <w:rsid w:val="00836062"/>
    <w:rsid w:val="008361AE"/>
    <w:rsid w:val="00836589"/>
    <w:rsid w:val="0083667E"/>
    <w:rsid w:val="008367B0"/>
    <w:rsid w:val="00836C45"/>
    <w:rsid w:val="00837530"/>
    <w:rsid w:val="00837532"/>
    <w:rsid w:val="008375BA"/>
    <w:rsid w:val="00837E1C"/>
    <w:rsid w:val="008401DC"/>
    <w:rsid w:val="008402B3"/>
    <w:rsid w:val="00840347"/>
    <w:rsid w:val="008405D8"/>
    <w:rsid w:val="00840948"/>
    <w:rsid w:val="00840D7E"/>
    <w:rsid w:val="00840E66"/>
    <w:rsid w:val="00840FBC"/>
    <w:rsid w:val="0084117C"/>
    <w:rsid w:val="00841746"/>
    <w:rsid w:val="00841953"/>
    <w:rsid w:val="00841BEA"/>
    <w:rsid w:val="00841D0C"/>
    <w:rsid w:val="00841D97"/>
    <w:rsid w:val="00841E38"/>
    <w:rsid w:val="00841F0D"/>
    <w:rsid w:val="00841FDA"/>
    <w:rsid w:val="008422CD"/>
    <w:rsid w:val="00842430"/>
    <w:rsid w:val="008424E9"/>
    <w:rsid w:val="008425FC"/>
    <w:rsid w:val="00842655"/>
    <w:rsid w:val="008428ED"/>
    <w:rsid w:val="00842971"/>
    <w:rsid w:val="00842989"/>
    <w:rsid w:val="00842BF3"/>
    <w:rsid w:val="00842C07"/>
    <w:rsid w:val="0084314A"/>
    <w:rsid w:val="0084319B"/>
    <w:rsid w:val="008431E2"/>
    <w:rsid w:val="008435C1"/>
    <w:rsid w:val="00843713"/>
    <w:rsid w:val="0084383F"/>
    <w:rsid w:val="008438D3"/>
    <w:rsid w:val="008449BD"/>
    <w:rsid w:val="00844B7C"/>
    <w:rsid w:val="00844E8D"/>
    <w:rsid w:val="0084518B"/>
    <w:rsid w:val="00845418"/>
    <w:rsid w:val="00845ACA"/>
    <w:rsid w:val="008463F5"/>
    <w:rsid w:val="008467FE"/>
    <w:rsid w:val="008470C9"/>
    <w:rsid w:val="00847142"/>
    <w:rsid w:val="008476FA"/>
    <w:rsid w:val="00847E30"/>
    <w:rsid w:val="008501C0"/>
    <w:rsid w:val="008501CC"/>
    <w:rsid w:val="00850791"/>
    <w:rsid w:val="00850E3A"/>
    <w:rsid w:val="00850F0F"/>
    <w:rsid w:val="00851159"/>
    <w:rsid w:val="00851288"/>
    <w:rsid w:val="00851862"/>
    <w:rsid w:val="008518FF"/>
    <w:rsid w:val="00851D51"/>
    <w:rsid w:val="008524A6"/>
    <w:rsid w:val="0085259E"/>
    <w:rsid w:val="008525A8"/>
    <w:rsid w:val="008525F7"/>
    <w:rsid w:val="00852FF0"/>
    <w:rsid w:val="00853716"/>
    <w:rsid w:val="0085373B"/>
    <w:rsid w:val="00853D47"/>
    <w:rsid w:val="00854165"/>
    <w:rsid w:val="0085444E"/>
    <w:rsid w:val="00854451"/>
    <w:rsid w:val="008547B2"/>
    <w:rsid w:val="00854E2C"/>
    <w:rsid w:val="00854E8A"/>
    <w:rsid w:val="00855414"/>
    <w:rsid w:val="008554DA"/>
    <w:rsid w:val="0085564D"/>
    <w:rsid w:val="00855ADC"/>
    <w:rsid w:val="00855E6A"/>
    <w:rsid w:val="00855E6E"/>
    <w:rsid w:val="00855F2D"/>
    <w:rsid w:val="00855FAC"/>
    <w:rsid w:val="00856764"/>
    <w:rsid w:val="008568DF"/>
    <w:rsid w:val="00856C1F"/>
    <w:rsid w:val="00856F56"/>
    <w:rsid w:val="008571EC"/>
    <w:rsid w:val="008572FD"/>
    <w:rsid w:val="008575D7"/>
    <w:rsid w:val="008576AE"/>
    <w:rsid w:val="00857AC1"/>
    <w:rsid w:val="008602E9"/>
    <w:rsid w:val="00860321"/>
    <w:rsid w:val="008604FF"/>
    <w:rsid w:val="00860E40"/>
    <w:rsid w:val="00860F04"/>
    <w:rsid w:val="00861416"/>
    <w:rsid w:val="008614CF"/>
    <w:rsid w:val="008618E3"/>
    <w:rsid w:val="008619AC"/>
    <w:rsid w:val="00861C76"/>
    <w:rsid w:val="00861FCA"/>
    <w:rsid w:val="00862425"/>
    <w:rsid w:val="008624F3"/>
    <w:rsid w:val="008627FB"/>
    <w:rsid w:val="00862A16"/>
    <w:rsid w:val="00862F6F"/>
    <w:rsid w:val="0086306F"/>
    <w:rsid w:val="008633E9"/>
    <w:rsid w:val="00863AD3"/>
    <w:rsid w:val="00863BC6"/>
    <w:rsid w:val="00864659"/>
    <w:rsid w:val="0086498D"/>
    <w:rsid w:val="008649D5"/>
    <w:rsid w:val="00864B08"/>
    <w:rsid w:val="00865601"/>
    <w:rsid w:val="00865672"/>
    <w:rsid w:val="008657C3"/>
    <w:rsid w:val="0086593E"/>
    <w:rsid w:val="008660C7"/>
    <w:rsid w:val="008663C0"/>
    <w:rsid w:val="0086663B"/>
    <w:rsid w:val="00866677"/>
    <w:rsid w:val="00866CAB"/>
    <w:rsid w:val="00866FFE"/>
    <w:rsid w:val="00867543"/>
    <w:rsid w:val="00867A81"/>
    <w:rsid w:val="00867B01"/>
    <w:rsid w:val="00867F7A"/>
    <w:rsid w:val="0087034F"/>
    <w:rsid w:val="00870390"/>
    <w:rsid w:val="008707D2"/>
    <w:rsid w:val="00870D03"/>
    <w:rsid w:val="00870E07"/>
    <w:rsid w:val="00870F30"/>
    <w:rsid w:val="008712E3"/>
    <w:rsid w:val="008713DF"/>
    <w:rsid w:val="00871674"/>
    <w:rsid w:val="008716A6"/>
    <w:rsid w:val="008716BD"/>
    <w:rsid w:val="00871988"/>
    <w:rsid w:val="00871AB1"/>
    <w:rsid w:val="00871D20"/>
    <w:rsid w:val="00871E5E"/>
    <w:rsid w:val="00871F1D"/>
    <w:rsid w:val="00871F61"/>
    <w:rsid w:val="00871FEA"/>
    <w:rsid w:val="0087224A"/>
    <w:rsid w:val="008722BC"/>
    <w:rsid w:val="008728FC"/>
    <w:rsid w:val="0087305F"/>
    <w:rsid w:val="008730B1"/>
    <w:rsid w:val="00873267"/>
    <w:rsid w:val="008733BB"/>
    <w:rsid w:val="00873463"/>
    <w:rsid w:val="00873AFA"/>
    <w:rsid w:val="00873C70"/>
    <w:rsid w:val="00873CB9"/>
    <w:rsid w:val="00873DE9"/>
    <w:rsid w:val="00873FA3"/>
    <w:rsid w:val="008740DD"/>
    <w:rsid w:val="008745B1"/>
    <w:rsid w:val="008746FF"/>
    <w:rsid w:val="008747C2"/>
    <w:rsid w:val="00874CED"/>
    <w:rsid w:val="00874E96"/>
    <w:rsid w:val="0087517A"/>
    <w:rsid w:val="00875749"/>
    <w:rsid w:val="008757D7"/>
    <w:rsid w:val="008757DF"/>
    <w:rsid w:val="00875846"/>
    <w:rsid w:val="00875D09"/>
    <w:rsid w:val="00876059"/>
    <w:rsid w:val="008768E6"/>
    <w:rsid w:val="00876E57"/>
    <w:rsid w:val="00876EF0"/>
    <w:rsid w:val="00877700"/>
    <w:rsid w:val="00877B9E"/>
    <w:rsid w:val="00877DC5"/>
    <w:rsid w:val="008806FF"/>
    <w:rsid w:val="008807A3"/>
    <w:rsid w:val="00880A12"/>
    <w:rsid w:val="00881344"/>
    <w:rsid w:val="00881472"/>
    <w:rsid w:val="008816E0"/>
    <w:rsid w:val="0088196C"/>
    <w:rsid w:val="00881DFB"/>
    <w:rsid w:val="00881EC1"/>
    <w:rsid w:val="00881F52"/>
    <w:rsid w:val="00882446"/>
    <w:rsid w:val="008825AA"/>
    <w:rsid w:val="008827E8"/>
    <w:rsid w:val="00882B72"/>
    <w:rsid w:val="00883066"/>
    <w:rsid w:val="00883330"/>
    <w:rsid w:val="00884621"/>
    <w:rsid w:val="00884743"/>
    <w:rsid w:val="00884A02"/>
    <w:rsid w:val="00884BD2"/>
    <w:rsid w:val="00884C4C"/>
    <w:rsid w:val="00884CE3"/>
    <w:rsid w:val="00884EA1"/>
    <w:rsid w:val="00884F40"/>
    <w:rsid w:val="00885907"/>
    <w:rsid w:val="00885C63"/>
    <w:rsid w:val="00885D1A"/>
    <w:rsid w:val="0088661A"/>
    <w:rsid w:val="008866BC"/>
    <w:rsid w:val="008866C4"/>
    <w:rsid w:val="00886935"/>
    <w:rsid w:val="0088698C"/>
    <w:rsid w:val="008869C6"/>
    <w:rsid w:val="008869F1"/>
    <w:rsid w:val="00886EBB"/>
    <w:rsid w:val="0088722C"/>
    <w:rsid w:val="0088742A"/>
    <w:rsid w:val="00887641"/>
    <w:rsid w:val="00887C0B"/>
    <w:rsid w:val="00887DA8"/>
    <w:rsid w:val="00887DB9"/>
    <w:rsid w:val="00887F9B"/>
    <w:rsid w:val="00890725"/>
    <w:rsid w:val="00890B35"/>
    <w:rsid w:val="00890D2F"/>
    <w:rsid w:val="00890ED2"/>
    <w:rsid w:val="00890EDC"/>
    <w:rsid w:val="008911D3"/>
    <w:rsid w:val="008916E3"/>
    <w:rsid w:val="008918AA"/>
    <w:rsid w:val="00891BF9"/>
    <w:rsid w:val="00891CBD"/>
    <w:rsid w:val="00892008"/>
    <w:rsid w:val="008924B1"/>
    <w:rsid w:val="008929EC"/>
    <w:rsid w:val="00892CFC"/>
    <w:rsid w:val="0089337B"/>
    <w:rsid w:val="00893564"/>
    <w:rsid w:val="0089383B"/>
    <w:rsid w:val="00893951"/>
    <w:rsid w:val="00893ED8"/>
    <w:rsid w:val="00893F9B"/>
    <w:rsid w:val="008945D1"/>
    <w:rsid w:val="00894612"/>
    <w:rsid w:val="00894A7B"/>
    <w:rsid w:val="00894AE4"/>
    <w:rsid w:val="00894C0A"/>
    <w:rsid w:val="00894D2B"/>
    <w:rsid w:val="00894E83"/>
    <w:rsid w:val="00894F8D"/>
    <w:rsid w:val="00894FB1"/>
    <w:rsid w:val="00894FE6"/>
    <w:rsid w:val="0089502D"/>
    <w:rsid w:val="00895DFE"/>
    <w:rsid w:val="0089638A"/>
    <w:rsid w:val="00896D37"/>
    <w:rsid w:val="00896D5F"/>
    <w:rsid w:val="00896D68"/>
    <w:rsid w:val="00897698"/>
    <w:rsid w:val="00897729"/>
    <w:rsid w:val="00897DD9"/>
    <w:rsid w:val="008A0043"/>
    <w:rsid w:val="008A026C"/>
    <w:rsid w:val="008A0448"/>
    <w:rsid w:val="008A0C03"/>
    <w:rsid w:val="008A0DAE"/>
    <w:rsid w:val="008A0DFB"/>
    <w:rsid w:val="008A0EE8"/>
    <w:rsid w:val="008A1171"/>
    <w:rsid w:val="008A1B02"/>
    <w:rsid w:val="008A1BDB"/>
    <w:rsid w:val="008A1E53"/>
    <w:rsid w:val="008A2042"/>
    <w:rsid w:val="008A266F"/>
    <w:rsid w:val="008A2675"/>
    <w:rsid w:val="008A2BC9"/>
    <w:rsid w:val="008A2F20"/>
    <w:rsid w:val="008A31CB"/>
    <w:rsid w:val="008A3549"/>
    <w:rsid w:val="008A369C"/>
    <w:rsid w:val="008A387C"/>
    <w:rsid w:val="008A3C61"/>
    <w:rsid w:val="008A3FCE"/>
    <w:rsid w:val="008A4272"/>
    <w:rsid w:val="008A42D3"/>
    <w:rsid w:val="008A46A4"/>
    <w:rsid w:val="008A4C08"/>
    <w:rsid w:val="008A4DF0"/>
    <w:rsid w:val="008A4EC7"/>
    <w:rsid w:val="008A5ABE"/>
    <w:rsid w:val="008A5B5F"/>
    <w:rsid w:val="008A5E37"/>
    <w:rsid w:val="008A6055"/>
    <w:rsid w:val="008A6152"/>
    <w:rsid w:val="008A63B6"/>
    <w:rsid w:val="008A675E"/>
    <w:rsid w:val="008A689B"/>
    <w:rsid w:val="008A6D0E"/>
    <w:rsid w:val="008A6D77"/>
    <w:rsid w:val="008A7177"/>
    <w:rsid w:val="008A74FD"/>
    <w:rsid w:val="008A7AFB"/>
    <w:rsid w:val="008B0101"/>
    <w:rsid w:val="008B064D"/>
    <w:rsid w:val="008B0698"/>
    <w:rsid w:val="008B0CCB"/>
    <w:rsid w:val="008B128C"/>
    <w:rsid w:val="008B13F7"/>
    <w:rsid w:val="008B1441"/>
    <w:rsid w:val="008B19B9"/>
    <w:rsid w:val="008B1C31"/>
    <w:rsid w:val="008B1E69"/>
    <w:rsid w:val="008B27F3"/>
    <w:rsid w:val="008B2875"/>
    <w:rsid w:val="008B2B2E"/>
    <w:rsid w:val="008B35DC"/>
    <w:rsid w:val="008B3C83"/>
    <w:rsid w:val="008B3D53"/>
    <w:rsid w:val="008B43A9"/>
    <w:rsid w:val="008B4586"/>
    <w:rsid w:val="008B4725"/>
    <w:rsid w:val="008B4DE0"/>
    <w:rsid w:val="008B4F56"/>
    <w:rsid w:val="008B5BEE"/>
    <w:rsid w:val="008B5C5B"/>
    <w:rsid w:val="008B6116"/>
    <w:rsid w:val="008B64F2"/>
    <w:rsid w:val="008B6700"/>
    <w:rsid w:val="008B6A65"/>
    <w:rsid w:val="008B6E35"/>
    <w:rsid w:val="008B6EBE"/>
    <w:rsid w:val="008B7D94"/>
    <w:rsid w:val="008C02A9"/>
    <w:rsid w:val="008C08B5"/>
    <w:rsid w:val="008C0B48"/>
    <w:rsid w:val="008C0D07"/>
    <w:rsid w:val="008C1957"/>
    <w:rsid w:val="008C1D3A"/>
    <w:rsid w:val="008C1D48"/>
    <w:rsid w:val="008C2178"/>
    <w:rsid w:val="008C22D5"/>
    <w:rsid w:val="008C28FC"/>
    <w:rsid w:val="008C29E6"/>
    <w:rsid w:val="008C2CCD"/>
    <w:rsid w:val="008C3211"/>
    <w:rsid w:val="008C39B8"/>
    <w:rsid w:val="008C3EB2"/>
    <w:rsid w:val="008C4120"/>
    <w:rsid w:val="008C4345"/>
    <w:rsid w:val="008C4503"/>
    <w:rsid w:val="008C486F"/>
    <w:rsid w:val="008C49A8"/>
    <w:rsid w:val="008C4B70"/>
    <w:rsid w:val="008C4B97"/>
    <w:rsid w:val="008C4CC5"/>
    <w:rsid w:val="008C5204"/>
    <w:rsid w:val="008C5B06"/>
    <w:rsid w:val="008C62A8"/>
    <w:rsid w:val="008C67ED"/>
    <w:rsid w:val="008C7152"/>
    <w:rsid w:val="008C725C"/>
    <w:rsid w:val="008C7346"/>
    <w:rsid w:val="008C73BD"/>
    <w:rsid w:val="008C7695"/>
    <w:rsid w:val="008C76A6"/>
    <w:rsid w:val="008C76D2"/>
    <w:rsid w:val="008C77C8"/>
    <w:rsid w:val="008C796F"/>
    <w:rsid w:val="008C7C39"/>
    <w:rsid w:val="008C7F58"/>
    <w:rsid w:val="008D0055"/>
    <w:rsid w:val="008D0BE2"/>
    <w:rsid w:val="008D0D22"/>
    <w:rsid w:val="008D0D70"/>
    <w:rsid w:val="008D0F60"/>
    <w:rsid w:val="008D1747"/>
    <w:rsid w:val="008D17F0"/>
    <w:rsid w:val="008D18E7"/>
    <w:rsid w:val="008D1C8F"/>
    <w:rsid w:val="008D1D36"/>
    <w:rsid w:val="008D2CF5"/>
    <w:rsid w:val="008D37C8"/>
    <w:rsid w:val="008D3C50"/>
    <w:rsid w:val="008D3ED9"/>
    <w:rsid w:val="008D403E"/>
    <w:rsid w:val="008D42A6"/>
    <w:rsid w:val="008D4376"/>
    <w:rsid w:val="008D47E9"/>
    <w:rsid w:val="008D48BE"/>
    <w:rsid w:val="008D4D6E"/>
    <w:rsid w:val="008D5FF0"/>
    <w:rsid w:val="008D611C"/>
    <w:rsid w:val="008D619E"/>
    <w:rsid w:val="008D64E6"/>
    <w:rsid w:val="008D6551"/>
    <w:rsid w:val="008D6611"/>
    <w:rsid w:val="008D66D1"/>
    <w:rsid w:val="008D706E"/>
    <w:rsid w:val="008D77C9"/>
    <w:rsid w:val="008D78EB"/>
    <w:rsid w:val="008D7C3B"/>
    <w:rsid w:val="008E027F"/>
    <w:rsid w:val="008E030A"/>
    <w:rsid w:val="008E051E"/>
    <w:rsid w:val="008E0528"/>
    <w:rsid w:val="008E0588"/>
    <w:rsid w:val="008E0DBB"/>
    <w:rsid w:val="008E188F"/>
    <w:rsid w:val="008E20FB"/>
    <w:rsid w:val="008E22DE"/>
    <w:rsid w:val="008E25C6"/>
    <w:rsid w:val="008E2631"/>
    <w:rsid w:val="008E26D8"/>
    <w:rsid w:val="008E2C95"/>
    <w:rsid w:val="008E2E85"/>
    <w:rsid w:val="008E357B"/>
    <w:rsid w:val="008E3634"/>
    <w:rsid w:val="008E39A1"/>
    <w:rsid w:val="008E3ABE"/>
    <w:rsid w:val="008E3C93"/>
    <w:rsid w:val="008E3D7E"/>
    <w:rsid w:val="008E3EAC"/>
    <w:rsid w:val="008E3EEA"/>
    <w:rsid w:val="008E3FCD"/>
    <w:rsid w:val="008E47E6"/>
    <w:rsid w:val="008E5884"/>
    <w:rsid w:val="008E5D4D"/>
    <w:rsid w:val="008E634E"/>
    <w:rsid w:val="008E6941"/>
    <w:rsid w:val="008E6A67"/>
    <w:rsid w:val="008E6D91"/>
    <w:rsid w:val="008E6DA4"/>
    <w:rsid w:val="008E6EA3"/>
    <w:rsid w:val="008E7822"/>
    <w:rsid w:val="008E7A21"/>
    <w:rsid w:val="008E7D93"/>
    <w:rsid w:val="008E7DD1"/>
    <w:rsid w:val="008F0091"/>
    <w:rsid w:val="008F0170"/>
    <w:rsid w:val="008F0582"/>
    <w:rsid w:val="008F0739"/>
    <w:rsid w:val="008F087B"/>
    <w:rsid w:val="008F08D8"/>
    <w:rsid w:val="008F0912"/>
    <w:rsid w:val="008F1171"/>
    <w:rsid w:val="008F1479"/>
    <w:rsid w:val="008F17B8"/>
    <w:rsid w:val="008F183A"/>
    <w:rsid w:val="008F1B3E"/>
    <w:rsid w:val="008F1CC0"/>
    <w:rsid w:val="008F1D1C"/>
    <w:rsid w:val="008F1F82"/>
    <w:rsid w:val="008F1FFC"/>
    <w:rsid w:val="008F23B2"/>
    <w:rsid w:val="008F2BF2"/>
    <w:rsid w:val="008F3030"/>
    <w:rsid w:val="008F34BA"/>
    <w:rsid w:val="008F36E4"/>
    <w:rsid w:val="008F3819"/>
    <w:rsid w:val="008F38D3"/>
    <w:rsid w:val="008F397A"/>
    <w:rsid w:val="008F3D0C"/>
    <w:rsid w:val="008F45EE"/>
    <w:rsid w:val="008F4DDD"/>
    <w:rsid w:val="008F4E69"/>
    <w:rsid w:val="008F53B5"/>
    <w:rsid w:val="008F588A"/>
    <w:rsid w:val="008F59A8"/>
    <w:rsid w:val="008F5DC3"/>
    <w:rsid w:val="008F6137"/>
    <w:rsid w:val="008F63DB"/>
    <w:rsid w:val="008F64F5"/>
    <w:rsid w:val="008F6732"/>
    <w:rsid w:val="008F6840"/>
    <w:rsid w:val="008F7067"/>
    <w:rsid w:val="008F72B5"/>
    <w:rsid w:val="008F734B"/>
    <w:rsid w:val="008F76B2"/>
    <w:rsid w:val="008F7C28"/>
    <w:rsid w:val="0090004B"/>
    <w:rsid w:val="00900077"/>
    <w:rsid w:val="00900432"/>
    <w:rsid w:val="00900479"/>
    <w:rsid w:val="0090047B"/>
    <w:rsid w:val="00900ED8"/>
    <w:rsid w:val="0090153B"/>
    <w:rsid w:val="00901AF0"/>
    <w:rsid w:val="00901B13"/>
    <w:rsid w:val="009026BC"/>
    <w:rsid w:val="00902965"/>
    <w:rsid w:val="00902CE0"/>
    <w:rsid w:val="00902EAE"/>
    <w:rsid w:val="009033CC"/>
    <w:rsid w:val="00903492"/>
    <w:rsid w:val="009035C9"/>
    <w:rsid w:val="00903645"/>
    <w:rsid w:val="00903756"/>
    <w:rsid w:val="009039EC"/>
    <w:rsid w:val="00903A3E"/>
    <w:rsid w:val="00903A87"/>
    <w:rsid w:val="00903EBA"/>
    <w:rsid w:val="009044CC"/>
    <w:rsid w:val="0090473E"/>
    <w:rsid w:val="00904757"/>
    <w:rsid w:val="009047DF"/>
    <w:rsid w:val="00904872"/>
    <w:rsid w:val="009057F7"/>
    <w:rsid w:val="0090597B"/>
    <w:rsid w:val="009059F8"/>
    <w:rsid w:val="00905A24"/>
    <w:rsid w:val="00905BBB"/>
    <w:rsid w:val="00905D0F"/>
    <w:rsid w:val="009061F4"/>
    <w:rsid w:val="009062D0"/>
    <w:rsid w:val="009065D7"/>
    <w:rsid w:val="009068E0"/>
    <w:rsid w:val="00906B04"/>
    <w:rsid w:val="00906FCA"/>
    <w:rsid w:val="009071D0"/>
    <w:rsid w:val="00907341"/>
    <w:rsid w:val="00907B2B"/>
    <w:rsid w:val="00907C6E"/>
    <w:rsid w:val="00907D32"/>
    <w:rsid w:val="00907D7A"/>
    <w:rsid w:val="00907E5B"/>
    <w:rsid w:val="00907E6F"/>
    <w:rsid w:val="0091036E"/>
    <w:rsid w:val="009107AD"/>
    <w:rsid w:val="00911A6B"/>
    <w:rsid w:val="00911D4E"/>
    <w:rsid w:val="009125CB"/>
    <w:rsid w:val="009125F6"/>
    <w:rsid w:val="009127BD"/>
    <w:rsid w:val="00912A72"/>
    <w:rsid w:val="00912CAC"/>
    <w:rsid w:val="00912EA5"/>
    <w:rsid w:val="00913620"/>
    <w:rsid w:val="0091411A"/>
    <w:rsid w:val="009141FB"/>
    <w:rsid w:val="009148D4"/>
    <w:rsid w:val="00914C6D"/>
    <w:rsid w:val="00914D0F"/>
    <w:rsid w:val="00914EE5"/>
    <w:rsid w:val="00915102"/>
    <w:rsid w:val="009155A2"/>
    <w:rsid w:val="009155B0"/>
    <w:rsid w:val="009156A4"/>
    <w:rsid w:val="00915890"/>
    <w:rsid w:val="009165F1"/>
    <w:rsid w:val="009166BE"/>
    <w:rsid w:val="00916A16"/>
    <w:rsid w:val="00916F43"/>
    <w:rsid w:val="0091728B"/>
    <w:rsid w:val="009172C7"/>
    <w:rsid w:val="00917C28"/>
    <w:rsid w:val="00917D25"/>
    <w:rsid w:val="00920452"/>
    <w:rsid w:val="0092050E"/>
    <w:rsid w:val="00920974"/>
    <w:rsid w:val="00920FC9"/>
    <w:rsid w:val="00920FCF"/>
    <w:rsid w:val="00921632"/>
    <w:rsid w:val="009217F8"/>
    <w:rsid w:val="00921D08"/>
    <w:rsid w:val="00922170"/>
    <w:rsid w:val="00922326"/>
    <w:rsid w:val="009223B4"/>
    <w:rsid w:val="009224E1"/>
    <w:rsid w:val="009224FC"/>
    <w:rsid w:val="009228E7"/>
    <w:rsid w:val="00922B1B"/>
    <w:rsid w:val="00923234"/>
    <w:rsid w:val="00923258"/>
    <w:rsid w:val="0092378F"/>
    <w:rsid w:val="009237BA"/>
    <w:rsid w:val="00923847"/>
    <w:rsid w:val="00924076"/>
    <w:rsid w:val="0092410F"/>
    <w:rsid w:val="00924190"/>
    <w:rsid w:val="00924562"/>
    <w:rsid w:val="00924D47"/>
    <w:rsid w:val="00924F04"/>
    <w:rsid w:val="0092555D"/>
    <w:rsid w:val="00925928"/>
    <w:rsid w:val="0092595C"/>
    <w:rsid w:val="009259DB"/>
    <w:rsid w:val="00925AA8"/>
    <w:rsid w:val="00925B5F"/>
    <w:rsid w:val="00925C4B"/>
    <w:rsid w:val="009260E1"/>
    <w:rsid w:val="00926418"/>
    <w:rsid w:val="0092648A"/>
    <w:rsid w:val="00926853"/>
    <w:rsid w:val="00926E97"/>
    <w:rsid w:val="00926EAB"/>
    <w:rsid w:val="00927166"/>
    <w:rsid w:val="00927625"/>
    <w:rsid w:val="009279A3"/>
    <w:rsid w:val="00927D8B"/>
    <w:rsid w:val="00927EBA"/>
    <w:rsid w:val="00930059"/>
    <w:rsid w:val="009303B3"/>
    <w:rsid w:val="009306A0"/>
    <w:rsid w:val="0093078D"/>
    <w:rsid w:val="009309BB"/>
    <w:rsid w:val="00930A86"/>
    <w:rsid w:val="00930A95"/>
    <w:rsid w:val="00930B6E"/>
    <w:rsid w:val="00930E0A"/>
    <w:rsid w:val="00931165"/>
    <w:rsid w:val="0093135D"/>
    <w:rsid w:val="00931514"/>
    <w:rsid w:val="00931929"/>
    <w:rsid w:val="009319BE"/>
    <w:rsid w:val="00931A98"/>
    <w:rsid w:val="00931FBD"/>
    <w:rsid w:val="00932174"/>
    <w:rsid w:val="00932536"/>
    <w:rsid w:val="009326E5"/>
    <w:rsid w:val="0093291D"/>
    <w:rsid w:val="009329AA"/>
    <w:rsid w:val="00932D37"/>
    <w:rsid w:val="00932D67"/>
    <w:rsid w:val="00933170"/>
    <w:rsid w:val="0093324D"/>
    <w:rsid w:val="00933649"/>
    <w:rsid w:val="0093381F"/>
    <w:rsid w:val="00933B1E"/>
    <w:rsid w:val="00933C1E"/>
    <w:rsid w:val="0093407D"/>
    <w:rsid w:val="0093426A"/>
    <w:rsid w:val="009342D5"/>
    <w:rsid w:val="009344FF"/>
    <w:rsid w:val="00934B30"/>
    <w:rsid w:val="00934E3A"/>
    <w:rsid w:val="0093543B"/>
    <w:rsid w:val="009355AB"/>
    <w:rsid w:val="00935624"/>
    <w:rsid w:val="00935729"/>
    <w:rsid w:val="00935857"/>
    <w:rsid w:val="00935A20"/>
    <w:rsid w:val="00935B41"/>
    <w:rsid w:val="00935BBF"/>
    <w:rsid w:val="00935C4A"/>
    <w:rsid w:val="00935CEF"/>
    <w:rsid w:val="00935D43"/>
    <w:rsid w:val="0093607C"/>
    <w:rsid w:val="00936513"/>
    <w:rsid w:val="00936C20"/>
    <w:rsid w:val="00936DF0"/>
    <w:rsid w:val="00937034"/>
    <w:rsid w:val="009375FC"/>
    <w:rsid w:val="00937640"/>
    <w:rsid w:val="009377F7"/>
    <w:rsid w:val="0093791B"/>
    <w:rsid w:val="0094055E"/>
    <w:rsid w:val="009405D5"/>
    <w:rsid w:val="009407D0"/>
    <w:rsid w:val="00940C9E"/>
    <w:rsid w:val="00940CD6"/>
    <w:rsid w:val="00940EDE"/>
    <w:rsid w:val="0094126F"/>
    <w:rsid w:val="0094163E"/>
    <w:rsid w:val="00941750"/>
    <w:rsid w:val="00941BA9"/>
    <w:rsid w:val="00941D18"/>
    <w:rsid w:val="00941F81"/>
    <w:rsid w:val="0094220E"/>
    <w:rsid w:val="009425B1"/>
    <w:rsid w:val="009425EF"/>
    <w:rsid w:val="00942F31"/>
    <w:rsid w:val="0094318D"/>
    <w:rsid w:val="009433DA"/>
    <w:rsid w:val="009433DC"/>
    <w:rsid w:val="009435DC"/>
    <w:rsid w:val="00943B6C"/>
    <w:rsid w:val="00943C39"/>
    <w:rsid w:val="00943D76"/>
    <w:rsid w:val="00943E45"/>
    <w:rsid w:val="00943FD8"/>
    <w:rsid w:val="009448D7"/>
    <w:rsid w:val="00944D72"/>
    <w:rsid w:val="00944E6D"/>
    <w:rsid w:val="00945004"/>
    <w:rsid w:val="009455E7"/>
    <w:rsid w:val="0094572E"/>
    <w:rsid w:val="00945F53"/>
    <w:rsid w:val="00945FA3"/>
    <w:rsid w:val="009460E0"/>
    <w:rsid w:val="00946212"/>
    <w:rsid w:val="0094657B"/>
    <w:rsid w:val="00946871"/>
    <w:rsid w:val="00946DE4"/>
    <w:rsid w:val="0094715E"/>
    <w:rsid w:val="009471CF"/>
    <w:rsid w:val="0094731E"/>
    <w:rsid w:val="0094756B"/>
    <w:rsid w:val="0094758F"/>
    <w:rsid w:val="0094782E"/>
    <w:rsid w:val="0095003D"/>
    <w:rsid w:val="00950094"/>
    <w:rsid w:val="009500E4"/>
    <w:rsid w:val="00950108"/>
    <w:rsid w:val="0095035A"/>
    <w:rsid w:val="00950556"/>
    <w:rsid w:val="009507A5"/>
    <w:rsid w:val="00950828"/>
    <w:rsid w:val="009510E8"/>
    <w:rsid w:val="00951458"/>
    <w:rsid w:val="009517A5"/>
    <w:rsid w:val="0095189F"/>
    <w:rsid w:val="00951A10"/>
    <w:rsid w:val="00951CBF"/>
    <w:rsid w:val="00951DC0"/>
    <w:rsid w:val="00951FC7"/>
    <w:rsid w:val="0095254D"/>
    <w:rsid w:val="0095258C"/>
    <w:rsid w:val="009526E8"/>
    <w:rsid w:val="00952C44"/>
    <w:rsid w:val="00952F14"/>
    <w:rsid w:val="00952F7F"/>
    <w:rsid w:val="00953CF3"/>
    <w:rsid w:val="0095400C"/>
    <w:rsid w:val="0095412E"/>
    <w:rsid w:val="00954383"/>
    <w:rsid w:val="009545FC"/>
    <w:rsid w:val="00954627"/>
    <w:rsid w:val="00954702"/>
    <w:rsid w:val="00954C1D"/>
    <w:rsid w:val="00954D79"/>
    <w:rsid w:val="00954EEA"/>
    <w:rsid w:val="00954F27"/>
    <w:rsid w:val="00955021"/>
    <w:rsid w:val="0095576E"/>
    <w:rsid w:val="00956314"/>
    <w:rsid w:val="00956A6B"/>
    <w:rsid w:val="00956C1B"/>
    <w:rsid w:val="00956D42"/>
    <w:rsid w:val="00956E2D"/>
    <w:rsid w:val="0095719C"/>
    <w:rsid w:val="009573F8"/>
    <w:rsid w:val="00957422"/>
    <w:rsid w:val="00957782"/>
    <w:rsid w:val="00957817"/>
    <w:rsid w:val="00957A48"/>
    <w:rsid w:val="00957ACD"/>
    <w:rsid w:val="00957F85"/>
    <w:rsid w:val="00957FC8"/>
    <w:rsid w:val="0096095E"/>
    <w:rsid w:val="0096097E"/>
    <w:rsid w:val="00960CE1"/>
    <w:rsid w:val="009613B1"/>
    <w:rsid w:val="00961578"/>
    <w:rsid w:val="00961C2E"/>
    <w:rsid w:val="00961CC6"/>
    <w:rsid w:val="00961D54"/>
    <w:rsid w:val="00961DCE"/>
    <w:rsid w:val="009620CB"/>
    <w:rsid w:val="00962157"/>
    <w:rsid w:val="00962174"/>
    <w:rsid w:val="009626ED"/>
    <w:rsid w:val="00962983"/>
    <w:rsid w:val="00962BD7"/>
    <w:rsid w:val="00962D04"/>
    <w:rsid w:val="00962D77"/>
    <w:rsid w:val="009630E3"/>
    <w:rsid w:val="00963467"/>
    <w:rsid w:val="009638FC"/>
    <w:rsid w:val="009639EA"/>
    <w:rsid w:val="00963A34"/>
    <w:rsid w:val="00963B2D"/>
    <w:rsid w:val="00963BFB"/>
    <w:rsid w:val="00963C4F"/>
    <w:rsid w:val="00963FC4"/>
    <w:rsid w:val="00964328"/>
    <w:rsid w:val="009644F6"/>
    <w:rsid w:val="009648F3"/>
    <w:rsid w:val="00964F93"/>
    <w:rsid w:val="009655B6"/>
    <w:rsid w:val="00965B8C"/>
    <w:rsid w:val="009674C5"/>
    <w:rsid w:val="00967A2E"/>
    <w:rsid w:val="00967B22"/>
    <w:rsid w:val="00967B4C"/>
    <w:rsid w:val="00967D1C"/>
    <w:rsid w:val="00970039"/>
    <w:rsid w:val="00970750"/>
    <w:rsid w:val="00970C2B"/>
    <w:rsid w:val="00970E86"/>
    <w:rsid w:val="00971036"/>
    <w:rsid w:val="0097110E"/>
    <w:rsid w:val="00971156"/>
    <w:rsid w:val="00971166"/>
    <w:rsid w:val="00971288"/>
    <w:rsid w:val="00971FD6"/>
    <w:rsid w:val="00972E99"/>
    <w:rsid w:val="00973172"/>
    <w:rsid w:val="0097324D"/>
    <w:rsid w:val="009735B1"/>
    <w:rsid w:val="0097408F"/>
    <w:rsid w:val="0097456A"/>
    <w:rsid w:val="0097461F"/>
    <w:rsid w:val="009746A5"/>
    <w:rsid w:val="009747A1"/>
    <w:rsid w:val="00974855"/>
    <w:rsid w:val="00974DDE"/>
    <w:rsid w:val="00975056"/>
    <w:rsid w:val="009752F1"/>
    <w:rsid w:val="009757B4"/>
    <w:rsid w:val="0097600A"/>
    <w:rsid w:val="009761A3"/>
    <w:rsid w:val="0097693B"/>
    <w:rsid w:val="00976CD3"/>
    <w:rsid w:val="00976D2D"/>
    <w:rsid w:val="00976E46"/>
    <w:rsid w:val="0097763E"/>
    <w:rsid w:val="00977655"/>
    <w:rsid w:val="009776DC"/>
    <w:rsid w:val="00977A6D"/>
    <w:rsid w:val="00977CF7"/>
    <w:rsid w:val="009801C6"/>
    <w:rsid w:val="009801FC"/>
    <w:rsid w:val="00980384"/>
    <w:rsid w:val="009804C8"/>
    <w:rsid w:val="009805D7"/>
    <w:rsid w:val="009807C8"/>
    <w:rsid w:val="009808B1"/>
    <w:rsid w:val="00980B59"/>
    <w:rsid w:val="00980F11"/>
    <w:rsid w:val="00980FCC"/>
    <w:rsid w:val="009811AB"/>
    <w:rsid w:val="0098123D"/>
    <w:rsid w:val="009821F3"/>
    <w:rsid w:val="00982602"/>
    <w:rsid w:val="00983102"/>
    <w:rsid w:val="00983211"/>
    <w:rsid w:val="0098358A"/>
    <w:rsid w:val="0098390E"/>
    <w:rsid w:val="0098394C"/>
    <w:rsid w:val="00983AEB"/>
    <w:rsid w:val="00983DD5"/>
    <w:rsid w:val="00984110"/>
    <w:rsid w:val="00984216"/>
    <w:rsid w:val="009842AD"/>
    <w:rsid w:val="00984380"/>
    <w:rsid w:val="00984575"/>
    <w:rsid w:val="009852A5"/>
    <w:rsid w:val="009852B0"/>
    <w:rsid w:val="00985364"/>
    <w:rsid w:val="00985494"/>
    <w:rsid w:val="00985971"/>
    <w:rsid w:val="00985BB5"/>
    <w:rsid w:val="00985BFB"/>
    <w:rsid w:val="00985C23"/>
    <w:rsid w:val="00985E35"/>
    <w:rsid w:val="00985EBB"/>
    <w:rsid w:val="00985F8E"/>
    <w:rsid w:val="00985F8F"/>
    <w:rsid w:val="00986010"/>
    <w:rsid w:val="0098603D"/>
    <w:rsid w:val="0098627B"/>
    <w:rsid w:val="00986342"/>
    <w:rsid w:val="0098664B"/>
    <w:rsid w:val="00986ACD"/>
    <w:rsid w:val="00986B0D"/>
    <w:rsid w:val="00986B15"/>
    <w:rsid w:val="00986DE6"/>
    <w:rsid w:val="00986E02"/>
    <w:rsid w:val="009871C2"/>
    <w:rsid w:val="009873B4"/>
    <w:rsid w:val="00987BC6"/>
    <w:rsid w:val="00987F06"/>
    <w:rsid w:val="009900AC"/>
    <w:rsid w:val="00990249"/>
    <w:rsid w:val="0099058F"/>
    <w:rsid w:val="00990904"/>
    <w:rsid w:val="0099097C"/>
    <w:rsid w:val="00990DD4"/>
    <w:rsid w:val="0099140C"/>
    <w:rsid w:val="009914A7"/>
    <w:rsid w:val="00991A6E"/>
    <w:rsid w:val="00991AD5"/>
    <w:rsid w:val="00991EAA"/>
    <w:rsid w:val="00991EB1"/>
    <w:rsid w:val="00991ED7"/>
    <w:rsid w:val="00992120"/>
    <w:rsid w:val="009921BD"/>
    <w:rsid w:val="0099269E"/>
    <w:rsid w:val="009926BF"/>
    <w:rsid w:val="009929BE"/>
    <w:rsid w:val="009929E8"/>
    <w:rsid w:val="00992E5C"/>
    <w:rsid w:val="00993080"/>
    <w:rsid w:val="00993180"/>
    <w:rsid w:val="00993347"/>
    <w:rsid w:val="009934D2"/>
    <w:rsid w:val="009938C4"/>
    <w:rsid w:val="00993D42"/>
    <w:rsid w:val="009940D7"/>
    <w:rsid w:val="0099413B"/>
    <w:rsid w:val="00994296"/>
    <w:rsid w:val="00994562"/>
    <w:rsid w:val="00994D09"/>
    <w:rsid w:val="00995007"/>
    <w:rsid w:val="00995028"/>
    <w:rsid w:val="0099566C"/>
    <w:rsid w:val="00995DB0"/>
    <w:rsid w:val="009961D3"/>
    <w:rsid w:val="00996503"/>
    <w:rsid w:val="009967DE"/>
    <w:rsid w:val="009970BF"/>
    <w:rsid w:val="009972CF"/>
    <w:rsid w:val="009979D1"/>
    <w:rsid w:val="00997FAF"/>
    <w:rsid w:val="009A0075"/>
    <w:rsid w:val="009A05BD"/>
    <w:rsid w:val="009A05C1"/>
    <w:rsid w:val="009A0C00"/>
    <w:rsid w:val="009A0E7E"/>
    <w:rsid w:val="009A0F1C"/>
    <w:rsid w:val="009A12FE"/>
    <w:rsid w:val="009A166D"/>
    <w:rsid w:val="009A177D"/>
    <w:rsid w:val="009A18CC"/>
    <w:rsid w:val="009A19DA"/>
    <w:rsid w:val="009A1ADF"/>
    <w:rsid w:val="009A2506"/>
    <w:rsid w:val="009A2D65"/>
    <w:rsid w:val="009A3029"/>
    <w:rsid w:val="009A3234"/>
    <w:rsid w:val="009A3329"/>
    <w:rsid w:val="009A33C7"/>
    <w:rsid w:val="009A34A1"/>
    <w:rsid w:val="009A3655"/>
    <w:rsid w:val="009A36E3"/>
    <w:rsid w:val="009A3731"/>
    <w:rsid w:val="009A38F4"/>
    <w:rsid w:val="009A3CEA"/>
    <w:rsid w:val="009A3FEC"/>
    <w:rsid w:val="009A423C"/>
    <w:rsid w:val="009A43F1"/>
    <w:rsid w:val="009A4845"/>
    <w:rsid w:val="009A4C72"/>
    <w:rsid w:val="009A4CB7"/>
    <w:rsid w:val="009A4FDD"/>
    <w:rsid w:val="009A50B1"/>
    <w:rsid w:val="009A554B"/>
    <w:rsid w:val="009A5857"/>
    <w:rsid w:val="009A5B4F"/>
    <w:rsid w:val="009A5FA0"/>
    <w:rsid w:val="009A61B7"/>
    <w:rsid w:val="009A658C"/>
    <w:rsid w:val="009A6B8D"/>
    <w:rsid w:val="009A6D55"/>
    <w:rsid w:val="009A6F9B"/>
    <w:rsid w:val="009A7074"/>
    <w:rsid w:val="009A733C"/>
    <w:rsid w:val="009A76F8"/>
    <w:rsid w:val="009A7AA9"/>
    <w:rsid w:val="009B011B"/>
    <w:rsid w:val="009B02CD"/>
    <w:rsid w:val="009B06D6"/>
    <w:rsid w:val="009B075E"/>
    <w:rsid w:val="009B0AAB"/>
    <w:rsid w:val="009B0BE4"/>
    <w:rsid w:val="009B0CA6"/>
    <w:rsid w:val="009B1079"/>
    <w:rsid w:val="009B11F9"/>
    <w:rsid w:val="009B12F1"/>
    <w:rsid w:val="009B1313"/>
    <w:rsid w:val="009B19FF"/>
    <w:rsid w:val="009B1ABB"/>
    <w:rsid w:val="009B1C08"/>
    <w:rsid w:val="009B1D08"/>
    <w:rsid w:val="009B1D79"/>
    <w:rsid w:val="009B1E8B"/>
    <w:rsid w:val="009B2057"/>
    <w:rsid w:val="009B2072"/>
    <w:rsid w:val="009B2B52"/>
    <w:rsid w:val="009B2DF0"/>
    <w:rsid w:val="009B2F12"/>
    <w:rsid w:val="009B2F38"/>
    <w:rsid w:val="009B32A7"/>
    <w:rsid w:val="009B3468"/>
    <w:rsid w:val="009B36DD"/>
    <w:rsid w:val="009B3948"/>
    <w:rsid w:val="009B3A93"/>
    <w:rsid w:val="009B3BDA"/>
    <w:rsid w:val="009B48F9"/>
    <w:rsid w:val="009B4E03"/>
    <w:rsid w:val="009B5175"/>
    <w:rsid w:val="009B52AF"/>
    <w:rsid w:val="009B52D6"/>
    <w:rsid w:val="009B558E"/>
    <w:rsid w:val="009B6306"/>
    <w:rsid w:val="009B6CBC"/>
    <w:rsid w:val="009B6D4A"/>
    <w:rsid w:val="009B70AD"/>
    <w:rsid w:val="009B7374"/>
    <w:rsid w:val="009B73DC"/>
    <w:rsid w:val="009B7D73"/>
    <w:rsid w:val="009B7DCC"/>
    <w:rsid w:val="009B7F1A"/>
    <w:rsid w:val="009B7F96"/>
    <w:rsid w:val="009C0122"/>
    <w:rsid w:val="009C0A89"/>
    <w:rsid w:val="009C0B3B"/>
    <w:rsid w:val="009C0EAC"/>
    <w:rsid w:val="009C1087"/>
    <w:rsid w:val="009C15B4"/>
    <w:rsid w:val="009C164D"/>
    <w:rsid w:val="009C1793"/>
    <w:rsid w:val="009C18D2"/>
    <w:rsid w:val="009C1F74"/>
    <w:rsid w:val="009C2205"/>
    <w:rsid w:val="009C244C"/>
    <w:rsid w:val="009C2729"/>
    <w:rsid w:val="009C2DAA"/>
    <w:rsid w:val="009C3433"/>
    <w:rsid w:val="009C3A09"/>
    <w:rsid w:val="009C3A15"/>
    <w:rsid w:val="009C3DE2"/>
    <w:rsid w:val="009C3EBD"/>
    <w:rsid w:val="009C420B"/>
    <w:rsid w:val="009C48B1"/>
    <w:rsid w:val="009C48ED"/>
    <w:rsid w:val="009C4A78"/>
    <w:rsid w:val="009C4B21"/>
    <w:rsid w:val="009C5062"/>
    <w:rsid w:val="009C57E8"/>
    <w:rsid w:val="009C59EC"/>
    <w:rsid w:val="009C5B44"/>
    <w:rsid w:val="009C6134"/>
    <w:rsid w:val="009C652D"/>
    <w:rsid w:val="009C6541"/>
    <w:rsid w:val="009C6701"/>
    <w:rsid w:val="009C6773"/>
    <w:rsid w:val="009C6856"/>
    <w:rsid w:val="009C6926"/>
    <w:rsid w:val="009C69CC"/>
    <w:rsid w:val="009C6A40"/>
    <w:rsid w:val="009C6C3E"/>
    <w:rsid w:val="009C73FC"/>
    <w:rsid w:val="009C78B9"/>
    <w:rsid w:val="009C78BD"/>
    <w:rsid w:val="009D01BE"/>
    <w:rsid w:val="009D020A"/>
    <w:rsid w:val="009D07AE"/>
    <w:rsid w:val="009D0A30"/>
    <w:rsid w:val="009D0E55"/>
    <w:rsid w:val="009D0E57"/>
    <w:rsid w:val="009D11F0"/>
    <w:rsid w:val="009D1431"/>
    <w:rsid w:val="009D1E13"/>
    <w:rsid w:val="009D1FAC"/>
    <w:rsid w:val="009D2046"/>
    <w:rsid w:val="009D2399"/>
    <w:rsid w:val="009D29E4"/>
    <w:rsid w:val="009D31C7"/>
    <w:rsid w:val="009D3484"/>
    <w:rsid w:val="009D3939"/>
    <w:rsid w:val="009D395A"/>
    <w:rsid w:val="009D3B3F"/>
    <w:rsid w:val="009D3B7E"/>
    <w:rsid w:val="009D3CCB"/>
    <w:rsid w:val="009D3FA2"/>
    <w:rsid w:val="009D4044"/>
    <w:rsid w:val="009D43FE"/>
    <w:rsid w:val="009D44E4"/>
    <w:rsid w:val="009D4699"/>
    <w:rsid w:val="009D48A4"/>
    <w:rsid w:val="009D4A35"/>
    <w:rsid w:val="009D4CBB"/>
    <w:rsid w:val="009D5706"/>
    <w:rsid w:val="009D57A2"/>
    <w:rsid w:val="009D5824"/>
    <w:rsid w:val="009D5A61"/>
    <w:rsid w:val="009D5B97"/>
    <w:rsid w:val="009D5BE2"/>
    <w:rsid w:val="009D5E7E"/>
    <w:rsid w:val="009D5F7A"/>
    <w:rsid w:val="009D6349"/>
    <w:rsid w:val="009D6A54"/>
    <w:rsid w:val="009D6AD8"/>
    <w:rsid w:val="009D6C0B"/>
    <w:rsid w:val="009D6DDB"/>
    <w:rsid w:val="009D7065"/>
    <w:rsid w:val="009D7096"/>
    <w:rsid w:val="009D7874"/>
    <w:rsid w:val="009D78B4"/>
    <w:rsid w:val="009E0218"/>
    <w:rsid w:val="009E03EC"/>
    <w:rsid w:val="009E051F"/>
    <w:rsid w:val="009E0550"/>
    <w:rsid w:val="009E059F"/>
    <w:rsid w:val="009E08E4"/>
    <w:rsid w:val="009E132F"/>
    <w:rsid w:val="009E1773"/>
    <w:rsid w:val="009E199D"/>
    <w:rsid w:val="009E1A38"/>
    <w:rsid w:val="009E1AAB"/>
    <w:rsid w:val="009E1C41"/>
    <w:rsid w:val="009E1E1D"/>
    <w:rsid w:val="009E244F"/>
    <w:rsid w:val="009E36BD"/>
    <w:rsid w:val="009E3B9D"/>
    <w:rsid w:val="009E3D15"/>
    <w:rsid w:val="009E3D6E"/>
    <w:rsid w:val="009E4159"/>
    <w:rsid w:val="009E46A8"/>
    <w:rsid w:val="009E4B16"/>
    <w:rsid w:val="009E4B50"/>
    <w:rsid w:val="009E4C64"/>
    <w:rsid w:val="009E5227"/>
    <w:rsid w:val="009E5659"/>
    <w:rsid w:val="009E571E"/>
    <w:rsid w:val="009E5C5B"/>
    <w:rsid w:val="009E5C68"/>
    <w:rsid w:val="009E620C"/>
    <w:rsid w:val="009E652D"/>
    <w:rsid w:val="009E677A"/>
    <w:rsid w:val="009E6851"/>
    <w:rsid w:val="009E6E63"/>
    <w:rsid w:val="009E7618"/>
    <w:rsid w:val="009E7661"/>
    <w:rsid w:val="009E78F6"/>
    <w:rsid w:val="009E7E98"/>
    <w:rsid w:val="009F02F7"/>
    <w:rsid w:val="009F03AF"/>
    <w:rsid w:val="009F08AE"/>
    <w:rsid w:val="009F08F1"/>
    <w:rsid w:val="009F08F9"/>
    <w:rsid w:val="009F09E1"/>
    <w:rsid w:val="009F0AD9"/>
    <w:rsid w:val="009F1156"/>
    <w:rsid w:val="009F115A"/>
    <w:rsid w:val="009F138D"/>
    <w:rsid w:val="009F176A"/>
    <w:rsid w:val="009F1FBA"/>
    <w:rsid w:val="009F21F6"/>
    <w:rsid w:val="009F2370"/>
    <w:rsid w:val="009F291E"/>
    <w:rsid w:val="009F2D7A"/>
    <w:rsid w:val="009F2DEE"/>
    <w:rsid w:val="009F311E"/>
    <w:rsid w:val="009F370A"/>
    <w:rsid w:val="009F3992"/>
    <w:rsid w:val="009F3D3D"/>
    <w:rsid w:val="009F42FB"/>
    <w:rsid w:val="009F4751"/>
    <w:rsid w:val="009F50DF"/>
    <w:rsid w:val="009F521F"/>
    <w:rsid w:val="009F5431"/>
    <w:rsid w:val="009F58F3"/>
    <w:rsid w:val="009F58F6"/>
    <w:rsid w:val="009F5D23"/>
    <w:rsid w:val="009F5F6F"/>
    <w:rsid w:val="009F62A7"/>
    <w:rsid w:val="009F6635"/>
    <w:rsid w:val="009F66D8"/>
    <w:rsid w:val="009F67A0"/>
    <w:rsid w:val="009F6A6D"/>
    <w:rsid w:val="009F6AB1"/>
    <w:rsid w:val="009F6C45"/>
    <w:rsid w:val="009F7358"/>
    <w:rsid w:val="009F7373"/>
    <w:rsid w:val="009F7411"/>
    <w:rsid w:val="009F7466"/>
    <w:rsid w:val="009F789B"/>
    <w:rsid w:val="009F795D"/>
    <w:rsid w:val="009F79F8"/>
    <w:rsid w:val="00A000B3"/>
    <w:rsid w:val="00A00492"/>
    <w:rsid w:val="00A0050B"/>
    <w:rsid w:val="00A00B1F"/>
    <w:rsid w:val="00A00E11"/>
    <w:rsid w:val="00A00FB5"/>
    <w:rsid w:val="00A01213"/>
    <w:rsid w:val="00A01455"/>
    <w:rsid w:val="00A014B0"/>
    <w:rsid w:val="00A01740"/>
    <w:rsid w:val="00A01F01"/>
    <w:rsid w:val="00A01F77"/>
    <w:rsid w:val="00A02204"/>
    <w:rsid w:val="00A022FB"/>
    <w:rsid w:val="00A023FD"/>
    <w:rsid w:val="00A0246E"/>
    <w:rsid w:val="00A027AD"/>
    <w:rsid w:val="00A02BEE"/>
    <w:rsid w:val="00A02E39"/>
    <w:rsid w:val="00A0302C"/>
    <w:rsid w:val="00A032E9"/>
    <w:rsid w:val="00A03EF1"/>
    <w:rsid w:val="00A042A7"/>
    <w:rsid w:val="00A04D8C"/>
    <w:rsid w:val="00A0555D"/>
    <w:rsid w:val="00A05A8D"/>
    <w:rsid w:val="00A05A9C"/>
    <w:rsid w:val="00A05ABF"/>
    <w:rsid w:val="00A06076"/>
    <w:rsid w:val="00A06086"/>
    <w:rsid w:val="00A068A6"/>
    <w:rsid w:val="00A06900"/>
    <w:rsid w:val="00A06A2C"/>
    <w:rsid w:val="00A06BEC"/>
    <w:rsid w:val="00A06C9B"/>
    <w:rsid w:val="00A07183"/>
    <w:rsid w:val="00A077E3"/>
    <w:rsid w:val="00A07D37"/>
    <w:rsid w:val="00A102E6"/>
    <w:rsid w:val="00A105E1"/>
    <w:rsid w:val="00A108F1"/>
    <w:rsid w:val="00A109E8"/>
    <w:rsid w:val="00A10A0F"/>
    <w:rsid w:val="00A10BEA"/>
    <w:rsid w:val="00A10D06"/>
    <w:rsid w:val="00A10E9F"/>
    <w:rsid w:val="00A10FDF"/>
    <w:rsid w:val="00A117EF"/>
    <w:rsid w:val="00A11A9B"/>
    <w:rsid w:val="00A11AD6"/>
    <w:rsid w:val="00A11E56"/>
    <w:rsid w:val="00A11ECD"/>
    <w:rsid w:val="00A12311"/>
    <w:rsid w:val="00A124D1"/>
    <w:rsid w:val="00A128A2"/>
    <w:rsid w:val="00A12A46"/>
    <w:rsid w:val="00A12E71"/>
    <w:rsid w:val="00A13197"/>
    <w:rsid w:val="00A134DA"/>
    <w:rsid w:val="00A135D9"/>
    <w:rsid w:val="00A1377D"/>
    <w:rsid w:val="00A13865"/>
    <w:rsid w:val="00A13AE4"/>
    <w:rsid w:val="00A14007"/>
    <w:rsid w:val="00A14826"/>
    <w:rsid w:val="00A14D65"/>
    <w:rsid w:val="00A14F24"/>
    <w:rsid w:val="00A1506F"/>
    <w:rsid w:val="00A158A7"/>
    <w:rsid w:val="00A15B24"/>
    <w:rsid w:val="00A15B43"/>
    <w:rsid w:val="00A15BAF"/>
    <w:rsid w:val="00A15C79"/>
    <w:rsid w:val="00A15FC1"/>
    <w:rsid w:val="00A16316"/>
    <w:rsid w:val="00A16851"/>
    <w:rsid w:val="00A1694E"/>
    <w:rsid w:val="00A16ABE"/>
    <w:rsid w:val="00A16CDA"/>
    <w:rsid w:val="00A17191"/>
    <w:rsid w:val="00A17662"/>
    <w:rsid w:val="00A177D3"/>
    <w:rsid w:val="00A17A30"/>
    <w:rsid w:val="00A17CB0"/>
    <w:rsid w:val="00A17D97"/>
    <w:rsid w:val="00A17D9B"/>
    <w:rsid w:val="00A17FF7"/>
    <w:rsid w:val="00A2007D"/>
    <w:rsid w:val="00A20790"/>
    <w:rsid w:val="00A20892"/>
    <w:rsid w:val="00A20D15"/>
    <w:rsid w:val="00A20F9C"/>
    <w:rsid w:val="00A216C4"/>
    <w:rsid w:val="00A21826"/>
    <w:rsid w:val="00A2196F"/>
    <w:rsid w:val="00A21AE1"/>
    <w:rsid w:val="00A225F8"/>
    <w:rsid w:val="00A23645"/>
    <w:rsid w:val="00A23CB8"/>
    <w:rsid w:val="00A24624"/>
    <w:rsid w:val="00A24750"/>
    <w:rsid w:val="00A24782"/>
    <w:rsid w:val="00A24790"/>
    <w:rsid w:val="00A24A9D"/>
    <w:rsid w:val="00A24CB6"/>
    <w:rsid w:val="00A2532C"/>
    <w:rsid w:val="00A25AB2"/>
    <w:rsid w:val="00A25F85"/>
    <w:rsid w:val="00A26034"/>
    <w:rsid w:val="00A26266"/>
    <w:rsid w:val="00A262AF"/>
    <w:rsid w:val="00A263EA"/>
    <w:rsid w:val="00A27383"/>
    <w:rsid w:val="00A277E4"/>
    <w:rsid w:val="00A27876"/>
    <w:rsid w:val="00A27881"/>
    <w:rsid w:val="00A27C9B"/>
    <w:rsid w:val="00A27FE7"/>
    <w:rsid w:val="00A305AA"/>
    <w:rsid w:val="00A30913"/>
    <w:rsid w:val="00A30BA0"/>
    <w:rsid w:val="00A314EE"/>
    <w:rsid w:val="00A31511"/>
    <w:rsid w:val="00A3176C"/>
    <w:rsid w:val="00A318A7"/>
    <w:rsid w:val="00A31D1F"/>
    <w:rsid w:val="00A31E69"/>
    <w:rsid w:val="00A31E6F"/>
    <w:rsid w:val="00A31EEE"/>
    <w:rsid w:val="00A32593"/>
    <w:rsid w:val="00A329EC"/>
    <w:rsid w:val="00A32C4C"/>
    <w:rsid w:val="00A32CC1"/>
    <w:rsid w:val="00A33FDC"/>
    <w:rsid w:val="00A34B92"/>
    <w:rsid w:val="00A34EF9"/>
    <w:rsid w:val="00A3584B"/>
    <w:rsid w:val="00A35E1C"/>
    <w:rsid w:val="00A35FED"/>
    <w:rsid w:val="00A36165"/>
    <w:rsid w:val="00A363CB"/>
    <w:rsid w:val="00A36EB9"/>
    <w:rsid w:val="00A37083"/>
    <w:rsid w:val="00A375FE"/>
    <w:rsid w:val="00A37AFF"/>
    <w:rsid w:val="00A37C4B"/>
    <w:rsid w:val="00A37FFA"/>
    <w:rsid w:val="00A40011"/>
    <w:rsid w:val="00A4056E"/>
    <w:rsid w:val="00A40A1B"/>
    <w:rsid w:val="00A40B96"/>
    <w:rsid w:val="00A40F4F"/>
    <w:rsid w:val="00A4115B"/>
    <w:rsid w:val="00A41A97"/>
    <w:rsid w:val="00A41B39"/>
    <w:rsid w:val="00A41DD2"/>
    <w:rsid w:val="00A41EA0"/>
    <w:rsid w:val="00A42013"/>
    <w:rsid w:val="00A4241F"/>
    <w:rsid w:val="00A42B64"/>
    <w:rsid w:val="00A42C0C"/>
    <w:rsid w:val="00A42DEB"/>
    <w:rsid w:val="00A43630"/>
    <w:rsid w:val="00A442E7"/>
    <w:rsid w:val="00A443E2"/>
    <w:rsid w:val="00A44495"/>
    <w:rsid w:val="00A447C1"/>
    <w:rsid w:val="00A447D3"/>
    <w:rsid w:val="00A44EE0"/>
    <w:rsid w:val="00A45078"/>
    <w:rsid w:val="00A45316"/>
    <w:rsid w:val="00A459EE"/>
    <w:rsid w:val="00A45CC1"/>
    <w:rsid w:val="00A45D02"/>
    <w:rsid w:val="00A45D67"/>
    <w:rsid w:val="00A46126"/>
    <w:rsid w:val="00A466C0"/>
    <w:rsid w:val="00A46C93"/>
    <w:rsid w:val="00A46D63"/>
    <w:rsid w:val="00A46E8D"/>
    <w:rsid w:val="00A4727A"/>
    <w:rsid w:val="00A47352"/>
    <w:rsid w:val="00A47497"/>
    <w:rsid w:val="00A474FF"/>
    <w:rsid w:val="00A4798B"/>
    <w:rsid w:val="00A47C99"/>
    <w:rsid w:val="00A50050"/>
    <w:rsid w:val="00A5054E"/>
    <w:rsid w:val="00A50697"/>
    <w:rsid w:val="00A50DEE"/>
    <w:rsid w:val="00A50EA9"/>
    <w:rsid w:val="00A510A1"/>
    <w:rsid w:val="00A510DC"/>
    <w:rsid w:val="00A517F7"/>
    <w:rsid w:val="00A51898"/>
    <w:rsid w:val="00A51B30"/>
    <w:rsid w:val="00A51D3A"/>
    <w:rsid w:val="00A5263F"/>
    <w:rsid w:val="00A527E5"/>
    <w:rsid w:val="00A52965"/>
    <w:rsid w:val="00A529B5"/>
    <w:rsid w:val="00A52DA6"/>
    <w:rsid w:val="00A532EC"/>
    <w:rsid w:val="00A5343F"/>
    <w:rsid w:val="00A5373C"/>
    <w:rsid w:val="00A537E0"/>
    <w:rsid w:val="00A53839"/>
    <w:rsid w:val="00A5391C"/>
    <w:rsid w:val="00A53949"/>
    <w:rsid w:val="00A53AFE"/>
    <w:rsid w:val="00A53B78"/>
    <w:rsid w:val="00A53CE7"/>
    <w:rsid w:val="00A53E7C"/>
    <w:rsid w:val="00A54185"/>
    <w:rsid w:val="00A54935"/>
    <w:rsid w:val="00A56962"/>
    <w:rsid w:val="00A569D8"/>
    <w:rsid w:val="00A56D77"/>
    <w:rsid w:val="00A56EE2"/>
    <w:rsid w:val="00A57081"/>
    <w:rsid w:val="00A570FC"/>
    <w:rsid w:val="00A572AC"/>
    <w:rsid w:val="00A600E0"/>
    <w:rsid w:val="00A60C14"/>
    <w:rsid w:val="00A60DF4"/>
    <w:rsid w:val="00A60E35"/>
    <w:rsid w:val="00A612F6"/>
    <w:rsid w:val="00A613A4"/>
    <w:rsid w:val="00A617FD"/>
    <w:rsid w:val="00A61D6F"/>
    <w:rsid w:val="00A61E89"/>
    <w:rsid w:val="00A62E7B"/>
    <w:rsid w:val="00A63295"/>
    <w:rsid w:val="00A63548"/>
    <w:rsid w:val="00A63948"/>
    <w:rsid w:val="00A639AA"/>
    <w:rsid w:val="00A63A56"/>
    <w:rsid w:val="00A63A5D"/>
    <w:rsid w:val="00A6400C"/>
    <w:rsid w:val="00A642C3"/>
    <w:rsid w:val="00A64EC3"/>
    <w:rsid w:val="00A64F1C"/>
    <w:rsid w:val="00A65090"/>
    <w:rsid w:val="00A65152"/>
    <w:rsid w:val="00A651A1"/>
    <w:rsid w:val="00A6534D"/>
    <w:rsid w:val="00A6596E"/>
    <w:rsid w:val="00A65B80"/>
    <w:rsid w:val="00A65D65"/>
    <w:rsid w:val="00A65D8F"/>
    <w:rsid w:val="00A65E2E"/>
    <w:rsid w:val="00A65EF0"/>
    <w:rsid w:val="00A65F08"/>
    <w:rsid w:val="00A6612C"/>
    <w:rsid w:val="00A662A0"/>
    <w:rsid w:val="00A66315"/>
    <w:rsid w:val="00A663A1"/>
    <w:rsid w:val="00A66471"/>
    <w:rsid w:val="00A66594"/>
    <w:rsid w:val="00A66C8E"/>
    <w:rsid w:val="00A66E6B"/>
    <w:rsid w:val="00A67016"/>
    <w:rsid w:val="00A6709C"/>
    <w:rsid w:val="00A67204"/>
    <w:rsid w:val="00A672BA"/>
    <w:rsid w:val="00A6736C"/>
    <w:rsid w:val="00A67459"/>
    <w:rsid w:val="00A67645"/>
    <w:rsid w:val="00A676EA"/>
    <w:rsid w:val="00A67943"/>
    <w:rsid w:val="00A67C74"/>
    <w:rsid w:val="00A7018F"/>
    <w:rsid w:val="00A703B0"/>
    <w:rsid w:val="00A70403"/>
    <w:rsid w:val="00A70555"/>
    <w:rsid w:val="00A71307"/>
    <w:rsid w:val="00A71CB8"/>
    <w:rsid w:val="00A71D67"/>
    <w:rsid w:val="00A720BC"/>
    <w:rsid w:val="00A721DB"/>
    <w:rsid w:val="00A7233E"/>
    <w:rsid w:val="00A723EF"/>
    <w:rsid w:val="00A726BF"/>
    <w:rsid w:val="00A72CBA"/>
    <w:rsid w:val="00A73057"/>
    <w:rsid w:val="00A73102"/>
    <w:rsid w:val="00A7319B"/>
    <w:rsid w:val="00A733C9"/>
    <w:rsid w:val="00A73401"/>
    <w:rsid w:val="00A7359A"/>
    <w:rsid w:val="00A73C3F"/>
    <w:rsid w:val="00A73D99"/>
    <w:rsid w:val="00A74304"/>
    <w:rsid w:val="00A74400"/>
    <w:rsid w:val="00A7463D"/>
    <w:rsid w:val="00A74649"/>
    <w:rsid w:val="00A7488D"/>
    <w:rsid w:val="00A74EA8"/>
    <w:rsid w:val="00A75007"/>
    <w:rsid w:val="00A75012"/>
    <w:rsid w:val="00A75133"/>
    <w:rsid w:val="00A752FB"/>
    <w:rsid w:val="00A756FC"/>
    <w:rsid w:val="00A7579A"/>
    <w:rsid w:val="00A757DD"/>
    <w:rsid w:val="00A76018"/>
    <w:rsid w:val="00A76159"/>
    <w:rsid w:val="00A7623E"/>
    <w:rsid w:val="00A7633F"/>
    <w:rsid w:val="00A7657C"/>
    <w:rsid w:val="00A767AB"/>
    <w:rsid w:val="00A76AFD"/>
    <w:rsid w:val="00A770E6"/>
    <w:rsid w:val="00A7724D"/>
    <w:rsid w:val="00A7746C"/>
    <w:rsid w:val="00A7755C"/>
    <w:rsid w:val="00A776A8"/>
    <w:rsid w:val="00A80247"/>
    <w:rsid w:val="00A80931"/>
    <w:rsid w:val="00A80973"/>
    <w:rsid w:val="00A80AA9"/>
    <w:rsid w:val="00A812D4"/>
    <w:rsid w:val="00A8150D"/>
    <w:rsid w:val="00A81C88"/>
    <w:rsid w:val="00A81E0C"/>
    <w:rsid w:val="00A8204D"/>
    <w:rsid w:val="00A82681"/>
    <w:rsid w:val="00A82FB7"/>
    <w:rsid w:val="00A83032"/>
    <w:rsid w:val="00A83135"/>
    <w:rsid w:val="00A833DC"/>
    <w:rsid w:val="00A83472"/>
    <w:rsid w:val="00A8360A"/>
    <w:rsid w:val="00A83818"/>
    <w:rsid w:val="00A83BDD"/>
    <w:rsid w:val="00A83F87"/>
    <w:rsid w:val="00A83FA6"/>
    <w:rsid w:val="00A842C4"/>
    <w:rsid w:val="00A84685"/>
    <w:rsid w:val="00A84DE1"/>
    <w:rsid w:val="00A84E0F"/>
    <w:rsid w:val="00A84ED3"/>
    <w:rsid w:val="00A850E5"/>
    <w:rsid w:val="00A853F9"/>
    <w:rsid w:val="00A85576"/>
    <w:rsid w:val="00A855CF"/>
    <w:rsid w:val="00A858D1"/>
    <w:rsid w:val="00A85B45"/>
    <w:rsid w:val="00A85F12"/>
    <w:rsid w:val="00A85F6C"/>
    <w:rsid w:val="00A8604F"/>
    <w:rsid w:val="00A8608A"/>
    <w:rsid w:val="00A869E6"/>
    <w:rsid w:val="00A870E3"/>
    <w:rsid w:val="00A87209"/>
    <w:rsid w:val="00A8751F"/>
    <w:rsid w:val="00A877EF"/>
    <w:rsid w:val="00A87881"/>
    <w:rsid w:val="00A87A8D"/>
    <w:rsid w:val="00A87C93"/>
    <w:rsid w:val="00A9012C"/>
    <w:rsid w:val="00A907AA"/>
    <w:rsid w:val="00A90927"/>
    <w:rsid w:val="00A90ADB"/>
    <w:rsid w:val="00A90B8D"/>
    <w:rsid w:val="00A912A9"/>
    <w:rsid w:val="00A91528"/>
    <w:rsid w:val="00A91B06"/>
    <w:rsid w:val="00A91B0E"/>
    <w:rsid w:val="00A91D93"/>
    <w:rsid w:val="00A91DAD"/>
    <w:rsid w:val="00A92016"/>
    <w:rsid w:val="00A923D3"/>
    <w:rsid w:val="00A9241B"/>
    <w:rsid w:val="00A932D0"/>
    <w:rsid w:val="00A9337A"/>
    <w:rsid w:val="00A93469"/>
    <w:rsid w:val="00A93800"/>
    <w:rsid w:val="00A93D53"/>
    <w:rsid w:val="00A93EB6"/>
    <w:rsid w:val="00A94268"/>
    <w:rsid w:val="00A942D2"/>
    <w:rsid w:val="00A94340"/>
    <w:rsid w:val="00A943FF"/>
    <w:rsid w:val="00A944BB"/>
    <w:rsid w:val="00A94582"/>
    <w:rsid w:val="00A94775"/>
    <w:rsid w:val="00A947D1"/>
    <w:rsid w:val="00A94868"/>
    <w:rsid w:val="00A94883"/>
    <w:rsid w:val="00A948E6"/>
    <w:rsid w:val="00A94954"/>
    <w:rsid w:val="00A94CD7"/>
    <w:rsid w:val="00A95B28"/>
    <w:rsid w:val="00A96029"/>
    <w:rsid w:val="00A96099"/>
    <w:rsid w:val="00A96134"/>
    <w:rsid w:val="00A9628B"/>
    <w:rsid w:val="00A9628D"/>
    <w:rsid w:val="00A963E8"/>
    <w:rsid w:val="00A9651B"/>
    <w:rsid w:val="00A9654B"/>
    <w:rsid w:val="00A9691F"/>
    <w:rsid w:val="00A96E6C"/>
    <w:rsid w:val="00A96EA1"/>
    <w:rsid w:val="00A9712E"/>
    <w:rsid w:val="00A9759C"/>
    <w:rsid w:val="00A9781A"/>
    <w:rsid w:val="00A97908"/>
    <w:rsid w:val="00A9795C"/>
    <w:rsid w:val="00A979E5"/>
    <w:rsid w:val="00A97A93"/>
    <w:rsid w:val="00A97B8F"/>
    <w:rsid w:val="00AA093D"/>
    <w:rsid w:val="00AA0CC5"/>
    <w:rsid w:val="00AA100F"/>
    <w:rsid w:val="00AA147B"/>
    <w:rsid w:val="00AA18C0"/>
    <w:rsid w:val="00AA18C1"/>
    <w:rsid w:val="00AA19F2"/>
    <w:rsid w:val="00AA1A63"/>
    <w:rsid w:val="00AA28D6"/>
    <w:rsid w:val="00AA29A0"/>
    <w:rsid w:val="00AA2B8C"/>
    <w:rsid w:val="00AA2C7A"/>
    <w:rsid w:val="00AA2E2F"/>
    <w:rsid w:val="00AA3139"/>
    <w:rsid w:val="00AA3564"/>
    <w:rsid w:val="00AA3950"/>
    <w:rsid w:val="00AA3963"/>
    <w:rsid w:val="00AA3A3B"/>
    <w:rsid w:val="00AA3A51"/>
    <w:rsid w:val="00AA42BE"/>
    <w:rsid w:val="00AA4CFF"/>
    <w:rsid w:val="00AA5109"/>
    <w:rsid w:val="00AA5BEF"/>
    <w:rsid w:val="00AA5D21"/>
    <w:rsid w:val="00AA6647"/>
    <w:rsid w:val="00AA6754"/>
    <w:rsid w:val="00AA69E5"/>
    <w:rsid w:val="00AA6AD9"/>
    <w:rsid w:val="00AA6E04"/>
    <w:rsid w:val="00AA6E48"/>
    <w:rsid w:val="00AA708D"/>
    <w:rsid w:val="00AB04A6"/>
    <w:rsid w:val="00AB06E2"/>
    <w:rsid w:val="00AB08E9"/>
    <w:rsid w:val="00AB0D12"/>
    <w:rsid w:val="00AB11A7"/>
    <w:rsid w:val="00AB13D9"/>
    <w:rsid w:val="00AB1406"/>
    <w:rsid w:val="00AB1756"/>
    <w:rsid w:val="00AB1CF4"/>
    <w:rsid w:val="00AB1E67"/>
    <w:rsid w:val="00AB2401"/>
    <w:rsid w:val="00AB2696"/>
    <w:rsid w:val="00AB27D8"/>
    <w:rsid w:val="00AB2A91"/>
    <w:rsid w:val="00AB2F38"/>
    <w:rsid w:val="00AB3315"/>
    <w:rsid w:val="00AB3795"/>
    <w:rsid w:val="00AB3803"/>
    <w:rsid w:val="00AB3883"/>
    <w:rsid w:val="00AB39CB"/>
    <w:rsid w:val="00AB3CB2"/>
    <w:rsid w:val="00AB3F76"/>
    <w:rsid w:val="00AB3F83"/>
    <w:rsid w:val="00AB40C6"/>
    <w:rsid w:val="00AB4900"/>
    <w:rsid w:val="00AB4B86"/>
    <w:rsid w:val="00AB4BE4"/>
    <w:rsid w:val="00AB4D16"/>
    <w:rsid w:val="00AB5321"/>
    <w:rsid w:val="00AB5797"/>
    <w:rsid w:val="00AB68D3"/>
    <w:rsid w:val="00AB6B67"/>
    <w:rsid w:val="00AB71A1"/>
    <w:rsid w:val="00AB74D8"/>
    <w:rsid w:val="00AB760F"/>
    <w:rsid w:val="00AB7CFF"/>
    <w:rsid w:val="00AC0442"/>
    <w:rsid w:val="00AC05EA"/>
    <w:rsid w:val="00AC064E"/>
    <w:rsid w:val="00AC06A8"/>
    <w:rsid w:val="00AC0B8C"/>
    <w:rsid w:val="00AC0C73"/>
    <w:rsid w:val="00AC0D6A"/>
    <w:rsid w:val="00AC0E85"/>
    <w:rsid w:val="00AC0FD0"/>
    <w:rsid w:val="00AC106D"/>
    <w:rsid w:val="00AC1300"/>
    <w:rsid w:val="00AC17F3"/>
    <w:rsid w:val="00AC1A19"/>
    <w:rsid w:val="00AC2179"/>
    <w:rsid w:val="00AC23A1"/>
    <w:rsid w:val="00AC2452"/>
    <w:rsid w:val="00AC2561"/>
    <w:rsid w:val="00AC2620"/>
    <w:rsid w:val="00AC26DE"/>
    <w:rsid w:val="00AC2842"/>
    <w:rsid w:val="00AC2D4B"/>
    <w:rsid w:val="00AC3933"/>
    <w:rsid w:val="00AC3B99"/>
    <w:rsid w:val="00AC3BA7"/>
    <w:rsid w:val="00AC3BF3"/>
    <w:rsid w:val="00AC3CF6"/>
    <w:rsid w:val="00AC3F54"/>
    <w:rsid w:val="00AC4279"/>
    <w:rsid w:val="00AC4410"/>
    <w:rsid w:val="00AC448A"/>
    <w:rsid w:val="00AC4581"/>
    <w:rsid w:val="00AC4811"/>
    <w:rsid w:val="00AC49C1"/>
    <w:rsid w:val="00AC5190"/>
    <w:rsid w:val="00AC519E"/>
    <w:rsid w:val="00AC5759"/>
    <w:rsid w:val="00AC5ACE"/>
    <w:rsid w:val="00AC5F58"/>
    <w:rsid w:val="00AC5FBA"/>
    <w:rsid w:val="00AC5FE4"/>
    <w:rsid w:val="00AC6012"/>
    <w:rsid w:val="00AC6062"/>
    <w:rsid w:val="00AC612B"/>
    <w:rsid w:val="00AC632B"/>
    <w:rsid w:val="00AC6678"/>
    <w:rsid w:val="00AC6B31"/>
    <w:rsid w:val="00AC6C1A"/>
    <w:rsid w:val="00AC6DAE"/>
    <w:rsid w:val="00AC6EB9"/>
    <w:rsid w:val="00AC7210"/>
    <w:rsid w:val="00AC73FB"/>
    <w:rsid w:val="00AC7659"/>
    <w:rsid w:val="00AC7915"/>
    <w:rsid w:val="00AD01FA"/>
    <w:rsid w:val="00AD0435"/>
    <w:rsid w:val="00AD06B1"/>
    <w:rsid w:val="00AD0895"/>
    <w:rsid w:val="00AD0B11"/>
    <w:rsid w:val="00AD0F4D"/>
    <w:rsid w:val="00AD1654"/>
    <w:rsid w:val="00AD1BCF"/>
    <w:rsid w:val="00AD1C0A"/>
    <w:rsid w:val="00AD1E81"/>
    <w:rsid w:val="00AD210A"/>
    <w:rsid w:val="00AD265C"/>
    <w:rsid w:val="00AD287A"/>
    <w:rsid w:val="00AD2A88"/>
    <w:rsid w:val="00AD2DB5"/>
    <w:rsid w:val="00AD3232"/>
    <w:rsid w:val="00AD38A5"/>
    <w:rsid w:val="00AD38B2"/>
    <w:rsid w:val="00AD3C72"/>
    <w:rsid w:val="00AD4244"/>
    <w:rsid w:val="00AD4771"/>
    <w:rsid w:val="00AD4805"/>
    <w:rsid w:val="00AD4B97"/>
    <w:rsid w:val="00AD4D44"/>
    <w:rsid w:val="00AD5720"/>
    <w:rsid w:val="00AD57B8"/>
    <w:rsid w:val="00AD5B03"/>
    <w:rsid w:val="00AD5CC0"/>
    <w:rsid w:val="00AD5DC1"/>
    <w:rsid w:val="00AD5E01"/>
    <w:rsid w:val="00AD602F"/>
    <w:rsid w:val="00AD61BC"/>
    <w:rsid w:val="00AD6501"/>
    <w:rsid w:val="00AD7052"/>
    <w:rsid w:val="00AD7494"/>
    <w:rsid w:val="00AD75CC"/>
    <w:rsid w:val="00AD7795"/>
    <w:rsid w:val="00AD7CC0"/>
    <w:rsid w:val="00AE077E"/>
    <w:rsid w:val="00AE0A8A"/>
    <w:rsid w:val="00AE0D01"/>
    <w:rsid w:val="00AE0D26"/>
    <w:rsid w:val="00AE0FEC"/>
    <w:rsid w:val="00AE10FF"/>
    <w:rsid w:val="00AE1CBE"/>
    <w:rsid w:val="00AE2A59"/>
    <w:rsid w:val="00AE2F26"/>
    <w:rsid w:val="00AE32DD"/>
    <w:rsid w:val="00AE387A"/>
    <w:rsid w:val="00AE3979"/>
    <w:rsid w:val="00AE3B48"/>
    <w:rsid w:val="00AE3EBC"/>
    <w:rsid w:val="00AE3F7D"/>
    <w:rsid w:val="00AE40EE"/>
    <w:rsid w:val="00AE41A3"/>
    <w:rsid w:val="00AE4291"/>
    <w:rsid w:val="00AE4408"/>
    <w:rsid w:val="00AE44BB"/>
    <w:rsid w:val="00AE46B1"/>
    <w:rsid w:val="00AE5075"/>
    <w:rsid w:val="00AE559D"/>
    <w:rsid w:val="00AE5944"/>
    <w:rsid w:val="00AE5AB5"/>
    <w:rsid w:val="00AE5AF0"/>
    <w:rsid w:val="00AE5E64"/>
    <w:rsid w:val="00AE63D7"/>
    <w:rsid w:val="00AE650A"/>
    <w:rsid w:val="00AE67DF"/>
    <w:rsid w:val="00AE6F2F"/>
    <w:rsid w:val="00AE6FD9"/>
    <w:rsid w:val="00AE70F9"/>
    <w:rsid w:val="00AE7127"/>
    <w:rsid w:val="00AE718E"/>
    <w:rsid w:val="00AE7190"/>
    <w:rsid w:val="00AE73A6"/>
    <w:rsid w:val="00AE74DE"/>
    <w:rsid w:val="00AE7587"/>
    <w:rsid w:val="00AE77EA"/>
    <w:rsid w:val="00AE7A7D"/>
    <w:rsid w:val="00AE7A83"/>
    <w:rsid w:val="00AE7E66"/>
    <w:rsid w:val="00AF068B"/>
    <w:rsid w:val="00AF06B8"/>
    <w:rsid w:val="00AF0A65"/>
    <w:rsid w:val="00AF0AC4"/>
    <w:rsid w:val="00AF1357"/>
    <w:rsid w:val="00AF13A7"/>
    <w:rsid w:val="00AF16F1"/>
    <w:rsid w:val="00AF176E"/>
    <w:rsid w:val="00AF1EC3"/>
    <w:rsid w:val="00AF2017"/>
    <w:rsid w:val="00AF22D4"/>
    <w:rsid w:val="00AF22DE"/>
    <w:rsid w:val="00AF22E0"/>
    <w:rsid w:val="00AF2E1A"/>
    <w:rsid w:val="00AF310A"/>
    <w:rsid w:val="00AF3CBA"/>
    <w:rsid w:val="00AF3D60"/>
    <w:rsid w:val="00AF3DAB"/>
    <w:rsid w:val="00AF400B"/>
    <w:rsid w:val="00AF4631"/>
    <w:rsid w:val="00AF4695"/>
    <w:rsid w:val="00AF4949"/>
    <w:rsid w:val="00AF4A07"/>
    <w:rsid w:val="00AF4F99"/>
    <w:rsid w:val="00AF5012"/>
    <w:rsid w:val="00AF504A"/>
    <w:rsid w:val="00AF53AA"/>
    <w:rsid w:val="00AF59E6"/>
    <w:rsid w:val="00AF5B46"/>
    <w:rsid w:val="00AF5E9F"/>
    <w:rsid w:val="00AF5F7B"/>
    <w:rsid w:val="00AF640D"/>
    <w:rsid w:val="00AF676D"/>
    <w:rsid w:val="00AF6ABE"/>
    <w:rsid w:val="00AF6B26"/>
    <w:rsid w:val="00AF6B60"/>
    <w:rsid w:val="00AF6DAB"/>
    <w:rsid w:val="00AF6EA1"/>
    <w:rsid w:val="00AF6FAD"/>
    <w:rsid w:val="00AF70BD"/>
    <w:rsid w:val="00AF7468"/>
    <w:rsid w:val="00AF7A01"/>
    <w:rsid w:val="00AF7D8B"/>
    <w:rsid w:val="00B00007"/>
    <w:rsid w:val="00B00499"/>
    <w:rsid w:val="00B00586"/>
    <w:rsid w:val="00B0080A"/>
    <w:rsid w:val="00B00844"/>
    <w:rsid w:val="00B009D1"/>
    <w:rsid w:val="00B00CFF"/>
    <w:rsid w:val="00B012D2"/>
    <w:rsid w:val="00B01390"/>
    <w:rsid w:val="00B0153B"/>
    <w:rsid w:val="00B01611"/>
    <w:rsid w:val="00B01B95"/>
    <w:rsid w:val="00B01C16"/>
    <w:rsid w:val="00B01E6F"/>
    <w:rsid w:val="00B023C3"/>
    <w:rsid w:val="00B02444"/>
    <w:rsid w:val="00B02575"/>
    <w:rsid w:val="00B025BD"/>
    <w:rsid w:val="00B02932"/>
    <w:rsid w:val="00B02AE1"/>
    <w:rsid w:val="00B02F34"/>
    <w:rsid w:val="00B039FA"/>
    <w:rsid w:val="00B0422C"/>
    <w:rsid w:val="00B0423E"/>
    <w:rsid w:val="00B05D1F"/>
    <w:rsid w:val="00B062FF"/>
    <w:rsid w:val="00B069E0"/>
    <w:rsid w:val="00B06CC8"/>
    <w:rsid w:val="00B070C5"/>
    <w:rsid w:val="00B07373"/>
    <w:rsid w:val="00B07A83"/>
    <w:rsid w:val="00B07B2E"/>
    <w:rsid w:val="00B07F50"/>
    <w:rsid w:val="00B10A9B"/>
    <w:rsid w:val="00B10B68"/>
    <w:rsid w:val="00B118DD"/>
    <w:rsid w:val="00B11919"/>
    <w:rsid w:val="00B11F22"/>
    <w:rsid w:val="00B11F7C"/>
    <w:rsid w:val="00B120E3"/>
    <w:rsid w:val="00B122A4"/>
    <w:rsid w:val="00B1250B"/>
    <w:rsid w:val="00B12FFF"/>
    <w:rsid w:val="00B130A6"/>
    <w:rsid w:val="00B13715"/>
    <w:rsid w:val="00B138D7"/>
    <w:rsid w:val="00B13970"/>
    <w:rsid w:val="00B141B8"/>
    <w:rsid w:val="00B141EB"/>
    <w:rsid w:val="00B149E5"/>
    <w:rsid w:val="00B14A23"/>
    <w:rsid w:val="00B14B46"/>
    <w:rsid w:val="00B14E6C"/>
    <w:rsid w:val="00B14FB3"/>
    <w:rsid w:val="00B150AE"/>
    <w:rsid w:val="00B15175"/>
    <w:rsid w:val="00B154FF"/>
    <w:rsid w:val="00B1562B"/>
    <w:rsid w:val="00B15653"/>
    <w:rsid w:val="00B15B89"/>
    <w:rsid w:val="00B15EB4"/>
    <w:rsid w:val="00B16344"/>
    <w:rsid w:val="00B166C7"/>
    <w:rsid w:val="00B16D3B"/>
    <w:rsid w:val="00B17A1D"/>
    <w:rsid w:val="00B17E2B"/>
    <w:rsid w:val="00B17E43"/>
    <w:rsid w:val="00B20301"/>
    <w:rsid w:val="00B2060C"/>
    <w:rsid w:val="00B2070A"/>
    <w:rsid w:val="00B207B8"/>
    <w:rsid w:val="00B209A3"/>
    <w:rsid w:val="00B20DCF"/>
    <w:rsid w:val="00B21412"/>
    <w:rsid w:val="00B214CD"/>
    <w:rsid w:val="00B215E5"/>
    <w:rsid w:val="00B21CED"/>
    <w:rsid w:val="00B21FF7"/>
    <w:rsid w:val="00B22273"/>
    <w:rsid w:val="00B225CC"/>
    <w:rsid w:val="00B234C8"/>
    <w:rsid w:val="00B23880"/>
    <w:rsid w:val="00B23883"/>
    <w:rsid w:val="00B23928"/>
    <w:rsid w:val="00B23B63"/>
    <w:rsid w:val="00B2425D"/>
    <w:rsid w:val="00B246CF"/>
    <w:rsid w:val="00B246E5"/>
    <w:rsid w:val="00B24CAF"/>
    <w:rsid w:val="00B24E87"/>
    <w:rsid w:val="00B25032"/>
    <w:rsid w:val="00B2508F"/>
    <w:rsid w:val="00B25C5E"/>
    <w:rsid w:val="00B25D38"/>
    <w:rsid w:val="00B2613F"/>
    <w:rsid w:val="00B263E3"/>
    <w:rsid w:val="00B26546"/>
    <w:rsid w:val="00B26987"/>
    <w:rsid w:val="00B269DF"/>
    <w:rsid w:val="00B27757"/>
    <w:rsid w:val="00B277CB"/>
    <w:rsid w:val="00B27A85"/>
    <w:rsid w:val="00B27B1A"/>
    <w:rsid w:val="00B27B7C"/>
    <w:rsid w:val="00B27C71"/>
    <w:rsid w:val="00B27DB2"/>
    <w:rsid w:val="00B27DDB"/>
    <w:rsid w:val="00B303DE"/>
    <w:rsid w:val="00B3099A"/>
    <w:rsid w:val="00B312E0"/>
    <w:rsid w:val="00B3131F"/>
    <w:rsid w:val="00B313E2"/>
    <w:rsid w:val="00B31A9E"/>
    <w:rsid w:val="00B31B2B"/>
    <w:rsid w:val="00B31E21"/>
    <w:rsid w:val="00B31FEF"/>
    <w:rsid w:val="00B322B5"/>
    <w:rsid w:val="00B32730"/>
    <w:rsid w:val="00B327D5"/>
    <w:rsid w:val="00B32846"/>
    <w:rsid w:val="00B328EB"/>
    <w:rsid w:val="00B33107"/>
    <w:rsid w:val="00B333CA"/>
    <w:rsid w:val="00B3376D"/>
    <w:rsid w:val="00B3377F"/>
    <w:rsid w:val="00B337A6"/>
    <w:rsid w:val="00B337FA"/>
    <w:rsid w:val="00B33B17"/>
    <w:rsid w:val="00B33CFB"/>
    <w:rsid w:val="00B34304"/>
    <w:rsid w:val="00B34747"/>
    <w:rsid w:val="00B34B3A"/>
    <w:rsid w:val="00B34CC7"/>
    <w:rsid w:val="00B3532B"/>
    <w:rsid w:val="00B3533A"/>
    <w:rsid w:val="00B357E2"/>
    <w:rsid w:val="00B35D2D"/>
    <w:rsid w:val="00B35D30"/>
    <w:rsid w:val="00B35E57"/>
    <w:rsid w:val="00B36D39"/>
    <w:rsid w:val="00B36DA7"/>
    <w:rsid w:val="00B370C9"/>
    <w:rsid w:val="00B37247"/>
    <w:rsid w:val="00B372AC"/>
    <w:rsid w:val="00B3749A"/>
    <w:rsid w:val="00B3779A"/>
    <w:rsid w:val="00B379BD"/>
    <w:rsid w:val="00B37A75"/>
    <w:rsid w:val="00B37B25"/>
    <w:rsid w:val="00B37D42"/>
    <w:rsid w:val="00B40206"/>
    <w:rsid w:val="00B40233"/>
    <w:rsid w:val="00B4042E"/>
    <w:rsid w:val="00B40564"/>
    <w:rsid w:val="00B40650"/>
    <w:rsid w:val="00B40710"/>
    <w:rsid w:val="00B40879"/>
    <w:rsid w:val="00B4093F"/>
    <w:rsid w:val="00B40E28"/>
    <w:rsid w:val="00B40EEE"/>
    <w:rsid w:val="00B4181E"/>
    <w:rsid w:val="00B41DF8"/>
    <w:rsid w:val="00B41F07"/>
    <w:rsid w:val="00B41FD0"/>
    <w:rsid w:val="00B420D5"/>
    <w:rsid w:val="00B42238"/>
    <w:rsid w:val="00B42482"/>
    <w:rsid w:val="00B42638"/>
    <w:rsid w:val="00B426FF"/>
    <w:rsid w:val="00B42AF2"/>
    <w:rsid w:val="00B42C05"/>
    <w:rsid w:val="00B431B0"/>
    <w:rsid w:val="00B4320A"/>
    <w:rsid w:val="00B435E9"/>
    <w:rsid w:val="00B438BB"/>
    <w:rsid w:val="00B43BD7"/>
    <w:rsid w:val="00B43E1E"/>
    <w:rsid w:val="00B44463"/>
    <w:rsid w:val="00B44491"/>
    <w:rsid w:val="00B445A7"/>
    <w:rsid w:val="00B447BF"/>
    <w:rsid w:val="00B45265"/>
    <w:rsid w:val="00B455F0"/>
    <w:rsid w:val="00B45C63"/>
    <w:rsid w:val="00B460D0"/>
    <w:rsid w:val="00B4632E"/>
    <w:rsid w:val="00B4672E"/>
    <w:rsid w:val="00B468D4"/>
    <w:rsid w:val="00B469C1"/>
    <w:rsid w:val="00B46BA7"/>
    <w:rsid w:val="00B46BD6"/>
    <w:rsid w:val="00B47107"/>
    <w:rsid w:val="00B4762C"/>
    <w:rsid w:val="00B476E6"/>
    <w:rsid w:val="00B479B0"/>
    <w:rsid w:val="00B47B14"/>
    <w:rsid w:val="00B500AA"/>
    <w:rsid w:val="00B500FF"/>
    <w:rsid w:val="00B506CA"/>
    <w:rsid w:val="00B50732"/>
    <w:rsid w:val="00B5097F"/>
    <w:rsid w:val="00B50A0E"/>
    <w:rsid w:val="00B5105E"/>
    <w:rsid w:val="00B5114E"/>
    <w:rsid w:val="00B514F1"/>
    <w:rsid w:val="00B5182C"/>
    <w:rsid w:val="00B518A1"/>
    <w:rsid w:val="00B51A0E"/>
    <w:rsid w:val="00B51BBA"/>
    <w:rsid w:val="00B5230E"/>
    <w:rsid w:val="00B52362"/>
    <w:rsid w:val="00B52997"/>
    <w:rsid w:val="00B52AE7"/>
    <w:rsid w:val="00B52DA8"/>
    <w:rsid w:val="00B534E0"/>
    <w:rsid w:val="00B536AA"/>
    <w:rsid w:val="00B538D3"/>
    <w:rsid w:val="00B53DD6"/>
    <w:rsid w:val="00B5410C"/>
    <w:rsid w:val="00B5411D"/>
    <w:rsid w:val="00B541E7"/>
    <w:rsid w:val="00B54E36"/>
    <w:rsid w:val="00B550B8"/>
    <w:rsid w:val="00B551C0"/>
    <w:rsid w:val="00B55409"/>
    <w:rsid w:val="00B55BB8"/>
    <w:rsid w:val="00B55C46"/>
    <w:rsid w:val="00B55DBC"/>
    <w:rsid w:val="00B560D5"/>
    <w:rsid w:val="00B5610F"/>
    <w:rsid w:val="00B5630F"/>
    <w:rsid w:val="00B563EA"/>
    <w:rsid w:val="00B5645E"/>
    <w:rsid w:val="00B568B4"/>
    <w:rsid w:val="00B56B5D"/>
    <w:rsid w:val="00B56FD8"/>
    <w:rsid w:val="00B573CB"/>
    <w:rsid w:val="00B57731"/>
    <w:rsid w:val="00B57825"/>
    <w:rsid w:val="00B57BDF"/>
    <w:rsid w:val="00B57DA9"/>
    <w:rsid w:val="00B600D1"/>
    <w:rsid w:val="00B60116"/>
    <w:rsid w:val="00B605B1"/>
    <w:rsid w:val="00B60A36"/>
    <w:rsid w:val="00B610BD"/>
    <w:rsid w:val="00B6183B"/>
    <w:rsid w:val="00B618D9"/>
    <w:rsid w:val="00B61DA7"/>
    <w:rsid w:val="00B620A1"/>
    <w:rsid w:val="00B6223C"/>
    <w:rsid w:val="00B6237C"/>
    <w:rsid w:val="00B62DD7"/>
    <w:rsid w:val="00B630C4"/>
    <w:rsid w:val="00B6329D"/>
    <w:rsid w:val="00B6355A"/>
    <w:rsid w:val="00B636B9"/>
    <w:rsid w:val="00B639BA"/>
    <w:rsid w:val="00B64235"/>
    <w:rsid w:val="00B64501"/>
    <w:rsid w:val="00B64578"/>
    <w:rsid w:val="00B64880"/>
    <w:rsid w:val="00B6489A"/>
    <w:rsid w:val="00B64C00"/>
    <w:rsid w:val="00B64D9C"/>
    <w:rsid w:val="00B64FDC"/>
    <w:rsid w:val="00B654BB"/>
    <w:rsid w:val="00B655C5"/>
    <w:rsid w:val="00B65818"/>
    <w:rsid w:val="00B661D5"/>
    <w:rsid w:val="00B668C2"/>
    <w:rsid w:val="00B66BAB"/>
    <w:rsid w:val="00B66DDE"/>
    <w:rsid w:val="00B670FC"/>
    <w:rsid w:val="00B671C2"/>
    <w:rsid w:val="00B67236"/>
    <w:rsid w:val="00B67349"/>
    <w:rsid w:val="00B6743B"/>
    <w:rsid w:val="00B676A2"/>
    <w:rsid w:val="00B6772B"/>
    <w:rsid w:val="00B67B46"/>
    <w:rsid w:val="00B67D34"/>
    <w:rsid w:val="00B70158"/>
    <w:rsid w:val="00B7020A"/>
    <w:rsid w:val="00B702D5"/>
    <w:rsid w:val="00B7031D"/>
    <w:rsid w:val="00B707DF"/>
    <w:rsid w:val="00B70BBF"/>
    <w:rsid w:val="00B71A2C"/>
    <w:rsid w:val="00B71CEC"/>
    <w:rsid w:val="00B71E44"/>
    <w:rsid w:val="00B71F7E"/>
    <w:rsid w:val="00B71FE7"/>
    <w:rsid w:val="00B7206C"/>
    <w:rsid w:val="00B7256B"/>
    <w:rsid w:val="00B72722"/>
    <w:rsid w:val="00B73437"/>
    <w:rsid w:val="00B73846"/>
    <w:rsid w:val="00B73C77"/>
    <w:rsid w:val="00B74439"/>
    <w:rsid w:val="00B74666"/>
    <w:rsid w:val="00B748B7"/>
    <w:rsid w:val="00B750C1"/>
    <w:rsid w:val="00B750E1"/>
    <w:rsid w:val="00B751C7"/>
    <w:rsid w:val="00B7545D"/>
    <w:rsid w:val="00B755D7"/>
    <w:rsid w:val="00B75EB5"/>
    <w:rsid w:val="00B76312"/>
    <w:rsid w:val="00B7634F"/>
    <w:rsid w:val="00B767BE"/>
    <w:rsid w:val="00B768AD"/>
    <w:rsid w:val="00B76959"/>
    <w:rsid w:val="00B76D07"/>
    <w:rsid w:val="00B7748A"/>
    <w:rsid w:val="00B77931"/>
    <w:rsid w:val="00B7795C"/>
    <w:rsid w:val="00B77C85"/>
    <w:rsid w:val="00B77EC6"/>
    <w:rsid w:val="00B77F79"/>
    <w:rsid w:val="00B80256"/>
    <w:rsid w:val="00B8025C"/>
    <w:rsid w:val="00B802C6"/>
    <w:rsid w:val="00B8040C"/>
    <w:rsid w:val="00B80425"/>
    <w:rsid w:val="00B806B0"/>
    <w:rsid w:val="00B808CC"/>
    <w:rsid w:val="00B80B70"/>
    <w:rsid w:val="00B80B75"/>
    <w:rsid w:val="00B8100B"/>
    <w:rsid w:val="00B810C6"/>
    <w:rsid w:val="00B8151E"/>
    <w:rsid w:val="00B8167D"/>
    <w:rsid w:val="00B8172E"/>
    <w:rsid w:val="00B81F26"/>
    <w:rsid w:val="00B8261B"/>
    <w:rsid w:val="00B82F4E"/>
    <w:rsid w:val="00B82F6B"/>
    <w:rsid w:val="00B8355D"/>
    <w:rsid w:val="00B83758"/>
    <w:rsid w:val="00B83957"/>
    <w:rsid w:val="00B83B0F"/>
    <w:rsid w:val="00B83E15"/>
    <w:rsid w:val="00B83E41"/>
    <w:rsid w:val="00B84671"/>
    <w:rsid w:val="00B84788"/>
    <w:rsid w:val="00B84CA0"/>
    <w:rsid w:val="00B84F69"/>
    <w:rsid w:val="00B8534F"/>
    <w:rsid w:val="00B85ACF"/>
    <w:rsid w:val="00B85C88"/>
    <w:rsid w:val="00B85E53"/>
    <w:rsid w:val="00B8623F"/>
    <w:rsid w:val="00B86553"/>
    <w:rsid w:val="00B86606"/>
    <w:rsid w:val="00B86B12"/>
    <w:rsid w:val="00B86BFD"/>
    <w:rsid w:val="00B86C58"/>
    <w:rsid w:val="00B86EB6"/>
    <w:rsid w:val="00B86F66"/>
    <w:rsid w:val="00B87266"/>
    <w:rsid w:val="00B874BC"/>
    <w:rsid w:val="00B876BE"/>
    <w:rsid w:val="00B876F1"/>
    <w:rsid w:val="00B876F7"/>
    <w:rsid w:val="00B87B2B"/>
    <w:rsid w:val="00B901AB"/>
    <w:rsid w:val="00B9047E"/>
    <w:rsid w:val="00B90483"/>
    <w:rsid w:val="00B906A2"/>
    <w:rsid w:val="00B908D8"/>
    <w:rsid w:val="00B9102E"/>
    <w:rsid w:val="00B913A6"/>
    <w:rsid w:val="00B913FF"/>
    <w:rsid w:val="00B91507"/>
    <w:rsid w:val="00B91704"/>
    <w:rsid w:val="00B917FE"/>
    <w:rsid w:val="00B91C2F"/>
    <w:rsid w:val="00B91E15"/>
    <w:rsid w:val="00B91FB1"/>
    <w:rsid w:val="00B92038"/>
    <w:rsid w:val="00B9227C"/>
    <w:rsid w:val="00B92548"/>
    <w:rsid w:val="00B9268A"/>
    <w:rsid w:val="00B92EE6"/>
    <w:rsid w:val="00B9311C"/>
    <w:rsid w:val="00B93674"/>
    <w:rsid w:val="00B93854"/>
    <w:rsid w:val="00B939F0"/>
    <w:rsid w:val="00B93B4D"/>
    <w:rsid w:val="00B947B6"/>
    <w:rsid w:val="00B94815"/>
    <w:rsid w:val="00B94884"/>
    <w:rsid w:val="00B94BCD"/>
    <w:rsid w:val="00B94BE3"/>
    <w:rsid w:val="00B94CBB"/>
    <w:rsid w:val="00B95043"/>
    <w:rsid w:val="00B9506E"/>
    <w:rsid w:val="00B951A3"/>
    <w:rsid w:val="00B952CB"/>
    <w:rsid w:val="00B95602"/>
    <w:rsid w:val="00B956A3"/>
    <w:rsid w:val="00B95A88"/>
    <w:rsid w:val="00B96184"/>
    <w:rsid w:val="00B96C9E"/>
    <w:rsid w:val="00B96DB8"/>
    <w:rsid w:val="00B970BA"/>
    <w:rsid w:val="00B97216"/>
    <w:rsid w:val="00B974D5"/>
    <w:rsid w:val="00B978FE"/>
    <w:rsid w:val="00B97CC7"/>
    <w:rsid w:val="00B97F1C"/>
    <w:rsid w:val="00B97FCB"/>
    <w:rsid w:val="00BA01BE"/>
    <w:rsid w:val="00BA081A"/>
    <w:rsid w:val="00BA0A30"/>
    <w:rsid w:val="00BA0CBC"/>
    <w:rsid w:val="00BA0ED8"/>
    <w:rsid w:val="00BA0F7A"/>
    <w:rsid w:val="00BA0FA6"/>
    <w:rsid w:val="00BA13FE"/>
    <w:rsid w:val="00BA14F6"/>
    <w:rsid w:val="00BA1596"/>
    <w:rsid w:val="00BA22B8"/>
    <w:rsid w:val="00BA262F"/>
    <w:rsid w:val="00BA26B7"/>
    <w:rsid w:val="00BA2758"/>
    <w:rsid w:val="00BA2BF4"/>
    <w:rsid w:val="00BA2D5C"/>
    <w:rsid w:val="00BA30DA"/>
    <w:rsid w:val="00BA36E2"/>
    <w:rsid w:val="00BA3BD9"/>
    <w:rsid w:val="00BA3D9B"/>
    <w:rsid w:val="00BA42B3"/>
    <w:rsid w:val="00BA4863"/>
    <w:rsid w:val="00BA4971"/>
    <w:rsid w:val="00BA529E"/>
    <w:rsid w:val="00BA5B43"/>
    <w:rsid w:val="00BA5F92"/>
    <w:rsid w:val="00BA63E8"/>
    <w:rsid w:val="00BA6AD8"/>
    <w:rsid w:val="00BA6CE7"/>
    <w:rsid w:val="00BA6DFD"/>
    <w:rsid w:val="00BA6F93"/>
    <w:rsid w:val="00BA6FCC"/>
    <w:rsid w:val="00BA75C4"/>
    <w:rsid w:val="00BA7A81"/>
    <w:rsid w:val="00BA7D0A"/>
    <w:rsid w:val="00BA7D2F"/>
    <w:rsid w:val="00BB09F4"/>
    <w:rsid w:val="00BB0C8C"/>
    <w:rsid w:val="00BB0DE8"/>
    <w:rsid w:val="00BB1496"/>
    <w:rsid w:val="00BB1DDB"/>
    <w:rsid w:val="00BB1E16"/>
    <w:rsid w:val="00BB2063"/>
    <w:rsid w:val="00BB2112"/>
    <w:rsid w:val="00BB2128"/>
    <w:rsid w:val="00BB22FE"/>
    <w:rsid w:val="00BB246A"/>
    <w:rsid w:val="00BB2BE2"/>
    <w:rsid w:val="00BB2F53"/>
    <w:rsid w:val="00BB2F7C"/>
    <w:rsid w:val="00BB310F"/>
    <w:rsid w:val="00BB33FF"/>
    <w:rsid w:val="00BB381C"/>
    <w:rsid w:val="00BB3A85"/>
    <w:rsid w:val="00BB3AAD"/>
    <w:rsid w:val="00BB40B9"/>
    <w:rsid w:val="00BB4555"/>
    <w:rsid w:val="00BB45F0"/>
    <w:rsid w:val="00BB4630"/>
    <w:rsid w:val="00BB4859"/>
    <w:rsid w:val="00BB49DC"/>
    <w:rsid w:val="00BB4C0D"/>
    <w:rsid w:val="00BB510B"/>
    <w:rsid w:val="00BB51C2"/>
    <w:rsid w:val="00BB52D9"/>
    <w:rsid w:val="00BB5372"/>
    <w:rsid w:val="00BB557E"/>
    <w:rsid w:val="00BB55E4"/>
    <w:rsid w:val="00BB5728"/>
    <w:rsid w:val="00BB5AFF"/>
    <w:rsid w:val="00BB5C67"/>
    <w:rsid w:val="00BB5F8C"/>
    <w:rsid w:val="00BB66E3"/>
    <w:rsid w:val="00BB6A88"/>
    <w:rsid w:val="00BB6BDA"/>
    <w:rsid w:val="00BB6EAC"/>
    <w:rsid w:val="00BB7102"/>
    <w:rsid w:val="00BB71D2"/>
    <w:rsid w:val="00BB7264"/>
    <w:rsid w:val="00BB7375"/>
    <w:rsid w:val="00BB75F4"/>
    <w:rsid w:val="00BB7704"/>
    <w:rsid w:val="00BB7A9C"/>
    <w:rsid w:val="00BB7B55"/>
    <w:rsid w:val="00BB7CEB"/>
    <w:rsid w:val="00BC0AA1"/>
    <w:rsid w:val="00BC0C0D"/>
    <w:rsid w:val="00BC1528"/>
    <w:rsid w:val="00BC1CF9"/>
    <w:rsid w:val="00BC20B0"/>
    <w:rsid w:val="00BC229D"/>
    <w:rsid w:val="00BC2708"/>
    <w:rsid w:val="00BC29CA"/>
    <w:rsid w:val="00BC2E95"/>
    <w:rsid w:val="00BC312C"/>
    <w:rsid w:val="00BC3166"/>
    <w:rsid w:val="00BC3264"/>
    <w:rsid w:val="00BC33AC"/>
    <w:rsid w:val="00BC3474"/>
    <w:rsid w:val="00BC3B55"/>
    <w:rsid w:val="00BC4418"/>
    <w:rsid w:val="00BC459E"/>
    <w:rsid w:val="00BC47ED"/>
    <w:rsid w:val="00BC48BD"/>
    <w:rsid w:val="00BC492C"/>
    <w:rsid w:val="00BC4AED"/>
    <w:rsid w:val="00BC51B0"/>
    <w:rsid w:val="00BC52D5"/>
    <w:rsid w:val="00BC541D"/>
    <w:rsid w:val="00BC5802"/>
    <w:rsid w:val="00BC5D25"/>
    <w:rsid w:val="00BC60FF"/>
    <w:rsid w:val="00BC61E6"/>
    <w:rsid w:val="00BC6E38"/>
    <w:rsid w:val="00BC6F33"/>
    <w:rsid w:val="00BC6F5B"/>
    <w:rsid w:val="00BC706A"/>
    <w:rsid w:val="00BC7077"/>
    <w:rsid w:val="00BC743A"/>
    <w:rsid w:val="00BC792C"/>
    <w:rsid w:val="00BD08A5"/>
    <w:rsid w:val="00BD1004"/>
    <w:rsid w:val="00BD1037"/>
    <w:rsid w:val="00BD123B"/>
    <w:rsid w:val="00BD144C"/>
    <w:rsid w:val="00BD1F6C"/>
    <w:rsid w:val="00BD203A"/>
    <w:rsid w:val="00BD204D"/>
    <w:rsid w:val="00BD2417"/>
    <w:rsid w:val="00BD2618"/>
    <w:rsid w:val="00BD2A14"/>
    <w:rsid w:val="00BD2BEE"/>
    <w:rsid w:val="00BD3F22"/>
    <w:rsid w:val="00BD486D"/>
    <w:rsid w:val="00BD489C"/>
    <w:rsid w:val="00BD49CE"/>
    <w:rsid w:val="00BD4F73"/>
    <w:rsid w:val="00BD4F75"/>
    <w:rsid w:val="00BD4F96"/>
    <w:rsid w:val="00BD52CD"/>
    <w:rsid w:val="00BD56B5"/>
    <w:rsid w:val="00BD5BAD"/>
    <w:rsid w:val="00BD5BC6"/>
    <w:rsid w:val="00BD5BE9"/>
    <w:rsid w:val="00BD5E48"/>
    <w:rsid w:val="00BD6245"/>
    <w:rsid w:val="00BD63A8"/>
    <w:rsid w:val="00BD63B2"/>
    <w:rsid w:val="00BD66B6"/>
    <w:rsid w:val="00BD676F"/>
    <w:rsid w:val="00BD6910"/>
    <w:rsid w:val="00BD6F74"/>
    <w:rsid w:val="00BD71B5"/>
    <w:rsid w:val="00BD7295"/>
    <w:rsid w:val="00BD7D42"/>
    <w:rsid w:val="00BD7D56"/>
    <w:rsid w:val="00BD7DE6"/>
    <w:rsid w:val="00BE043D"/>
    <w:rsid w:val="00BE0461"/>
    <w:rsid w:val="00BE10A9"/>
    <w:rsid w:val="00BE12E6"/>
    <w:rsid w:val="00BE1323"/>
    <w:rsid w:val="00BE1898"/>
    <w:rsid w:val="00BE2128"/>
    <w:rsid w:val="00BE2138"/>
    <w:rsid w:val="00BE30FF"/>
    <w:rsid w:val="00BE31B3"/>
    <w:rsid w:val="00BE34E8"/>
    <w:rsid w:val="00BE35A4"/>
    <w:rsid w:val="00BE3CB0"/>
    <w:rsid w:val="00BE416C"/>
    <w:rsid w:val="00BE4554"/>
    <w:rsid w:val="00BE4784"/>
    <w:rsid w:val="00BE4857"/>
    <w:rsid w:val="00BE4A1E"/>
    <w:rsid w:val="00BE4AB5"/>
    <w:rsid w:val="00BE4D5C"/>
    <w:rsid w:val="00BE4DA7"/>
    <w:rsid w:val="00BE4ECD"/>
    <w:rsid w:val="00BE4FC7"/>
    <w:rsid w:val="00BE5062"/>
    <w:rsid w:val="00BE5227"/>
    <w:rsid w:val="00BE5377"/>
    <w:rsid w:val="00BE5417"/>
    <w:rsid w:val="00BE54CE"/>
    <w:rsid w:val="00BE5EE1"/>
    <w:rsid w:val="00BE6008"/>
    <w:rsid w:val="00BE66E0"/>
    <w:rsid w:val="00BE6AA9"/>
    <w:rsid w:val="00BE6F31"/>
    <w:rsid w:val="00BE744F"/>
    <w:rsid w:val="00BE74F1"/>
    <w:rsid w:val="00BE7541"/>
    <w:rsid w:val="00BE76EE"/>
    <w:rsid w:val="00BE77AD"/>
    <w:rsid w:val="00BE7977"/>
    <w:rsid w:val="00BE7CAA"/>
    <w:rsid w:val="00BE7E6B"/>
    <w:rsid w:val="00BF02AF"/>
    <w:rsid w:val="00BF05D1"/>
    <w:rsid w:val="00BF08AC"/>
    <w:rsid w:val="00BF0967"/>
    <w:rsid w:val="00BF09E2"/>
    <w:rsid w:val="00BF0E82"/>
    <w:rsid w:val="00BF1142"/>
    <w:rsid w:val="00BF1371"/>
    <w:rsid w:val="00BF1670"/>
    <w:rsid w:val="00BF20D1"/>
    <w:rsid w:val="00BF260E"/>
    <w:rsid w:val="00BF26A8"/>
    <w:rsid w:val="00BF2902"/>
    <w:rsid w:val="00BF2C67"/>
    <w:rsid w:val="00BF319E"/>
    <w:rsid w:val="00BF35A9"/>
    <w:rsid w:val="00BF3FD6"/>
    <w:rsid w:val="00BF4087"/>
    <w:rsid w:val="00BF40F9"/>
    <w:rsid w:val="00BF41C6"/>
    <w:rsid w:val="00BF4583"/>
    <w:rsid w:val="00BF49C3"/>
    <w:rsid w:val="00BF4B3F"/>
    <w:rsid w:val="00BF4BBE"/>
    <w:rsid w:val="00BF4BF9"/>
    <w:rsid w:val="00BF4D79"/>
    <w:rsid w:val="00BF5208"/>
    <w:rsid w:val="00BF53B4"/>
    <w:rsid w:val="00BF53D5"/>
    <w:rsid w:val="00BF56AA"/>
    <w:rsid w:val="00BF59F8"/>
    <w:rsid w:val="00BF5A18"/>
    <w:rsid w:val="00BF5C8B"/>
    <w:rsid w:val="00BF5DE8"/>
    <w:rsid w:val="00BF697F"/>
    <w:rsid w:val="00BF69CD"/>
    <w:rsid w:val="00BF6AB2"/>
    <w:rsid w:val="00BF7090"/>
    <w:rsid w:val="00BF7199"/>
    <w:rsid w:val="00BF7802"/>
    <w:rsid w:val="00BF798A"/>
    <w:rsid w:val="00BF79B2"/>
    <w:rsid w:val="00C0014C"/>
    <w:rsid w:val="00C0063D"/>
    <w:rsid w:val="00C00852"/>
    <w:rsid w:val="00C00B25"/>
    <w:rsid w:val="00C00B3C"/>
    <w:rsid w:val="00C00BF7"/>
    <w:rsid w:val="00C00DC4"/>
    <w:rsid w:val="00C00EF4"/>
    <w:rsid w:val="00C00F66"/>
    <w:rsid w:val="00C011D6"/>
    <w:rsid w:val="00C01474"/>
    <w:rsid w:val="00C017CD"/>
    <w:rsid w:val="00C01AEB"/>
    <w:rsid w:val="00C01C8D"/>
    <w:rsid w:val="00C01D38"/>
    <w:rsid w:val="00C01DFC"/>
    <w:rsid w:val="00C02355"/>
    <w:rsid w:val="00C02538"/>
    <w:rsid w:val="00C02A74"/>
    <w:rsid w:val="00C02E57"/>
    <w:rsid w:val="00C02EEB"/>
    <w:rsid w:val="00C02F05"/>
    <w:rsid w:val="00C02FC3"/>
    <w:rsid w:val="00C02FCA"/>
    <w:rsid w:val="00C030AD"/>
    <w:rsid w:val="00C03245"/>
    <w:rsid w:val="00C03397"/>
    <w:rsid w:val="00C03997"/>
    <w:rsid w:val="00C03D57"/>
    <w:rsid w:val="00C04138"/>
    <w:rsid w:val="00C043AC"/>
    <w:rsid w:val="00C048E5"/>
    <w:rsid w:val="00C0491B"/>
    <w:rsid w:val="00C04A9C"/>
    <w:rsid w:val="00C04D39"/>
    <w:rsid w:val="00C04E7A"/>
    <w:rsid w:val="00C04EB0"/>
    <w:rsid w:val="00C05345"/>
    <w:rsid w:val="00C05F7D"/>
    <w:rsid w:val="00C06106"/>
    <w:rsid w:val="00C0689C"/>
    <w:rsid w:val="00C07220"/>
    <w:rsid w:val="00C0727B"/>
    <w:rsid w:val="00C1004F"/>
    <w:rsid w:val="00C1088D"/>
    <w:rsid w:val="00C108BE"/>
    <w:rsid w:val="00C10C19"/>
    <w:rsid w:val="00C10CF4"/>
    <w:rsid w:val="00C10EE6"/>
    <w:rsid w:val="00C112A2"/>
    <w:rsid w:val="00C11BA3"/>
    <w:rsid w:val="00C11C44"/>
    <w:rsid w:val="00C11CD3"/>
    <w:rsid w:val="00C1237F"/>
    <w:rsid w:val="00C1287F"/>
    <w:rsid w:val="00C12C44"/>
    <w:rsid w:val="00C12CF0"/>
    <w:rsid w:val="00C12D03"/>
    <w:rsid w:val="00C12DE0"/>
    <w:rsid w:val="00C12FC0"/>
    <w:rsid w:val="00C13553"/>
    <w:rsid w:val="00C13A51"/>
    <w:rsid w:val="00C13B6B"/>
    <w:rsid w:val="00C13B7F"/>
    <w:rsid w:val="00C13FCF"/>
    <w:rsid w:val="00C14119"/>
    <w:rsid w:val="00C14151"/>
    <w:rsid w:val="00C141DB"/>
    <w:rsid w:val="00C1463E"/>
    <w:rsid w:val="00C14672"/>
    <w:rsid w:val="00C147CF"/>
    <w:rsid w:val="00C14A00"/>
    <w:rsid w:val="00C1505A"/>
    <w:rsid w:val="00C154DF"/>
    <w:rsid w:val="00C155B0"/>
    <w:rsid w:val="00C15A88"/>
    <w:rsid w:val="00C15B40"/>
    <w:rsid w:val="00C15B53"/>
    <w:rsid w:val="00C15B9E"/>
    <w:rsid w:val="00C162F1"/>
    <w:rsid w:val="00C164B6"/>
    <w:rsid w:val="00C1666E"/>
    <w:rsid w:val="00C16749"/>
    <w:rsid w:val="00C16890"/>
    <w:rsid w:val="00C16D1F"/>
    <w:rsid w:val="00C16F27"/>
    <w:rsid w:val="00C17252"/>
    <w:rsid w:val="00C1730D"/>
    <w:rsid w:val="00C17424"/>
    <w:rsid w:val="00C17970"/>
    <w:rsid w:val="00C17A56"/>
    <w:rsid w:val="00C17AA2"/>
    <w:rsid w:val="00C17C0B"/>
    <w:rsid w:val="00C20BCA"/>
    <w:rsid w:val="00C20CA0"/>
    <w:rsid w:val="00C20FF8"/>
    <w:rsid w:val="00C213A8"/>
    <w:rsid w:val="00C2148A"/>
    <w:rsid w:val="00C21AB9"/>
    <w:rsid w:val="00C21AC7"/>
    <w:rsid w:val="00C225CC"/>
    <w:rsid w:val="00C22814"/>
    <w:rsid w:val="00C22863"/>
    <w:rsid w:val="00C23795"/>
    <w:rsid w:val="00C23A26"/>
    <w:rsid w:val="00C23C98"/>
    <w:rsid w:val="00C23EBC"/>
    <w:rsid w:val="00C23F0D"/>
    <w:rsid w:val="00C24095"/>
    <w:rsid w:val="00C2414A"/>
    <w:rsid w:val="00C241F6"/>
    <w:rsid w:val="00C24CEA"/>
    <w:rsid w:val="00C24D62"/>
    <w:rsid w:val="00C24F99"/>
    <w:rsid w:val="00C252CA"/>
    <w:rsid w:val="00C25542"/>
    <w:rsid w:val="00C255FA"/>
    <w:rsid w:val="00C2579C"/>
    <w:rsid w:val="00C25B5B"/>
    <w:rsid w:val="00C2651F"/>
    <w:rsid w:val="00C26773"/>
    <w:rsid w:val="00C26817"/>
    <w:rsid w:val="00C26CBE"/>
    <w:rsid w:val="00C26E7C"/>
    <w:rsid w:val="00C26F7A"/>
    <w:rsid w:val="00C2752A"/>
    <w:rsid w:val="00C278B4"/>
    <w:rsid w:val="00C2799F"/>
    <w:rsid w:val="00C279A4"/>
    <w:rsid w:val="00C279DC"/>
    <w:rsid w:val="00C30594"/>
    <w:rsid w:val="00C307B7"/>
    <w:rsid w:val="00C30950"/>
    <w:rsid w:val="00C30B9F"/>
    <w:rsid w:val="00C30D51"/>
    <w:rsid w:val="00C31366"/>
    <w:rsid w:val="00C3169B"/>
    <w:rsid w:val="00C31751"/>
    <w:rsid w:val="00C3193F"/>
    <w:rsid w:val="00C31A0E"/>
    <w:rsid w:val="00C31CCB"/>
    <w:rsid w:val="00C31FF8"/>
    <w:rsid w:val="00C3233C"/>
    <w:rsid w:val="00C32461"/>
    <w:rsid w:val="00C324CD"/>
    <w:rsid w:val="00C327E7"/>
    <w:rsid w:val="00C32B18"/>
    <w:rsid w:val="00C330F2"/>
    <w:rsid w:val="00C33268"/>
    <w:rsid w:val="00C3337A"/>
    <w:rsid w:val="00C3360E"/>
    <w:rsid w:val="00C33C19"/>
    <w:rsid w:val="00C33F2C"/>
    <w:rsid w:val="00C34015"/>
    <w:rsid w:val="00C343FA"/>
    <w:rsid w:val="00C34493"/>
    <w:rsid w:val="00C34740"/>
    <w:rsid w:val="00C34962"/>
    <w:rsid w:val="00C34B0A"/>
    <w:rsid w:val="00C34B5B"/>
    <w:rsid w:val="00C34B87"/>
    <w:rsid w:val="00C3574F"/>
    <w:rsid w:val="00C357A2"/>
    <w:rsid w:val="00C35809"/>
    <w:rsid w:val="00C35DF9"/>
    <w:rsid w:val="00C35E6F"/>
    <w:rsid w:val="00C36521"/>
    <w:rsid w:val="00C367E4"/>
    <w:rsid w:val="00C36D63"/>
    <w:rsid w:val="00C36EC0"/>
    <w:rsid w:val="00C37C28"/>
    <w:rsid w:val="00C37DD3"/>
    <w:rsid w:val="00C37F28"/>
    <w:rsid w:val="00C403E1"/>
    <w:rsid w:val="00C40577"/>
    <w:rsid w:val="00C40B33"/>
    <w:rsid w:val="00C40D42"/>
    <w:rsid w:val="00C4105D"/>
    <w:rsid w:val="00C41334"/>
    <w:rsid w:val="00C41575"/>
    <w:rsid w:val="00C41965"/>
    <w:rsid w:val="00C41B5B"/>
    <w:rsid w:val="00C41CA1"/>
    <w:rsid w:val="00C4207C"/>
    <w:rsid w:val="00C42217"/>
    <w:rsid w:val="00C42387"/>
    <w:rsid w:val="00C424D7"/>
    <w:rsid w:val="00C4257E"/>
    <w:rsid w:val="00C4268C"/>
    <w:rsid w:val="00C42E5E"/>
    <w:rsid w:val="00C43B99"/>
    <w:rsid w:val="00C43BA7"/>
    <w:rsid w:val="00C43BFF"/>
    <w:rsid w:val="00C43CA5"/>
    <w:rsid w:val="00C43E78"/>
    <w:rsid w:val="00C43F67"/>
    <w:rsid w:val="00C440C8"/>
    <w:rsid w:val="00C44193"/>
    <w:rsid w:val="00C449C5"/>
    <w:rsid w:val="00C44C65"/>
    <w:rsid w:val="00C45675"/>
    <w:rsid w:val="00C4595A"/>
    <w:rsid w:val="00C45F8C"/>
    <w:rsid w:val="00C4624A"/>
    <w:rsid w:val="00C4665C"/>
    <w:rsid w:val="00C46A4D"/>
    <w:rsid w:val="00C46CEE"/>
    <w:rsid w:val="00C47764"/>
    <w:rsid w:val="00C479BB"/>
    <w:rsid w:val="00C479EE"/>
    <w:rsid w:val="00C47A37"/>
    <w:rsid w:val="00C47A98"/>
    <w:rsid w:val="00C47B7F"/>
    <w:rsid w:val="00C5031F"/>
    <w:rsid w:val="00C503B7"/>
    <w:rsid w:val="00C5081C"/>
    <w:rsid w:val="00C50AA3"/>
    <w:rsid w:val="00C50AC9"/>
    <w:rsid w:val="00C50ECF"/>
    <w:rsid w:val="00C50F39"/>
    <w:rsid w:val="00C50FB1"/>
    <w:rsid w:val="00C513B8"/>
    <w:rsid w:val="00C516B5"/>
    <w:rsid w:val="00C51AC1"/>
    <w:rsid w:val="00C52094"/>
    <w:rsid w:val="00C521A0"/>
    <w:rsid w:val="00C52393"/>
    <w:rsid w:val="00C523B4"/>
    <w:rsid w:val="00C528EF"/>
    <w:rsid w:val="00C52ACC"/>
    <w:rsid w:val="00C52B50"/>
    <w:rsid w:val="00C535E4"/>
    <w:rsid w:val="00C53875"/>
    <w:rsid w:val="00C53B4B"/>
    <w:rsid w:val="00C53B7D"/>
    <w:rsid w:val="00C53E14"/>
    <w:rsid w:val="00C53F20"/>
    <w:rsid w:val="00C540C0"/>
    <w:rsid w:val="00C5449C"/>
    <w:rsid w:val="00C54716"/>
    <w:rsid w:val="00C547D2"/>
    <w:rsid w:val="00C54CCE"/>
    <w:rsid w:val="00C54FED"/>
    <w:rsid w:val="00C55056"/>
    <w:rsid w:val="00C550C1"/>
    <w:rsid w:val="00C55EDB"/>
    <w:rsid w:val="00C55EEC"/>
    <w:rsid w:val="00C561A9"/>
    <w:rsid w:val="00C56837"/>
    <w:rsid w:val="00C5686C"/>
    <w:rsid w:val="00C56AEF"/>
    <w:rsid w:val="00C56C35"/>
    <w:rsid w:val="00C56D1E"/>
    <w:rsid w:val="00C56E13"/>
    <w:rsid w:val="00C5717B"/>
    <w:rsid w:val="00C575F1"/>
    <w:rsid w:val="00C57B37"/>
    <w:rsid w:val="00C57D50"/>
    <w:rsid w:val="00C57FB4"/>
    <w:rsid w:val="00C57FC5"/>
    <w:rsid w:val="00C60351"/>
    <w:rsid w:val="00C603E1"/>
    <w:rsid w:val="00C60657"/>
    <w:rsid w:val="00C607E3"/>
    <w:rsid w:val="00C60A8F"/>
    <w:rsid w:val="00C60B73"/>
    <w:rsid w:val="00C60CCA"/>
    <w:rsid w:val="00C60D16"/>
    <w:rsid w:val="00C60E02"/>
    <w:rsid w:val="00C60E6C"/>
    <w:rsid w:val="00C60FE1"/>
    <w:rsid w:val="00C6108C"/>
    <w:rsid w:val="00C61451"/>
    <w:rsid w:val="00C617B8"/>
    <w:rsid w:val="00C618E4"/>
    <w:rsid w:val="00C619C2"/>
    <w:rsid w:val="00C61A11"/>
    <w:rsid w:val="00C61FD6"/>
    <w:rsid w:val="00C62352"/>
    <w:rsid w:val="00C62F05"/>
    <w:rsid w:val="00C63172"/>
    <w:rsid w:val="00C63284"/>
    <w:rsid w:val="00C6358E"/>
    <w:rsid w:val="00C63A55"/>
    <w:rsid w:val="00C641CB"/>
    <w:rsid w:val="00C641CD"/>
    <w:rsid w:val="00C6482B"/>
    <w:rsid w:val="00C64BDD"/>
    <w:rsid w:val="00C64BE2"/>
    <w:rsid w:val="00C64D21"/>
    <w:rsid w:val="00C65090"/>
    <w:rsid w:val="00C654FA"/>
    <w:rsid w:val="00C658AD"/>
    <w:rsid w:val="00C65C58"/>
    <w:rsid w:val="00C66122"/>
    <w:rsid w:val="00C6613D"/>
    <w:rsid w:val="00C6675B"/>
    <w:rsid w:val="00C669E3"/>
    <w:rsid w:val="00C669E4"/>
    <w:rsid w:val="00C676D3"/>
    <w:rsid w:val="00C678B2"/>
    <w:rsid w:val="00C67AD4"/>
    <w:rsid w:val="00C67C08"/>
    <w:rsid w:val="00C67D30"/>
    <w:rsid w:val="00C67F97"/>
    <w:rsid w:val="00C70031"/>
    <w:rsid w:val="00C7006C"/>
    <w:rsid w:val="00C70167"/>
    <w:rsid w:val="00C702B6"/>
    <w:rsid w:val="00C70531"/>
    <w:rsid w:val="00C70756"/>
    <w:rsid w:val="00C707E1"/>
    <w:rsid w:val="00C709A6"/>
    <w:rsid w:val="00C70C3C"/>
    <w:rsid w:val="00C70DA2"/>
    <w:rsid w:val="00C70E65"/>
    <w:rsid w:val="00C71011"/>
    <w:rsid w:val="00C7107D"/>
    <w:rsid w:val="00C71381"/>
    <w:rsid w:val="00C7139A"/>
    <w:rsid w:val="00C7167E"/>
    <w:rsid w:val="00C71919"/>
    <w:rsid w:val="00C71A00"/>
    <w:rsid w:val="00C71B07"/>
    <w:rsid w:val="00C7214E"/>
    <w:rsid w:val="00C72180"/>
    <w:rsid w:val="00C7237C"/>
    <w:rsid w:val="00C72DA3"/>
    <w:rsid w:val="00C739AC"/>
    <w:rsid w:val="00C73C4D"/>
    <w:rsid w:val="00C73DAB"/>
    <w:rsid w:val="00C73E50"/>
    <w:rsid w:val="00C74304"/>
    <w:rsid w:val="00C7465C"/>
    <w:rsid w:val="00C7472A"/>
    <w:rsid w:val="00C747BA"/>
    <w:rsid w:val="00C74965"/>
    <w:rsid w:val="00C7499E"/>
    <w:rsid w:val="00C74C8C"/>
    <w:rsid w:val="00C74FFE"/>
    <w:rsid w:val="00C75183"/>
    <w:rsid w:val="00C7533D"/>
    <w:rsid w:val="00C7547B"/>
    <w:rsid w:val="00C75524"/>
    <w:rsid w:val="00C75543"/>
    <w:rsid w:val="00C75600"/>
    <w:rsid w:val="00C75C06"/>
    <w:rsid w:val="00C75CBA"/>
    <w:rsid w:val="00C762D1"/>
    <w:rsid w:val="00C765D0"/>
    <w:rsid w:val="00C7664B"/>
    <w:rsid w:val="00C766C6"/>
    <w:rsid w:val="00C766CA"/>
    <w:rsid w:val="00C76DE4"/>
    <w:rsid w:val="00C76FB0"/>
    <w:rsid w:val="00C770B9"/>
    <w:rsid w:val="00C771BF"/>
    <w:rsid w:val="00C77373"/>
    <w:rsid w:val="00C77665"/>
    <w:rsid w:val="00C77805"/>
    <w:rsid w:val="00C779D9"/>
    <w:rsid w:val="00C77A7B"/>
    <w:rsid w:val="00C77C50"/>
    <w:rsid w:val="00C77D20"/>
    <w:rsid w:val="00C77D6D"/>
    <w:rsid w:val="00C77E82"/>
    <w:rsid w:val="00C802E3"/>
    <w:rsid w:val="00C8048D"/>
    <w:rsid w:val="00C809EE"/>
    <w:rsid w:val="00C80C08"/>
    <w:rsid w:val="00C80C5B"/>
    <w:rsid w:val="00C80FE2"/>
    <w:rsid w:val="00C812CF"/>
    <w:rsid w:val="00C813C1"/>
    <w:rsid w:val="00C8152E"/>
    <w:rsid w:val="00C81758"/>
    <w:rsid w:val="00C8185E"/>
    <w:rsid w:val="00C819A5"/>
    <w:rsid w:val="00C81CE0"/>
    <w:rsid w:val="00C825AC"/>
    <w:rsid w:val="00C825C0"/>
    <w:rsid w:val="00C82DDD"/>
    <w:rsid w:val="00C83164"/>
    <w:rsid w:val="00C83309"/>
    <w:rsid w:val="00C836B7"/>
    <w:rsid w:val="00C837A4"/>
    <w:rsid w:val="00C837E5"/>
    <w:rsid w:val="00C83E73"/>
    <w:rsid w:val="00C843FF"/>
    <w:rsid w:val="00C84690"/>
    <w:rsid w:val="00C846CE"/>
    <w:rsid w:val="00C84706"/>
    <w:rsid w:val="00C84767"/>
    <w:rsid w:val="00C8492C"/>
    <w:rsid w:val="00C84DEE"/>
    <w:rsid w:val="00C84E5F"/>
    <w:rsid w:val="00C84EEE"/>
    <w:rsid w:val="00C85227"/>
    <w:rsid w:val="00C85685"/>
    <w:rsid w:val="00C85979"/>
    <w:rsid w:val="00C85A27"/>
    <w:rsid w:val="00C86C34"/>
    <w:rsid w:val="00C86CCB"/>
    <w:rsid w:val="00C86D05"/>
    <w:rsid w:val="00C87116"/>
    <w:rsid w:val="00C874BE"/>
    <w:rsid w:val="00C875D1"/>
    <w:rsid w:val="00C876A2"/>
    <w:rsid w:val="00C8777A"/>
    <w:rsid w:val="00C87A18"/>
    <w:rsid w:val="00C87F22"/>
    <w:rsid w:val="00C9014F"/>
    <w:rsid w:val="00C901EC"/>
    <w:rsid w:val="00C90309"/>
    <w:rsid w:val="00C90313"/>
    <w:rsid w:val="00C91086"/>
    <w:rsid w:val="00C911CE"/>
    <w:rsid w:val="00C912FB"/>
    <w:rsid w:val="00C9136B"/>
    <w:rsid w:val="00C914F9"/>
    <w:rsid w:val="00C918E8"/>
    <w:rsid w:val="00C91D4D"/>
    <w:rsid w:val="00C91DEC"/>
    <w:rsid w:val="00C91EA6"/>
    <w:rsid w:val="00C92015"/>
    <w:rsid w:val="00C9230F"/>
    <w:rsid w:val="00C9234A"/>
    <w:rsid w:val="00C925C4"/>
    <w:rsid w:val="00C92675"/>
    <w:rsid w:val="00C926FC"/>
    <w:rsid w:val="00C92708"/>
    <w:rsid w:val="00C9298D"/>
    <w:rsid w:val="00C92DD2"/>
    <w:rsid w:val="00C93003"/>
    <w:rsid w:val="00C9330D"/>
    <w:rsid w:val="00C936BB"/>
    <w:rsid w:val="00C93748"/>
    <w:rsid w:val="00C939AE"/>
    <w:rsid w:val="00C93FED"/>
    <w:rsid w:val="00C9415D"/>
    <w:rsid w:val="00C941BD"/>
    <w:rsid w:val="00C943E9"/>
    <w:rsid w:val="00C9484A"/>
    <w:rsid w:val="00C94EAE"/>
    <w:rsid w:val="00C955AA"/>
    <w:rsid w:val="00C95904"/>
    <w:rsid w:val="00C95DE0"/>
    <w:rsid w:val="00C96491"/>
    <w:rsid w:val="00C9697B"/>
    <w:rsid w:val="00C969EB"/>
    <w:rsid w:val="00C96D1D"/>
    <w:rsid w:val="00C96FE9"/>
    <w:rsid w:val="00C970A5"/>
    <w:rsid w:val="00C97169"/>
    <w:rsid w:val="00C97254"/>
    <w:rsid w:val="00C972F2"/>
    <w:rsid w:val="00C97316"/>
    <w:rsid w:val="00C9746E"/>
    <w:rsid w:val="00C97796"/>
    <w:rsid w:val="00C97C6A"/>
    <w:rsid w:val="00CA0A68"/>
    <w:rsid w:val="00CA0E78"/>
    <w:rsid w:val="00CA0EE4"/>
    <w:rsid w:val="00CA1410"/>
    <w:rsid w:val="00CA1B5A"/>
    <w:rsid w:val="00CA1C94"/>
    <w:rsid w:val="00CA2115"/>
    <w:rsid w:val="00CA22CA"/>
    <w:rsid w:val="00CA29A4"/>
    <w:rsid w:val="00CA2AFD"/>
    <w:rsid w:val="00CA2B4C"/>
    <w:rsid w:val="00CA2C56"/>
    <w:rsid w:val="00CA3330"/>
    <w:rsid w:val="00CA3358"/>
    <w:rsid w:val="00CA34D4"/>
    <w:rsid w:val="00CA38E2"/>
    <w:rsid w:val="00CA3A79"/>
    <w:rsid w:val="00CA3C6B"/>
    <w:rsid w:val="00CA3E22"/>
    <w:rsid w:val="00CA4332"/>
    <w:rsid w:val="00CA48B7"/>
    <w:rsid w:val="00CA4C60"/>
    <w:rsid w:val="00CA4DE0"/>
    <w:rsid w:val="00CA575B"/>
    <w:rsid w:val="00CA57E3"/>
    <w:rsid w:val="00CA58F3"/>
    <w:rsid w:val="00CA62C5"/>
    <w:rsid w:val="00CA6312"/>
    <w:rsid w:val="00CA6A6F"/>
    <w:rsid w:val="00CA700D"/>
    <w:rsid w:val="00CA72AC"/>
    <w:rsid w:val="00CA7376"/>
    <w:rsid w:val="00CA73E3"/>
    <w:rsid w:val="00CA7424"/>
    <w:rsid w:val="00CB00BE"/>
    <w:rsid w:val="00CB04F6"/>
    <w:rsid w:val="00CB0B5D"/>
    <w:rsid w:val="00CB0BAE"/>
    <w:rsid w:val="00CB0C32"/>
    <w:rsid w:val="00CB0C4B"/>
    <w:rsid w:val="00CB0E94"/>
    <w:rsid w:val="00CB0EBB"/>
    <w:rsid w:val="00CB1433"/>
    <w:rsid w:val="00CB16DF"/>
    <w:rsid w:val="00CB17AD"/>
    <w:rsid w:val="00CB19B7"/>
    <w:rsid w:val="00CB19EE"/>
    <w:rsid w:val="00CB1C43"/>
    <w:rsid w:val="00CB20DE"/>
    <w:rsid w:val="00CB2323"/>
    <w:rsid w:val="00CB2500"/>
    <w:rsid w:val="00CB26AF"/>
    <w:rsid w:val="00CB2923"/>
    <w:rsid w:val="00CB2DDF"/>
    <w:rsid w:val="00CB2EE9"/>
    <w:rsid w:val="00CB3081"/>
    <w:rsid w:val="00CB390A"/>
    <w:rsid w:val="00CB3E59"/>
    <w:rsid w:val="00CB405D"/>
    <w:rsid w:val="00CB40CC"/>
    <w:rsid w:val="00CB432A"/>
    <w:rsid w:val="00CB4727"/>
    <w:rsid w:val="00CB4740"/>
    <w:rsid w:val="00CB4B60"/>
    <w:rsid w:val="00CB4C49"/>
    <w:rsid w:val="00CB4DF5"/>
    <w:rsid w:val="00CB5384"/>
    <w:rsid w:val="00CB5677"/>
    <w:rsid w:val="00CB58EB"/>
    <w:rsid w:val="00CB59AE"/>
    <w:rsid w:val="00CB5AFF"/>
    <w:rsid w:val="00CB5EEC"/>
    <w:rsid w:val="00CB613F"/>
    <w:rsid w:val="00CB618D"/>
    <w:rsid w:val="00CB6461"/>
    <w:rsid w:val="00CB65B6"/>
    <w:rsid w:val="00CB6766"/>
    <w:rsid w:val="00CB67FB"/>
    <w:rsid w:val="00CB6B51"/>
    <w:rsid w:val="00CB6E3B"/>
    <w:rsid w:val="00CB7BC2"/>
    <w:rsid w:val="00CC0223"/>
    <w:rsid w:val="00CC06E2"/>
    <w:rsid w:val="00CC0A59"/>
    <w:rsid w:val="00CC0CC7"/>
    <w:rsid w:val="00CC122D"/>
    <w:rsid w:val="00CC125D"/>
    <w:rsid w:val="00CC1884"/>
    <w:rsid w:val="00CC197E"/>
    <w:rsid w:val="00CC1D82"/>
    <w:rsid w:val="00CC1EF7"/>
    <w:rsid w:val="00CC22D8"/>
    <w:rsid w:val="00CC3247"/>
    <w:rsid w:val="00CC33F0"/>
    <w:rsid w:val="00CC3482"/>
    <w:rsid w:val="00CC362A"/>
    <w:rsid w:val="00CC3DF3"/>
    <w:rsid w:val="00CC3F02"/>
    <w:rsid w:val="00CC3F33"/>
    <w:rsid w:val="00CC4009"/>
    <w:rsid w:val="00CC43B8"/>
    <w:rsid w:val="00CC495A"/>
    <w:rsid w:val="00CC4C0B"/>
    <w:rsid w:val="00CC558C"/>
    <w:rsid w:val="00CC57C1"/>
    <w:rsid w:val="00CC59B6"/>
    <w:rsid w:val="00CC59BF"/>
    <w:rsid w:val="00CC63F2"/>
    <w:rsid w:val="00CC6C26"/>
    <w:rsid w:val="00CC6D44"/>
    <w:rsid w:val="00CC745C"/>
    <w:rsid w:val="00CC75A4"/>
    <w:rsid w:val="00CC77F5"/>
    <w:rsid w:val="00CD0194"/>
    <w:rsid w:val="00CD041A"/>
    <w:rsid w:val="00CD0680"/>
    <w:rsid w:val="00CD0C23"/>
    <w:rsid w:val="00CD0CA5"/>
    <w:rsid w:val="00CD0D30"/>
    <w:rsid w:val="00CD1833"/>
    <w:rsid w:val="00CD18CD"/>
    <w:rsid w:val="00CD1A35"/>
    <w:rsid w:val="00CD1BE1"/>
    <w:rsid w:val="00CD204F"/>
    <w:rsid w:val="00CD2119"/>
    <w:rsid w:val="00CD221C"/>
    <w:rsid w:val="00CD24D9"/>
    <w:rsid w:val="00CD25D9"/>
    <w:rsid w:val="00CD2C16"/>
    <w:rsid w:val="00CD30A1"/>
    <w:rsid w:val="00CD3375"/>
    <w:rsid w:val="00CD3737"/>
    <w:rsid w:val="00CD3944"/>
    <w:rsid w:val="00CD399B"/>
    <w:rsid w:val="00CD3D34"/>
    <w:rsid w:val="00CD3E7A"/>
    <w:rsid w:val="00CD3FF5"/>
    <w:rsid w:val="00CD4344"/>
    <w:rsid w:val="00CD43EE"/>
    <w:rsid w:val="00CD4803"/>
    <w:rsid w:val="00CD4BE7"/>
    <w:rsid w:val="00CD4C36"/>
    <w:rsid w:val="00CD4E94"/>
    <w:rsid w:val="00CD5364"/>
    <w:rsid w:val="00CD5378"/>
    <w:rsid w:val="00CD56A0"/>
    <w:rsid w:val="00CD5D76"/>
    <w:rsid w:val="00CD619A"/>
    <w:rsid w:val="00CD63A0"/>
    <w:rsid w:val="00CD64D9"/>
    <w:rsid w:val="00CD6CAA"/>
    <w:rsid w:val="00CD7170"/>
    <w:rsid w:val="00CD73C2"/>
    <w:rsid w:val="00CD7552"/>
    <w:rsid w:val="00CD7556"/>
    <w:rsid w:val="00CD75F9"/>
    <w:rsid w:val="00CD77B3"/>
    <w:rsid w:val="00CD781A"/>
    <w:rsid w:val="00CD7A17"/>
    <w:rsid w:val="00CD7AA7"/>
    <w:rsid w:val="00CE042C"/>
    <w:rsid w:val="00CE052F"/>
    <w:rsid w:val="00CE05D2"/>
    <w:rsid w:val="00CE090B"/>
    <w:rsid w:val="00CE09D9"/>
    <w:rsid w:val="00CE0D53"/>
    <w:rsid w:val="00CE0FDD"/>
    <w:rsid w:val="00CE11C7"/>
    <w:rsid w:val="00CE154D"/>
    <w:rsid w:val="00CE1E9A"/>
    <w:rsid w:val="00CE215E"/>
    <w:rsid w:val="00CE2A67"/>
    <w:rsid w:val="00CE2B46"/>
    <w:rsid w:val="00CE2B86"/>
    <w:rsid w:val="00CE2D72"/>
    <w:rsid w:val="00CE35F0"/>
    <w:rsid w:val="00CE413D"/>
    <w:rsid w:val="00CE41A5"/>
    <w:rsid w:val="00CE41CF"/>
    <w:rsid w:val="00CE44EB"/>
    <w:rsid w:val="00CE4734"/>
    <w:rsid w:val="00CE500F"/>
    <w:rsid w:val="00CE5301"/>
    <w:rsid w:val="00CE54C3"/>
    <w:rsid w:val="00CE566B"/>
    <w:rsid w:val="00CE5917"/>
    <w:rsid w:val="00CE5D9B"/>
    <w:rsid w:val="00CE68A4"/>
    <w:rsid w:val="00CE6CE3"/>
    <w:rsid w:val="00CE6D81"/>
    <w:rsid w:val="00CE6F64"/>
    <w:rsid w:val="00CE760C"/>
    <w:rsid w:val="00CE761B"/>
    <w:rsid w:val="00CE784A"/>
    <w:rsid w:val="00CE7E1A"/>
    <w:rsid w:val="00CF01A6"/>
    <w:rsid w:val="00CF03F3"/>
    <w:rsid w:val="00CF0B81"/>
    <w:rsid w:val="00CF100A"/>
    <w:rsid w:val="00CF1353"/>
    <w:rsid w:val="00CF1957"/>
    <w:rsid w:val="00CF1F94"/>
    <w:rsid w:val="00CF218C"/>
    <w:rsid w:val="00CF23A6"/>
    <w:rsid w:val="00CF27E7"/>
    <w:rsid w:val="00CF2BFA"/>
    <w:rsid w:val="00CF2C2C"/>
    <w:rsid w:val="00CF3002"/>
    <w:rsid w:val="00CF340F"/>
    <w:rsid w:val="00CF3C54"/>
    <w:rsid w:val="00CF3C94"/>
    <w:rsid w:val="00CF3CF5"/>
    <w:rsid w:val="00CF413B"/>
    <w:rsid w:val="00CF423E"/>
    <w:rsid w:val="00CF505A"/>
    <w:rsid w:val="00CF50E9"/>
    <w:rsid w:val="00CF531A"/>
    <w:rsid w:val="00CF5B87"/>
    <w:rsid w:val="00CF6128"/>
    <w:rsid w:val="00CF643E"/>
    <w:rsid w:val="00CF6502"/>
    <w:rsid w:val="00CF654C"/>
    <w:rsid w:val="00CF69BD"/>
    <w:rsid w:val="00CF6ADF"/>
    <w:rsid w:val="00CF73E2"/>
    <w:rsid w:val="00CF7DD0"/>
    <w:rsid w:val="00CF7FD6"/>
    <w:rsid w:val="00D00212"/>
    <w:rsid w:val="00D003DE"/>
    <w:rsid w:val="00D00653"/>
    <w:rsid w:val="00D007BD"/>
    <w:rsid w:val="00D008BD"/>
    <w:rsid w:val="00D00FCC"/>
    <w:rsid w:val="00D013F2"/>
    <w:rsid w:val="00D015C3"/>
    <w:rsid w:val="00D016E7"/>
    <w:rsid w:val="00D0198E"/>
    <w:rsid w:val="00D019F6"/>
    <w:rsid w:val="00D01CDA"/>
    <w:rsid w:val="00D02214"/>
    <w:rsid w:val="00D02240"/>
    <w:rsid w:val="00D02313"/>
    <w:rsid w:val="00D0240B"/>
    <w:rsid w:val="00D02D40"/>
    <w:rsid w:val="00D02DE3"/>
    <w:rsid w:val="00D030A4"/>
    <w:rsid w:val="00D03196"/>
    <w:rsid w:val="00D035F8"/>
    <w:rsid w:val="00D03613"/>
    <w:rsid w:val="00D038FE"/>
    <w:rsid w:val="00D03E5D"/>
    <w:rsid w:val="00D047ED"/>
    <w:rsid w:val="00D049C7"/>
    <w:rsid w:val="00D049DE"/>
    <w:rsid w:val="00D04E34"/>
    <w:rsid w:val="00D04F6F"/>
    <w:rsid w:val="00D0501A"/>
    <w:rsid w:val="00D05847"/>
    <w:rsid w:val="00D05D18"/>
    <w:rsid w:val="00D05E13"/>
    <w:rsid w:val="00D05E9A"/>
    <w:rsid w:val="00D061FF"/>
    <w:rsid w:val="00D068C8"/>
    <w:rsid w:val="00D06C1D"/>
    <w:rsid w:val="00D06D1D"/>
    <w:rsid w:val="00D073DD"/>
    <w:rsid w:val="00D075BD"/>
    <w:rsid w:val="00D0791C"/>
    <w:rsid w:val="00D07939"/>
    <w:rsid w:val="00D10237"/>
    <w:rsid w:val="00D1056F"/>
    <w:rsid w:val="00D10623"/>
    <w:rsid w:val="00D1082C"/>
    <w:rsid w:val="00D109DE"/>
    <w:rsid w:val="00D10DEA"/>
    <w:rsid w:val="00D11053"/>
    <w:rsid w:val="00D119DC"/>
    <w:rsid w:val="00D11BE3"/>
    <w:rsid w:val="00D11C49"/>
    <w:rsid w:val="00D11E46"/>
    <w:rsid w:val="00D121C9"/>
    <w:rsid w:val="00D12427"/>
    <w:rsid w:val="00D124EA"/>
    <w:rsid w:val="00D12BE1"/>
    <w:rsid w:val="00D12F44"/>
    <w:rsid w:val="00D1350D"/>
    <w:rsid w:val="00D1354A"/>
    <w:rsid w:val="00D13778"/>
    <w:rsid w:val="00D13A0F"/>
    <w:rsid w:val="00D13ABE"/>
    <w:rsid w:val="00D14011"/>
    <w:rsid w:val="00D14210"/>
    <w:rsid w:val="00D14A9C"/>
    <w:rsid w:val="00D14D3E"/>
    <w:rsid w:val="00D14DD7"/>
    <w:rsid w:val="00D14F91"/>
    <w:rsid w:val="00D14FFF"/>
    <w:rsid w:val="00D15112"/>
    <w:rsid w:val="00D1546B"/>
    <w:rsid w:val="00D157BD"/>
    <w:rsid w:val="00D1586E"/>
    <w:rsid w:val="00D15B49"/>
    <w:rsid w:val="00D15D85"/>
    <w:rsid w:val="00D15E65"/>
    <w:rsid w:val="00D160E0"/>
    <w:rsid w:val="00D162CC"/>
    <w:rsid w:val="00D166DB"/>
    <w:rsid w:val="00D166F5"/>
    <w:rsid w:val="00D16B31"/>
    <w:rsid w:val="00D170BC"/>
    <w:rsid w:val="00D17757"/>
    <w:rsid w:val="00D179E6"/>
    <w:rsid w:val="00D179EC"/>
    <w:rsid w:val="00D17C34"/>
    <w:rsid w:val="00D17E6E"/>
    <w:rsid w:val="00D201BA"/>
    <w:rsid w:val="00D20377"/>
    <w:rsid w:val="00D2053F"/>
    <w:rsid w:val="00D20C4B"/>
    <w:rsid w:val="00D20ECD"/>
    <w:rsid w:val="00D20F39"/>
    <w:rsid w:val="00D2121D"/>
    <w:rsid w:val="00D21481"/>
    <w:rsid w:val="00D21532"/>
    <w:rsid w:val="00D215E2"/>
    <w:rsid w:val="00D21671"/>
    <w:rsid w:val="00D21DCE"/>
    <w:rsid w:val="00D22060"/>
    <w:rsid w:val="00D220F5"/>
    <w:rsid w:val="00D222A1"/>
    <w:rsid w:val="00D22468"/>
    <w:rsid w:val="00D2264F"/>
    <w:rsid w:val="00D229C7"/>
    <w:rsid w:val="00D23480"/>
    <w:rsid w:val="00D23507"/>
    <w:rsid w:val="00D235C5"/>
    <w:rsid w:val="00D235D2"/>
    <w:rsid w:val="00D236A5"/>
    <w:rsid w:val="00D23746"/>
    <w:rsid w:val="00D23E41"/>
    <w:rsid w:val="00D24407"/>
    <w:rsid w:val="00D24576"/>
    <w:rsid w:val="00D24844"/>
    <w:rsid w:val="00D248A1"/>
    <w:rsid w:val="00D2490F"/>
    <w:rsid w:val="00D24B67"/>
    <w:rsid w:val="00D24C77"/>
    <w:rsid w:val="00D24CCF"/>
    <w:rsid w:val="00D260DC"/>
    <w:rsid w:val="00D26468"/>
    <w:rsid w:val="00D265D1"/>
    <w:rsid w:val="00D2748F"/>
    <w:rsid w:val="00D2777F"/>
    <w:rsid w:val="00D278DB"/>
    <w:rsid w:val="00D2798A"/>
    <w:rsid w:val="00D27AD7"/>
    <w:rsid w:val="00D27E74"/>
    <w:rsid w:val="00D27F59"/>
    <w:rsid w:val="00D301DD"/>
    <w:rsid w:val="00D30234"/>
    <w:rsid w:val="00D30684"/>
    <w:rsid w:val="00D30D24"/>
    <w:rsid w:val="00D311A0"/>
    <w:rsid w:val="00D31433"/>
    <w:rsid w:val="00D3185A"/>
    <w:rsid w:val="00D31CED"/>
    <w:rsid w:val="00D31ED8"/>
    <w:rsid w:val="00D3237D"/>
    <w:rsid w:val="00D32517"/>
    <w:rsid w:val="00D32C75"/>
    <w:rsid w:val="00D3332B"/>
    <w:rsid w:val="00D33429"/>
    <w:rsid w:val="00D334BA"/>
    <w:rsid w:val="00D33BC8"/>
    <w:rsid w:val="00D33FEA"/>
    <w:rsid w:val="00D3402F"/>
    <w:rsid w:val="00D343FF"/>
    <w:rsid w:val="00D34BAF"/>
    <w:rsid w:val="00D34D38"/>
    <w:rsid w:val="00D34F98"/>
    <w:rsid w:val="00D34FB3"/>
    <w:rsid w:val="00D35010"/>
    <w:rsid w:val="00D3526F"/>
    <w:rsid w:val="00D35270"/>
    <w:rsid w:val="00D3545E"/>
    <w:rsid w:val="00D35624"/>
    <w:rsid w:val="00D35C0F"/>
    <w:rsid w:val="00D36238"/>
    <w:rsid w:val="00D364B7"/>
    <w:rsid w:val="00D364DE"/>
    <w:rsid w:val="00D36D47"/>
    <w:rsid w:val="00D36E58"/>
    <w:rsid w:val="00D3753A"/>
    <w:rsid w:val="00D376C8"/>
    <w:rsid w:val="00D37744"/>
    <w:rsid w:val="00D3778F"/>
    <w:rsid w:val="00D37807"/>
    <w:rsid w:val="00D37F5F"/>
    <w:rsid w:val="00D405D4"/>
    <w:rsid w:val="00D406A9"/>
    <w:rsid w:val="00D40D1A"/>
    <w:rsid w:val="00D412C5"/>
    <w:rsid w:val="00D4176E"/>
    <w:rsid w:val="00D41F71"/>
    <w:rsid w:val="00D42333"/>
    <w:rsid w:val="00D428C9"/>
    <w:rsid w:val="00D42914"/>
    <w:rsid w:val="00D42A66"/>
    <w:rsid w:val="00D42BEB"/>
    <w:rsid w:val="00D42EDE"/>
    <w:rsid w:val="00D43089"/>
    <w:rsid w:val="00D43340"/>
    <w:rsid w:val="00D4374C"/>
    <w:rsid w:val="00D438EE"/>
    <w:rsid w:val="00D43DE6"/>
    <w:rsid w:val="00D43E79"/>
    <w:rsid w:val="00D441D7"/>
    <w:rsid w:val="00D447D1"/>
    <w:rsid w:val="00D448F8"/>
    <w:rsid w:val="00D452E0"/>
    <w:rsid w:val="00D454A7"/>
    <w:rsid w:val="00D4554F"/>
    <w:rsid w:val="00D456C2"/>
    <w:rsid w:val="00D459E6"/>
    <w:rsid w:val="00D45AA1"/>
    <w:rsid w:val="00D45FBB"/>
    <w:rsid w:val="00D461C4"/>
    <w:rsid w:val="00D4640F"/>
    <w:rsid w:val="00D468AD"/>
    <w:rsid w:val="00D46A03"/>
    <w:rsid w:val="00D46DCA"/>
    <w:rsid w:val="00D4714F"/>
    <w:rsid w:val="00D4777C"/>
    <w:rsid w:val="00D477ED"/>
    <w:rsid w:val="00D479FB"/>
    <w:rsid w:val="00D47F9A"/>
    <w:rsid w:val="00D50123"/>
    <w:rsid w:val="00D505D6"/>
    <w:rsid w:val="00D50D7E"/>
    <w:rsid w:val="00D511F4"/>
    <w:rsid w:val="00D51251"/>
    <w:rsid w:val="00D512CE"/>
    <w:rsid w:val="00D5149E"/>
    <w:rsid w:val="00D5158E"/>
    <w:rsid w:val="00D51A9F"/>
    <w:rsid w:val="00D51C3D"/>
    <w:rsid w:val="00D52467"/>
    <w:rsid w:val="00D52A25"/>
    <w:rsid w:val="00D52C79"/>
    <w:rsid w:val="00D52CD6"/>
    <w:rsid w:val="00D52E74"/>
    <w:rsid w:val="00D534F7"/>
    <w:rsid w:val="00D539C2"/>
    <w:rsid w:val="00D5429F"/>
    <w:rsid w:val="00D542A2"/>
    <w:rsid w:val="00D542E6"/>
    <w:rsid w:val="00D544ED"/>
    <w:rsid w:val="00D547EE"/>
    <w:rsid w:val="00D5489B"/>
    <w:rsid w:val="00D548D9"/>
    <w:rsid w:val="00D54E7D"/>
    <w:rsid w:val="00D54EEF"/>
    <w:rsid w:val="00D55367"/>
    <w:rsid w:val="00D55444"/>
    <w:rsid w:val="00D5571D"/>
    <w:rsid w:val="00D55957"/>
    <w:rsid w:val="00D55AF9"/>
    <w:rsid w:val="00D55E49"/>
    <w:rsid w:val="00D55E72"/>
    <w:rsid w:val="00D561C9"/>
    <w:rsid w:val="00D5638A"/>
    <w:rsid w:val="00D56B1E"/>
    <w:rsid w:val="00D56DCA"/>
    <w:rsid w:val="00D570EB"/>
    <w:rsid w:val="00D573AD"/>
    <w:rsid w:val="00D5748A"/>
    <w:rsid w:val="00D5798C"/>
    <w:rsid w:val="00D57E2D"/>
    <w:rsid w:val="00D605F9"/>
    <w:rsid w:val="00D6090B"/>
    <w:rsid w:val="00D60B87"/>
    <w:rsid w:val="00D60FB7"/>
    <w:rsid w:val="00D61A9E"/>
    <w:rsid w:val="00D61B9D"/>
    <w:rsid w:val="00D61F13"/>
    <w:rsid w:val="00D620B7"/>
    <w:rsid w:val="00D6214F"/>
    <w:rsid w:val="00D621EE"/>
    <w:rsid w:val="00D62A33"/>
    <w:rsid w:val="00D62ADF"/>
    <w:rsid w:val="00D62E94"/>
    <w:rsid w:val="00D62EDE"/>
    <w:rsid w:val="00D639C1"/>
    <w:rsid w:val="00D63E10"/>
    <w:rsid w:val="00D63E2B"/>
    <w:rsid w:val="00D6415E"/>
    <w:rsid w:val="00D64B05"/>
    <w:rsid w:val="00D64BCE"/>
    <w:rsid w:val="00D65005"/>
    <w:rsid w:val="00D65134"/>
    <w:rsid w:val="00D652A6"/>
    <w:rsid w:val="00D656EE"/>
    <w:rsid w:val="00D66831"/>
    <w:rsid w:val="00D668A7"/>
    <w:rsid w:val="00D66E0F"/>
    <w:rsid w:val="00D66FDE"/>
    <w:rsid w:val="00D67436"/>
    <w:rsid w:val="00D67597"/>
    <w:rsid w:val="00D679BB"/>
    <w:rsid w:val="00D67B86"/>
    <w:rsid w:val="00D67BAC"/>
    <w:rsid w:val="00D67D60"/>
    <w:rsid w:val="00D67F1E"/>
    <w:rsid w:val="00D70292"/>
    <w:rsid w:val="00D70297"/>
    <w:rsid w:val="00D702B3"/>
    <w:rsid w:val="00D702DC"/>
    <w:rsid w:val="00D704AC"/>
    <w:rsid w:val="00D70CF5"/>
    <w:rsid w:val="00D71948"/>
    <w:rsid w:val="00D719B6"/>
    <w:rsid w:val="00D71E2E"/>
    <w:rsid w:val="00D71F97"/>
    <w:rsid w:val="00D7250C"/>
    <w:rsid w:val="00D727AD"/>
    <w:rsid w:val="00D72BFE"/>
    <w:rsid w:val="00D72C0E"/>
    <w:rsid w:val="00D73244"/>
    <w:rsid w:val="00D73284"/>
    <w:rsid w:val="00D73653"/>
    <w:rsid w:val="00D736EE"/>
    <w:rsid w:val="00D73E04"/>
    <w:rsid w:val="00D74033"/>
    <w:rsid w:val="00D7423F"/>
    <w:rsid w:val="00D748E0"/>
    <w:rsid w:val="00D74963"/>
    <w:rsid w:val="00D74A09"/>
    <w:rsid w:val="00D74A70"/>
    <w:rsid w:val="00D74B04"/>
    <w:rsid w:val="00D74E9F"/>
    <w:rsid w:val="00D74F06"/>
    <w:rsid w:val="00D753D7"/>
    <w:rsid w:val="00D75E28"/>
    <w:rsid w:val="00D760BB"/>
    <w:rsid w:val="00D76138"/>
    <w:rsid w:val="00D7617B"/>
    <w:rsid w:val="00D771A4"/>
    <w:rsid w:val="00D772CC"/>
    <w:rsid w:val="00D7742C"/>
    <w:rsid w:val="00D77B05"/>
    <w:rsid w:val="00D77E15"/>
    <w:rsid w:val="00D80048"/>
    <w:rsid w:val="00D802EB"/>
    <w:rsid w:val="00D806E0"/>
    <w:rsid w:val="00D80903"/>
    <w:rsid w:val="00D809F9"/>
    <w:rsid w:val="00D80C42"/>
    <w:rsid w:val="00D81179"/>
    <w:rsid w:val="00D816C3"/>
    <w:rsid w:val="00D81E1B"/>
    <w:rsid w:val="00D8263D"/>
    <w:rsid w:val="00D82ACD"/>
    <w:rsid w:val="00D82C40"/>
    <w:rsid w:val="00D82CB1"/>
    <w:rsid w:val="00D8323D"/>
    <w:rsid w:val="00D8355C"/>
    <w:rsid w:val="00D835E5"/>
    <w:rsid w:val="00D83A6F"/>
    <w:rsid w:val="00D83BBB"/>
    <w:rsid w:val="00D83D5E"/>
    <w:rsid w:val="00D84637"/>
    <w:rsid w:val="00D847EA"/>
    <w:rsid w:val="00D84FE0"/>
    <w:rsid w:val="00D850A5"/>
    <w:rsid w:val="00D8544F"/>
    <w:rsid w:val="00D85608"/>
    <w:rsid w:val="00D857D0"/>
    <w:rsid w:val="00D8596D"/>
    <w:rsid w:val="00D85D84"/>
    <w:rsid w:val="00D86462"/>
    <w:rsid w:val="00D8672C"/>
    <w:rsid w:val="00D867C4"/>
    <w:rsid w:val="00D86EAB"/>
    <w:rsid w:val="00D86FF8"/>
    <w:rsid w:val="00D8709E"/>
    <w:rsid w:val="00D87429"/>
    <w:rsid w:val="00D8765F"/>
    <w:rsid w:val="00D879C7"/>
    <w:rsid w:val="00D87D4F"/>
    <w:rsid w:val="00D9006A"/>
    <w:rsid w:val="00D90182"/>
    <w:rsid w:val="00D90371"/>
    <w:rsid w:val="00D90598"/>
    <w:rsid w:val="00D906CB"/>
    <w:rsid w:val="00D9076C"/>
    <w:rsid w:val="00D90A26"/>
    <w:rsid w:val="00D90BC4"/>
    <w:rsid w:val="00D90BE1"/>
    <w:rsid w:val="00D90CC1"/>
    <w:rsid w:val="00D91027"/>
    <w:rsid w:val="00D91246"/>
    <w:rsid w:val="00D912E7"/>
    <w:rsid w:val="00D918EC"/>
    <w:rsid w:val="00D91C66"/>
    <w:rsid w:val="00D91C97"/>
    <w:rsid w:val="00D91DBA"/>
    <w:rsid w:val="00D91E87"/>
    <w:rsid w:val="00D920EB"/>
    <w:rsid w:val="00D922A8"/>
    <w:rsid w:val="00D924CA"/>
    <w:rsid w:val="00D9281D"/>
    <w:rsid w:val="00D92854"/>
    <w:rsid w:val="00D92DF6"/>
    <w:rsid w:val="00D92F80"/>
    <w:rsid w:val="00D9335C"/>
    <w:rsid w:val="00D934B1"/>
    <w:rsid w:val="00D93657"/>
    <w:rsid w:val="00D936D9"/>
    <w:rsid w:val="00D93943"/>
    <w:rsid w:val="00D93961"/>
    <w:rsid w:val="00D940DB"/>
    <w:rsid w:val="00D94149"/>
    <w:rsid w:val="00D94462"/>
    <w:rsid w:val="00D9461C"/>
    <w:rsid w:val="00D94764"/>
    <w:rsid w:val="00D94C74"/>
    <w:rsid w:val="00D94FCE"/>
    <w:rsid w:val="00D952F7"/>
    <w:rsid w:val="00D95477"/>
    <w:rsid w:val="00D95635"/>
    <w:rsid w:val="00D957AB"/>
    <w:rsid w:val="00D959C4"/>
    <w:rsid w:val="00D95AD0"/>
    <w:rsid w:val="00D95C2A"/>
    <w:rsid w:val="00D95C5E"/>
    <w:rsid w:val="00D95C9C"/>
    <w:rsid w:val="00D95E2E"/>
    <w:rsid w:val="00D96E5D"/>
    <w:rsid w:val="00D96FD9"/>
    <w:rsid w:val="00D970D3"/>
    <w:rsid w:val="00D9711F"/>
    <w:rsid w:val="00D97638"/>
    <w:rsid w:val="00D978C6"/>
    <w:rsid w:val="00D97DEF"/>
    <w:rsid w:val="00DA048B"/>
    <w:rsid w:val="00DA04E7"/>
    <w:rsid w:val="00DA087F"/>
    <w:rsid w:val="00DA1220"/>
    <w:rsid w:val="00DA1645"/>
    <w:rsid w:val="00DA1A21"/>
    <w:rsid w:val="00DA1B58"/>
    <w:rsid w:val="00DA1CBC"/>
    <w:rsid w:val="00DA23D9"/>
    <w:rsid w:val="00DA24A6"/>
    <w:rsid w:val="00DA24FF"/>
    <w:rsid w:val="00DA26A1"/>
    <w:rsid w:val="00DA271F"/>
    <w:rsid w:val="00DA2AFE"/>
    <w:rsid w:val="00DA2BF5"/>
    <w:rsid w:val="00DA2EA3"/>
    <w:rsid w:val="00DA2ECA"/>
    <w:rsid w:val="00DA35E4"/>
    <w:rsid w:val="00DA37E8"/>
    <w:rsid w:val="00DA3820"/>
    <w:rsid w:val="00DA3A0C"/>
    <w:rsid w:val="00DA3DF5"/>
    <w:rsid w:val="00DA3E4E"/>
    <w:rsid w:val="00DA3FAD"/>
    <w:rsid w:val="00DA45BB"/>
    <w:rsid w:val="00DA46F5"/>
    <w:rsid w:val="00DA4B60"/>
    <w:rsid w:val="00DA50C7"/>
    <w:rsid w:val="00DA514D"/>
    <w:rsid w:val="00DA553E"/>
    <w:rsid w:val="00DA58C3"/>
    <w:rsid w:val="00DA5998"/>
    <w:rsid w:val="00DA5B50"/>
    <w:rsid w:val="00DA5C9C"/>
    <w:rsid w:val="00DA5DBF"/>
    <w:rsid w:val="00DA5DC0"/>
    <w:rsid w:val="00DA6167"/>
    <w:rsid w:val="00DA6726"/>
    <w:rsid w:val="00DA68CF"/>
    <w:rsid w:val="00DA6F10"/>
    <w:rsid w:val="00DA71D1"/>
    <w:rsid w:val="00DA78A9"/>
    <w:rsid w:val="00DA78FF"/>
    <w:rsid w:val="00DA7B98"/>
    <w:rsid w:val="00DA7D25"/>
    <w:rsid w:val="00DA7E74"/>
    <w:rsid w:val="00DB012E"/>
    <w:rsid w:val="00DB0698"/>
    <w:rsid w:val="00DB09AE"/>
    <w:rsid w:val="00DB0AD3"/>
    <w:rsid w:val="00DB0B11"/>
    <w:rsid w:val="00DB12CB"/>
    <w:rsid w:val="00DB14CE"/>
    <w:rsid w:val="00DB164C"/>
    <w:rsid w:val="00DB1DDF"/>
    <w:rsid w:val="00DB2035"/>
    <w:rsid w:val="00DB23DD"/>
    <w:rsid w:val="00DB298D"/>
    <w:rsid w:val="00DB2B2C"/>
    <w:rsid w:val="00DB2B3C"/>
    <w:rsid w:val="00DB3295"/>
    <w:rsid w:val="00DB3348"/>
    <w:rsid w:val="00DB33F5"/>
    <w:rsid w:val="00DB3878"/>
    <w:rsid w:val="00DB3A68"/>
    <w:rsid w:val="00DB40CE"/>
    <w:rsid w:val="00DB43E7"/>
    <w:rsid w:val="00DB494E"/>
    <w:rsid w:val="00DB4B4C"/>
    <w:rsid w:val="00DB4BBD"/>
    <w:rsid w:val="00DB4CD4"/>
    <w:rsid w:val="00DB5374"/>
    <w:rsid w:val="00DB5608"/>
    <w:rsid w:val="00DB5806"/>
    <w:rsid w:val="00DB5821"/>
    <w:rsid w:val="00DB5C71"/>
    <w:rsid w:val="00DB5DD4"/>
    <w:rsid w:val="00DB5DE3"/>
    <w:rsid w:val="00DB630F"/>
    <w:rsid w:val="00DB6A0B"/>
    <w:rsid w:val="00DB6D5F"/>
    <w:rsid w:val="00DB7299"/>
    <w:rsid w:val="00DB7664"/>
    <w:rsid w:val="00DB76BB"/>
    <w:rsid w:val="00DB7737"/>
    <w:rsid w:val="00DB7F18"/>
    <w:rsid w:val="00DB7FE7"/>
    <w:rsid w:val="00DC056B"/>
    <w:rsid w:val="00DC1807"/>
    <w:rsid w:val="00DC1A99"/>
    <w:rsid w:val="00DC234F"/>
    <w:rsid w:val="00DC2463"/>
    <w:rsid w:val="00DC2D56"/>
    <w:rsid w:val="00DC2E60"/>
    <w:rsid w:val="00DC2F52"/>
    <w:rsid w:val="00DC466F"/>
    <w:rsid w:val="00DC4760"/>
    <w:rsid w:val="00DC4E15"/>
    <w:rsid w:val="00DC5244"/>
    <w:rsid w:val="00DC6BC1"/>
    <w:rsid w:val="00DC6CE3"/>
    <w:rsid w:val="00DC6CED"/>
    <w:rsid w:val="00DC6E8E"/>
    <w:rsid w:val="00DC6F5F"/>
    <w:rsid w:val="00DC740F"/>
    <w:rsid w:val="00DC7539"/>
    <w:rsid w:val="00DC7907"/>
    <w:rsid w:val="00DC790E"/>
    <w:rsid w:val="00DC7996"/>
    <w:rsid w:val="00DC7D1A"/>
    <w:rsid w:val="00DD1168"/>
    <w:rsid w:val="00DD1921"/>
    <w:rsid w:val="00DD1949"/>
    <w:rsid w:val="00DD19BB"/>
    <w:rsid w:val="00DD1C92"/>
    <w:rsid w:val="00DD221D"/>
    <w:rsid w:val="00DD2397"/>
    <w:rsid w:val="00DD282D"/>
    <w:rsid w:val="00DD2991"/>
    <w:rsid w:val="00DD2CF2"/>
    <w:rsid w:val="00DD30E9"/>
    <w:rsid w:val="00DD3182"/>
    <w:rsid w:val="00DD36AE"/>
    <w:rsid w:val="00DD3980"/>
    <w:rsid w:val="00DD3AB3"/>
    <w:rsid w:val="00DD3BB3"/>
    <w:rsid w:val="00DD41A3"/>
    <w:rsid w:val="00DD4226"/>
    <w:rsid w:val="00DD42A3"/>
    <w:rsid w:val="00DD447D"/>
    <w:rsid w:val="00DD4682"/>
    <w:rsid w:val="00DD4749"/>
    <w:rsid w:val="00DD4D68"/>
    <w:rsid w:val="00DD55E3"/>
    <w:rsid w:val="00DD5901"/>
    <w:rsid w:val="00DD5934"/>
    <w:rsid w:val="00DD5B1C"/>
    <w:rsid w:val="00DD5B6F"/>
    <w:rsid w:val="00DD6798"/>
    <w:rsid w:val="00DD70AA"/>
    <w:rsid w:val="00DD7332"/>
    <w:rsid w:val="00DD73BE"/>
    <w:rsid w:val="00DD77E7"/>
    <w:rsid w:val="00DD7924"/>
    <w:rsid w:val="00DD7C71"/>
    <w:rsid w:val="00DE04E3"/>
    <w:rsid w:val="00DE0726"/>
    <w:rsid w:val="00DE0872"/>
    <w:rsid w:val="00DE0A85"/>
    <w:rsid w:val="00DE0CCE"/>
    <w:rsid w:val="00DE10A3"/>
    <w:rsid w:val="00DE1117"/>
    <w:rsid w:val="00DE1243"/>
    <w:rsid w:val="00DE1345"/>
    <w:rsid w:val="00DE13DD"/>
    <w:rsid w:val="00DE1599"/>
    <w:rsid w:val="00DE17AD"/>
    <w:rsid w:val="00DE1A64"/>
    <w:rsid w:val="00DE1B7F"/>
    <w:rsid w:val="00DE1C8B"/>
    <w:rsid w:val="00DE2115"/>
    <w:rsid w:val="00DE2591"/>
    <w:rsid w:val="00DE2799"/>
    <w:rsid w:val="00DE2BA9"/>
    <w:rsid w:val="00DE2BE5"/>
    <w:rsid w:val="00DE34E8"/>
    <w:rsid w:val="00DE36B8"/>
    <w:rsid w:val="00DE3758"/>
    <w:rsid w:val="00DE39FE"/>
    <w:rsid w:val="00DE3C1B"/>
    <w:rsid w:val="00DE44E9"/>
    <w:rsid w:val="00DE480B"/>
    <w:rsid w:val="00DE483B"/>
    <w:rsid w:val="00DE499D"/>
    <w:rsid w:val="00DE49F2"/>
    <w:rsid w:val="00DE4C86"/>
    <w:rsid w:val="00DE5324"/>
    <w:rsid w:val="00DE5332"/>
    <w:rsid w:val="00DE5474"/>
    <w:rsid w:val="00DE56DF"/>
    <w:rsid w:val="00DE56FB"/>
    <w:rsid w:val="00DE598E"/>
    <w:rsid w:val="00DE5C87"/>
    <w:rsid w:val="00DE5DCB"/>
    <w:rsid w:val="00DE5EE5"/>
    <w:rsid w:val="00DE61F2"/>
    <w:rsid w:val="00DE648E"/>
    <w:rsid w:val="00DE6575"/>
    <w:rsid w:val="00DE6A9E"/>
    <w:rsid w:val="00DE6F7F"/>
    <w:rsid w:val="00DE75C6"/>
    <w:rsid w:val="00DE788C"/>
    <w:rsid w:val="00DE7B4D"/>
    <w:rsid w:val="00DE7F6C"/>
    <w:rsid w:val="00DE7FAD"/>
    <w:rsid w:val="00DF0028"/>
    <w:rsid w:val="00DF049C"/>
    <w:rsid w:val="00DF06D4"/>
    <w:rsid w:val="00DF100F"/>
    <w:rsid w:val="00DF11EF"/>
    <w:rsid w:val="00DF17F3"/>
    <w:rsid w:val="00DF1ABE"/>
    <w:rsid w:val="00DF23EF"/>
    <w:rsid w:val="00DF249D"/>
    <w:rsid w:val="00DF2AEA"/>
    <w:rsid w:val="00DF2EF9"/>
    <w:rsid w:val="00DF343F"/>
    <w:rsid w:val="00DF39FF"/>
    <w:rsid w:val="00DF4030"/>
    <w:rsid w:val="00DF410F"/>
    <w:rsid w:val="00DF41B2"/>
    <w:rsid w:val="00DF42C6"/>
    <w:rsid w:val="00DF43B1"/>
    <w:rsid w:val="00DF48A3"/>
    <w:rsid w:val="00DF4D9B"/>
    <w:rsid w:val="00DF53E5"/>
    <w:rsid w:val="00DF554E"/>
    <w:rsid w:val="00DF5D15"/>
    <w:rsid w:val="00DF5D38"/>
    <w:rsid w:val="00DF5D9D"/>
    <w:rsid w:val="00DF60B8"/>
    <w:rsid w:val="00DF6611"/>
    <w:rsid w:val="00DF6D5A"/>
    <w:rsid w:val="00DF6F50"/>
    <w:rsid w:val="00DF70B3"/>
    <w:rsid w:val="00DF70CC"/>
    <w:rsid w:val="00DF75AA"/>
    <w:rsid w:val="00DF7794"/>
    <w:rsid w:val="00DF791D"/>
    <w:rsid w:val="00E00285"/>
    <w:rsid w:val="00E00764"/>
    <w:rsid w:val="00E00D25"/>
    <w:rsid w:val="00E00F08"/>
    <w:rsid w:val="00E01197"/>
    <w:rsid w:val="00E01A47"/>
    <w:rsid w:val="00E01B03"/>
    <w:rsid w:val="00E01B86"/>
    <w:rsid w:val="00E01C7F"/>
    <w:rsid w:val="00E023E3"/>
    <w:rsid w:val="00E0283D"/>
    <w:rsid w:val="00E02941"/>
    <w:rsid w:val="00E02A82"/>
    <w:rsid w:val="00E02AF6"/>
    <w:rsid w:val="00E02DCB"/>
    <w:rsid w:val="00E03346"/>
    <w:rsid w:val="00E03AB8"/>
    <w:rsid w:val="00E03C9F"/>
    <w:rsid w:val="00E03E42"/>
    <w:rsid w:val="00E04007"/>
    <w:rsid w:val="00E043AB"/>
    <w:rsid w:val="00E043BC"/>
    <w:rsid w:val="00E049A1"/>
    <w:rsid w:val="00E04EF5"/>
    <w:rsid w:val="00E050CF"/>
    <w:rsid w:val="00E05186"/>
    <w:rsid w:val="00E051C5"/>
    <w:rsid w:val="00E053C1"/>
    <w:rsid w:val="00E05903"/>
    <w:rsid w:val="00E05A19"/>
    <w:rsid w:val="00E05BBB"/>
    <w:rsid w:val="00E06073"/>
    <w:rsid w:val="00E061DF"/>
    <w:rsid w:val="00E06631"/>
    <w:rsid w:val="00E0667B"/>
    <w:rsid w:val="00E06B56"/>
    <w:rsid w:val="00E07242"/>
    <w:rsid w:val="00E0734F"/>
    <w:rsid w:val="00E0760E"/>
    <w:rsid w:val="00E07877"/>
    <w:rsid w:val="00E07B3B"/>
    <w:rsid w:val="00E07F42"/>
    <w:rsid w:val="00E07FC0"/>
    <w:rsid w:val="00E1087D"/>
    <w:rsid w:val="00E10B76"/>
    <w:rsid w:val="00E10C75"/>
    <w:rsid w:val="00E10F1B"/>
    <w:rsid w:val="00E10F55"/>
    <w:rsid w:val="00E116AA"/>
    <w:rsid w:val="00E1180E"/>
    <w:rsid w:val="00E11ED2"/>
    <w:rsid w:val="00E11F8E"/>
    <w:rsid w:val="00E12362"/>
    <w:rsid w:val="00E13052"/>
    <w:rsid w:val="00E1328B"/>
    <w:rsid w:val="00E133EA"/>
    <w:rsid w:val="00E13630"/>
    <w:rsid w:val="00E138F7"/>
    <w:rsid w:val="00E13CE1"/>
    <w:rsid w:val="00E141DC"/>
    <w:rsid w:val="00E14483"/>
    <w:rsid w:val="00E146C5"/>
    <w:rsid w:val="00E14A03"/>
    <w:rsid w:val="00E14E63"/>
    <w:rsid w:val="00E14FF6"/>
    <w:rsid w:val="00E1553A"/>
    <w:rsid w:val="00E1558E"/>
    <w:rsid w:val="00E15622"/>
    <w:rsid w:val="00E157B1"/>
    <w:rsid w:val="00E157BA"/>
    <w:rsid w:val="00E15917"/>
    <w:rsid w:val="00E168BA"/>
    <w:rsid w:val="00E168E6"/>
    <w:rsid w:val="00E16BE4"/>
    <w:rsid w:val="00E16D46"/>
    <w:rsid w:val="00E16FF9"/>
    <w:rsid w:val="00E171AC"/>
    <w:rsid w:val="00E17447"/>
    <w:rsid w:val="00E1762F"/>
    <w:rsid w:val="00E1776A"/>
    <w:rsid w:val="00E177A2"/>
    <w:rsid w:val="00E17911"/>
    <w:rsid w:val="00E17ADF"/>
    <w:rsid w:val="00E17B72"/>
    <w:rsid w:val="00E17EF8"/>
    <w:rsid w:val="00E17F5D"/>
    <w:rsid w:val="00E20114"/>
    <w:rsid w:val="00E20143"/>
    <w:rsid w:val="00E2017B"/>
    <w:rsid w:val="00E204BF"/>
    <w:rsid w:val="00E20717"/>
    <w:rsid w:val="00E20AD1"/>
    <w:rsid w:val="00E20AF4"/>
    <w:rsid w:val="00E20B4E"/>
    <w:rsid w:val="00E20BDF"/>
    <w:rsid w:val="00E20DA9"/>
    <w:rsid w:val="00E213B3"/>
    <w:rsid w:val="00E219CB"/>
    <w:rsid w:val="00E2216A"/>
    <w:rsid w:val="00E221BD"/>
    <w:rsid w:val="00E22758"/>
    <w:rsid w:val="00E22799"/>
    <w:rsid w:val="00E2318D"/>
    <w:rsid w:val="00E2341D"/>
    <w:rsid w:val="00E2346A"/>
    <w:rsid w:val="00E23490"/>
    <w:rsid w:val="00E235BF"/>
    <w:rsid w:val="00E23CEC"/>
    <w:rsid w:val="00E23E4D"/>
    <w:rsid w:val="00E23E9F"/>
    <w:rsid w:val="00E23F2F"/>
    <w:rsid w:val="00E240AB"/>
    <w:rsid w:val="00E2433D"/>
    <w:rsid w:val="00E243E1"/>
    <w:rsid w:val="00E24408"/>
    <w:rsid w:val="00E2516C"/>
    <w:rsid w:val="00E252C1"/>
    <w:rsid w:val="00E25964"/>
    <w:rsid w:val="00E259B4"/>
    <w:rsid w:val="00E25EC8"/>
    <w:rsid w:val="00E26249"/>
    <w:rsid w:val="00E26735"/>
    <w:rsid w:val="00E26DE0"/>
    <w:rsid w:val="00E26F63"/>
    <w:rsid w:val="00E270E6"/>
    <w:rsid w:val="00E2719F"/>
    <w:rsid w:val="00E27FCD"/>
    <w:rsid w:val="00E300AC"/>
    <w:rsid w:val="00E307D6"/>
    <w:rsid w:val="00E30D55"/>
    <w:rsid w:val="00E310FA"/>
    <w:rsid w:val="00E315CE"/>
    <w:rsid w:val="00E31D97"/>
    <w:rsid w:val="00E325C6"/>
    <w:rsid w:val="00E3290F"/>
    <w:rsid w:val="00E32B36"/>
    <w:rsid w:val="00E32DC2"/>
    <w:rsid w:val="00E32F2F"/>
    <w:rsid w:val="00E332F4"/>
    <w:rsid w:val="00E333F1"/>
    <w:rsid w:val="00E335E2"/>
    <w:rsid w:val="00E33901"/>
    <w:rsid w:val="00E33D22"/>
    <w:rsid w:val="00E34412"/>
    <w:rsid w:val="00E345C1"/>
    <w:rsid w:val="00E34B9B"/>
    <w:rsid w:val="00E35312"/>
    <w:rsid w:val="00E354DE"/>
    <w:rsid w:val="00E3565E"/>
    <w:rsid w:val="00E35760"/>
    <w:rsid w:val="00E35985"/>
    <w:rsid w:val="00E35FBE"/>
    <w:rsid w:val="00E360B1"/>
    <w:rsid w:val="00E36391"/>
    <w:rsid w:val="00E3647D"/>
    <w:rsid w:val="00E36F7F"/>
    <w:rsid w:val="00E37639"/>
    <w:rsid w:val="00E377BB"/>
    <w:rsid w:val="00E37A8B"/>
    <w:rsid w:val="00E40208"/>
    <w:rsid w:val="00E40420"/>
    <w:rsid w:val="00E40529"/>
    <w:rsid w:val="00E407EC"/>
    <w:rsid w:val="00E40D65"/>
    <w:rsid w:val="00E40E41"/>
    <w:rsid w:val="00E40EEB"/>
    <w:rsid w:val="00E4152F"/>
    <w:rsid w:val="00E416E6"/>
    <w:rsid w:val="00E42104"/>
    <w:rsid w:val="00E4214B"/>
    <w:rsid w:val="00E42255"/>
    <w:rsid w:val="00E423D5"/>
    <w:rsid w:val="00E4245F"/>
    <w:rsid w:val="00E425F2"/>
    <w:rsid w:val="00E43071"/>
    <w:rsid w:val="00E4309E"/>
    <w:rsid w:val="00E43185"/>
    <w:rsid w:val="00E43361"/>
    <w:rsid w:val="00E444B1"/>
    <w:rsid w:val="00E4473F"/>
    <w:rsid w:val="00E448C4"/>
    <w:rsid w:val="00E449C8"/>
    <w:rsid w:val="00E44A65"/>
    <w:rsid w:val="00E44BC7"/>
    <w:rsid w:val="00E44C34"/>
    <w:rsid w:val="00E44F80"/>
    <w:rsid w:val="00E45008"/>
    <w:rsid w:val="00E452CF"/>
    <w:rsid w:val="00E45414"/>
    <w:rsid w:val="00E458F6"/>
    <w:rsid w:val="00E45FD4"/>
    <w:rsid w:val="00E45FEE"/>
    <w:rsid w:val="00E4633B"/>
    <w:rsid w:val="00E463F4"/>
    <w:rsid w:val="00E46729"/>
    <w:rsid w:val="00E4673B"/>
    <w:rsid w:val="00E467F1"/>
    <w:rsid w:val="00E46C34"/>
    <w:rsid w:val="00E47279"/>
    <w:rsid w:val="00E472C7"/>
    <w:rsid w:val="00E4791F"/>
    <w:rsid w:val="00E47968"/>
    <w:rsid w:val="00E4796C"/>
    <w:rsid w:val="00E47993"/>
    <w:rsid w:val="00E47B9F"/>
    <w:rsid w:val="00E47E28"/>
    <w:rsid w:val="00E47F7C"/>
    <w:rsid w:val="00E47FF9"/>
    <w:rsid w:val="00E501C7"/>
    <w:rsid w:val="00E50594"/>
    <w:rsid w:val="00E507CF"/>
    <w:rsid w:val="00E50987"/>
    <w:rsid w:val="00E50AA8"/>
    <w:rsid w:val="00E50C67"/>
    <w:rsid w:val="00E50D8A"/>
    <w:rsid w:val="00E511FF"/>
    <w:rsid w:val="00E51200"/>
    <w:rsid w:val="00E51B5D"/>
    <w:rsid w:val="00E51EDE"/>
    <w:rsid w:val="00E5236D"/>
    <w:rsid w:val="00E5258A"/>
    <w:rsid w:val="00E52638"/>
    <w:rsid w:val="00E527B8"/>
    <w:rsid w:val="00E52A5B"/>
    <w:rsid w:val="00E52B8B"/>
    <w:rsid w:val="00E52FEE"/>
    <w:rsid w:val="00E53291"/>
    <w:rsid w:val="00E53627"/>
    <w:rsid w:val="00E53A0C"/>
    <w:rsid w:val="00E53AC6"/>
    <w:rsid w:val="00E53E38"/>
    <w:rsid w:val="00E5491E"/>
    <w:rsid w:val="00E5496E"/>
    <w:rsid w:val="00E54DCF"/>
    <w:rsid w:val="00E54EDD"/>
    <w:rsid w:val="00E54F10"/>
    <w:rsid w:val="00E553FB"/>
    <w:rsid w:val="00E555AD"/>
    <w:rsid w:val="00E55985"/>
    <w:rsid w:val="00E55AE6"/>
    <w:rsid w:val="00E55CF4"/>
    <w:rsid w:val="00E56019"/>
    <w:rsid w:val="00E56353"/>
    <w:rsid w:val="00E5669D"/>
    <w:rsid w:val="00E56B21"/>
    <w:rsid w:val="00E57B3A"/>
    <w:rsid w:val="00E601CB"/>
    <w:rsid w:val="00E601F3"/>
    <w:rsid w:val="00E60E3A"/>
    <w:rsid w:val="00E6115C"/>
    <w:rsid w:val="00E61237"/>
    <w:rsid w:val="00E61297"/>
    <w:rsid w:val="00E61714"/>
    <w:rsid w:val="00E61E6B"/>
    <w:rsid w:val="00E621D4"/>
    <w:rsid w:val="00E62462"/>
    <w:rsid w:val="00E629D6"/>
    <w:rsid w:val="00E62A6B"/>
    <w:rsid w:val="00E62E0F"/>
    <w:rsid w:val="00E62F32"/>
    <w:rsid w:val="00E63637"/>
    <w:rsid w:val="00E638B2"/>
    <w:rsid w:val="00E639C0"/>
    <w:rsid w:val="00E640FE"/>
    <w:rsid w:val="00E6470C"/>
    <w:rsid w:val="00E64751"/>
    <w:rsid w:val="00E6476B"/>
    <w:rsid w:val="00E654C2"/>
    <w:rsid w:val="00E65510"/>
    <w:rsid w:val="00E65ADE"/>
    <w:rsid w:val="00E65B32"/>
    <w:rsid w:val="00E65E29"/>
    <w:rsid w:val="00E6601D"/>
    <w:rsid w:val="00E6617E"/>
    <w:rsid w:val="00E6653D"/>
    <w:rsid w:val="00E668E7"/>
    <w:rsid w:val="00E674B3"/>
    <w:rsid w:val="00E674E4"/>
    <w:rsid w:val="00E675AA"/>
    <w:rsid w:val="00E67A1C"/>
    <w:rsid w:val="00E67A70"/>
    <w:rsid w:val="00E67A8B"/>
    <w:rsid w:val="00E67E4C"/>
    <w:rsid w:val="00E67F3A"/>
    <w:rsid w:val="00E67F3E"/>
    <w:rsid w:val="00E67F8D"/>
    <w:rsid w:val="00E7049E"/>
    <w:rsid w:val="00E705FE"/>
    <w:rsid w:val="00E7067D"/>
    <w:rsid w:val="00E70768"/>
    <w:rsid w:val="00E70869"/>
    <w:rsid w:val="00E70B71"/>
    <w:rsid w:val="00E70D87"/>
    <w:rsid w:val="00E70D89"/>
    <w:rsid w:val="00E718BA"/>
    <w:rsid w:val="00E71DE3"/>
    <w:rsid w:val="00E71EEF"/>
    <w:rsid w:val="00E722F4"/>
    <w:rsid w:val="00E7231F"/>
    <w:rsid w:val="00E72609"/>
    <w:rsid w:val="00E727BD"/>
    <w:rsid w:val="00E72887"/>
    <w:rsid w:val="00E72A06"/>
    <w:rsid w:val="00E72B70"/>
    <w:rsid w:val="00E72C38"/>
    <w:rsid w:val="00E731DD"/>
    <w:rsid w:val="00E736C9"/>
    <w:rsid w:val="00E73700"/>
    <w:rsid w:val="00E737A6"/>
    <w:rsid w:val="00E73C56"/>
    <w:rsid w:val="00E73D09"/>
    <w:rsid w:val="00E73F2A"/>
    <w:rsid w:val="00E7407A"/>
    <w:rsid w:val="00E7408B"/>
    <w:rsid w:val="00E749CC"/>
    <w:rsid w:val="00E74B90"/>
    <w:rsid w:val="00E74BA0"/>
    <w:rsid w:val="00E75442"/>
    <w:rsid w:val="00E7544E"/>
    <w:rsid w:val="00E75529"/>
    <w:rsid w:val="00E756E4"/>
    <w:rsid w:val="00E7661B"/>
    <w:rsid w:val="00E76C75"/>
    <w:rsid w:val="00E76CA2"/>
    <w:rsid w:val="00E770B4"/>
    <w:rsid w:val="00E7716B"/>
    <w:rsid w:val="00E771B5"/>
    <w:rsid w:val="00E77CE8"/>
    <w:rsid w:val="00E80287"/>
    <w:rsid w:val="00E806AE"/>
    <w:rsid w:val="00E80717"/>
    <w:rsid w:val="00E807F3"/>
    <w:rsid w:val="00E80D20"/>
    <w:rsid w:val="00E8120D"/>
    <w:rsid w:val="00E8144E"/>
    <w:rsid w:val="00E8194D"/>
    <w:rsid w:val="00E81A4D"/>
    <w:rsid w:val="00E81D6C"/>
    <w:rsid w:val="00E820F6"/>
    <w:rsid w:val="00E82101"/>
    <w:rsid w:val="00E82277"/>
    <w:rsid w:val="00E8239E"/>
    <w:rsid w:val="00E825CB"/>
    <w:rsid w:val="00E826FD"/>
    <w:rsid w:val="00E82849"/>
    <w:rsid w:val="00E82946"/>
    <w:rsid w:val="00E82992"/>
    <w:rsid w:val="00E82A8F"/>
    <w:rsid w:val="00E82BE9"/>
    <w:rsid w:val="00E82D70"/>
    <w:rsid w:val="00E832A4"/>
    <w:rsid w:val="00E83748"/>
    <w:rsid w:val="00E83A05"/>
    <w:rsid w:val="00E83D4D"/>
    <w:rsid w:val="00E84025"/>
    <w:rsid w:val="00E842CC"/>
    <w:rsid w:val="00E84C03"/>
    <w:rsid w:val="00E84CC6"/>
    <w:rsid w:val="00E84D7D"/>
    <w:rsid w:val="00E8577D"/>
    <w:rsid w:val="00E8589E"/>
    <w:rsid w:val="00E85ECB"/>
    <w:rsid w:val="00E85F5C"/>
    <w:rsid w:val="00E86225"/>
    <w:rsid w:val="00E8622F"/>
    <w:rsid w:val="00E86246"/>
    <w:rsid w:val="00E8648E"/>
    <w:rsid w:val="00E86540"/>
    <w:rsid w:val="00E869FA"/>
    <w:rsid w:val="00E86D5F"/>
    <w:rsid w:val="00E8755C"/>
    <w:rsid w:val="00E87673"/>
    <w:rsid w:val="00E87E9E"/>
    <w:rsid w:val="00E90246"/>
    <w:rsid w:val="00E9077F"/>
    <w:rsid w:val="00E90B8B"/>
    <w:rsid w:val="00E90D6F"/>
    <w:rsid w:val="00E90F9E"/>
    <w:rsid w:val="00E91BE1"/>
    <w:rsid w:val="00E91EF7"/>
    <w:rsid w:val="00E91FEB"/>
    <w:rsid w:val="00E925A1"/>
    <w:rsid w:val="00E927C2"/>
    <w:rsid w:val="00E92E68"/>
    <w:rsid w:val="00E92F36"/>
    <w:rsid w:val="00E936AE"/>
    <w:rsid w:val="00E937EE"/>
    <w:rsid w:val="00E93850"/>
    <w:rsid w:val="00E938AC"/>
    <w:rsid w:val="00E93DE6"/>
    <w:rsid w:val="00E942EE"/>
    <w:rsid w:val="00E94BDB"/>
    <w:rsid w:val="00E95326"/>
    <w:rsid w:val="00E95869"/>
    <w:rsid w:val="00E95BD5"/>
    <w:rsid w:val="00E95E3B"/>
    <w:rsid w:val="00E95F8F"/>
    <w:rsid w:val="00E96028"/>
    <w:rsid w:val="00E96261"/>
    <w:rsid w:val="00E9640D"/>
    <w:rsid w:val="00E9645D"/>
    <w:rsid w:val="00E965F9"/>
    <w:rsid w:val="00E96630"/>
    <w:rsid w:val="00E96681"/>
    <w:rsid w:val="00E9690D"/>
    <w:rsid w:val="00E96C6C"/>
    <w:rsid w:val="00E96D22"/>
    <w:rsid w:val="00E97000"/>
    <w:rsid w:val="00E97116"/>
    <w:rsid w:val="00E973D0"/>
    <w:rsid w:val="00E97493"/>
    <w:rsid w:val="00E974B3"/>
    <w:rsid w:val="00E97585"/>
    <w:rsid w:val="00E97600"/>
    <w:rsid w:val="00E9772E"/>
    <w:rsid w:val="00E97BD8"/>
    <w:rsid w:val="00EA015D"/>
    <w:rsid w:val="00EA03D8"/>
    <w:rsid w:val="00EA066D"/>
    <w:rsid w:val="00EA0696"/>
    <w:rsid w:val="00EA09BB"/>
    <w:rsid w:val="00EA09F9"/>
    <w:rsid w:val="00EA0A3C"/>
    <w:rsid w:val="00EA0AB0"/>
    <w:rsid w:val="00EA0E77"/>
    <w:rsid w:val="00EA10C7"/>
    <w:rsid w:val="00EA1201"/>
    <w:rsid w:val="00EA13C7"/>
    <w:rsid w:val="00EA1609"/>
    <w:rsid w:val="00EA16E6"/>
    <w:rsid w:val="00EA17C8"/>
    <w:rsid w:val="00EA194D"/>
    <w:rsid w:val="00EA1ACD"/>
    <w:rsid w:val="00EA1AED"/>
    <w:rsid w:val="00EA1D66"/>
    <w:rsid w:val="00EA1F4F"/>
    <w:rsid w:val="00EA2512"/>
    <w:rsid w:val="00EA2684"/>
    <w:rsid w:val="00EA26DB"/>
    <w:rsid w:val="00EA28D8"/>
    <w:rsid w:val="00EA291C"/>
    <w:rsid w:val="00EA30ED"/>
    <w:rsid w:val="00EA32D3"/>
    <w:rsid w:val="00EA39D2"/>
    <w:rsid w:val="00EA3B85"/>
    <w:rsid w:val="00EA3BCC"/>
    <w:rsid w:val="00EA409E"/>
    <w:rsid w:val="00EA43D6"/>
    <w:rsid w:val="00EA4837"/>
    <w:rsid w:val="00EA4AE9"/>
    <w:rsid w:val="00EA51C1"/>
    <w:rsid w:val="00EA59C9"/>
    <w:rsid w:val="00EA5C4E"/>
    <w:rsid w:val="00EA6AD8"/>
    <w:rsid w:val="00EA6B41"/>
    <w:rsid w:val="00EA6CC1"/>
    <w:rsid w:val="00EA6ED6"/>
    <w:rsid w:val="00EA6FDE"/>
    <w:rsid w:val="00EA7B9B"/>
    <w:rsid w:val="00EB004F"/>
    <w:rsid w:val="00EB0406"/>
    <w:rsid w:val="00EB0984"/>
    <w:rsid w:val="00EB09A7"/>
    <w:rsid w:val="00EB0CA8"/>
    <w:rsid w:val="00EB0EB0"/>
    <w:rsid w:val="00EB0ED8"/>
    <w:rsid w:val="00EB0EFF"/>
    <w:rsid w:val="00EB0F07"/>
    <w:rsid w:val="00EB11D6"/>
    <w:rsid w:val="00EB150D"/>
    <w:rsid w:val="00EB17F7"/>
    <w:rsid w:val="00EB1930"/>
    <w:rsid w:val="00EB1A3A"/>
    <w:rsid w:val="00EB1D96"/>
    <w:rsid w:val="00EB1E09"/>
    <w:rsid w:val="00EB2708"/>
    <w:rsid w:val="00EB2830"/>
    <w:rsid w:val="00EB2B2E"/>
    <w:rsid w:val="00EB3013"/>
    <w:rsid w:val="00EB3196"/>
    <w:rsid w:val="00EB3482"/>
    <w:rsid w:val="00EB3694"/>
    <w:rsid w:val="00EB3700"/>
    <w:rsid w:val="00EB37D1"/>
    <w:rsid w:val="00EB3974"/>
    <w:rsid w:val="00EB3BA4"/>
    <w:rsid w:val="00EB3DCF"/>
    <w:rsid w:val="00EB449E"/>
    <w:rsid w:val="00EB4DCD"/>
    <w:rsid w:val="00EB4F33"/>
    <w:rsid w:val="00EB5128"/>
    <w:rsid w:val="00EB58F3"/>
    <w:rsid w:val="00EB5B16"/>
    <w:rsid w:val="00EB5B99"/>
    <w:rsid w:val="00EB610D"/>
    <w:rsid w:val="00EB6381"/>
    <w:rsid w:val="00EB64B1"/>
    <w:rsid w:val="00EB653C"/>
    <w:rsid w:val="00EB65B4"/>
    <w:rsid w:val="00EB69CF"/>
    <w:rsid w:val="00EB6E24"/>
    <w:rsid w:val="00EB7185"/>
    <w:rsid w:val="00EB721D"/>
    <w:rsid w:val="00EB78CD"/>
    <w:rsid w:val="00EB7981"/>
    <w:rsid w:val="00EB7B26"/>
    <w:rsid w:val="00EB7B92"/>
    <w:rsid w:val="00EB7C54"/>
    <w:rsid w:val="00EB7DA2"/>
    <w:rsid w:val="00EC0374"/>
    <w:rsid w:val="00EC0DC6"/>
    <w:rsid w:val="00EC0F74"/>
    <w:rsid w:val="00EC10B6"/>
    <w:rsid w:val="00EC1200"/>
    <w:rsid w:val="00EC1494"/>
    <w:rsid w:val="00EC16EB"/>
    <w:rsid w:val="00EC16EF"/>
    <w:rsid w:val="00EC173F"/>
    <w:rsid w:val="00EC1865"/>
    <w:rsid w:val="00EC1A66"/>
    <w:rsid w:val="00EC1C05"/>
    <w:rsid w:val="00EC1CC4"/>
    <w:rsid w:val="00EC1CCD"/>
    <w:rsid w:val="00EC1D8E"/>
    <w:rsid w:val="00EC1E0C"/>
    <w:rsid w:val="00EC23FC"/>
    <w:rsid w:val="00EC297B"/>
    <w:rsid w:val="00EC29D0"/>
    <w:rsid w:val="00EC31C9"/>
    <w:rsid w:val="00EC36B7"/>
    <w:rsid w:val="00EC3925"/>
    <w:rsid w:val="00EC406F"/>
    <w:rsid w:val="00EC5969"/>
    <w:rsid w:val="00EC59FF"/>
    <w:rsid w:val="00EC5DA0"/>
    <w:rsid w:val="00EC6711"/>
    <w:rsid w:val="00EC719B"/>
    <w:rsid w:val="00EC7676"/>
    <w:rsid w:val="00EC79DF"/>
    <w:rsid w:val="00EC79F8"/>
    <w:rsid w:val="00EC7A98"/>
    <w:rsid w:val="00EC7DB8"/>
    <w:rsid w:val="00ED010A"/>
    <w:rsid w:val="00ED0683"/>
    <w:rsid w:val="00ED06E3"/>
    <w:rsid w:val="00ED078F"/>
    <w:rsid w:val="00ED0D09"/>
    <w:rsid w:val="00ED1367"/>
    <w:rsid w:val="00ED1476"/>
    <w:rsid w:val="00ED182A"/>
    <w:rsid w:val="00ED1C69"/>
    <w:rsid w:val="00ED2162"/>
    <w:rsid w:val="00ED25F4"/>
    <w:rsid w:val="00ED2716"/>
    <w:rsid w:val="00ED271F"/>
    <w:rsid w:val="00ED2BBD"/>
    <w:rsid w:val="00ED2FA1"/>
    <w:rsid w:val="00ED3174"/>
    <w:rsid w:val="00ED3246"/>
    <w:rsid w:val="00ED3857"/>
    <w:rsid w:val="00ED3929"/>
    <w:rsid w:val="00ED3BCA"/>
    <w:rsid w:val="00ED3DF9"/>
    <w:rsid w:val="00ED4215"/>
    <w:rsid w:val="00ED4C6B"/>
    <w:rsid w:val="00ED4CC7"/>
    <w:rsid w:val="00ED4F8E"/>
    <w:rsid w:val="00ED52A9"/>
    <w:rsid w:val="00ED56BC"/>
    <w:rsid w:val="00ED5FD4"/>
    <w:rsid w:val="00ED61AA"/>
    <w:rsid w:val="00ED61AE"/>
    <w:rsid w:val="00ED6325"/>
    <w:rsid w:val="00ED6462"/>
    <w:rsid w:val="00ED64BF"/>
    <w:rsid w:val="00ED6EE6"/>
    <w:rsid w:val="00ED7198"/>
    <w:rsid w:val="00ED71E9"/>
    <w:rsid w:val="00ED7364"/>
    <w:rsid w:val="00ED73EA"/>
    <w:rsid w:val="00ED77ED"/>
    <w:rsid w:val="00ED7957"/>
    <w:rsid w:val="00ED7B96"/>
    <w:rsid w:val="00ED7BC4"/>
    <w:rsid w:val="00ED7BC9"/>
    <w:rsid w:val="00ED7C74"/>
    <w:rsid w:val="00ED7E46"/>
    <w:rsid w:val="00ED7E6C"/>
    <w:rsid w:val="00EE04F4"/>
    <w:rsid w:val="00EE089B"/>
    <w:rsid w:val="00EE0C84"/>
    <w:rsid w:val="00EE1098"/>
    <w:rsid w:val="00EE1222"/>
    <w:rsid w:val="00EE138C"/>
    <w:rsid w:val="00EE2262"/>
    <w:rsid w:val="00EE248B"/>
    <w:rsid w:val="00EE28EB"/>
    <w:rsid w:val="00EE2995"/>
    <w:rsid w:val="00EE2E68"/>
    <w:rsid w:val="00EE3099"/>
    <w:rsid w:val="00EE35E4"/>
    <w:rsid w:val="00EE36FB"/>
    <w:rsid w:val="00EE3AC1"/>
    <w:rsid w:val="00EE3AF9"/>
    <w:rsid w:val="00EE3B91"/>
    <w:rsid w:val="00EE3B97"/>
    <w:rsid w:val="00EE3C91"/>
    <w:rsid w:val="00EE3CB0"/>
    <w:rsid w:val="00EE43DF"/>
    <w:rsid w:val="00EE480F"/>
    <w:rsid w:val="00EE4ADF"/>
    <w:rsid w:val="00EE4C48"/>
    <w:rsid w:val="00EE5156"/>
    <w:rsid w:val="00EE51F7"/>
    <w:rsid w:val="00EE5535"/>
    <w:rsid w:val="00EE58CA"/>
    <w:rsid w:val="00EE5A57"/>
    <w:rsid w:val="00EE5A7D"/>
    <w:rsid w:val="00EE5CF9"/>
    <w:rsid w:val="00EE5DDB"/>
    <w:rsid w:val="00EE63A5"/>
    <w:rsid w:val="00EE6850"/>
    <w:rsid w:val="00EE723D"/>
    <w:rsid w:val="00EE730D"/>
    <w:rsid w:val="00EE7410"/>
    <w:rsid w:val="00EE7584"/>
    <w:rsid w:val="00EE7EF5"/>
    <w:rsid w:val="00EF013A"/>
    <w:rsid w:val="00EF1014"/>
    <w:rsid w:val="00EF107D"/>
    <w:rsid w:val="00EF1094"/>
    <w:rsid w:val="00EF1122"/>
    <w:rsid w:val="00EF12CE"/>
    <w:rsid w:val="00EF1617"/>
    <w:rsid w:val="00EF2373"/>
    <w:rsid w:val="00EF23A9"/>
    <w:rsid w:val="00EF284B"/>
    <w:rsid w:val="00EF28B7"/>
    <w:rsid w:val="00EF2EA2"/>
    <w:rsid w:val="00EF2F39"/>
    <w:rsid w:val="00EF3137"/>
    <w:rsid w:val="00EF3862"/>
    <w:rsid w:val="00EF3A65"/>
    <w:rsid w:val="00EF3A86"/>
    <w:rsid w:val="00EF3F13"/>
    <w:rsid w:val="00EF411B"/>
    <w:rsid w:val="00EF429D"/>
    <w:rsid w:val="00EF433F"/>
    <w:rsid w:val="00EF446C"/>
    <w:rsid w:val="00EF4978"/>
    <w:rsid w:val="00EF49FD"/>
    <w:rsid w:val="00EF4ED7"/>
    <w:rsid w:val="00EF5027"/>
    <w:rsid w:val="00EF5258"/>
    <w:rsid w:val="00EF5363"/>
    <w:rsid w:val="00EF53F7"/>
    <w:rsid w:val="00EF5642"/>
    <w:rsid w:val="00EF56CA"/>
    <w:rsid w:val="00EF5798"/>
    <w:rsid w:val="00EF5CA4"/>
    <w:rsid w:val="00EF5D37"/>
    <w:rsid w:val="00EF626C"/>
    <w:rsid w:val="00EF6390"/>
    <w:rsid w:val="00EF63D6"/>
    <w:rsid w:val="00EF68E2"/>
    <w:rsid w:val="00EF6DBD"/>
    <w:rsid w:val="00EF740F"/>
    <w:rsid w:val="00EF751A"/>
    <w:rsid w:val="00EF789A"/>
    <w:rsid w:val="00EF7BF8"/>
    <w:rsid w:val="00F00496"/>
    <w:rsid w:val="00F00CE1"/>
    <w:rsid w:val="00F00CFE"/>
    <w:rsid w:val="00F00D42"/>
    <w:rsid w:val="00F013B5"/>
    <w:rsid w:val="00F017D2"/>
    <w:rsid w:val="00F01A46"/>
    <w:rsid w:val="00F01B1A"/>
    <w:rsid w:val="00F01BC7"/>
    <w:rsid w:val="00F01E2D"/>
    <w:rsid w:val="00F01E95"/>
    <w:rsid w:val="00F02DB3"/>
    <w:rsid w:val="00F02F7A"/>
    <w:rsid w:val="00F03024"/>
    <w:rsid w:val="00F03564"/>
    <w:rsid w:val="00F035BD"/>
    <w:rsid w:val="00F0388F"/>
    <w:rsid w:val="00F03E41"/>
    <w:rsid w:val="00F0411F"/>
    <w:rsid w:val="00F043AC"/>
    <w:rsid w:val="00F0443B"/>
    <w:rsid w:val="00F0444D"/>
    <w:rsid w:val="00F044F5"/>
    <w:rsid w:val="00F04917"/>
    <w:rsid w:val="00F04982"/>
    <w:rsid w:val="00F04C8F"/>
    <w:rsid w:val="00F05361"/>
    <w:rsid w:val="00F057BE"/>
    <w:rsid w:val="00F058F7"/>
    <w:rsid w:val="00F05963"/>
    <w:rsid w:val="00F05AD8"/>
    <w:rsid w:val="00F05C81"/>
    <w:rsid w:val="00F06217"/>
    <w:rsid w:val="00F06A70"/>
    <w:rsid w:val="00F06DA2"/>
    <w:rsid w:val="00F06F74"/>
    <w:rsid w:val="00F07430"/>
    <w:rsid w:val="00F07770"/>
    <w:rsid w:val="00F10074"/>
    <w:rsid w:val="00F100A4"/>
    <w:rsid w:val="00F100FB"/>
    <w:rsid w:val="00F10A4D"/>
    <w:rsid w:val="00F10B1F"/>
    <w:rsid w:val="00F10EF9"/>
    <w:rsid w:val="00F10F0C"/>
    <w:rsid w:val="00F1110F"/>
    <w:rsid w:val="00F11128"/>
    <w:rsid w:val="00F11377"/>
    <w:rsid w:val="00F1151D"/>
    <w:rsid w:val="00F11798"/>
    <w:rsid w:val="00F120DB"/>
    <w:rsid w:val="00F12274"/>
    <w:rsid w:val="00F124F5"/>
    <w:rsid w:val="00F12623"/>
    <w:rsid w:val="00F129A3"/>
    <w:rsid w:val="00F12A41"/>
    <w:rsid w:val="00F12C52"/>
    <w:rsid w:val="00F12F61"/>
    <w:rsid w:val="00F1398B"/>
    <w:rsid w:val="00F13AA9"/>
    <w:rsid w:val="00F13CDD"/>
    <w:rsid w:val="00F13DA3"/>
    <w:rsid w:val="00F13E59"/>
    <w:rsid w:val="00F13E81"/>
    <w:rsid w:val="00F13FB6"/>
    <w:rsid w:val="00F14371"/>
    <w:rsid w:val="00F14439"/>
    <w:rsid w:val="00F146AD"/>
    <w:rsid w:val="00F14A25"/>
    <w:rsid w:val="00F14EE0"/>
    <w:rsid w:val="00F150A4"/>
    <w:rsid w:val="00F15945"/>
    <w:rsid w:val="00F164E5"/>
    <w:rsid w:val="00F16628"/>
    <w:rsid w:val="00F168C8"/>
    <w:rsid w:val="00F17169"/>
    <w:rsid w:val="00F174F4"/>
    <w:rsid w:val="00F178FD"/>
    <w:rsid w:val="00F17B97"/>
    <w:rsid w:val="00F17D33"/>
    <w:rsid w:val="00F207DB"/>
    <w:rsid w:val="00F208FF"/>
    <w:rsid w:val="00F20945"/>
    <w:rsid w:val="00F216B8"/>
    <w:rsid w:val="00F2191A"/>
    <w:rsid w:val="00F21A84"/>
    <w:rsid w:val="00F21B4C"/>
    <w:rsid w:val="00F21E4B"/>
    <w:rsid w:val="00F232DC"/>
    <w:rsid w:val="00F233E8"/>
    <w:rsid w:val="00F233EF"/>
    <w:rsid w:val="00F23483"/>
    <w:rsid w:val="00F23916"/>
    <w:rsid w:val="00F23EEC"/>
    <w:rsid w:val="00F24021"/>
    <w:rsid w:val="00F242E2"/>
    <w:rsid w:val="00F244A7"/>
    <w:rsid w:val="00F2481D"/>
    <w:rsid w:val="00F25284"/>
    <w:rsid w:val="00F254B5"/>
    <w:rsid w:val="00F257FD"/>
    <w:rsid w:val="00F2587E"/>
    <w:rsid w:val="00F2592F"/>
    <w:rsid w:val="00F259E4"/>
    <w:rsid w:val="00F25B95"/>
    <w:rsid w:val="00F25D87"/>
    <w:rsid w:val="00F25DCB"/>
    <w:rsid w:val="00F26366"/>
    <w:rsid w:val="00F26F7F"/>
    <w:rsid w:val="00F27656"/>
    <w:rsid w:val="00F27CD2"/>
    <w:rsid w:val="00F3003F"/>
    <w:rsid w:val="00F3008B"/>
    <w:rsid w:val="00F302D8"/>
    <w:rsid w:val="00F3070A"/>
    <w:rsid w:val="00F30A75"/>
    <w:rsid w:val="00F30AB8"/>
    <w:rsid w:val="00F30CF0"/>
    <w:rsid w:val="00F30E3E"/>
    <w:rsid w:val="00F30FB8"/>
    <w:rsid w:val="00F31310"/>
    <w:rsid w:val="00F3176A"/>
    <w:rsid w:val="00F3177C"/>
    <w:rsid w:val="00F31E7A"/>
    <w:rsid w:val="00F321D0"/>
    <w:rsid w:val="00F3257E"/>
    <w:rsid w:val="00F326D4"/>
    <w:rsid w:val="00F326EA"/>
    <w:rsid w:val="00F32735"/>
    <w:rsid w:val="00F32749"/>
    <w:rsid w:val="00F32A47"/>
    <w:rsid w:val="00F32D42"/>
    <w:rsid w:val="00F33310"/>
    <w:rsid w:val="00F33576"/>
    <w:rsid w:val="00F33871"/>
    <w:rsid w:val="00F33A35"/>
    <w:rsid w:val="00F34564"/>
    <w:rsid w:val="00F34AED"/>
    <w:rsid w:val="00F34BF4"/>
    <w:rsid w:val="00F34D31"/>
    <w:rsid w:val="00F34D3A"/>
    <w:rsid w:val="00F352CC"/>
    <w:rsid w:val="00F354B5"/>
    <w:rsid w:val="00F35F25"/>
    <w:rsid w:val="00F360FF"/>
    <w:rsid w:val="00F36711"/>
    <w:rsid w:val="00F36823"/>
    <w:rsid w:val="00F37008"/>
    <w:rsid w:val="00F3783A"/>
    <w:rsid w:val="00F37B48"/>
    <w:rsid w:val="00F37BA6"/>
    <w:rsid w:val="00F37BBF"/>
    <w:rsid w:val="00F405CB"/>
    <w:rsid w:val="00F40F6B"/>
    <w:rsid w:val="00F41187"/>
    <w:rsid w:val="00F41420"/>
    <w:rsid w:val="00F41728"/>
    <w:rsid w:val="00F41747"/>
    <w:rsid w:val="00F4194E"/>
    <w:rsid w:val="00F4219F"/>
    <w:rsid w:val="00F423B7"/>
    <w:rsid w:val="00F42417"/>
    <w:rsid w:val="00F42B95"/>
    <w:rsid w:val="00F43442"/>
    <w:rsid w:val="00F4370C"/>
    <w:rsid w:val="00F437B8"/>
    <w:rsid w:val="00F43C12"/>
    <w:rsid w:val="00F43D56"/>
    <w:rsid w:val="00F43F3E"/>
    <w:rsid w:val="00F44110"/>
    <w:rsid w:val="00F444BD"/>
    <w:rsid w:val="00F4467B"/>
    <w:rsid w:val="00F44698"/>
    <w:rsid w:val="00F44787"/>
    <w:rsid w:val="00F44A2B"/>
    <w:rsid w:val="00F44A83"/>
    <w:rsid w:val="00F451FD"/>
    <w:rsid w:val="00F45288"/>
    <w:rsid w:val="00F45665"/>
    <w:rsid w:val="00F45870"/>
    <w:rsid w:val="00F458EB"/>
    <w:rsid w:val="00F45BA6"/>
    <w:rsid w:val="00F45DCF"/>
    <w:rsid w:val="00F45E5B"/>
    <w:rsid w:val="00F4618F"/>
    <w:rsid w:val="00F46455"/>
    <w:rsid w:val="00F469AB"/>
    <w:rsid w:val="00F46B2F"/>
    <w:rsid w:val="00F46B37"/>
    <w:rsid w:val="00F46B62"/>
    <w:rsid w:val="00F46F40"/>
    <w:rsid w:val="00F47773"/>
    <w:rsid w:val="00F478AB"/>
    <w:rsid w:val="00F47BC3"/>
    <w:rsid w:val="00F47EC4"/>
    <w:rsid w:val="00F47F7C"/>
    <w:rsid w:val="00F50252"/>
    <w:rsid w:val="00F5036C"/>
    <w:rsid w:val="00F5051D"/>
    <w:rsid w:val="00F50754"/>
    <w:rsid w:val="00F50772"/>
    <w:rsid w:val="00F50F40"/>
    <w:rsid w:val="00F5127A"/>
    <w:rsid w:val="00F512AA"/>
    <w:rsid w:val="00F51910"/>
    <w:rsid w:val="00F519A7"/>
    <w:rsid w:val="00F51A09"/>
    <w:rsid w:val="00F51A78"/>
    <w:rsid w:val="00F51BEC"/>
    <w:rsid w:val="00F51FB2"/>
    <w:rsid w:val="00F5215A"/>
    <w:rsid w:val="00F52174"/>
    <w:rsid w:val="00F521B2"/>
    <w:rsid w:val="00F524F8"/>
    <w:rsid w:val="00F5251C"/>
    <w:rsid w:val="00F5266A"/>
    <w:rsid w:val="00F53059"/>
    <w:rsid w:val="00F5307C"/>
    <w:rsid w:val="00F53507"/>
    <w:rsid w:val="00F5369C"/>
    <w:rsid w:val="00F537C0"/>
    <w:rsid w:val="00F53814"/>
    <w:rsid w:val="00F538AA"/>
    <w:rsid w:val="00F539EF"/>
    <w:rsid w:val="00F53C12"/>
    <w:rsid w:val="00F548B4"/>
    <w:rsid w:val="00F5496D"/>
    <w:rsid w:val="00F54B91"/>
    <w:rsid w:val="00F54EAA"/>
    <w:rsid w:val="00F5532C"/>
    <w:rsid w:val="00F5559B"/>
    <w:rsid w:val="00F55C4F"/>
    <w:rsid w:val="00F55FBA"/>
    <w:rsid w:val="00F56412"/>
    <w:rsid w:val="00F568FA"/>
    <w:rsid w:val="00F56DEC"/>
    <w:rsid w:val="00F57046"/>
    <w:rsid w:val="00F5707E"/>
    <w:rsid w:val="00F5727F"/>
    <w:rsid w:val="00F573AA"/>
    <w:rsid w:val="00F57935"/>
    <w:rsid w:val="00F57A4B"/>
    <w:rsid w:val="00F57B81"/>
    <w:rsid w:val="00F57F65"/>
    <w:rsid w:val="00F600AF"/>
    <w:rsid w:val="00F602BB"/>
    <w:rsid w:val="00F603F0"/>
    <w:rsid w:val="00F60422"/>
    <w:rsid w:val="00F608C0"/>
    <w:rsid w:val="00F60CB0"/>
    <w:rsid w:val="00F6127E"/>
    <w:rsid w:val="00F61345"/>
    <w:rsid w:val="00F615C3"/>
    <w:rsid w:val="00F61CCA"/>
    <w:rsid w:val="00F623A1"/>
    <w:rsid w:val="00F62943"/>
    <w:rsid w:val="00F62F0F"/>
    <w:rsid w:val="00F62FCE"/>
    <w:rsid w:val="00F62FF2"/>
    <w:rsid w:val="00F6320C"/>
    <w:rsid w:val="00F63382"/>
    <w:rsid w:val="00F63528"/>
    <w:rsid w:val="00F639D8"/>
    <w:rsid w:val="00F63BA6"/>
    <w:rsid w:val="00F63D23"/>
    <w:rsid w:val="00F6469D"/>
    <w:rsid w:val="00F64AA2"/>
    <w:rsid w:val="00F65020"/>
    <w:rsid w:val="00F65255"/>
    <w:rsid w:val="00F6532F"/>
    <w:rsid w:val="00F65440"/>
    <w:rsid w:val="00F65A27"/>
    <w:rsid w:val="00F65BF6"/>
    <w:rsid w:val="00F665FB"/>
    <w:rsid w:val="00F66BB2"/>
    <w:rsid w:val="00F66DC0"/>
    <w:rsid w:val="00F670D6"/>
    <w:rsid w:val="00F671F3"/>
    <w:rsid w:val="00F67670"/>
    <w:rsid w:val="00F6774F"/>
    <w:rsid w:val="00F67CF0"/>
    <w:rsid w:val="00F67F6D"/>
    <w:rsid w:val="00F705A3"/>
    <w:rsid w:val="00F70871"/>
    <w:rsid w:val="00F7099F"/>
    <w:rsid w:val="00F70B67"/>
    <w:rsid w:val="00F70CAC"/>
    <w:rsid w:val="00F70D62"/>
    <w:rsid w:val="00F7131B"/>
    <w:rsid w:val="00F713EA"/>
    <w:rsid w:val="00F715E7"/>
    <w:rsid w:val="00F717F3"/>
    <w:rsid w:val="00F71C44"/>
    <w:rsid w:val="00F71C86"/>
    <w:rsid w:val="00F72086"/>
    <w:rsid w:val="00F7299A"/>
    <w:rsid w:val="00F72E7C"/>
    <w:rsid w:val="00F73151"/>
    <w:rsid w:val="00F731E8"/>
    <w:rsid w:val="00F732C2"/>
    <w:rsid w:val="00F73388"/>
    <w:rsid w:val="00F733E1"/>
    <w:rsid w:val="00F73500"/>
    <w:rsid w:val="00F737C6"/>
    <w:rsid w:val="00F73A7A"/>
    <w:rsid w:val="00F73AAB"/>
    <w:rsid w:val="00F73AF2"/>
    <w:rsid w:val="00F73D59"/>
    <w:rsid w:val="00F74505"/>
    <w:rsid w:val="00F747FA"/>
    <w:rsid w:val="00F7482B"/>
    <w:rsid w:val="00F7494F"/>
    <w:rsid w:val="00F749A6"/>
    <w:rsid w:val="00F74F94"/>
    <w:rsid w:val="00F754A6"/>
    <w:rsid w:val="00F75F0B"/>
    <w:rsid w:val="00F76011"/>
    <w:rsid w:val="00F7655B"/>
    <w:rsid w:val="00F76AB9"/>
    <w:rsid w:val="00F76DA7"/>
    <w:rsid w:val="00F770F8"/>
    <w:rsid w:val="00F77142"/>
    <w:rsid w:val="00F77AE7"/>
    <w:rsid w:val="00F77C39"/>
    <w:rsid w:val="00F77CF3"/>
    <w:rsid w:val="00F77EC3"/>
    <w:rsid w:val="00F80069"/>
    <w:rsid w:val="00F8013D"/>
    <w:rsid w:val="00F80224"/>
    <w:rsid w:val="00F803CD"/>
    <w:rsid w:val="00F80793"/>
    <w:rsid w:val="00F80CDA"/>
    <w:rsid w:val="00F80F05"/>
    <w:rsid w:val="00F81145"/>
    <w:rsid w:val="00F81651"/>
    <w:rsid w:val="00F81666"/>
    <w:rsid w:val="00F817A4"/>
    <w:rsid w:val="00F817FE"/>
    <w:rsid w:val="00F818AF"/>
    <w:rsid w:val="00F81E60"/>
    <w:rsid w:val="00F82323"/>
    <w:rsid w:val="00F82CD0"/>
    <w:rsid w:val="00F82D29"/>
    <w:rsid w:val="00F83058"/>
    <w:rsid w:val="00F831F5"/>
    <w:rsid w:val="00F83750"/>
    <w:rsid w:val="00F83CFB"/>
    <w:rsid w:val="00F83DFF"/>
    <w:rsid w:val="00F83EBD"/>
    <w:rsid w:val="00F8453D"/>
    <w:rsid w:val="00F84750"/>
    <w:rsid w:val="00F84854"/>
    <w:rsid w:val="00F84949"/>
    <w:rsid w:val="00F84E82"/>
    <w:rsid w:val="00F84F49"/>
    <w:rsid w:val="00F8557F"/>
    <w:rsid w:val="00F864E3"/>
    <w:rsid w:val="00F8655C"/>
    <w:rsid w:val="00F86E12"/>
    <w:rsid w:val="00F870F9"/>
    <w:rsid w:val="00F871EC"/>
    <w:rsid w:val="00F8777F"/>
    <w:rsid w:val="00F9017E"/>
    <w:rsid w:val="00F90533"/>
    <w:rsid w:val="00F90ADD"/>
    <w:rsid w:val="00F910E5"/>
    <w:rsid w:val="00F91573"/>
    <w:rsid w:val="00F91907"/>
    <w:rsid w:val="00F91A13"/>
    <w:rsid w:val="00F91BC5"/>
    <w:rsid w:val="00F91CCF"/>
    <w:rsid w:val="00F92C78"/>
    <w:rsid w:val="00F9306B"/>
    <w:rsid w:val="00F93090"/>
    <w:rsid w:val="00F93195"/>
    <w:rsid w:val="00F9319A"/>
    <w:rsid w:val="00F9337F"/>
    <w:rsid w:val="00F93716"/>
    <w:rsid w:val="00F9372D"/>
    <w:rsid w:val="00F93901"/>
    <w:rsid w:val="00F93ED5"/>
    <w:rsid w:val="00F93FCB"/>
    <w:rsid w:val="00F94175"/>
    <w:rsid w:val="00F94BCC"/>
    <w:rsid w:val="00F94C71"/>
    <w:rsid w:val="00F94EC9"/>
    <w:rsid w:val="00F958B8"/>
    <w:rsid w:val="00F95C1D"/>
    <w:rsid w:val="00F95E2D"/>
    <w:rsid w:val="00F9653D"/>
    <w:rsid w:val="00F96BEC"/>
    <w:rsid w:val="00F970C8"/>
    <w:rsid w:val="00F9791C"/>
    <w:rsid w:val="00F979AE"/>
    <w:rsid w:val="00F97E1F"/>
    <w:rsid w:val="00FA01CE"/>
    <w:rsid w:val="00FA0392"/>
    <w:rsid w:val="00FA04F1"/>
    <w:rsid w:val="00FA04F3"/>
    <w:rsid w:val="00FA08E2"/>
    <w:rsid w:val="00FA09AE"/>
    <w:rsid w:val="00FA0A62"/>
    <w:rsid w:val="00FA0EF2"/>
    <w:rsid w:val="00FA1472"/>
    <w:rsid w:val="00FA15D7"/>
    <w:rsid w:val="00FA15FB"/>
    <w:rsid w:val="00FA16A1"/>
    <w:rsid w:val="00FA1A39"/>
    <w:rsid w:val="00FA1E0D"/>
    <w:rsid w:val="00FA200D"/>
    <w:rsid w:val="00FA21E6"/>
    <w:rsid w:val="00FA31FC"/>
    <w:rsid w:val="00FA3633"/>
    <w:rsid w:val="00FA3C68"/>
    <w:rsid w:val="00FA40CA"/>
    <w:rsid w:val="00FA40DB"/>
    <w:rsid w:val="00FA41D7"/>
    <w:rsid w:val="00FA438D"/>
    <w:rsid w:val="00FA4598"/>
    <w:rsid w:val="00FA4D36"/>
    <w:rsid w:val="00FA4EA0"/>
    <w:rsid w:val="00FA4F83"/>
    <w:rsid w:val="00FA5133"/>
    <w:rsid w:val="00FA53B3"/>
    <w:rsid w:val="00FA5BE0"/>
    <w:rsid w:val="00FA637C"/>
    <w:rsid w:val="00FA685E"/>
    <w:rsid w:val="00FA6A55"/>
    <w:rsid w:val="00FA6B7B"/>
    <w:rsid w:val="00FA6FBB"/>
    <w:rsid w:val="00FA7087"/>
    <w:rsid w:val="00FA70A1"/>
    <w:rsid w:val="00FA728E"/>
    <w:rsid w:val="00FA75EA"/>
    <w:rsid w:val="00FA767D"/>
    <w:rsid w:val="00FA77CF"/>
    <w:rsid w:val="00FB018A"/>
    <w:rsid w:val="00FB0D98"/>
    <w:rsid w:val="00FB112C"/>
    <w:rsid w:val="00FB165B"/>
    <w:rsid w:val="00FB1893"/>
    <w:rsid w:val="00FB1FD3"/>
    <w:rsid w:val="00FB2105"/>
    <w:rsid w:val="00FB216C"/>
    <w:rsid w:val="00FB2297"/>
    <w:rsid w:val="00FB23C1"/>
    <w:rsid w:val="00FB248D"/>
    <w:rsid w:val="00FB2691"/>
    <w:rsid w:val="00FB2CFB"/>
    <w:rsid w:val="00FB322E"/>
    <w:rsid w:val="00FB388B"/>
    <w:rsid w:val="00FB3DD3"/>
    <w:rsid w:val="00FB3F07"/>
    <w:rsid w:val="00FB3F6F"/>
    <w:rsid w:val="00FB4006"/>
    <w:rsid w:val="00FB42FA"/>
    <w:rsid w:val="00FB43E8"/>
    <w:rsid w:val="00FB4608"/>
    <w:rsid w:val="00FB4940"/>
    <w:rsid w:val="00FB49A1"/>
    <w:rsid w:val="00FB4CF9"/>
    <w:rsid w:val="00FB4D4E"/>
    <w:rsid w:val="00FB4E87"/>
    <w:rsid w:val="00FB531B"/>
    <w:rsid w:val="00FB564D"/>
    <w:rsid w:val="00FB5809"/>
    <w:rsid w:val="00FB5AEC"/>
    <w:rsid w:val="00FB5C87"/>
    <w:rsid w:val="00FB5F5C"/>
    <w:rsid w:val="00FB603D"/>
    <w:rsid w:val="00FB640B"/>
    <w:rsid w:val="00FB679E"/>
    <w:rsid w:val="00FB6A55"/>
    <w:rsid w:val="00FB6A8A"/>
    <w:rsid w:val="00FB705A"/>
    <w:rsid w:val="00FB7229"/>
    <w:rsid w:val="00FB7CEE"/>
    <w:rsid w:val="00FB7D43"/>
    <w:rsid w:val="00FB7FDF"/>
    <w:rsid w:val="00FB7FEF"/>
    <w:rsid w:val="00FC0406"/>
    <w:rsid w:val="00FC0454"/>
    <w:rsid w:val="00FC06CB"/>
    <w:rsid w:val="00FC1212"/>
    <w:rsid w:val="00FC16FF"/>
    <w:rsid w:val="00FC1A85"/>
    <w:rsid w:val="00FC22FF"/>
    <w:rsid w:val="00FC2893"/>
    <w:rsid w:val="00FC291B"/>
    <w:rsid w:val="00FC2A0D"/>
    <w:rsid w:val="00FC2A8F"/>
    <w:rsid w:val="00FC2D9E"/>
    <w:rsid w:val="00FC2F39"/>
    <w:rsid w:val="00FC30DF"/>
    <w:rsid w:val="00FC32D8"/>
    <w:rsid w:val="00FC33FF"/>
    <w:rsid w:val="00FC3571"/>
    <w:rsid w:val="00FC3658"/>
    <w:rsid w:val="00FC3D06"/>
    <w:rsid w:val="00FC3E5E"/>
    <w:rsid w:val="00FC41C6"/>
    <w:rsid w:val="00FC432A"/>
    <w:rsid w:val="00FC44D7"/>
    <w:rsid w:val="00FC4A42"/>
    <w:rsid w:val="00FC4A78"/>
    <w:rsid w:val="00FC4D34"/>
    <w:rsid w:val="00FC4DBA"/>
    <w:rsid w:val="00FC502D"/>
    <w:rsid w:val="00FC5269"/>
    <w:rsid w:val="00FC56A8"/>
    <w:rsid w:val="00FC581A"/>
    <w:rsid w:val="00FC5872"/>
    <w:rsid w:val="00FC5A57"/>
    <w:rsid w:val="00FC5A76"/>
    <w:rsid w:val="00FC618F"/>
    <w:rsid w:val="00FC641A"/>
    <w:rsid w:val="00FC71BF"/>
    <w:rsid w:val="00FC723D"/>
    <w:rsid w:val="00FC738B"/>
    <w:rsid w:val="00FC75C5"/>
    <w:rsid w:val="00FC79BA"/>
    <w:rsid w:val="00FC7A2C"/>
    <w:rsid w:val="00FC7B26"/>
    <w:rsid w:val="00FD0107"/>
    <w:rsid w:val="00FD042B"/>
    <w:rsid w:val="00FD04F9"/>
    <w:rsid w:val="00FD056E"/>
    <w:rsid w:val="00FD0925"/>
    <w:rsid w:val="00FD0D7D"/>
    <w:rsid w:val="00FD0F5B"/>
    <w:rsid w:val="00FD107C"/>
    <w:rsid w:val="00FD109E"/>
    <w:rsid w:val="00FD1116"/>
    <w:rsid w:val="00FD15CB"/>
    <w:rsid w:val="00FD197C"/>
    <w:rsid w:val="00FD1B56"/>
    <w:rsid w:val="00FD20CF"/>
    <w:rsid w:val="00FD23B7"/>
    <w:rsid w:val="00FD25CD"/>
    <w:rsid w:val="00FD27A5"/>
    <w:rsid w:val="00FD2A77"/>
    <w:rsid w:val="00FD2BBD"/>
    <w:rsid w:val="00FD2C3C"/>
    <w:rsid w:val="00FD2EBF"/>
    <w:rsid w:val="00FD3123"/>
    <w:rsid w:val="00FD31FC"/>
    <w:rsid w:val="00FD3401"/>
    <w:rsid w:val="00FD3754"/>
    <w:rsid w:val="00FD3763"/>
    <w:rsid w:val="00FD3907"/>
    <w:rsid w:val="00FD3A86"/>
    <w:rsid w:val="00FD3C70"/>
    <w:rsid w:val="00FD443C"/>
    <w:rsid w:val="00FD47C8"/>
    <w:rsid w:val="00FD4EF5"/>
    <w:rsid w:val="00FD5571"/>
    <w:rsid w:val="00FD5638"/>
    <w:rsid w:val="00FD5FE0"/>
    <w:rsid w:val="00FD6488"/>
    <w:rsid w:val="00FD66B9"/>
    <w:rsid w:val="00FD66E4"/>
    <w:rsid w:val="00FD6727"/>
    <w:rsid w:val="00FD682A"/>
    <w:rsid w:val="00FD6B0D"/>
    <w:rsid w:val="00FD6B5A"/>
    <w:rsid w:val="00FD6BB6"/>
    <w:rsid w:val="00FD6EEF"/>
    <w:rsid w:val="00FD70D0"/>
    <w:rsid w:val="00FD751E"/>
    <w:rsid w:val="00FD755E"/>
    <w:rsid w:val="00FD7861"/>
    <w:rsid w:val="00FD786F"/>
    <w:rsid w:val="00FE0349"/>
    <w:rsid w:val="00FE0A25"/>
    <w:rsid w:val="00FE0B87"/>
    <w:rsid w:val="00FE0BB6"/>
    <w:rsid w:val="00FE0E95"/>
    <w:rsid w:val="00FE0F43"/>
    <w:rsid w:val="00FE11D4"/>
    <w:rsid w:val="00FE120E"/>
    <w:rsid w:val="00FE1263"/>
    <w:rsid w:val="00FE12AA"/>
    <w:rsid w:val="00FE1304"/>
    <w:rsid w:val="00FE1B42"/>
    <w:rsid w:val="00FE1BD2"/>
    <w:rsid w:val="00FE1C2A"/>
    <w:rsid w:val="00FE2851"/>
    <w:rsid w:val="00FE2BF7"/>
    <w:rsid w:val="00FE3259"/>
    <w:rsid w:val="00FE339A"/>
    <w:rsid w:val="00FE3704"/>
    <w:rsid w:val="00FE386E"/>
    <w:rsid w:val="00FE39F6"/>
    <w:rsid w:val="00FE3ADC"/>
    <w:rsid w:val="00FE3F1C"/>
    <w:rsid w:val="00FE4079"/>
    <w:rsid w:val="00FE46B4"/>
    <w:rsid w:val="00FE484C"/>
    <w:rsid w:val="00FE4C45"/>
    <w:rsid w:val="00FE4CF1"/>
    <w:rsid w:val="00FE4CFE"/>
    <w:rsid w:val="00FE50B8"/>
    <w:rsid w:val="00FE56EF"/>
    <w:rsid w:val="00FE5DE6"/>
    <w:rsid w:val="00FE5EA2"/>
    <w:rsid w:val="00FE5FDC"/>
    <w:rsid w:val="00FE64E6"/>
    <w:rsid w:val="00FE72A0"/>
    <w:rsid w:val="00FE78A3"/>
    <w:rsid w:val="00FE7A9C"/>
    <w:rsid w:val="00FF0282"/>
    <w:rsid w:val="00FF0775"/>
    <w:rsid w:val="00FF07B7"/>
    <w:rsid w:val="00FF0C96"/>
    <w:rsid w:val="00FF1127"/>
    <w:rsid w:val="00FF1154"/>
    <w:rsid w:val="00FF130D"/>
    <w:rsid w:val="00FF140A"/>
    <w:rsid w:val="00FF172C"/>
    <w:rsid w:val="00FF21B2"/>
    <w:rsid w:val="00FF2723"/>
    <w:rsid w:val="00FF27B1"/>
    <w:rsid w:val="00FF282C"/>
    <w:rsid w:val="00FF2C8C"/>
    <w:rsid w:val="00FF2DAD"/>
    <w:rsid w:val="00FF3403"/>
    <w:rsid w:val="00FF451D"/>
    <w:rsid w:val="00FF4E66"/>
    <w:rsid w:val="00FF4F3C"/>
    <w:rsid w:val="00FF5252"/>
    <w:rsid w:val="00FF531A"/>
    <w:rsid w:val="00FF5543"/>
    <w:rsid w:val="00FF5554"/>
    <w:rsid w:val="00FF5714"/>
    <w:rsid w:val="00FF5765"/>
    <w:rsid w:val="00FF5BDF"/>
    <w:rsid w:val="00FF6019"/>
    <w:rsid w:val="00FF63EE"/>
    <w:rsid w:val="00FF6683"/>
    <w:rsid w:val="00FF66BF"/>
    <w:rsid w:val="00FF6740"/>
    <w:rsid w:val="00FF6797"/>
    <w:rsid w:val="00FF682A"/>
    <w:rsid w:val="00FF68F6"/>
    <w:rsid w:val="00FF6966"/>
    <w:rsid w:val="00FF6981"/>
    <w:rsid w:val="00FF6D4E"/>
    <w:rsid w:val="00FF7490"/>
    <w:rsid w:val="00FF7857"/>
    <w:rsid w:val="00FF7D1F"/>
    <w:rsid w:val="00FF7E55"/>
    <w:rsid w:val="1AF04FE8"/>
    <w:rsid w:val="5944E6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DE2"/>
    <w:pPr>
      <w:spacing w:before="120" w:after="160" w:line="259" w:lineRule="auto"/>
    </w:pPr>
    <w:rPr>
      <w:rFonts w:ascii="Franklin Gothic Book" w:hAnsi="Franklin Gothic Book" w:cs="Tahoma"/>
      <w:sz w:val="22"/>
      <w:szCs w:val="22"/>
    </w:rPr>
  </w:style>
  <w:style w:type="paragraph" w:styleId="Heading1">
    <w:name w:val="heading 1"/>
    <w:basedOn w:val="Normal"/>
    <w:next w:val="Normal"/>
    <w:link w:val="Heading1Char"/>
    <w:qFormat/>
    <w:rsid w:val="00A65D65"/>
    <w:pPr>
      <w:keepNext/>
      <w:pageBreakBefore/>
      <w:pBdr>
        <w:bottom w:val="single" w:sz="4" w:space="1" w:color="auto"/>
      </w:pBdr>
      <w:spacing w:after="360"/>
      <w:ind w:left="3402" w:hanging="3402"/>
      <w:outlineLvl w:val="0"/>
    </w:pPr>
    <w:rPr>
      <w:b/>
      <w:smallCaps/>
      <w:sz w:val="44"/>
    </w:rPr>
  </w:style>
  <w:style w:type="paragraph" w:styleId="Heading2">
    <w:name w:val="heading 2"/>
    <w:basedOn w:val="Normal"/>
    <w:next w:val="Normal"/>
    <w:link w:val="Heading2Char"/>
    <w:qFormat/>
    <w:rsid w:val="00F5251C"/>
    <w:pPr>
      <w:keepNext/>
      <w:spacing w:before="240"/>
      <w:outlineLvl w:val="1"/>
    </w:pPr>
    <w:rPr>
      <w:b/>
      <w:smallCaps/>
      <w:sz w:val="28"/>
    </w:rPr>
  </w:style>
  <w:style w:type="paragraph" w:styleId="Heading3">
    <w:name w:val="heading 3"/>
    <w:basedOn w:val="Normal"/>
    <w:next w:val="Normal"/>
    <w:link w:val="Heading3Char"/>
    <w:qFormat/>
    <w:rsid w:val="00F5251C"/>
    <w:pPr>
      <w:keepNext/>
      <w:spacing w:before="240" w:after="120"/>
      <w:outlineLvl w:val="2"/>
    </w:pPr>
    <w:rPr>
      <w:b/>
      <w:smallCaps/>
      <w:sz w:val="24"/>
      <w:szCs w:val="24"/>
    </w:rPr>
  </w:style>
  <w:style w:type="paragraph" w:styleId="Heading4">
    <w:name w:val="heading 4"/>
    <w:basedOn w:val="ESSectionHeading-numbered0"/>
    <w:next w:val="Normal"/>
    <w:link w:val="Heading4Char"/>
    <w:qFormat/>
    <w:rsid w:val="00F5251C"/>
    <w:pPr>
      <w:numPr>
        <w:numId w:val="0"/>
      </w:numPr>
      <w:outlineLvl w:val="3"/>
    </w:pPr>
    <w:rPr>
      <w:smallCaps w:val="0"/>
      <w:sz w:val="22"/>
    </w:rPr>
  </w:style>
  <w:style w:type="paragraph" w:styleId="Heading5">
    <w:name w:val="heading 5"/>
    <w:basedOn w:val="Normal"/>
    <w:next w:val="Normal"/>
    <w:link w:val="Heading5Char"/>
    <w:qFormat/>
    <w:rsid w:val="005C44A6"/>
    <w:pPr>
      <w:keepNext/>
      <w:spacing w:after="60"/>
      <w:outlineLvl w:val="4"/>
    </w:pPr>
    <w:rPr>
      <w:b/>
      <w:i/>
    </w:rPr>
  </w:style>
  <w:style w:type="paragraph" w:styleId="Heading6">
    <w:name w:val="heading 6"/>
    <w:basedOn w:val="Normal"/>
    <w:next w:val="Normal"/>
    <w:link w:val="Heading6Char"/>
    <w:qFormat/>
    <w:rsid w:val="00106D47"/>
    <w:pPr>
      <w:keepNext/>
      <w:outlineLvl w:val="5"/>
    </w:pPr>
    <w:rPr>
      <w:u w:val="single"/>
    </w:rPr>
  </w:style>
  <w:style w:type="paragraph" w:styleId="Heading7">
    <w:name w:val="heading 7"/>
    <w:basedOn w:val="Normal"/>
    <w:next w:val="Normal"/>
    <w:link w:val="Heading7Char"/>
    <w:uiPriority w:val="99"/>
    <w:qFormat/>
    <w:rsid w:val="00574BF8"/>
    <w:pPr>
      <w:keepNext/>
      <w:outlineLvl w:val="6"/>
    </w:pPr>
    <w:rPr>
      <w:i/>
    </w:rPr>
  </w:style>
  <w:style w:type="paragraph" w:styleId="Heading8">
    <w:name w:val="heading 8"/>
    <w:basedOn w:val="Normal"/>
    <w:next w:val="Normal"/>
    <w:link w:val="Heading8Char"/>
    <w:uiPriority w:val="99"/>
    <w:qFormat/>
    <w:rsid w:val="00574BF8"/>
    <w:pPr>
      <w:keepNext/>
      <w:outlineLvl w:val="7"/>
    </w:pPr>
    <w:rPr>
      <w:u w:val="single"/>
    </w:rPr>
  </w:style>
  <w:style w:type="paragraph" w:styleId="Heading9">
    <w:name w:val="heading 9"/>
    <w:basedOn w:val="Normal"/>
    <w:next w:val="Normal"/>
    <w:link w:val="Heading9Char"/>
    <w:uiPriority w:val="99"/>
    <w:qFormat/>
    <w:rsid w:val="00574BF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251C"/>
    <w:rPr>
      <w:rFonts w:ascii="Calibri" w:hAnsi="Calibri" w:cs="Tahoma"/>
      <w:b/>
      <w:smallCaps/>
      <w:sz w:val="28"/>
      <w:szCs w:val="22"/>
    </w:rPr>
  </w:style>
  <w:style w:type="paragraph" w:customStyle="1" w:styleId="Bullet">
    <w:name w:val="Bullet"/>
    <w:basedOn w:val="Normal"/>
    <w:qFormat/>
    <w:rsid w:val="00574BF8"/>
    <w:pPr>
      <w:numPr>
        <w:numId w:val="1"/>
      </w:numPr>
    </w:pPr>
  </w:style>
  <w:style w:type="character" w:styleId="CommentReference">
    <w:name w:val="annotation reference"/>
    <w:aliases w:val="Table Title"/>
    <w:uiPriority w:val="99"/>
    <w:qFormat/>
    <w:rsid w:val="00574BF8"/>
    <w:rPr>
      <w:sz w:val="16"/>
    </w:rPr>
  </w:style>
  <w:style w:type="paragraph" w:styleId="CommentText">
    <w:name w:val="annotation text"/>
    <w:basedOn w:val="Normal"/>
    <w:link w:val="CommentTextChar"/>
    <w:uiPriority w:val="99"/>
    <w:rsid w:val="00574BF8"/>
    <w:rPr>
      <w:sz w:val="20"/>
    </w:rPr>
  </w:style>
  <w:style w:type="paragraph" w:styleId="Date">
    <w:name w:val="Date"/>
    <w:basedOn w:val="Normal"/>
    <w:next w:val="Normal"/>
    <w:link w:val="DateChar"/>
    <w:uiPriority w:val="99"/>
    <w:rsid w:val="00574BF8"/>
    <w:pPr>
      <w:ind w:right="113"/>
      <w:jc w:val="right"/>
    </w:pPr>
    <w:rPr>
      <w:rFonts w:ascii="Arial" w:hAnsi="Arial"/>
      <w:b/>
      <w:sz w:val="36"/>
    </w:rPr>
  </w:style>
  <w:style w:type="paragraph" w:customStyle="1" w:styleId="Summaryboxtext">
    <w:name w:val="Summary box text"/>
    <w:basedOn w:val="Normal"/>
    <w:uiPriority w:val="99"/>
    <w:rsid w:val="000A3AAF"/>
    <w:pPr>
      <w:spacing w:after="100" w:afterAutospacing="1"/>
    </w:pPr>
    <w:rPr>
      <w:rFonts w:ascii="Arial Narrow" w:hAnsi="Arial Narrow"/>
    </w:rPr>
  </w:style>
  <w:style w:type="paragraph" w:styleId="Footer">
    <w:name w:val="footer"/>
    <w:basedOn w:val="Normal"/>
    <w:link w:val="FooterChar"/>
    <w:uiPriority w:val="99"/>
    <w:rsid w:val="00574BF8"/>
    <w:pPr>
      <w:pBdr>
        <w:top w:val="single" w:sz="4" w:space="9" w:color="auto"/>
      </w:pBdr>
      <w:tabs>
        <w:tab w:val="right" w:pos="9000"/>
      </w:tabs>
    </w:pPr>
    <w:rPr>
      <w:rFonts w:ascii="Arial" w:hAnsi="Arial"/>
      <w:b/>
      <w:sz w:val="20"/>
    </w:rPr>
  </w:style>
  <w:style w:type="character" w:styleId="FootnoteReference">
    <w:name w:val="footnote reference"/>
    <w:semiHidden/>
    <w:rsid w:val="00574BF8"/>
    <w:rPr>
      <w:vertAlign w:val="superscript"/>
    </w:rPr>
  </w:style>
  <w:style w:type="paragraph" w:styleId="FootnoteText">
    <w:name w:val="footnote text"/>
    <w:basedOn w:val="Normal"/>
    <w:link w:val="FootnoteTextChar"/>
    <w:qFormat/>
    <w:rsid w:val="009E03EC"/>
    <w:pPr>
      <w:spacing w:after="0" w:line="240" w:lineRule="auto"/>
    </w:pPr>
    <w:rPr>
      <w:sz w:val="20"/>
    </w:rPr>
  </w:style>
  <w:style w:type="paragraph" w:styleId="Header">
    <w:name w:val="header"/>
    <w:basedOn w:val="Normal"/>
    <w:link w:val="HeaderChar"/>
    <w:uiPriority w:val="99"/>
    <w:rsid w:val="00574BF8"/>
    <w:pPr>
      <w:tabs>
        <w:tab w:val="center" w:pos="4153"/>
        <w:tab w:val="right" w:pos="8306"/>
      </w:tabs>
    </w:pPr>
  </w:style>
  <w:style w:type="paragraph" w:customStyle="1" w:styleId="Summaryboxheading">
    <w:name w:val="Summary box heading"/>
    <w:basedOn w:val="Summaryboxtext"/>
    <w:uiPriority w:val="99"/>
    <w:rsid w:val="00D918EC"/>
    <w:rPr>
      <w:b/>
    </w:rPr>
  </w:style>
  <w:style w:type="paragraph" w:customStyle="1" w:styleId="Heading2a">
    <w:name w:val="Heading 2a"/>
    <w:basedOn w:val="Heading2"/>
    <w:uiPriority w:val="99"/>
    <w:rsid w:val="007F6EF6"/>
    <w:pPr>
      <w:outlineLvl w:val="9"/>
    </w:pPr>
    <w:rPr>
      <w:sz w:val="22"/>
    </w:rPr>
  </w:style>
  <w:style w:type="character" w:styleId="PageNumber">
    <w:name w:val="page number"/>
    <w:rsid w:val="00574BF8"/>
    <w:rPr>
      <w:rFonts w:ascii="Tahoma" w:hAnsi="Tahoma"/>
      <w:b/>
      <w:sz w:val="18"/>
    </w:rPr>
  </w:style>
  <w:style w:type="paragraph" w:customStyle="1" w:styleId="PublicationTitle">
    <w:name w:val="PublicationTitle"/>
    <w:basedOn w:val="Normal"/>
    <w:uiPriority w:val="99"/>
    <w:rsid w:val="00574BF8"/>
    <w:pPr>
      <w:spacing w:line="480" w:lineRule="exact"/>
      <w:ind w:right="113"/>
      <w:jc w:val="right"/>
    </w:pPr>
    <w:rPr>
      <w:rFonts w:ascii="Arial" w:hAnsi="Arial"/>
      <w:b/>
      <w:i/>
      <w:sz w:val="44"/>
    </w:rPr>
  </w:style>
  <w:style w:type="paragraph" w:customStyle="1" w:styleId="References">
    <w:name w:val="References"/>
    <w:basedOn w:val="Normal"/>
    <w:uiPriority w:val="99"/>
    <w:rsid w:val="00574BF8"/>
    <w:pPr>
      <w:keepLines/>
      <w:ind w:left="1440" w:hanging="720"/>
    </w:pPr>
  </w:style>
  <w:style w:type="paragraph" w:customStyle="1" w:styleId="Sub-title">
    <w:name w:val="Sub-title"/>
    <w:basedOn w:val="Normal"/>
    <w:uiPriority w:val="99"/>
    <w:rsid w:val="00574BF8"/>
    <w:pPr>
      <w:ind w:right="113"/>
      <w:jc w:val="right"/>
    </w:pPr>
    <w:rPr>
      <w:rFonts w:ascii="Arial" w:hAnsi="Arial"/>
      <w:b/>
      <w:sz w:val="32"/>
    </w:rPr>
  </w:style>
  <w:style w:type="paragraph" w:styleId="TableofFigures">
    <w:name w:val="table of figures"/>
    <w:basedOn w:val="Normal"/>
    <w:next w:val="Normal"/>
    <w:uiPriority w:val="99"/>
    <w:rsid w:val="00574BF8"/>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rsid w:val="00574BF8"/>
    <w:pPr>
      <w:keepNext/>
      <w:spacing w:before="40" w:after="4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qFormat/>
    <w:rsid w:val="00F31E7A"/>
    <w:pPr>
      <w:spacing w:line="240" w:lineRule="auto"/>
    </w:pPr>
    <w:rPr>
      <w:b/>
      <w:sz w:val="20"/>
      <w:szCs w:val="20"/>
    </w:rPr>
  </w:style>
  <w:style w:type="character" w:customStyle="1" w:styleId="TableHeadingChar">
    <w:name w:val="TableHeading Char"/>
    <w:link w:val="TableHeading"/>
    <w:rsid w:val="00F31E7A"/>
    <w:rPr>
      <w:rFonts w:ascii="Arial Narrow" w:hAnsi="Arial Narrow" w:cs="Tahoma"/>
      <w:b/>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F2587E"/>
    <w:pPr>
      <w:keepNext w:val="0"/>
      <w:keepLines/>
      <w:spacing w:before="0" w:after="360"/>
      <w:ind w:left="720"/>
      <w:contextualSpacing/>
    </w:pPr>
    <w:rPr>
      <w:sz w:val="16"/>
    </w:rPr>
  </w:style>
  <w:style w:type="character" w:customStyle="1" w:styleId="TableNotesChar">
    <w:name w:val="TableNotes Char"/>
    <w:link w:val="TableNotes"/>
    <w:rsid w:val="00F2587E"/>
    <w:rPr>
      <w:rFonts w:ascii="Arial Narrow" w:hAnsi="Arial Narrow"/>
      <w:sz w:val="16"/>
      <w:lang w:val="en-AU" w:eastAsia="en-AU" w:bidi="ar-SA"/>
    </w:rPr>
  </w:style>
  <w:style w:type="paragraph" w:styleId="Title">
    <w:name w:val="Title"/>
    <w:basedOn w:val="Normal"/>
    <w:link w:val="TitleChar"/>
    <w:uiPriority w:val="99"/>
    <w:qFormat/>
    <w:rsid w:val="00574BF8"/>
    <w:pPr>
      <w:jc w:val="center"/>
    </w:pPr>
    <w:rPr>
      <w:rFonts w:ascii="Arial" w:hAnsi="Arial"/>
      <w:b/>
      <w:smallCaps/>
      <w:sz w:val="44"/>
    </w:rPr>
  </w:style>
  <w:style w:type="paragraph" w:styleId="TOC1">
    <w:name w:val="toc 1"/>
    <w:basedOn w:val="Normal"/>
    <w:next w:val="Normal"/>
    <w:autoRedefine/>
    <w:uiPriority w:val="39"/>
    <w:qFormat/>
    <w:rsid w:val="008B0698"/>
    <w:pPr>
      <w:tabs>
        <w:tab w:val="left" w:pos="1276"/>
        <w:tab w:val="right" w:leader="dot" w:pos="9017"/>
      </w:tabs>
      <w:spacing w:after="60"/>
      <w:ind w:right="-46"/>
    </w:pPr>
    <w:rPr>
      <w:b/>
      <w:noProof/>
    </w:rPr>
  </w:style>
  <w:style w:type="paragraph" w:styleId="TOC2">
    <w:name w:val="toc 2"/>
    <w:basedOn w:val="Normal"/>
    <w:next w:val="Normal"/>
    <w:autoRedefine/>
    <w:uiPriority w:val="39"/>
    <w:qFormat/>
    <w:rsid w:val="008B0698"/>
    <w:pPr>
      <w:tabs>
        <w:tab w:val="left" w:pos="1540"/>
        <w:tab w:val="right" w:leader="dot" w:pos="9017"/>
      </w:tabs>
      <w:spacing w:after="60"/>
      <w:ind w:left="851" w:right="720"/>
    </w:pPr>
    <w:rPr>
      <w:noProof/>
    </w:rPr>
  </w:style>
  <w:style w:type="paragraph" w:styleId="TOC3">
    <w:name w:val="toc 3"/>
    <w:basedOn w:val="Normal"/>
    <w:next w:val="Normal"/>
    <w:autoRedefine/>
    <w:uiPriority w:val="39"/>
    <w:qFormat/>
    <w:rsid w:val="00CD64D9"/>
    <w:pPr>
      <w:tabs>
        <w:tab w:val="right" w:leader="dot" w:pos="9016"/>
      </w:tabs>
      <w:spacing w:after="0"/>
      <w:ind w:left="1418"/>
    </w:pPr>
    <w:rPr>
      <w:noProof/>
    </w:rPr>
  </w:style>
  <w:style w:type="paragraph" w:styleId="TOC4">
    <w:name w:val="toc 4"/>
    <w:basedOn w:val="Normal"/>
    <w:next w:val="Normal"/>
    <w:autoRedefine/>
    <w:uiPriority w:val="39"/>
    <w:rsid w:val="00574BF8"/>
    <w:pPr>
      <w:ind w:left="660"/>
    </w:pPr>
  </w:style>
  <w:style w:type="paragraph" w:styleId="TOC5">
    <w:name w:val="toc 5"/>
    <w:basedOn w:val="Normal"/>
    <w:next w:val="Normal"/>
    <w:autoRedefine/>
    <w:uiPriority w:val="39"/>
    <w:rsid w:val="00574BF8"/>
    <w:pPr>
      <w:ind w:left="880"/>
    </w:pPr>
  </w:style>
  <w:style w:type="paragraph" w:styleId="TOC6">
    <w:name w:val="toc 6"/>
    <w:basedOn w:val="Normal"/>
    <w:next w:val="Normal"/>
    <w:autoRedefine/>
    <w:uiPriority w:val="39"/>
    <w:rsid w:val="00574BF8"/>
    <w:pPr>
      <w:ind w:left="1100"/>
    </w:pPr>
  </w:style>
  <w:style w:type="paragraph" w:styleId="TOC7">
    <w:name w:val="toc 7"/>
    <w:basedOn w:val="Normal"/>
    <w:next w:val="Normal"/>
    <w:autoRedefine/>
    <w:uiPriority w:val="39"/>
    <w:rsid w:val="00574BF8"/>
    <w:pPr>
      <w:ind w:left="1320"/>
    </w:pPr>
  </w:style>
  <w:style w:type="paragraph" w:styleId="TOC8">
    <w:name w:val="toc 8"/>
    <w:basedOn w:val="Normal"/>
    <w:next w:val="Normal"/>
    <w:autoRedefine/>
    <w:uiPriority w:val="39"/>
    <w:rsid w:val="00574BF8"/>
    <w:pPr>
      <w:ind w:left="1540"/>
    </w:pPr>
  </w:style>
  <w:style w:type="paragraph" w:styleId="TOC9">
    <w:name w:val="toc 9"/>
    <w:basedOn w:val="Normal"/>
    <w:next w:val="Normal"/>
    <w:autoRedefine/>
    <w:uiPriority w:val="39"/>
    <w:rsid w:val="00640EBD"/>
    <w:pPr>
      <w:ind w:left="1760"/>
    </w:pPr>
    <w:rPr>
      <w:sz w:val="144"/>
      <w:szCs w:val="144"/>
    </w:rPr>
  </w:style>
  <w:style w:type="paragraph" w:customStyle="1" w:styleId="Dash">
    <w:name w:val="Dash"/>
    <w:basedOn w:val="Normal"/>
    <w:rsid w:val="00574BF8"/>
    <w:pPr>
      <w:numPr>
        <w:numId w:val="2"/>
      </w:numPr>
    </w:pPr>
  </w:style>
  <w:style w:type="paragraph" w:styleId="Quote">
    <w:name w:val="Quote"/>
    <w:basedOn w:val="Normal"/>
    <w:link w:val="QuoteChar"/>
    <w:uiPriority w:val="99"/>
    <w:qFormat/>
    <w:rsid w:val="00574BF8"/>
    <w:pPr>
      <w:keepLines/>
      <w:ind w:left="1440" w:right="720"/>
    </w:pPr>
  </w:style>
  <w:style w:type="paragraph" w:styleId="BodyText">
    <w:name w:val="Body Text"/>
    <w:basedOn w:val="Normal"/>
    <w:link w:val="BodyTextChar"/>
    <w:uiPriority w:val="99"/>
    <w:rsid w:val="00574BF8"/>
    <w:pPr>
      <w:spacing w:after="0"/>
    </w:pPr>
    <w:rPr>
      <w:rFonts w:ascii="Helv" w:hAnsi="Helv"/>
      <w:b/>
      <w:i/>
      <w:snapToGrid w:val="0"/>
      <w:color w:val="000000"/>
      <w:sz w:val="28"/>
      <w:lang w:eastAsia="en-US"/>
    </w:rPr>
  </w:style>
  <w:style w:type="paragraph" w:styleId="BalloonText">
    <w:name w:val="Balloon Text"/>
    <w:basedOn w:val="Normal"/>
    <w:link w:val="BalloonTextChar"/>
    <w:uiPriority w:val="99"/>
    <w:semiHidden/>
    <w:rsid w:val="00AF06B8"/>
    <w:rPr>
      <w:sz w:val="16"/>
      <w:szCs w:val="16"/>
    </w:rPr>
  </w:style>
  <w:style w:type="character" w:styleId="Hyperlink">
    <w:name w:val="Hyperlink"/>
    <w:uiPriority w:val="99"/>
    <w:rsid w:val="00AF06B8"/>
    <w:rPr>
      <w:color w:val="0000FF"/>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761439"/>
    <w:pPr>
      <w:spacing w:after="120" w:line="240" w:lineRule="auto"/>
      <w:ind w:left="709" w:hanging="709"/>
      <w:outlineLvl w:val="4"/>
    </w:pPr>
    <w:rPr>
      <w:rFonts w:ascii="Arial Narrow" w:hAnsi="Arial Narrow"/>
      <w:b/>
      <w:bCs/>
      <w:sz w:val="20"/>
    </w:rPr>
  </w:style>
  <w:style w:type="paragraph" w:customStyle="1" w:styleId="TableHeading0">
    <w:name w:val="Table Heading"/>
    <w:basedOn w:val="Normal"/>
    <w:next w:val="Normal"/>
    <w:uiPriority w:val="99"/>
    <w:rsid w:val="00C9014F"/>
    <w:pPr>
      <w:keepNext/>
      <w:spacing w:before="40" w:after="40"/>
    </w:pPr>
    <w:rPr>
      <w:rFonts w:ascii="Arial" w:hAnsi="Arial"/>
      <w:b/>
      <w:sz w:val="18"/>
      <w:lang w:val="en-GB" w:eastAsia="en-US"/>
    </w:rPr>
  </w:style>
  <w:style w:type="table" w:styleId="TableGrid">
    <w:name w:val="Table Grid"/>
    <w:aliases w:val="Summary box,Table Gridbeth,RTI AMCP Table,new style,ASD Table,HealthConsult,HTAtableplain"/>
    <w:basedOn w:val="TableNormal"/>
    <w:uiPriority w:val="59"/>
    <w:rsid w:val="005265C4"/>
    <w:pPr>
      <w:spacing w:after="24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DF343F"/>
    <w:pPr>
      <w:keepNext/>
      <w:spacing w:before="40" w:after="40" w:line="240" w:lineRule="auto"/>
    </w:pPr>
    <w:rPr>
      <w:rFonts w:ascii="Arial Narrow" w:hAnsi="Arial Narrow"/>
      <w:sz w:val="20"/>
      <w:lang w:eastAsia="en-US"/>
    </w:rPr>
  </w:style>
  <w:style w:type="character" w:customStyle="1" w:styleId="TableTextChar0">
    <w:name w:val="Table Text Char"/>
    <w:link w:val="TableText0"/>
    <w:rsid w:val="00DF343F"/>
    <w:rPr>
      <w:rFonts w:ascii="Arial Narrow" w:hAnsi="Arial Narrow" w:cs="Tahoma"/>
      <w:szCs w:val="22"/>
      <w:lang w:eastAsia="en-US"/>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link w:val="CommentSubjectChar"/>
    <w:uiPriority w:val="99"/>
    <w:semiHidden/>
    <w:rsid w:val="003060DC"/>
    <w:rPr>
      <w:b/>
      <w:bCs/>
    </w:rPr>
  </w:style>
  <w:style w:type="paragraph" w:customStyle="1" w:styleId="StyleTableTextArialNarrowFirstline045cm">
    <w:name w:val="Style Table Text + Arial Narrow First line:  0.45 cm"/>
    <w:basedOn w:val="TableText0"/>
    <w:uiPriority w:val="99"/>
    <w:rsid w:val="008E0528"/>
    <w:pPr>
      <w:spacing w:after="360"/>
      <w:ind w:firstLine="720"/>
    </w:pPr>
  </w:style>
  <w:style w:type="character" w:styleId="FollowedHyperlink">
    <w:name w:val="FollowedHyperlink"/>
    <w:rsid w:val="003079EF"/>
    <w:rPr>
      <w:color w:val="800080"/>
      <w:u w:val="single"/>
    </w:rPr>
  </w:style>
  <w:style w:type="paragraph" w:customStyle="1" w:styleId="TableNamea">
    <w:name w:val="Table Name(a)"/>
    <w:basedOn w:val="Normal"/>
    <w:uiPriority w:val="99"/>
    <w:rsid w:val="0031303D"/>
    <w:pPr>
      <w:keepNext/>
      <w:spacing w:after="120"/>
      <w:ind w:left="1077" w:hanging="1077"/>
    </w:pPr>
    <w:rPr>
      <w:rFonts w:ascii="Arial" w:hAnsi="Arial"/>
      <w:b/>
      <w:sz w:val="20"/>
      <w:lang w:eastAsia="en-US"/>
    </w:rPr>
  </w:style>
  <w:style w:type="character" w:customStyle="1" w:styleId="BodyTextChar">
    <w:name w:val="Body Text Char"/>
    <w:link w:val="BodyText"/>
    <w:uiPriority w:val="99"/>
    <w:rsid w:val="00E97600"/>
    <w:rPr>
      <w:rFonts w:ascii="Helv" w:hAnsi="Helv"/>
      <w:b/>
      <w:i/>
      <w:snapToGrid w:val="0"/>
      <w:color w:val="000000"/>
      <w:sz w:val="28"/>
      <w:lang w:val="en-AU" w:eastAsia="en-US" w:bidi="ar-SA"/>
    </w:rPr>
  </w:style>
  <w:style w:type="paragraph" w:styleId="DocumentMap">
    <w:name w:val="Document Map"/>
    <w:basedOn w:val="Normal"/>
    <w:link w:val="DocumentMapChar"/>
    <w:uiPriority w:val="99"/>
    <w:rsid w:val="002A2D19"/>
    <w:rPr>
      <w:sz w:val="16"/>
      <w:szCs w:val="16"/>
    </w:rPr>
  </w:style>
  <w:style w:type="character" w:customStyle="1" w:styleId="DocumentMapChar">
    <w:name w:val="Document Map Char"/>
    <w:link w:val="DocumentMap"/>
    <w:uiPriority w:val="99"/>
    <w:rsid w:val="002A2D19"/>
    <w:rPr>
      <w:rFonts w:ascii="Tahoma" w:hAnsi="Tahoma" w:cs="Tahoma"/>
      <w:sz w:val="16"/>
      <w:szCs w:val="16"/>
    </w:rPr>
  </w:style>
  <w:style w:type="paragraph" w:styleId="ListParagraph">
    <w:name w:val="List Paragraph"/>
    <w:basedOn w:val="Normal"/>
    <w:link w:val="ListParagraphChar"/>
    <w:uiPriority w:val="34"/>
    <w:qFormat/>
    <w:rsid w:val="002A2D19"/>
  </w:style>
  <w:style w:type="paragraph" w:customStyle="1" w:styleId="figureheading">
    <w:name w:val="figure heading"/>
    <w:basedOn w:val="Normal"/>
    <w:uiPriority w:val="99"/>
    <w:rsid w:val="002A2D19"/>
    <w:pPr>
      <w:keepNext/>
      <w:spacing w:after="120"/>
      <w:ind w:left="1077" w:hanging="1077"/>
    </w:pPr>
    <w:rPr>
      <w:rFonts w:ascii="Arial" w:hAnsi="Arial"/>
      <w:b/>
      <w:sz w:val="20"/>
      <w:lang w:eastAsia="en-US"/>
    </w:rPr>
  </w:style>
  <w:style w:type="paragraph" w:customStyle="1" w:styleId="Nnumberedlist">
    <w:name w:val="Nnumbered list"/>
    <w:basedOn w:val="Normal"/>
    <w:uiPriority w:val="99"/>
    <w:rsid w:val="002A2D19"/>
    <w:pPr>
      <w:numPr>
        <w:numId w:val="3"/>
      </w:numPr>
    </w:pPr>
  </w:style>
  <w:style w:type="paragraph" w:customStyle="1" w:styleId="Figure">
    <w:name w:val="Figure"/>
    <w:basedOn w:val="TableName"/>
    <w:uiPriority w:val="99"/>
    <w:rsid w:val="002A2D19"/>
    <w:pPr>
      <w:spacing w:before="120" w:after="120"/>
      <w:ind w:left="1800" w:hanging="1080"/>
    </w:pPr>
  </w:style>
  <w:style w:type="paragraph" w:styleId="NormalWeb">
    <w:name w:val="Normal (Web)"/>
    <w:basedOn w:val="Normal"/>
    <w:uiPriority w:val="99"/>
    <w:rsid w:val="002A2D19"/>
    <w:pPr>
      <w:spacing w:before="100" w:beforeAutospacing="1" w:after="100" w:afterAutospacing="1"/>
    </w:pPr>
    <w:rPr>
      <w:rFonts w:ascii="Times New Roman" w:hAnsi="Times New Roman"/>
      <w:color w:val="000000"/>
      <w:szCs w:val="24"/>
      <w:lang w:val="en-US" w:eastAsia="en-US"/>
    </w:rPr>
  </w:style>
  <w:style w:type="paragraph" w:customStyle="1" w:styleId="Equation">
    <w:name w:val="Equation"/>
    <w:basedOn w:val="Header"/>
    <w:uiPriority w:val="99"/>
    <w:rsid w:val="002A2D19"/>
    <w:pPr>
      <w:tabs>
        <w:tab w:val="clear" w:pos="4153"/>
        <w:tab w:val="clear" w:pos="8306"/>
      </w:tabs>
    </w:pPr>
    <w:rPr>
      <w:rFonts w:ascii="Arial Narrow" w:hAnsi="Arial Narrow"/>
      <w:sz w:val="20"/>
    </w:rPr>
  </w:style>
  <w:style w:type="character" w:customStyle="1" w:styleId="Heading1Char">
    <w:name w:val="Heading 1 Char"/>
    <w:link w:val="Heading1"/>
    <w:rsid w:val="00A65D65"/>
    <w:rPr>
      <w:rFonts w:ascii="Calibri" w:hAnsi="Calibri" w:cs="Tahoma"/>
      <w:b/>
      <w:smallCaps/>
      <w:sz w:val="44"/>
      <w:szCs w:val="22"/>
    </w:rPr>
  </w:style>
  <w:style w:type="paragraph" w:customStyle="1" w:styleId="AHTAaddresslines">
    <w:name w:val="AHTA address lines"/>
    <w:basedOn w:val="PlainText"/>
    <w:uiPriority w:val="99"/>
    <w:rsid w:val="002A2D19"/>
    <w:pPr>
      <w:spacing w:line="210" w:lineRule="exact"/>
    </w:pPr>
    <w:rPr>
      <w:rFonts w:ascii="Arial Narrow" w:eastAsia="Times" w:hAnsi="Arial Narrow" w:cs="Times New Roman"/>
      <w:i/>
      <w:color w:val="000080"/>
      <w:sz w:val="16"/>
    </w:rPr>
  </w:style>
  <w:style w:type="paragraph" w:styleId="PlainText">
    <w:name w:val="Plain Text"/>
    <w:basedOn w:val="Normal"/>
    <w:link w:val="PlainTextChar"/>
    <w:uiPriority w:val="99"/>
    <w:rsid w:val="002A2D19"/>
    <w:pPr>
      <w:spacing w:after="0"/>
    </w:pPr>
    <w:rPr>
      <w:rFonts w:ascii="Courier New" w:hAnsi="Courier New" w:cs="Courier New"/>
      <w:sz w:val="20"/>
      <w:lang w:eastAsia="en-US"/>
    </w:rPr>
  </w:style>
  <w:style w:type="character" w:customStyle="1" w:styleId="PlainTextChar">
    <w:name w:val="Plain Text Char"/>
    <w:link w:val="PlainText"/>
    <w:uiPriority w:val="99"/>
    <w:rsid w:val="002A2D19"/>
    <w:rPr>
      <w:rFonts w:ascii="Courier New" w:hAnsi="Courier New" w:cs="Courier New"/>
      <w:lang w:eastAsia="en-US"/>
    </w:rPr>
  </w:style>
  <w:style w:type="character" w:styleId="Strong">
    <w:name w:val="Strong"/>
    <w:uiPriority w:val="22"/>
    <w:qFormat/>
    <w:rsid w:val="002A2D19"/>
    <w:rPr>
      <w:b/>
      <w:bCs/>
    </w:rPr>
  </w:style>
  <w:style w:type="character" w:customStyle="1" w:styleId="regulartext">
    <w:name w:val="regulartext"/>
    <w:basedOn w:val="DefaultParagraphFont"/>
    <w:rsid w:val="002A2D19"/>
  </w:style>
  <w:style w:type="paragraph" w:customStyle="1" w:styleId="bodytext0">
    <w:name w:val="bodytext"/>
    <w:basedOn w:val="Normal"/>
    <w:uiPriority w:val="99"/>
    <w:rsid w:val="002A2D19"/>
    <w:pPr>
      <w:spacing w:before="100" w:beforeAutospacing="1" w:after="100" w:afterAutospacing="1"/>
    </w:pPr>
    <w:rPr>
      <w:rFonts w:ascii="Times New Roman" w:hAnsi="Times New Roman"/>
      <w:szCs w:val="24"/>
    </w:rPr>
  </w:style>
  <w:style w:type="character" w:customStyle="1" w:styleId="mainsubheader1">
    <w:name w:val="mainsubheader1"/>
    <w:rsid w:val="002A2D19"/>
    <w:rPr>
      <w:b/>
      <w:bCs/>
    </w:rPr>
  </w:style>
  <w:style w:type="paragraph" w:customStyle="1" w:styleId="Bullet12">
    <w:name w:val="Bullet+12"/>
    <w:basedOn w:val="Normal"/>
    <w:uiPriority w:val="99"/>
    <w:rsid w:val="002A2D19"/>
    <w:pPr>
      <w:tabs>
        <w:tab w:val="num" w:pos="357"/>
      </w:tabs>
      <w:ind w:left="357" w:hanging="357"/>
    </w:pPr>
    <w:rPr>
      <w:rFonts w:ascii="Times New Roman" w:hAnsi="Times New Roman"/>
      <w:lang w:eastAsia="en-US"/>
    </w:rPr>
  </w:style>
  <w:style w:type="paragraph" w:customStyle="1" w:styleId="Bullet6">
    <w:name w:val="Bullet+6"/>
    <w:basedOn w:val="Normal"/>
    <w:uiPriority w:val="99"/>
    <w:rsid w:val="002A2D19"/>
    <w:pPr>
      <w:tabs>
        <w:tab w:val="num" w:pos="578"/>
      </w:tabs>
      <w:spacing w:after="0"/>
      <w:ind w:left="578" w:hanging="360"/>
    </w:pPr>
    <w:rPr>
      <w:rFonts w:ascii="Times New Roman" w:hAnsi="Times New Roman"/>
      <w:szCs w:val="24"/>
    </w:rPr>
  </w:style>
  <w:style w:type="character" w:customStyle="1" w:styleId="HeaderChar">
    <w:name w:val="Header Char"/>
    <w:link w:val="Header"/>
    <w:uiPriority w:val="99"/>
    <w:locked/>
    <w:rsid w:val="002902F6"/>
    <w:rPr>
      <w:rFonts w:ascii="Tahoma" w:hAnsi="Tahoma" w:cs="Tahoma"/>
      <w:sz w:val="22"/>
      <w:szCs w:val="22"/>
    </w:rPr>
  </w:style>
  <w:style w:type="paragraph" w:customStyle="1" w:styleId="Tabletext1">
    <w:name w:val="Table text"/>
    <w:basedOn w:val="Normal"/>
    <w:link w:val="TabletextChar1"/>
    <w:qFormat/>
    <w:rsid w:val="00AF6B60"/>
    <w:pPr>
      <w:spacing w:before="40" w:after="40" w:line="240" w:lineRule="auto"/>
    </w:pPr>
    <w:rPr>
      <w:rFonts w:ascii="Arial Narrow" w:hAnsi="Arial Narrow"/>
      <w:sz w:val="20"/>
      <w:szCs w:val="20"/>
    </w:rPr>
  </w:style>
  <w:style w:type="character" w:customStyle="1" w:styleId="TabletextChar1">
    <w:name w:val="Table text Char"/>
    <w:link w:val="Tabletext1"/>
    <w:rsid w:val="00AF6B60"/>
    <w:rPr>
      <w:rFonts w:ascii="Arial Narrow" w:hAnsi="Arial Narrow" w:cs="Tahoma"/>
    </w:rPr>
  </w:style>
  <w:style w:type="character" w:customStyle="1" w:styleId="Heading3Char">
    <w:name w:val="Heading 3 Char"/>
    <w:link w:val="Heading3"/>
    <w:rsid w:val="00F5251C"/>
    <w:rPr>
      <w:rFonts w:ascii="Calibri" w:hAnsi="Calibri" w:cs="Tahoma"/>
      <w:b/>
      <w:smallCaps/>
      <w:sz w:val="24"/>
      <w:szCs w:val="24"/>
    </w:rPr>
  </w:style>
  <w:style w:type="character" w:customStyle="1" w:styleId="CommentTextChar">
    <w:name w:val="Comment Text Char"/>
    <w:basedOn w:val="DefaultParagraphFont"/>
    <w:link w:val="CommentText"/>
    <w:uiPriority w:val="99"/>
    <w:rsid w:val="009F2370"/>
    <w:rPr>
      <w:rFonts w:ascii="Tahoma" w:hAnsi="Tahoma" w:cs="Tahoma"/>
      <w:szCs w:val="22"/>
    </w:rPr>
  </w:style>
  <w:style w:type="paragraph" w:customStyle="1" w:styleId="Default">
    <w:name w:val="Default"/>
    <w:rsid w:val="007513FC"/>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sid w:val="004C5E79"/>
    <w:rPr>
      <w:rFonts w:ascii="Tahoma" w:hAnsi="Tahoma" w:cs="Tahoma"/>
      <w:sz w:val="22"/>
      <w:szCs w:val="22"/>
    </w:rPr>
  </w:style>
  <w:style w:type="table" w:styleId="TableClassic1">
    <w:name w:val="Table Classic 1"/>
    <w:basedOn w:val="TableNormal"/>
    <w:rsid w:val="00213EA5"/>
    <w:pPr>
      <w:spacing w:after="240" w:line="312"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1341F5"/>
    <w:rPr>
      <w:rFonts w:ascii="Arial" w:hAnsi="Arial" w:cs="Tahoma"/>
      <w:b/>
      <w:szCs w:val="22"/>
    </w:rPr>
  </w:style>
  <w:style w:type="paragraph" w:styleId="EndnoteText">
    <w:name w:val="endnote text"/>
    <w:basedOn w:val="Normal"/>
    <w:link w:val="EndnoteTextChar"/>
    <w:uiPriority w:val="99"/>
    <w:rsid w:val="001341F5"/>
    <w:pPr>
      <w:spacing w:after="0" w:line="240" w:lineRule="auto"/>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uiPriority w:val="99"/>
    <w:rsid w:val="001341F5"/>
    <w:rPr>
      <w:lang w:eastAsia="en-US"/>
    </w:rPr>
  </w:style>
  <w:style w:type="paragraph" w:customStyle="1" w:styleId="Style1">
    <w:name w:val="Style1"/>
    <w:basedOn w:val="Normal"/>
    <w:uiPriority w:val="99"/>
    <w:rsid w:val="001341F5"/>
    <w:pPr>
      <w:tabs>
        <w:tab w:val="left" w:pos="720"/>
      </w:tabs>
      <w:spacing w:after="0" w:line="240" w:lineRule="auto"/>
    </w:pPr>
    <w:rPr>
      <w:rFonts w:ascii="Bookman Old Style" w:hAnsi="Bookman Old Style" w:cs="Times New Roman"/>
      <w:sz w:val="20"/>
      <w:szCs w:val="20"/>
      <w:lang w:val="en-US" w:eastAsia="en-US"/>
    </w:rPr>
  </w:style>
  <w:style w:type="character" w:customStyle="1" w:styleId="FootnoteTextChar">
    <w:name w:val="Footnote Text Char"/>
    <w:basedOn w:val="DefaultParagraphFont"/>
    <w:link w:val="FootnoteText"/>
    <w:rsid w:val="009E03EC"/>
    <w:rPr>
      <w:rFonts w:ascii="Calibri" w:hAnsi="Calibri" w:cs="Tahoma"/>
      <w:szCs w:val="22"/>
    </w:rPr>
  </w:style>
  <w:style w:type="character" w:customStyle="1" w:styleId="BalloonTextChar">
    <w:name w:val="Balloon Text Char"/>
    <w:basedOn w:val="DefaultParagraphFont"/>
    <w:link w:val="BalloonText"/>
    <w:uiPriority w:val="99"/>
    <w:semiHidden/>
    <w:rsid w:val="0001307B"/>
    <w:rPr>
      <w:rFonts w:ascii="Tahoma" w:hAnsi="Tahoma" w:cs="Tahoma"/>
      <w:sz w:val="16"/>
      <w:szCs w:val="16"/>
    </w:rPr>
  </w:style>
  <w:style w:type="character" w:customStyle="1" w:styleId="CommentSubjectChar">
    <w:name w:val="Comment Subject Char"/>
    <w:basedOn w:val="CommentTextChar"/>
    <w:link w:val="CommentSubject"/>
    <w:uiPriority w:val="99"/>
    <w:semiHidden/>
    <w:rsid w:val="00962174"/>
    <w:rPr>
      <w:rFonts w:ascii="Tahoma" w:hAnsi="Tahoma" w:cs="Tahoma"/>
      <w:b/>
      <w:bCs/>
      <w:szCs w:val="22"/>
    </w:rPr>
  </w:style>
  <w:style w:type="character" w:styleId="Emphasis">
    <w:name w:val="Emphasis"/>
    <w:basedOn w:val="DefaultParagraphFont"/>
    <w:uiPriority w:val="20"/>
    <w:qFormat/>
    <w:rsid w:val="003F1CE5"/>
    <w:rPr>
      <w:b/>
      <w:bCs/>
      <w:i w:val="0"/>
      <w:iCs w:val="0"/>
    </w:rPr>
  </w:style>
  <w:style w:type="character" w:customStyle="1" w:styleId="st1">
    <w:name w:val="st1"/>
    <w:basedOn w:val="DefaultParagraphFont"/>
    <w:rsid w:val="003F1CE5"/>
  </w:style>
  <w:style w:type="table" w:customStyle="1" w:styleId="TableGrid1">
    <w:name w:val="Table Grid1"/>
    <w:basedOn w:val="TableNormal"/>
    <w:next w:val="TableGrid"/>
    <w:rsid w:val="0021388F"/>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2">
    <w:name w:val="Table Grid2"/>
    <w:basedOn w:val="TableNormal"/>
    <w:next w:val="TableGrid"/>
    <w:rsid w:val="0021388F"/>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desc">
    <w:name w:val="desc"/>
    <w:basedOn w:val="Normal"/>
    <w:uiPriority w:val="99"/>
    <w:rsid w:val="0021388F"/>
    <w:pPr>
      <w:spacing w:before="100" w:beforeAutospacing="1" w:after="100" w:afterAutospacing="1" w:line="240" w:lineRule="auto"/>
    </w:pPr>
    <w:rPr>
      <w:rFonts w:ascii="Times New Roman" w:hAnsi="Times New Roman" w:cs="Times New Roman"/>
      <w:szCs w:val="24"/>
    </w:rPr>
  </w:style>
  <w:style w:type="paragraph" w:customStyle="1" w:styleId="details">
    <w:name w:val="details"/>
    <w:basedOn w:val="Normal"/>
    <w:uiPriority w:val="99"/>
    <w:rsid w:val="0021388F"/>
    <w:pPr>
      <w:spacing w:before="100" w:beforeAutospacing="1" w:after="100" w:afterAutospacing="1" w:line="240" w:lineRule="auto"/>
    </w:pPr>
    <w:rPr>
      <w:rFonts w:ascii="Times New Roman" w:hAnsi="Times New Roman" w:cs="Times New Roman"/>
      <w:szCs w:val="24"/>
    </w:rPr>
  </w:style>
  <w:style w:type="character" w:customStyle="1" w:styleId="jrnl">
    <w:name w:val="jrnl"/>
    <w:basedOn w:val="DefaultParagraphFont"/>
    <w:rsid w:val="0021388F"/>
  </w:style>
  <w:style w:type="character" w:customStyle="1" w:styleId="A5">
    <w:name w:val="A5"/>
    <w:uiPriority w:val="99"/>
    <w:rsid w:val="0021388F"/>
    <w:rPr>
      <w:rFonts w:cs="Humanist 77 7 BT"/>
      <w:color w:val="000000"/>
      <w:sz w:val="11"/>
      <w:szCs w:val="11"/>
    </w:rPr>
  </w:style>
  <w:style w:type="paragraph" w:styleId="TOCHeading">
    <w:name w:val="TOC Heading"/>
    <w:basedOn w:val="Heading1"/>
    <w:next w:val="Normal"/>
    <w:uiPriority w:val="39"/>
    <w:unhideWhenUsed/>
    <w:qFormat/>
    <w:rsid w:val="00CD64D9"/>
    <w:pPr>
      <w:keepLines/>
      <w:pageBreakBefore w:val="0"/>
      <w:pBdr>
        <w:bottom w:val="none" w:sz="0" w:space="0" w:color="auto"/>
      </w:pBd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ighlight">
    <w:name w:val="highlight"/>
    <w:basedOn w:val="DefaultParagraphFont"/>
    <w:rsid w:val="00655C2E"/>
  </w:style>
  <w:style w:type="character" w:customStyle="1" w:styleId="Heading4Char">
    <w:name w:val="Heading 4 Char"/>
    <w:basedOn w:val="DefaultParagraphFont"/>
    <w:link w:val="Heading4"/>
    <w:rsid w:val="00F5251C"/>
    <w:rPr>
      <w:rFonts w:ascii="Calibri" w:hAnsi="Calibri" w:cs="Tahoma"/>
      <w:b/>
      <w:sz w:val="22"/>
      <w:szCs w:val="24"/>
    </w:rPr>
  </w:style>
  <w:style w:type="paragraph" w:customStyle="1" w:styleId="ESSectionHeading-numbered0">
    <w:name w:val="ES. Section Heading - numbered"/>
    <w:basedOn w:val="Heading3"/>
    <w:link w:val="ESSectionHeading-numberedChar"/>
    <w:rsid w:val="00AE1CBE"/>
    <w:pPr>
      <w:numPr>
        <w:numId w:val="6"/>
      </w:numPr>
    </w:pPr>
  </w:style>
  <w:style w:type="paragraph" w:customStyle="1" w:styleId="MainBodySectionHeading-numbered">
    <w:name w:val="Main Body Section Heading - numbered"/>
    <w:basedOn w:val="Heading2"/>
    <w:link w:val="MainBodySectionHeading-numberedChar"/>
    <w:rsid w:val="00B313E2"/>
    <w:pPr>
      <w:numPr>
        <w:numId w:val="4"/>
      </w:numPr>
      <w:ind w:left="567" w:hanging="567"/>
    </w:pPr>
  </w:style>
  <w:style w:type="character" w:customStyle="1" w:styleId="ESSectionHeading-numberedChar">
    <w:name w:val="ES. Section Heading - numbered Char"/>
    <w:basedOn w:val="Heading3Char"/>
    <w:link w:val="ESSectionHeading-numbered0"/>
    <w:rsid w:val="00AE1CBE"/>
    <w:rPr>
      <w:rFonts w:ascii="Calibri" w:hAnsi="Calibri" w:cs="Tahoma"/>
      <w:b/>
      <w:smallCaps/>
      <w:sz w:val="24"/>
      <w:szCs w:val="24"/>
    </w:rPr>
  </w:style>
  <w:style w:type="character" w:customStyle="1" w:styleId="MainBodySectionHeading-numberedChar">
    <w:name w:val="Main Body Section Heading - numbered Char"/>
    <w:basedOn w:val="Heading2Char"/>
    <w:link w:val="MainBodySectionHeading-numbered"/>
    <w:rsid w:val="00B313E2"/>
    <w:rPr>
      <w:rFonts w:ascii="Calibri" w:hAnsi="Calibri" w:cs="Tahoma"/>
      <w:b/>
      <w:smallCaps/>
      <w:sz w:val="28"/>
      <w:szCs w:val="22"/>
    </w:rPr>
  </w:style>
  <w:style w:type="numbering" w:customStyle="1" w:styleId="ESSectionheading-numbered">
    <w:name w:val="ES. Section heading - numbered"/>
    <w:uiPriority w:val="99"/>
    <w:rsid w:val="00D957AB"/>
    <w:pPr>
      <w:numPr>
        <w:numId w:val="5"/>
      </w:numPr>
    </w:pPr>
  </w:style>
  <w:style w:type="paragraph" w:customStyle="1" w:styleId="ESNumberedSectionHeading">
    <w:name w:val="ES Numbered Section Heading"/>
    <w:basedOn w:val="Normal"/>
    <w:link w:val="ESNumberedSectionHeadingChar"/>
    <w:qFormat/>
    <w:rsid w:val="003318E7"/>
    <w:pPr>
      <w:keepNext/>
      <w:keepLines/>
      <w:spacing w:before="360" w:line="240" w:lineRule="auto"/>
      <w:outlineLvl w:val="1"/>
    </w:pPr>
    <w:rPr>
      <w:rFonts w:ascii="Franklin Gothic Medium" w:eastAsia="SimSun" w:hAnsi="Franklin Gothic Medium" w:cs="Times New Roman"/>
      <w:color w:val="000000"/>
      <w:sz w:val="32"/>
      <w:szCs w:val="26"/>
      <w:lang w:eastAsia="en-US"/>
    </w:rPr>
  </w:style>
  <w:style w:type="character" w:customStyle="1" w:styleId="ESNumberedSectionHeadingChar">
    <w:name w:val="ES Numbered Section Heading Char"/>
    <w:basedOn w:val="ESSectionHeading-numberedChar"/>
    <w:link w:val="ESNumberedSectionHeading"/>
    <w:rsid w:val="003318E7"/>
    <w:rPr>
      <w:rFonts w:ascii="Franklin Gothic Medium" w:eastAsia="SimSun" w:hAnsi="Franklin Gothic Medium" w:cs="Tahoma"/>
      <w:b w:val="0"/>
      <w:smallCaps w:val="0"/>
      <w:color w:val="000000"/>
      <w:sz w:val="32"/>
      <w:szCs w:val="26"/>
      <w:lang w:eastAsia="en-US"/>
    </w:rPr>
  </w:style>
  <w:style w:type="paragraph" w:customStyle="1" w:styleId="Tablenotes0">
    <w:name w:val="Tablenotes"/>
    <w:basedOn w:val="Normal"/>
    <w:link w:val="TablenotesChar0"/>
    <w:qFormat/>
    <w:rsid w:val="00C52B50"/>
    <w:pPr>
      <w:widowControl w:val="0"/>
      <w:spacing w:before="40" w:line="240" w:lineRule="auto"/>
      <w:contextualSpacing/>
    </w:pPr>
    <w:rPr>
      <w:rFonts w:ascii="Arial Narrow" w:hAnsi="Arial Narrow" w:cs="Arial"/>
      <w:snapToGrid w:val="0"/>
      <w:sz w:val="18"/>
      <w:szCs w:val="20"/>
      <w:lang w:eastAsia="en-US"/>
    </w:rPr>
  </w:style>
  <w:style w:type="character" w:customStyle="1" w:styleId="TablenotesChar0">
    <w:name w:val="Tablenotes Char"/>
    <w:basedOn w:val="DefaultParagraphFont"/>
    <w:link w:val="Tablenotes0"/>
    <w:rsid w:val="00C52B50"/>
    <w:rPr>
      <w:rFonts w:ascii="Arial Narrow" w:hAnsi="Arial Narrow" w:cs="Arial"/>
      <w:snapToGrid w:val="0"/>
      <w:sz w:val="18"/>
      <w:lang w:eastAsia="en-US"/>
    </w:rPr>
  </w:style>
  <w:style w:type="paragraph" w:customStyle="1" w:styleId="TableNotes18">
    <w:name w:val="TableNotes+18"/>
    <w:basedOn w:val="TableText"/>
    <w:uiPriority w:val="99"/>
    <w:rsid w:val="00404BE7"/>
    <w:pPr>
      <w:keepNext w:val="0"/>
      <w:keepLines/>
      <w:spacing w:before="0" w:after="360" w:line="240" w:lineRule="auto"/>
      <w:ind w:left="720"/>
    </w:pPr>
    <w:rPr>
      <w:rFonts w:cs="Times New Roman"/>
      <w:color w:val="000000"/>
      <w:szCs w:val="21"/>
    </w:rPr>
  </w:style>
  <w:style w:type="paragraph" w:customStyle="1" w:styleId="TableNotes00">
    <w:name w:val="TableNotes+0"/>
    <w:basedOn w:val="TableNotes18"/>
    <w:uiPriority w:val="99"/>
    <w:rsid w:val="00404BE7"/>
    <w:pPr>
      <w:keepNext/>
      <w:spacing w:after="0"/>
    </w:pPr>
  </w:style>
  <w:style w:type="paragraph" w:customStyle="1" w:styleId="TFAbbrevs0">
    <w:name w:val="TFAbbrevs+0"/>
    <w:basedOn w:val="Normal"/>
    <w:uiPriority w:val="99"/>
    <w:qFormat/>
    <w:rsid w:val="00214F43"/>
    <w:pPr>
      <w:keepNext/>
      <w:keepLines/>
      <w:spacing w:after="0" w:line="240" w:lineRule="auto"/>
    </w:pPr>
    <w:rPr>
      <w:rFonts w:ascii="Arial Narrow" w:hAnsi="Arial Narrow" w:cs="Times New Roman"/>
      <w:color w:val="000000"/>
      <w:sz w:val="18"/>
      <w:szCs w:val="18"/>
    </w:rPr>
  </w:style>
  <w:style w:type="paragraph" w:customStyle="1" w:styleId="TFAbbrevs18">
    <w:name w:val="TFAbbrevs+18"/>
    <w:basedOn w:val="TFAbbrevs0"/>
    <w:next w:val="Normal"/>
    <w:uiPriority w:val="99"/>
    <w:qFormat/>
    <w:rsid w:val="00214F43"/>
    <w:pPr>
      <w:spacing w:after="360"/>
    </w:pPr>
  </w:style>
  <w:style w:type="paragraph" w:customStyle="1" w:styleId="Comment">
    <w:name w:val="Comment"/>
    <w:basedOn w:val="Normal"/>
    <w:link w:val="CommentChar"/>
    <w:rsid w:val="00DE1599"/>
    <w:pPr>
      <w:tabs>
        <w:tab w:val="num" w:pos="720"/>
      </w:tabs>
    </w:pPr>
    <w:rPr>
      <w:i/>
    </w:rPr>
  </w:style>
  <w:style w:type="character" w:customStyle="1" w:styleId="CommentChar">
    <w:name w:val="Comment Char"/>
    <w:basedOn w:val="DefaultParagraphFont"/>
    <w:link w:val="Comment"/>
    <w:rsid w:val="00DE1599"/>
    <w:rPr>
      <w:rFonts w:ascii="Calibri" w:hAnsi="Calibri" w:cs="Tahoma"/>
      <w:i/>
      <w:sz w:val="22"/>
      <w:szCs w:val="22"/>
    </w:rPr>
  </w:style>
  <w:style w:type="paragraph" w:customStyle="1" w:styleId="hidden">
    <w:name w:val="hidden"/>
    <w:basedOn w:val="Normal"/>
    <w:qFormat/>
    <w:rsid w:val="001E7F65"/>
  </w:style>
  <w:style w:type="paragraph" w:customStyle="1" w:styleId="Guidelines">
    <w:name w:val="Guidelines"/>
    <w:basedOn w:val="Normal"/>
    <w:link w:val="GuidelinesChar"/>
    <w:qFormat/>
    <w:rsid w:val="00E463F4"/>
    <w:rPr>
      <w:vanish/>
      <w:color w:val="C00000"/>
    </w:rPr>
  </w:style>
  <w:style w:type="character" w:customStyle="1" w:styleId="GuidelinesChar">
    <w:name w:val="Guidelines Char"/>
    <w:basedOn w:val="DefaultParagraphFont"/>
    <w:link w:val="Guidelines"/>
    <w:rsid w:val="00E463F4"/>
    <w:rPr>
      <w:rFonts w:ascii="Calibri" w:hAnsi="Calibri" w:cs="Tahoma"/>
      <w:vanish/>
      <w:color w:val="C00000"/>
      <w:sz w:val="22"/>
      <w:szCs w:val="22"/>
    </w:rPr>
  </w:style>
  <w:style w:type="character" w:customStyle="1" w:styleId="Heading5Char">
    <w:name w:val="Heading 5 Char"/>
    <w:basedOn w:val="DefaultParagraphFont"/>
    <w:link w:val="Heading5"/>
    <w:rsid w:val="0085259E"/>
    <w:rPr>
      <w:rFonts w:ascii="Calibri" w:hAnsi="Calibri" w:cs="Tahoma"/>
      <w:b/>
      <w:i/>
      <w:sz w:val="22"/>
      <w:szCs w:val="22"/>
    </w:rPr>
  </w:style>
  <w:style w:type="character" w:customStyle="1" w:styleId="Heading6Char">
    <w:name w:val="Heading 6 Char"/>
    <w:basedOn w:val="DefaultParagraphFont"/>
    <w:link w:val="Heading6"/>
    <w:rsid w:val="002B1E4F"/>
    <w:rPr>
      <w:rFonts w:ascii="Calibri" w:hAnsi="Calibri" w:cs="Tahoma"/>
      <w:sz w:val="22"/>
      <w:szCs w:val="22"/>
      <w:u w:val="single"/>
    </w:rPr>
  </w:style>
  <w:style w:type="character" w:customStyle="1" w:styleId="Heading7Char">
    <w:name w:val="Heading 7 Char"/>
    <w:basedOn w:val="DefaultParagraphFont"/>
    <w:link w:val="Heading7"/>
    <w:uiPriority w:val="99"/>
    <w:rsid w:val="002B1E4F"/>
    <w:rPr>
      <w:rFonts w:ascii="Calibri" w:hAnsi="Calibri" w:cs="Tahoma"/>
      <w:i/>
      <w:sz w:val="22"/>
      <w:szCs w:val="22"/>
    </w:rPr>
  </w:style>
  <w:style w:type="character" w:customStyle="1" w:styleId="Heading8Char">
    <w:name w:val="Heading 8 Char"/>
    <w:basedOn w:val="DefaultParagraphFont"/>
    <w:link w:val="Heading8"/>
    <w:uiPriority w:val="99"/>
    <w:rsid w:val="002B1E4F"/>
    <w:rPr>
      <w:rFonts w:ascii="Calibri" w:hAnsi="Calibri" w:cs="Tahoma"/>
      <w:sz w:val="22"/>
      <w:szCs w:val="22"/>
      <w:u w:val="single"/>
    </w:rPr>
  </w:style>
  <w:style w:type="character" w:customStyle="1" w:styleId="Heading9Char">
    <w:name w:val="Heading 9 Char"/>
    <w:basedOn w:val="DefaultParagraphFont"/>
    <w:link w:val="Heading9"/>
    <w:uiPriority w:val="99"/>
    <w:rsid w:val="002B1E4F"/>
    <w:rPr>
      <w:rFonts w:ascii="Calibri" w:hAnsi="Calibri" w:cs="Tahoma"/>
      <w:sz w:val="22"/>
      <w:szCs w:val="22"/>
    </w:rPr>
  </w:style>
  <w:style w:type="paragraph" w:customStyle="1" w:styleId="msonormal0">
    <w:name w:val="msonormal"/>
    <w:basedOn w:val="Normal"/>
    <w:uiPriority w:val="99"/>
    <w:rsid w:val="002B1E4F"/>
    <w:pPr>
      <w:spacing w:before="100" w:beforeAutospacing="1" w:after="100" w:afterAutospacing="1"/>
    </w:pPr>
    <w:rPr>
      <w:rFonts w:ascii="Times New Roman" w:hAnsi="Times New Roman"/>
      <w:color w:val="000000"/>
      <w:szCs w:val="24"/>
      <w:lang w:val="en-US"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761439"/>
    <w:rPr>
      <w:rFonts w:ascii="Arial Narrow" w:hAnsi="Arial Narrow" w:cs="Tahoma"/>
      <w:b/>
      <w:bCs/>
      <w:szCs w:val="22"/>
    </w:rPr>
  </w:style>
  <w:style w:type="character" w:customStyle="1" w:styleId="TitleChar">
    <w:name w:val="Title Char"/>
    <w:basedOn w:val="DefaultParagraphFont"/>
    <w:link w:val="Title"/>
    <w:uiPriority w:val="99"/>
    <w:rsid w:val="002B1E4F"/>
    <w:rPr>
      <w:rFonts w:ascii="Arial" w:hAnsi="Arial" w:cs="Tahoma"/>
      <w:b/>
      <w:smallCaps/>
      <w:sz w:val="44"/>
      <w:szCs w:val="22"/>
    </w:rPr>
  </w:style>
  <w:style w:type="character" w:customStyle="1" w:styleId="DateChar">
    <w:name w:val="Date Char"/>
    <w:basedOn w:val="DefaultParagraphFont"/>
    <w:link w:val="Date"/>
    <w:uiPriority w:val="99"/>
    <w:rsid w:val="002B1E4F"/>
    <w:rPr>
      <w:rFonts w:ascii="Arial" w:hAnsi="Arial" w:cs="Tahoma"/>
      <w:b/>
      <w:sz w:val="36"/>
      <w:szCs w:val="22"/>
    </w:rPr>
  </w:style>
  <w:style w:type="character" w:customStyle="1" w:styleId="ListParagraphChar">
    <w:name w:val="List Paragraph Char"/>
    <w:link w:val="ListParagraph"/>
    <w:uiPriority w:val="34"/>
    <w:locked/>
    <w:rsid w:val="002B1E4F"/>
    <w:rPr>
      <w:rFonts w:ascii="Calibri" w:hAnsi="Calibri" w:cs="Tahoma"/>
      <w:sz w:val="22"/>
      <w:szCs w:val="22"/>
    </w:rPr>
  </w:style>
  <w:style w:type="character" w:customStyle="1" w:styleId="QuoteChar">
    <w:name w:val="Quote Char"/>
    <w:basedOn w:val="DefaultParagraphFont"/>
    <w:link w:val="Quote"/>
    <w:uiPriority w:val="99"/>
    <w:rsid w:val="002B1E4F"/>
    <w:rPr>
      <w:rFonts w:ascii="Calibri" w:hAnsi="Calibri" w:cs="Tahoma"/>
      <w:sz w:val="22"/>
      <w:szCs w:val="22"/>
    </w:rPr>
  </w:style>
  <w:style w:type="character" w:customStyle="1" w:styleId="ColorfulList-Accent1Char">
    <w:name w:val="Colorful List - Accent 1 Char"/>
    <w:link w:val="ColorfulList-Accent11"/>
    <w:uiPriority w:val="34"/>
    <w:locked/>
    <w:rsid w:val="002B1E4F"/>
    <w:rPr>
      <w:rFonts w:ascii="Calibri" w:hAnsi="Calibri" w:cs="Tahoma"/>
      <w:sz w:val="22"/>
      <w:szCs w:val="22"/>
    </w:rPr>
  </w:style>
  <w:style w:type="paragraph" w:customStyle="1" w:styleId="ColorfulList-Accent11">
    <w:name w:val="Colorful List - Accent 11"/>
    <w:basedOn w:val="Normal"/>
    <w:link w:val="ColorfulList-Accent1Char"/>
    <w:uiPriority w:val="34"/>
    <w:qFormat/>
    <w:rsid w:val="002B1E4F"/>
    <w:pPr>
      <w:contextualSpacing/>
    </w:pPr>
  </w:style>
  <w:style w:type="character" w:customStyle="1" w:styleId="Mention1">
    <w:name w:val="Mention1"/>
    <w:basedOn w:val="DefaultParagraphFont"/>
    <w:uiPriority w:val="99"/>
    <w:unhideWhenUsed/>
    <w:rsid w:val="002B1E4F"/>
    <w:rPr>
      <w:color w:val="2B579A"/>
      <w:shd w:val="clear" w:color="auto" w:fill="E1DFDD"/>
    </w:rPr>
  </w:style>
  <w:style w:type="character" w:customStyle="1" w:styleId="UnresolvedMention1">
    <w:name w:val="Unresolved Mention1"/>
    <w:basedOn w:val="DefaultParagraphFont"/>
    <w:uiPriority w:val="99"/>
    <w:unhideWhenUsed/>
    <w:rsid w:val="00655B4A"/>
    <w:rPr>
      <w:color w:val="605E5C"/>
      <w:shd w:val="clear" w:color="auto" w:fill="E1DFDD"/>
    </w:rPr>
  </w:style>
  <w:style w:type="character" w:customStyle="1" w:styleId="Mention11">
    <w:name w:val="Mention11"/>
    <w:basedOn w:val="DefaultParagraphFont"/>
    <w:uiPriority w:val="99"/>
    <w:unhideWhenUsed/>
    <w:rsid w:val="00655B4A"/>
    <w:rPr>
      <w:color w:val="2B579A"/>
      <w:shd w:val="clear" w:color="auto" w:fill="E1DFDD"/>
    </w:rPr>
  </w:style>
  <w:style w:type="character" w:customStyle="1" w:styleId="Mention2">
    <w:name w:val="Mention2"/>
    <w:basedOn w:val="DefaultParagraphFont"/>
    <w:uiPriority w:val="99"/>
    <w:unhideWhenUsed/>
    <w:rsid w:val="00655B4A"/>
    <w:rPr>
      <w:color w:val="2B579A"/>
      <w:shd w:val="clear" w:color="auto" w:fill="E6E6E6"/>
    </w:rPr>
  </w:style>
  <w:style w:type="character" w:customStyle="1" w:styleId="Mention3">
    <w:name w:val="Mention3"/>
    <w:basedOn w:val="DefaultParagraphFont"/>
    <w:uiPriority w:val="99"/>
    <w:unhideWhenUsed/>
    <w:rsid w:val="00655B4A"/>
    <w:rPr>
      <w:color w:val="2B579A"/>
      <w:shd w:val="clear" w:color="auto" w:fill="E6E6E6"/>
    </w:rPr>
  </w:style>
  <w:style w:type="character" w:customStyle="1" w:styleId="UnresolvedMention2">
    <w:name w:val="Unresolved Mention2"/>
    <w:basedOn w:val="DefaultParagraphFont"/>
    <w:uiPriority w:val="99"/>
    <w:unhideWhenUsed/>
    <w:rsid w:val="00655B4A"/>
    <w:rPr>
      <w:color w:val="605E5C"/>
      <w:shd w:val="clear" w:color="auto" w:fill="E1DFDD"/>
    </w:rPr>
  </w:style>
  <w:style w:type="paragraph" w:customStyle="1" w:styleId="EndNoteBibliographyTitle">
    <w:name w:val="EndNote Bibliography Title"/>
    <w:basedOn w:val="Normal"/>
    <w:link w:val="EndNoteBibliographyTitleChar"/>
    <w:rsid w:val="00655B4A"/>
    <w:pPr>
      <w:spacing w:after="0"/>
      <w:jc w:val="center"/>
    </w:pPr>
    <w:rPr>
      <w:rFonts w:ascii="Tahoma" w:hAnsi="Tahoma"/>
      <w:noProof/>
    </w:rPr>
  </w:style>
  <w:style w:type="character" w:customStyle="1" w:styleId="EndNoteBibliographyTitleChar">
    <w:name w:val="EndNote Bibliography Title Char"/>
    <w:basedOn w:val="DefaultParagraphFont"/>
    <w:link w:val="EndNoteBibliographyTitle"/>
    <w:rsid w:val="00655B4A"/>
    <w:rPr>
      <w:rFonts w:ascii="Tahoma" w:hAnsi="Tahoma" w:cs="Tahoma"/>
      <w:noProof/>
      <w:sz w:val="22"/>
      <w:szCs w:val="22"/>
    </w:rPr>
  </w:style>
  <w:style w:type="paragraph" w:customStyle="1" w:styleId="EndNoteBibliography">
    <w:name w:val="EndNote Bibliography"/>
    <w:basedOn w:val="Normal"/>
    <w:link w:val="EndNoteBibliographyChar"/>
    <w:rsid w:val="00655B4A"/>
    <w:pPr>
      <w:spacing w:line="240" w:lineRule="auto"/>
    </w:pPr>
    <w:rPr>
      <w:rFonts w:ascii="Tahoma" w:hAnsi="Tahoma"/>
      <w:noProof/>
    </w:rPr>
  </w:style>
  <w:style w:type="character" w:customStyle="1" w:styleId="EndNoteBibliographyChar">
    <w:name w:val="EndNote Bibliography Char"/>
    <w:basedOn w:val="DefaultParagraphFont"/>
    <w:link w:val="EndNoteBibliography"/>
    <w:rsid w:val="00655B4A"/>
    <w:rPr>
      <w:rFonts w:ascii="Tahoma" w:hAnsi="Tahoma" w:cs="Tahoma"/>
      <w:noProof/>
      <w:sz w:val="22"/>
      <w:szCs w:val="22"/>
    </w:rPr>
  </w:style>
  <w:style w:type="character" w:customStyle="1" w:styleId="Mention30">
    <w:name w:val="Mention30"/>
    <w:basedOn w:val="DefaultParagraphFont"/>
    <w:uiPriority w:val="99"/>
    <w:unhideWhenUsed/>
    <w:rsid w:val="00655B4A"/>
    <w:rPr>
      <w:color w:val="2B579A"/>
      <w:shd w:val="clear" w:color="auto" w:fill="E6E6E6"/>
    </w:rPr>
  </w:style>
  <w:style w:type="character" w:customStyle="1" w:styleId="Mention4">
    <w:name w:val="Mention4"/>
    <w:basedOn w:val="DefaultParagraphFont"/>
    <w:uiPriority w:val="99"/>
    <w:unhideWhenUsed/>
    <w:rsid w:val="00655B4A"/>
    <w:rPr>
      <w:color w:val="2B579A"/>
      <w:shd w:val="clear" w:color="auto" w:fill="E1DFDD"/>
    </w:rPr>
  </w:style>
  <w:style w:type="character" w:styleId="PlaceholderText">
    <w:name w:val="Placeholder Text"/>
    <w:basedOn w:val="DefaultParagraphFont"/>
    <w:uiPriority w:val="99"/>
    <w:semiHidden/>
    <w:rsid w:val="00655B4A"/>
    <w:rPr>
      <w:color w:val="808080"/>
    </w:rPr>
  </w:style>
  <w:style w:type="character" w:customStyle="1" w:styleId="UnresolvedMention3">
    <w:name w:val="Unresolved Mention3"/>
    <w:basedOn w:val="DefaultParagraphFont"/>
    <w:uiPriority w:val="99"/>
    <w:unhideWhenUsed/>
    <w:rsid w:val="00655B4A"/>
    <w:rPr>
      <w:color w:val="605E5C"/>
      <w:shd w:val="clear" w:color="auto" w:fill="E1DFDD"/>
    </w:rPr>
  </w:style>
  <w:style w:type="character" w:customStyle="1" w:styleId="UnresolvedMention4">
    <w:name w:val="Unresolved Mention4"/>
    <w:basedOn w:val="DefaultParagraphFont"/>
    <w:uiPriority w:val="99"/>
    <w:unhideWhenUsed/>
    <w:rsid w:val="00655B4A"/>
    <w:rPr>
      <w:color w:val="605E5C"/>
      <w:shd w:val="clear" w:color="auto" w:fill="E1DFDD"/>
    </w:rPr>
  </w:style>
  <w:style w:type="paragraph" w:styleId="ListBullet">
    <w:name w:val="List Bullet"/>
    <w:basedOn w:val="Normal"/>
    <w:unhideWhenUsed/>
    <w:rsid w:val="00A9241B"/>
    <w:pPr>
      <w:numPr>
        <w:numId w:val="8"/>
      </w:numPr>
      <w:contextualSpacing/>
    </w:pPr>
  </w:style>
  <w:style w:type="character" w:customStyle="1" w:styleId="TabletextChar10">
    <w:name w:val="Table text Char1"/>
    <w:basedOn w:val="DefaultParagraphFont"/>
    <w:rsid w:val="00FB1893"/>
    <w:rPr>
      <w:rFonts w:ascii="Arial" w:eastAsia="Times New Roman" w:hAnsi="Arial" w:cs="Times New Roman"/>
      <w:sz w:val="20"/>
      <w:szCs w:val="20"/>
      <w:lang w:eastAsia="en-US"/>
    </w:rPr>
  </w:style>
  <w:style w:type="paragraph" w:customStyle="1" w:styleId="BoxName0">
    <w:name w:val="BoxName"/>
    <w:basedOn w:val="Normal"/>
    <w:uiPriority w:val="99"/>
    <w:rsid w:val="00FB1893"/>
    <w:pPr>
      <w:keepNext/>
      <w:pBdr>
        <w:top w:val="single" w:sz="4" w:space="4" w:color="000000"/>
        <w:left w:val="single" w:sz="4" w:space="4" w:color="000000"/>
        <w:bottom w:val="single" w:sz="4" w:space="4" w:color="000000"/>
        <w:right w:val="single" w:sz="4" w:space="4" w:color="000000"/>
      </w:pBdr>
      <w:spacing w:before="180" w:after="120" w:line="240" w:lineRule="auto"/>
      <w:ind w:left="1886" w:right="58" w:hanging="1080"/>
    </w:pPr>
    <w:rPr>
      <w:rFonts w:ascii="Arial Narrow" w:hAnsi="Arial Narrow" w:cs="Times New Roman"/>
      <w:b/>
      <w:bCs/>
      <w:color w:val="000000"/>
      <w:szCs w:val="20"/>
    </w:rPr>
  </w:style>
  <w:style w:type="character" w:styleId="IntenseReference">
    <w:name w:val="Intense Reference"/>
    <w:uiPriority w:val="32"/>
    <w:qFormat/>
    <w:rsid w:val="00FB1893"/>
    <w:rPr>
      <w:b/>
      <w:bCs/>
      <w:smallCaps/>
    </w:rPr>
  </w:style>
  <w:style w:type="character" w:styleId="EndnoteReference">
    <w:name w:val="endnote reference"/>
    <w:basedOn w:val="DefaultParagraphFont"/>
    <w:semiHidden/>
    <w:unhideWhenUsed/>
    <w:rsid w:val="00FB1893"/>
    <w:rPr>
      <w:vertAlign w:val="superscript"/>
    </w:rPr>
  </w:style>
  <w:style w:type="table" w:customStyle="1" w:styleId="TableGrid3">
    <w:name w:val="Table Grid3"/>
    <w:basedOn w:val="TableNormal"/>
    <w:next w:val="TableGrid"/>
    <w:uiPriority w:val="59"/>
    <w:rsid w:val="00FB189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FB1893"/>
  </w:style>
  <w:style w:type="character" w:customStyle="1" w:styleId="ref-vol">
    <w:name w:val="ref-vol"/>
    <w:basedOn w:val="DefaultParagraphFont"/>
    <w:rsid w:val="00FB1893"/>
  </w:style>
  <w:style w:type="table" w:customStyle="1" w:styleId="TableGrid4">
    <w:name w:val="Table Grid4"/>
    <w:basedOn w:val="TableNormal"/>
    <w:next w:val="TableGrid"/>
    <w:uiPriority w:val="39"/>
    <w:rsid w:val="00FB18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B1893"/>
    <w:pPr>
      <w:spacing w:before="100" w:beforeAutospacing="1" w:after="100" w:afterAutospacing="1" w:line="240" w:lineRule="auto"/>
    </w:pPr>
    <w:rPr>
      <w:rFonts w:ascii="Times New Roman" w:hAnsi="Times New Roman" w:cs="Times New Roman"/>
      <w:sz w:val="24"/>
      <w:szCs w:val="24"/>
    </w:rPr>
  </w:style>
  <w:style w:type="character" w:customStyle="1" w:styleId="UnresolvedMention20">
    <w:name w:val="Unresolved Mention20"/>
    <w:basedOn w:val="DefaultParagraphFont"/>
    <w:uiPriority w:val="99"/>
    <w:unhideWhenUsed/>
    <w:rsid w:val="00FB1893"/>
    <w:rPr>
      <w:color w:val="605E5C"/>
      <w:shd w:val="clear" w:color="auto" w:fill="E1DFDD"/>
    </w:rPr>
  </w:style>
  <w:style w:type="character" w:customStyle="1" w:styleId="Mention20">
    <w:name w:val="Mention20"/>
    <w:basedOn w:val="DefaultParagraphFont"/>
    <w:uiPriority w:val="99"/>
    <w:unhideWhenUsed/>
    <w:rsid w:val="00FB1893"/>
    <w:rPr>
      <w:color w:val="2B579A"/>
      <w:shd w:val="clear" w:color="auto" w:fill="E1DFDD"/>
    </w:rPr>
  </w:style>
  <w:style w:type="character" w:customStyle="1" w:styleId="UnresolvedMention41">
    <w:name w:val="Unresolved Mention41"/>
    <w:basedOn w:val="DefaultParagraphFont"/>
    <w:uiPriority w:val="99"/>
    <w:unhideWhenUsed/>
    <w:rsid w:val="00FB1893"/>
    <w:rPr>
      <w:color w:val="605E5C"/>
      <w:shd w:val="clear" w:color="auto" w:fill="E1DFDD"/>
    </w:rPr>
  </w:style>
  <w:style w:type="character" w:customStyle="1" w:styleId="normaltextrun">
    <w:name w:val="normaltextrun"/>
    <w:rsid w:val="00FB1893"/>
  </w:style>
  <w:style w:type="character" w:customStyle="1" w:styleId="UnresolvedMention5">
    <w:name w:val="Unresolved Mention5"/>
    <w:basedOn w:val="DefaultParagraphFont"/>
    <w:uiPriority w:val="99"/>
    <w:unhideWhenUsed/>
    <w:rsid w:val="00FB1893"/>
    <w:rPr>
      <w:color w:val="605E5C"/>
      <w:shd w:val="clear" w:color="auto" w:fill="E1DFDD"/>
    </w:rPr>
  </w:style>
  <w:style w:type="character" w:customStyle="1" w:styleId="Mention5">
    <w:name w:val="Mention5"/>
    <w:basedOn w:val="DefaultParagraphFont"/>
    <w:uiPriority w:val="99"/>
    <w:unhideWhenUsed/>
    <w:rsid w:val="00FB1893"/>
    <w:rPr>
      <w:color w:val="2B579A"/>
      <w:shd w:val="clear" w:color="auto" w:fill="E1DFDD"/>
    </w:rPr>
  </w:style>
  <w:style w:type="character" w:customStyle="1" w:styleId="UnresolvedMention200">
    <w:name w:val="Unresolved Mention200"/>
    <w:basedOn w:val="DefaultParagraphFont"/>
    <w:uiPriority w:val="99"/>
    <w:unhideWhenUsed/>
    <w:rsid w:val="00FB1893"/>
    <w:rPr>
      <w:color w:val="605E5C"/>
      <w:shd w:val="clear" w:color="auto" w:fill="E1DFDD"/>
    </w:rPr>
  </w:style>
  <w:style w:type="character" w:customStyle="1" w:styleId="Mention200">
    <w:name w:val="Mention200"/>
    <w:basedOn w:val="DefaultParagraphFont"/>
    <w:uiPriority w:val="99"/>
    <w:unhideWhenUsed/>
    <w:rsid w:val="00FB1893"/>
    <w:rPr>
      <w:color w:val="2B579A"/>
      <w:shd w:val="clear" w:color="auto" w:fill="E1DFDD"/>
    </w:rPr>
  </w:style>
  <w:style w:type="character" w:customStyle="1" w:styleId="UnresolvedMention6">
    <w:name w:val="Unresolved Mention6"/>
    <w:basedOn w:val="DefaultParagraphFont"/>
    <w:uiPriority w:val="99"/>
    <w:semiHidden/>
    <w:unhideWhenUsed/>
    <w:rsid w:val="00FB1893"/>
    <w:rPr>
      <w:color w:val="605E5C"/>
      <w:shd w:val="clear" w:color="auto" w:fill="E1DFDD"/>
    </w:rPr>
  </w:style>
  <w:style w:type="paragraph" w:customStyle="1" w:styleId="Newfootnote">
    <w:name w:val="New footnote"/>
    <w:basedOn w:val="Tablenotes0"/>
    <w:link w:val="NewfootnoteChar"/>
    <w:qFormat/>
    <w:rsid w:val="00FB1893"/>
    <w:pPr>
      <w:spacing w:after="0"/>
    </w:pPr>
  </w:style>
  <w:style w:type="character" w:customStyle="1" w:styleId="NewfootnoteChar">
    <w:name w:val="New footnote Char"/>
    <w:basedOn w:val="TablenotesChar0"/>
    <w:link w:val="Newfootnote"/>
    <w:rsid w:val="00FB1893"/>
    <w:rPr>
      <w:rFonts w:ascii="Arial Narrow" w:hAnsi="Arial Narrow" w:cs="Arial"/>
      <w:snapToGrid w:val="0"/>
      <w:sz w:val="18"/>
      <w:lang w:eastAsia="en-US"/>
    </w:rPr>
  </w:style>
  <w:style w:type="paragraph" w:styleId="Bibliography">
    <w:name w:val="Bibliography"/>
    <w:basedOn w:val="Normal"/>
    <w:next w:val="Normal"/>
    <w:uiPriority w:val="37"/>
    <w:unhideWhenUsed/>
    <w:rsid w:val="00FB1893"/>
  </w:style>
  <w:style w:type="character" w:styleId="LineNumber">
    <w:name w:val="line number"/>
    <w:basedOn w:val="DefaultParagraphFont"/>
    <w:semiHidden/>
    <w:unhideWhenUsed/>
    <w:rsid w:val="00FB1893"/>
  </w:style>
  <w:style w:type="paragraph" w:customStyle="1" w:styleId="BoxHeading">
    <w:name w:val="BoxHeading"/>
    <w:basedOn w:val="Normal"/>
    <w:rsid w:val="00FB1893"/>
    <w:pPr>
      <w:keepNext/>
      <w:pBdr>
        <w:top w:val="single" w:sz="4" w:space="4" w:color="000000"/>
        <w:left w:val="single" w:sz="4" w:space="4" w:color="000000"/>
        <w:bottom w:val="single" w:sz="4" w:space="4" w:color="000000"/>
        <w:right w:val="single" w:sz="4" w:space="4" w:color="000000"/>
      </w:pBdr>
      <w:spacing w:after="60" w:line="240" w:lineRule="auto"/>
      <w:ind w:left="806" w:right="58"/>
    </w:pPr>
    <w:rPr>
      <w:rFonts w:ascii="Times New Roman" w:hAnsi="Times New Roman" w:cs="Times New Roman"/>
      <w:b/>
      <w:bCs/>
      <w:color w:val="000000"/>
      <w:szCs w:val="20"/>
    </w:rPr>
  </w:style>
  <w:style w:type="paragraph" w:customStyle="1" w:styleId="xl63">
    <w:name w:val="xl63"/>
    <w:basedOn w:val="Normal"/>
    <w:rsid w:val="00FB1893"/>
    <w:pPr>
      <w:spacing w:before="100" w:beforeAutospacing="1" w:after="100" w:afterAutospacing="1" w:line="240" w:lineRule="auto"/>
      <w:jc w:val="center"/>
    </w:pPr>
    <w:rPr>
      <w:rFonts w:ascii="Times New Roman" w:hAnsi="Times New Roman" w:cs="Times New Roman"/>
      <w:sz w:val="24"/>
      <w:szCs w:val="24"/>
    </w:rPr>
  </w:style>
  <w:style w:type="paragraph" w:customStyle="1" w:styleId="xl64">
    <w:name w:val="xl64"/>
    <w:basedOn w:val="Normal"/>
    <w:rsid w:val="00FB1893"/>
    <w:pPr>
      <w:shd w:val="clear" w:color="000000" w:fill="DBDBDB"/>
      <w:spacing w:before="100" w:beforeAutospacing="1" w:after="100" w:afterAutospacing="1" w:line="240" w:lineRule="auto"/>
    </w:pPr>
    <w:rPr>
      <w:rFonts w:ascii="Times New Roman" w:hAnsi="Times New Roman" w:cs="Times New Roman"/>
      <w:sz w:val="24"/>
      <w:szCs w:val="24"/>
    </w:rPr>
  </w:style>
  <w:style w:type="paragraph" w:customStyle="1" w:styleId="xl65">
    <w:name w:val="xl65"/>
    <w:basedOn w:val="Normal"/>
    <w:rsid w:val="00FB1893"/>
    <w:pPr>
      <w:shd w:val="clear" w:color="000000" w:fill="DBDBDB"/>
      <w:spacing w:before="100" w:beforeAutospacing="1" w:after="100" w:afterAutospacing="1" w:line="240" w:lineRule="auto"/>
      <w:jc w:val="center"/>
    </w:pPr>
    <w:rPr>
      <w:rFonts w:ascii="Times New Roman" w:hAnsi="Times New Roman" w:cs="Times New Roman"/>
      <w:sz w:val="24"/>
      <w:szCs w:val="24"/>
    </w:rPr>
  </w:style>
  <w:style w:type="paragraph" w:customStyle="1" w:styleId="xl66">
    <w:name w:val="xl66"/>
    <w:basedOn w:val="Normal"/>
    <w:rsid w:val="00FB1893"/>
    <w:pPr>
      <w:spacing w:before="100" w:beforeAutospacing="1" w:after="100" w:afterAutospacing="1" w:line="240" w:lineRule="auto"/>
    </w:pPr>
    <w:rPr>
      <w:rFonts w:ascii="Times New Roman" w:hAnsi="Times New Roman" w:cs="Times New Roman"/>
      <w:sz w:val="24"/>
      <w:szCs w:val="24"/>
    </w:rPr>
  </w:style>
  <w:style w:type="paragraph" w:customStyle="1" w:styleId="xl67">
    <w:name w:val="xl67"/>
    <w:basedOn w:val="Normal"/>
    <w:rsid w:val="00FB1893"/>
    <w:pPr>
      <w:spacing w:before="100" w:beforeAutospacing="1" w:after="100" w:afterAutospacing="1" w:line="240" w:lineRule="auto"/>
      <w:jc w:val="center"/>
    </w:pPr>
    <w:rPr>
      <w:rFonts w:ascii="Times New Roman" w:hAnsi="Times New Roman" w:cs="Times New Roman"/>
      <w:sz w:val="24"/>
      <w:szCs w:val="24"/>
    </w:rPr>
  </w:style>
  <w:style w:type="paragraph" w:customStyle="1" w:styleId="xl68">
    <w:name w:val="xl68"/>
    <w:basedOn w:val="Normal"/>
    <w:rsid w:val="00FB1893"/>
    <w:pPr>
      <w:spacing w:before="100" w:beforeAutospacing="1" w:after="100" w:afterAutospacing="1" w:line="240" w:lineRule="auto"/>
      <w:jc w:val="center"/>
    </w:pPr>
    <w:rPr>
      <w:rFonts w:ascii="Times New Roman" w:hAnsi="Times New Roman" w:cs="Times New Roman"/>
      <w:sz w:val="24"/>
      <w:szCs w:val="24"/>
    </w:rPr>
  </w:style>
  <w:style w:type="paragraph" w:customStyle="1" w:styleId="xl69">
    <w:name w:val="xl69"/>
    <w:basedOn w:val="Normal"/>
    <w:rsid w:val="00FB1893"/>
    <w:pPr>
      <w:shd w:val="clear" w:color="000000" w:fill="FFF2CC"/>
      <w:spacing w:before="100" w:beforeAutospacing="1" w:after="100" w:afterAutospacing="1" w:line="240" w:lineRule="auto"/>
    </w:pPr>
    <w:rPr>
      <w:rFonts w:ascii="Times New Roman" w:hAnsi="Times New Roman" w:cs="Times New Roman"/>
      <w:sz w:val="24"/>
      <w:szCs w:val="24"/>
    </w:rPr>
  </w:style>
  <w:style w:type="paragraph" w:customStyle="1" w:styleId="xl70">
    <w:name w:val="xl70"/>
    <w:basedOn w:val="Normal"/>
    <w:rsid w:val="00FB1893"/>
    <w:pPr>
      <w:spacing w:before="100" w:beforeAutospacing="1" w:after="100" w:afterAutospacing="1" w:line="240" w:lineRule="auto"/>
    </w:pPr>
    <w:rPr>
      <w:rFonts w:ascii="Times New Roman" w:hAnsi="Times New Roman" w:cs="Times New Roman"/>
      <w:color w:val="FF0000"/>
      <w:sz w:val="24"/>
      <w:szCs w:val="24"/>
    </w:rPr>
  </w:style>
  <w:style w:type="table" w:customStyle="1" w:styleId="Summarybox48">
    <w:name w:val="Summary box48"/>
    <w:basedOn w:val="TableNormal"/>
    <w:next w:val="TableGrid"/>
    <w:uiPriority w:val="59"/>
    <w:rsid w:val="00FB18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FB1893"/>
    <w:rPr>
      <w:color w:val="808080"/>
      <w:shd w:val="clear" w:color="auto" w:fill="E6E6E6"/>
    </w:rPr>
  </w:style>
  <w:style w:type="paragraph" w:customStyle="1" w:styleId="Tabletextboldleft">
    <w:name w:val="Table text bold left"/>
    <w:basedOn w:val="Normal"/>
    <w:link w:val="TabletextboldleftChar"/>
    <w:qFormat/>
    <w:rsid w:val="00ED64BF"/>
    <w:pPr>
      <w:keepNext/>
      <w:spacing w:after="0" w:line="240" w:lineRule="auto"/>
    </w:pPr>
    <w:rPr>
      <w:rFonts w:ascii="Arial Narrow" w:hAnsi="Arial Narrow" w:cs="Arial"/>
      <w:b/>
      <w:sz w:val="20"/>
      <w:szCs w:val="20"/>
      <w:lang w:eastAsia="en-US"/>
    </w:rPr>
  </w:style>
  <w:style w:type="character" w:customStyle="1" w:styleId="TabletextboldleftChar">
    <w:name w:val="Table text bold left Char"/>
    <w:basedOn w:val="DefaultParagraphFont"/>
    <w:link w:val="Tabletextboldleft"/>
    <w:rsid w:val="00ED64BF"/>
    <w:rPr>
      <w:rFonts w:ascii="Arial Narrow" w:hAnsi="Arial Narrow" w:cs="Arial"/>
      <w:b/>
      <w:lang w:eastAsia="en-US"/>
    </w:rPr>
  </w:style>
  <w:style w:type="paragraph" w:customStyle="1" w:styleId="CommentTabletext">
    <w:name w:val="Comment Table text"/>
    <w:basedOn w:val="Comment"/>
    <w:qFormat/>
    <w:rsid w:val="00ED64BF"/>
    <w:pPr>
      <w:spacing w:before="40" w:after="40" w:line="240" w:lineRule="auto"/>
      <w:ind w:left="720"/>
    </w:pPr>
    <w:rPr>
      <w:rFonts w:ascii="Arial Narrow" w:hAnsi="Arial Narrow"/>
      <w:sz w:val="20"/>
      <w:szCs w:val="20"/>
    </w:rPr>
  </w:style>
  <w:style w:type="table" w:customStyle="1" w:styleId="TableGrid5">
    <w:name w:val="Table Grid5"/>
    <w:basedOn w:val="TableNormal"/>
    <w:next w:val="TableGrid"/>
    <w:uiPriority w:val="39"/>
    <w:rsid w:val="001734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17344D"/>
    <w:rPr>
      <w:color w:val="605E5C"/>
      <w:shd w:val="clear" w:color="auto" w:fill="E1DFDD"/>
    </w:rPr>
  </w:style>
  <w:style w:type="table" w:customStyle="1" w:styleId="TableGrid11">
    <w:name w:val="Table Grid11"/>
    <w:basedOn w:val="TableNormal"/>
    <w:next w:val="TableGrid"/>
    <w:rsid w:val="000C25B0"/>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21">
    <w:name w:val="Table Grid21"/>
    <w:basedOn w:val="TableNormal"/>
    <w:next w:val="TableGrid"/>
    <w:rsid w:val="000C25B0"/>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12">
    <w:name w:val="Table Grid12"/>
    <w:basedOn w:val="TableNormal"/>
    <w:next w:val="TableGrid"/>
    <w:rsid w:val="00FF68F6"/>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22">
    <w:name w:val="Table Grid22"/>
    <w:basedOn w:val="TableNormal"/>
    <w:next w:val="TableGrid"/>
    <w:rsid w:val="00FF68F6"/>
    <w:pPr>
      <w:spacing w:before="40" w:after="4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cf01">
    <w:name w:val="cf01"/>
    <w:basedOn w:val="DefaultParagraphFont"/>
    <w:rsid w:val="00066A6C"/>
    <w:rPr>
      <w:rFonts w:ascii="Segoe UI" w:hAnsi="Segoe UI" w:cs="Segoe UI" w:hint="default"/>
      <w:sz w:val="18"/>
      <w:szCs w:val="18"/>
    </w:rPr>
  </w:style>
  <w:style w:type="character" w:customStyle="1" w:styleId="cf11">
    <w:name w:val="cf11"/>
    <w:basedOn w:val="DefaultParagraphFont"/>
    <w:rsid w:val="00066A6C"/>
    <w:rPr>
      <w:rFonts w:ascii="Segoe UI" w:hAnsi="Segoe UI" w:cs="Segoe UI" w:hint="default"/>
      <w:color w:val="222222"/>
      <w:sz w:val="18"/>
      <w:szCs w:val="18"/>
    </w:rPr>
  </w:style>
  <w:style w:type="character" w:customStyle="1" w:styleId="cf21">
    <w:name w:val="cf21"/>
    <w:basedOn w:val="DefaultParagraphFont"/>
    <w:rsid w:val="00066A6C"/>
    <w:rPr>
      <w:rFonts w:ascii="Segoe UI" w:hAnsi="Segoe UI" w:cs="Segoe UI" w:hint="default"/>
      <w:i/>
      <w:iCs/>
      <w:color w:val="222222"/>
      <w:sz w:val="18"/>
      <w:szCs w:val="18"/>
    </w:rPr>
  </w:style>
  <w:style w:type="paragraph" w:customStyle="1" w:styleId="Instructionaltext">
    <w:name w:val="Instructional text"/>
    <w:basedOn w:val="Normal"/>
    <w:link w:val="InstructionaltextChar"/>
    <w:qFormat/>
    <w:rsid w:val="00FA0392"/>
    <w:rPr>
      <w:rFonts w:eastAsiaTheme="minorHAnsi" w:cstheme="minorBidi"/>
      <w:color w:val="258221"/>
      <w:lang w:eastAsia="en-US"/>
    </w:rPr>
  </w:style>
  <w:style w:type="character" w:customStyle="1" w:styleId="InstructionaltextChar">
    <w:name w:val="Instructional text Char"/>
    <w:basedOn w:val="DefaultParagraphFont"/>
    <w:link w:val="Instructionaltext"/>
    <w:rsid w:val="00FA0392"/>
    <w:rPr>
      <w:rFonts w:ascii="Franklin Gothic Book" w:eastAsiaTheme="minorHAnsi" w:hAnsi="Franklin Gothic Book" w:cstheme="minorBidi"/>
      <w:color w:val="258221"/>
      <w:sz w:val="22"/>
      <w:szCs w:val="22"/>
      <w:lang w:eastAsia="en-US"/>
    </w:rPr>
  </w:style>
  <w:style w:type="paragraph" w:customStyle="1" w:styleId="Guidelinescross-ref">
    <w:name w:val="Guidelines cross-ref"/>
    <w:basedOn w:val="Normal"/>
    <w:qFormat/>
    <w:rsid w:val="00FA0392"/>
    <w:pPr>
      <w:spacing w:before="240"/>
    </w:pPr>
    <w:rPr>
      <w:rFonts w:eastAsiaTheme="minorHAnsi" w:cstheme="minorBidi"/>
      <w:b/>
      <w:color w:val="0070C0"/>
      <w:sz w:val="24"/>
      <w:lang w:eastAsia="en-US"/>
    </w:rPr>
  </w:style>
  <w:style w:type="paragraph" w:customStyle="1" w:styleId="Instructionaltext-bullet">
    <w:name w:val="Instructional text - bullet"/>
    <w:basedOn w:val="Instructionaltext"/>
    <w:qFormat/>
    <w:rsid w:val="00FA0392"/>
    <w:pPr>
      <w:numPr>
        <w:numId w:val="9"/>
      </w:numPr>
      <w:spacing w:before="0" w:after="0"/>
      <w:ind w:left="714" w:hanging="357"/>
    </w:pPr>
  </w:style>
  <w:style w:type="paragraph" w:customStyle="1" w:styleId="In-tableHeading">
    <w:name w:val="In-table Heading"/>
    <w:qFormat/>
    <w:rsid w:val="00884F40"/>
    <w:pPr>
      <w:keepNext/>
    </w:pPr>
    <w:rPr>
      <w:rFonts w:ascii="Arial Narrow" w:eastAsiaTheme="majorEastAsia" w:hAnsi="Arial Narrow"/>
      <w:b/>
      <w:szCs w:val="24"/>
      <w:lang w:val="en-US"/>
    </w:rPr>
  </w:style>
  <w:style w:type="paragraph" w:customStyle="1" w:styleId="TableFigureFooter">
    <w:name w:val="Table/Figure Footer"/>
    <w:basedOn w:val="Normal"/>
    <w:link w:val="TableFigureFooterChar"/>
    <w:qFormat/>
    <w:rsid w:val="00884F40"/>
    <w:pPr>
      <w:tabs>
        <w:tab w:val="left" w:pos="284"/>
      </w:tabs>
      <w:spacing w:after="360" w:line="240" w:lineRule="auto"/>
    </w:pPr>
    <w:rPr>
      <w:rFonts w:ascii="Arial Narrow" w:hAnsi="Arial Narrow" w:cs="Arial"/>
      <w:snapToGrid w:val="0"/>
      <w:sz w:val="18"/>
    </w:rPr>
  </w:style>
  <w:style w:type="character" w:customStyle="1" w:styleId="TableFigureFooterChar">
    <w:name w:val="Table/Figure Footer Char"/>
    <w:link w:val="TableFigureFooter"/>
    <w:rsid w:val="00884F40"/>
    <w:rPr>
      <w:rFonts w:ascii="Arial Narrow" w:hAnsi="Arial Narrow" w:cs="Arial"/>
      <w:snapToGrid w:val="0"/>
      <w:sz w:val="18"/>
      <w:szCs w:val="22"/>
    </w:rPr>
  </w:style>
  <w:style w:type="character" w:styleId="HTMLCite">
    <w:name w:val="HTML Cite"/>
    <w:basedOn w:val="DefaultParagraphFont"/>
    <w:uiPriority w:val="99"/>
    <w:semiHidden/>
    <w:unhideWhenUsed/>
    <w:rsid w:val="00466F02"/>
    <w:rPr>
      <w:i/>
      <w:iCs/>
    </w:rPr>
  </w:style>
  <w:style w:type="character" w:styleId="UnresolvedMention">
    <w:name w:val="Unresolved Mention"/>
    <w:basedOn w:val="DefaultParagraphFont"/>
    <w:uiPriority w:val="99"/>
    <w:semiHidden/>
    <w:unhideWhenUsed/>
    <w:rsid w:val="00770DC2"/>
    <w:rPr>
      <w:color w:val="605E5C"/>
      <w:shd w:val="clear" w:color="auto" w:fill="E1DFDD"/>
    </w:rPr>
  </w:style>
  <w:style w:type="paragraph" w:customStyle="1" w:styleId="ExecSummHeading3">
    <w:name w:val="Exec Summ Heading 3"/>
    <w:basedOn w:val="Heading3"/>
    <w:link w:val="ExecSummHeading3Char"/>
    <w:qFormat/>
    <w:rsid w:val="0019680C"/>
  </w:style>
  <w:style w:type="paragraph" w:customStyle="1" w:styleId="ExecSummheading4">
    <w:name w:val="Exec Summ heading 4"/>
    <w:basedOn w:val="ExecSummHeading3"/>
    <w:link w:val="ExecSummheading4Char"/>
    <w:qFormat/>
    <w:rsid w:val="00A94340"/>
    <w:pPr>
      <w:outlineLvl w:val="3"/>
    </w:pPr>
    <w:rPr>
      <w:b w:val="0"/>
      <w:u w:val="single"/>
    </w:rPr>
  </w:style>
  <w:style w:type="character" w:customStyle="1" w:styleId="ExecSummHeading3Char">
    <w:name w:val="Exec Summ Heading 3 Char"/>
    <w:basedOn w:val="Heading3Char"/>
    <w:link w:val="ExecSummHeading3"/>
    <w:rsid w:val="0019680C"/>
    <w:rPr>
      <w:rFonts w:ascii="Franklin Gothic Book" w:hAnsi="Franklin Gothic Book" w:cs="Tahoma"/>
      <w:b/>
      <w:smallCaps/>
      <w:sz w:val="24"/>
      <w:szCs w:val="24"/>
    </w:rPr>
  </w:style>
  <w:style w:type="character" w:customStyle="1" w:styleId="ExecSummheading4Char">
    <w:name w:val="Exec Summ heading 4 Char"/>
    <w:basedOn w:val="ExecSummHeading3Char"/>
    <w:link w:val="ExecSummheading4"/>
    <w:rsid w:val="00A94340"/>
    <w:rPr>
      <w:rFonts w:ascii="Franklin Gothic Book" w:hAnsi="Franklin Gothic Book" w:cs="Tahoma"/>
      <w:b w:val="0"/>
      <w:smallCaps/>
      <w:sz w:val="24"/>
      <w:szCs w:val="24"/>
      <w:u w:val="single"/>
    </w:rPr>
  </w:style>
  <w:style w:type="paragraph" w:customStyle="1" w:styleId="-">
    <w:name w:val="-"/>
    <w:basedOn w:val="Normal"/>
    <w:rsid w:val="00584E1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9A3329"/>
    <w:rPr>
      <w:rFonts w:ascii="Calibri" w:eastAsia="Calibri" w:hAnsi="Calibri"/>
      <w:sz w:val="22"/>
      <w:szCs w:val="22"/>
      <w:lang w:eastAsia="en-US"/>
    </w:rPr>
  </w:style>
  <w:style w:type="paragraph" w:customStyle="1" w:styleId="Execsummnormal">
    <w:name w:val="Exec summ normal"/>
    <w:basedOn w:val="Normal"/>
    <w:link w:val="ExecsummnormalChar"/>
    <w:qFormat/>
    <w:rsid w:val="003318E7"/>
  </w:style>
  <w:style w:type="character" w:customStyle="1" w:styleId="ExecsummnormalChar">
    <w:name w:val="Exec summ normal Char"/>
    <w:basedOn w:val="DefaultParagraphFont"/>
    <w:link w:val="Execsummnormal"/>
    <w:rsid w:val="003318E7"/>
    <w:rPr>
      <w:rFonts w:ascii="Franklin Gothic Book" w:hAnsi="Franklin Gothic Book" w:cs="Tahoma"/>
      <w:sz w:val="22"/>
      <w:szCs w:val="22"/>
    </w:rPr>
  </w:style>
  <w:style w:type="paragraph" w:customStyle="1" w:styleId="BoxBullet">
    <w:name w:val="BoxBullet"/>
    <w:basedOn w:val="Normal"/>
    <w:rsid w:val="00BA081A"/>
    <w:pPr>
      <w:pBdr>
        <w:top w:val="single" w:sz="4" w:space="4" w:color="000000"/>
        <w:left w:val="single" w:sz="4" w:space="4" w:color="000000"/>
        <w:bottom w:val="single" w:sz="4" w:space="4" w:color="000000"/>
        <w:right w:val="single" w:sz="4" w:space="4" w:color="000000"/>
      </w:pBdr>
      <w:tabs>
        <w:tab w:val="num" w:pos="357"/>
      </w:tabs>
      <w:spacing w:after="120" w:line="240" w:lineRule="auto"/>
      <w:ind w:left="357" w:hanging="357"/>
    </w:pPr>
    <w:rPr>
      <w:rFonts w:cs="Times New Roman"/>
      <w:color w:val="000000"/>
      <w:szCs w:val="20"/>
    </w:rPr>
  </w:style>
  <w:style w:type="paragraph" w:styleId="Subtitle">
    <w:name w:val="Subtitle"/>
    <w:basedOn w:val="Normal"/>
    <w:next w:val="Normal"/>
    <w:link w:val="SubtitleChar"/>
    <w:qFormat/>
    <w:rsid w:val="00437C9C"/>
    <w:pPr>
      <w:spacing w:after="240" w:line="240" w:lineRule="auto"/>
      <w:jc w:val="center"/>
    </w:pPr>
    <w:rPr>
      <w:rFonts w:ascii="Arial" w:hAnsi="Arial" w:cs="Arial"/>
      <w:b/>
      <w:bCs/>
      <w:i/>
      <w:color w:val="000080"/>
      <w:sz w:val="28"/>
      <w:szCs w:val="28"/>
    </w:rPr>
  </w:style>
  <w:style w:type="character" w:customStyle="1" w:styleId="SubtitleChar">
    <w:name w:val="Subtitle Char"/>
    <w:basedOn w:val="DefaultParagraphFont"/>
    <w:link w:val="Subtitle"/>
    <w:rsid w:val="00437C9C"/>
    <w:rPr>
      <w:rFonts w:ascii="Arial" w:hAnsi="Arial" w:cs="Arial"/>
      <w:b/>
      <w:bCs/>
      <w:i/>
      <w:color w:val="000080"/>
      <w:sz w:val="28"/>
      <w:szCs w:val="28"/>
    </w:rPr>
  </w:style>
  <w:style w:type="paragraph" w:customStyle="1" w:styleId="BulletBeforeDash">
    <w:name w:val="BulletBeforeDash"/>
    <w:basedOn w:val="Normal"/>
    <w:rsid w:val="00083099"/>
    <w:pPr>
      <w:numPr>
        <w:numId w:val="31"/>
      </w:numPr>
      <w:spacing w:before="0" w:after="0" w:line="240" w:lineRule="auto"/>
      <w:ind w:left="720"/>
    </w:pPr>
    <w:rPr>
      <w:rFonts w:ascii="Times New Roman" w:hAnsi="Times New Roman" w:cs="Times New Roman"/>
      <w:color w:val="000000"/>
      <w:sz w:val="24"/>
      <w:szCs w:val="20"/>
    </w:rPr>
  </w:style>
  <w:style w:type="paragraph" w:customStyle="1" w:styleId="gmail-p1">
    <w:name w:val="gmail-p1"/>
    <w:basedOn w:val="Normal"/>
    <w:rsid w:val="009A61B7"/>
    <w:pPr>
      <w:spacing w:before="100" w:beforeAutospacing="1" w:after="100" w:afterAutospacing="1" w:line="240" w:lineRule="auto"/>
    </w:pPr>
    <w:rPr>
      <w:rFonts w:ascii="Calibri" w:eastAsiaTheme="minorHAnsi" w:hAnsi="Calibri" w:cs="Calibri"/>
    </w:rPr>
  </w:style>
  <w:style w:type="character" w:styleId="Mention">
    <w:name w:val="Mention"/>
    <w:basedOn w:val="DefaultParagraphFont"/>
    <w:uiPriority w:val="99"/>
    <w:unhideWhenUsed/>
    <w:rsid w:val="00565F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865">
      <w:bodyDiv w:val="1"/>
      <w:marLeft w:val="0"/>
      <w:marRight w:val="0"/>
      <w:marTop w:val="0"/>
      <w:marBottom w:val="0"/>
      <w:divBdr>
        <w:top w:val="none" w:sz="0" w:space="0" w:color="auto"/>
        <w:left w:val="none" w:sz="0" w:space="0" w:color="auto"/>
        <w:bottom w:val="none" w:sz="0" w:space="0" w:color="auto"/>
        <w:right w:val="none" w:sz="0" w:space="0" w:color="auto"/>
      </w:divBdr>
    </w:div>
    <w:div w:id="44721479">
      <w:bodyDiv w:val="1"/>
      <w:marLeft w:val="0"/>
      <w:marRight w:val="0"/>
      <w:marTop w:val="0"/>
      <w:marBottom w:val="0"/>
      <w:divBdr>
        <w:top w:val="none" w:sz="0" w:space="0" w:color="auto"/>
        <w:left w:val="none" w:sz="0" w:space="0" w:color="auto"/>
        <w:bottom w:val="none" w:sz="0" w:space="0" w:color="auto"/>
        <w:right w:val="none" w:sz="0" w:space="0" w:color="auto"/>
      </w:divBdr>
    </w:div>
    <w:div w:id="68574738">
      <w:bodyDiv w:val="1"/>
      <w:marLeft w:val="0"/>
      <w:marRight w:val="0"/>
      <w:marTop w:val="0"/>
      <w:marBottom w:val="0"/>
      <w:divBdr>
        <w:top w:val="none" w:sz="0" w:space="0" w:color="auto"/>
        <w:left w:val="none" w:sz="0" w:space="0" w:color="auto"/>
        <w:bottom w:val="none" w:sz="0" w:space="0" w:color="auto"/>
        <w:right w:val="none" w:sz="0" w:space="0" w:color="auto"/>
      </w:divBdr>
    </w:div>
    <w:div w:id="90400322">
      <w:bodyDiv w:val="1"/>
      <w:marLeft w:val="0"/>
      <w:marRight w:val="0"/>
      <w:marTop w:val="0"/>
      <w:marBottom w:val="0"/>
      <w:divBdr>
        <w:top w:val="none" w:sz="0" w:space="0" w:color="auto"/>
        <w:left w:val="none" w:sz="0" w:space="0" w:color="auto"/>
        <w:bottom w:val="none" w:sz="0" w:space="0" w:color="auto"/>
        <w:right w:val="none" w:sz="0" w:space="0" w:color="auto"/>
      </w:divBdr>
    </w:div>
    <w:div w:id="95367957">
      <w:bodyDiv w:val="1"/>
      <w:marLeft w:val="0"/>
      <w:marRight w:val="0"/>
      <w:marTop w:val="0"/>
      <w:marBottom w:val="0"/>
      <w:divBdr>
        <w:top w:val="none" w:sz="0" w:space="0" w:color="auto"/>
        <w:left w:val="none" w:sz="0" w:space="0" w:color="auto"/>
        <w:bottom w:val="none" w:sz="0" w:space="0" w:color="auto"/>
        <w:right w:val="none" w:sz="0" w:space="0" w:color="auto"/>
      </w:divBdr>
    </w:div>
    <w:div w:id="144783983">
      <w:bodyDiv w:val="1"/>
      <w:marLeft w:val="0"/>
      <w:marRight w:val="0"/>
      <w:marTop w:val="0"/>
      <w:marBottom w:val="0"/>
      <w:divBdr>
        <w:top w:val="none" w:sz="0" w:space="0" w:color="auto"/>
        <w:left w:val="none" w:sz="0" w:space="0" w:color="auto"/>
        <w:bottom w:val="none" w:sz="0" w:space="0" w:color="auto"/>
        <w:right w:val="none" w:sz="0" w:space="0" w:color="auto"/>
      </w:divBdr>
    </w:div>
    <w:div w:id="175272522">
      <w:bodyDiv w:val="1"/>
      <w:marLeft w:val="0"/>
      <w:marRight w:val="0"/>
      <w:marTop w:val="0"/>
      <w:marBottom w:val="0"/>
      <w:divBdr>
        <w:top w:val="none" w:sz="0" w:space="0" w:color="auto"/>
        <w:left w:val="none" w:sz="0" w:space="0" w:color="auto"/>
        <w:bottom w:val="none" w:sz="0" w:space="0" w:color="auto"/>
        <w:right w:val="none" w:sz="0" w:space="0" w:color="auto"/>
      </w:divBdr>
    </w:div>
    <w:div w:id="182284624">
      <w:bodyDiv w:val="1"/>
      <w:marLeft w:val="0"/>
      <w:marRight w:val="0"/>
      <w:marTop w:val="0"/>
      <w:marBottom w:val="0"/>
      <w:divBdr>
        <w:top w:val="none" w:sz="0" w:space="0" w:color="auto"/>
        <w:left w:val="none" w:sz="0" w:space="0" w:color="auto"/>
        <w:bottom w:val="none" w:sz="0" w:space="0" w:color="auto"/>
        <w:right w:val="none" w:sz="0" w:space="0" w:color="auto"/>
      </w:divBdr>
    </w:div>
    <w:div w:id="185215284">
      <w:bodyDiv w:val="1"/>
      <w:marLeft w:val="0"/>
      <w:marRight w:val="0"/>
      <w:marTop w:val="0"/>
      <w:marBottom w:val="0"/>
      <w:divBdr>
        <w:top w:val="none" w:sz="0" w:space="0" w:color="auto"/>
        <w:left w:val="none" w:sz="0" w:space="0" w:color="auto"/>
        <w:bottom w:val="none" w:sz="0" w:space="0" w:color="auto"/>
        <w:right w:val="none" w:sz="0" w:space="0" w:color="auto"/>
      </w:divBdr>
    </w:div>
    <w:div w:id="191724824">
      <w:bodyDiv w:val="1"/>
      <w:marLeft w:val="0"/>
      <w:marRight w:val="0"/>
      <w:marTop w:val="0"/>
      <w:marBottom w:val="0"/>
      <w:divBdr>
        <w:top w:val="none" w:sz="0" w:space="0" w:color="auto"/>
        <w:left w:val="none" w:sz="0" w:space="0" w:color="auto"/>
        <w:bottom w:val="none" w:sz="0" w:space="0" w:color="auto"/>
        <w:right w:val="none" w:sz="0" w:space="0" w:color="auto"/>
      </w:divBdr>
    </w:div>
    <w:div w:id="194470657">
      <w:bodyDiv w:val="1"/>
      <w:marLeft w:val="0"/>
      <w:marRight w:val="0"/>
      <w:marTop w:val="0"/>
      <w:marBottom w:val="0"/>
      <w:divBdr>
        <w:top w:val="none" w:sz="0" w:space="0" w:color="auto"/>
        <w:left w:val="none" w:sz="0" w:space="0" w:color="auto"/>
        <w:bottom w:val="none" w:sz="0" w:space="0" w:color="auto"/>
        <w:right w:val="none" w:sz="0" w:space="0" w:color="auto"/>
      </w:divBdr>
    </w:div>
    <w:div w:id="227109199">
      <w:bodyDiv w:val="1"/>
      <w:marLeft w:val="0"/>
      <w:marRight w:val="0"/>
      <w:marTop w:val="0"/>
      <w:marBottom w:val="0"/>
      <w:divBdr>
        <w:top w:val="none" w:sz="0" w:space="0" w:color="auto"/>
        <w:left w:val="none" w:sz="0" w:space="0" w:color="auto"/>
        <w:bottom w:val="none" w:sz="0" w:space="0" w:color="auto"/>
        <w:right w:val="none" w:sz="0" w:space="0" w:color="auto"/>
      </w:divBdr>
    </w:div>
    <w:div w:id="237252292">
      <w:bodyDiv w:val="1"/>
      <w:marLeft w:val="0"/>
      <w:marRight w:val="0"/>
      <w:marTop w:val="0"/>
      <w:marBottom w:val="0"/>
      <w:divBdr>
        <w:top w:val="none" w:sz="0" w:space="0" w:color="auto"/>
        <w:left w:val="none" w:sz="0" w:space="0" w:color="auto"/>
        <w:bottom w:val="none" w:sz="0" w:space="0" w:color="auto"/>
        <w:right w:val="none" w:sz="0" w:space="0" w:color="auto"/>
      </w:divBdr>
    </w:div>
    <w:div w:id="247882500">
      <w:bodyDiv w:val="1"/>
      <w:marLeft w:val="0"/>
      <w:marRight w:val="0"/>
      <w:marTop w:val="0"/>
      <w:marBottom w:val="0"/>
      <w:divBdr>
        <w:top w:val="none" w:sz="0" w:space="0" w:color="auto"/>
        <w:left w:val="none" w:sz="0" w:space="0" w:color="auto"/>
        <w:bottom w:val="none" w:sz="0" w:space="0" w:color="auto"/>
        <w:right w:val="none" w:sz="0" w:space="0" w:color="auto"/>
      </w:divBdr>
    </w:div>
    <w:div w:id="263850539">
      <w:bodyDiv w:val="1"/>
      <w:marLeft w:val="0"/>
      <w:marRight w:val="0"/>
      <w:marTop w:val="0"/>
      <w:marBottom w:val="0"/>
      <w:divBdr>
        <w:top w:val="none" w:sz="0" w:space="0" w:color="auto"/>
        <w:left w:val="none" w:sz="0" w:space="0" w:color="auto"/>
        <w:bottom w:val="none" w:sz="0" w:space="0" w:color="auto"/>
        <w:right w:val="none" w:sz="0" w:space="0" w:color="auto"/>
      </w:divBdr>
    </w:div>
    <w:div w:id="287049758">
      <w:bodyDiv w:val="1"/>
      <w:marLeft w:val="0"/>
      <w:marRight w:val="0"/>
      <w:marTop w:val="0"/>
      <w:marBottom w:val="0"/>
      <w:divBdr>
        <w:top w:val="none" w:sz="0" w:space="0" w:color="auto"/>
        <w:left w:val="none" w:sz="0" w:space="0" w:color="auto"/>
        <w:bottom w:val="none" w:sz="0" w:space="0" w:color="auto"/>
        <w:right w:val="none" w:sz="0" w:space="0" w:color="auto"/>
      </w:divBdr>
    </w:div>
    <w:div w:id="295574020">
      <w:bodyDiv w:val="1"/>
      <w:marLeft w:val="0"/>
      <w:marRight w:val="0"/>
      <w:marTop w:val="0"/>
      <w:marBottom w:val="0"/>
      <w:divBdr>
        <w:top w:val="none" w:sz="0" w:space="0" w:color="auto"/>
        <w:left w:val="none" w:sz="0" w:space="0" w:color="auto"/>
        <w:bottom w:val="none" w:sz="0" w:space="0" w:color="auto"/>
        <w:right w:val="none" w:sz="0" w:space="0" w:color="auto"/>
      </w:divBdr>
    </w:div>
    <w:div w:id="303127052">
      <w:bodyDiv w:val="1"/>
      <w:marLeft w:val="0"/>
      <w:marRight w:val="0"/>
      <w:marTop w:val="0"/>
      <w:marBottom w:val="0"/>
      <w:divBdr>
        <w:top w:val="none" w:sz="0" w:space="0" w:color="auto"/>
        <w:left w:val="none" w:sz="0" w:space="0" w:color="auto"/>
        <w:bottom w:val="none" w:sz="0" w:space="0" w:color="auto"/>
        <w:right w:val="none" w:sz="0" w:space="0" w:color="auto"/>
      </w:divBdr>
    </w:div>
    <w:div w:id="314456309">
      <w:bodyDiv w:val="1"/>
      <w:marLeft w:val="0"/>
      <w:marRight w:val="0"/>
      <w:marTop w:val="0"/>
      <w:marBottom w:val="0"/>
      <w:divBdr>
        <w:top w:val="none" w:sz="0" w:space="0" w:color="auto"/>
        <w:left w:val="none" w:sz="0" w:space="0" w:color="auto"/>
        <w:bottom w:val="none" w:sz="0" w:space="0" w:color="auto"/>
        <w:right w:val="none" w:sz="0" w:space="0" w:color="auto"/>
      </w:divBdr>
    </w:div>
    <w:div w:id="323435338">
      <w:bodyDiv w:val="1"/>
      <w:marLeft w:val="0"/>
      <w:marRight w:val="0"/>
      <w:marTop w:val="0"/>
      <w:marBottom w:val="0"/>
      <w:divBdr>
        <w:top w:val="none" w:sz="0" w:space="0" w:color="auto"/>
        <w:left w:val="none" w:sz="0" w:space="0" w:color="auto"/>
        <w:bottom w:val="none" w:sz="0" w:space="0" w:color="auto"/>
        <w:right w:val="none" w:sz="0" w:space="0" w:color="auto"/>
      </w:divBdr>
    </w:div>
    <w:div w:id="339695907">
      <w:bodyDiv w:val="1"/>
      <w:marLeft w:val="0"/>
      <w:marRight w:val="0"/>
      <w:marTop w:val="0"/>
      <w:marBottom w:val="0"/>
      <w:divBdr>
        <w:top w:val="none" w:sz="0" w:space="0" w:color="auto"/>
        <w:left w:val="none" w:sz="0" w:space="0" w:color="auto"/>
        <w:bottom w:val="none" w:sz="0" w:space="0" w:color="auto"/>
        <w:right w:val="none" w:sz="0" w:space="0" w:color="auto"/>
      </w:divBdr>
    </w:div>
    <w:div w:id="342828412">
      <w:bodyDiv w:val="1"/>
      <w:marLeft w:val="0"/>
      <w:marRight w:val="0"/>
      <w:marTop w:val="0"/>
      <w:marBottom w:val="0"/>
      <w:divBdr>
        <w:top w:val="none" w:sz="0" w:space="0" w:color="auto"/>
        <w:left w:val="none" w:sz="0" w:space="0" w:color="auto"/>
        <w:bottom w:val="none" w:sz="0" w:space="0" w:color="auto"/>
        <w:right w:val="none" w:sz="0" w:space="0" w:color="auto"/>
      </w:divBdr>
    </w:div>
    <w:div w:id="349263256">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
        <w:div w:id="1495754264">
          <w:marLeft w:val="0"/>
          <w:marRight w:val="0"/>
          <w:marTop w:val="0"/>
          <w:marBottom w:val="0"/>
          <w:divBdr>
            <w:top w:val="none" w:sz="0" w:space="0" w:color="auto"/>
            <w:left w:val="none" w:sz="0" w:space="0" w:color="auto"/>
            <w:bottom w:val="none" w:sz="0" w:space="0" w:color="auto"/>
            <w:right w:val="none" w:sz="0" w:space="0" w:color="auto"/>
          </w:divBdr>
        </w:div>
      </w:divsChild>
    </w:div>
    <w:div w:id="381945080">
      <w:bodyDiv w:val="1"/>
      <w:marLeft w:val="0"/>
      <w:marRight w:val="0"/>
      <w:marTop w:val="0"/>
      <w:marBottom w:val="0"/>
      <w:divBdr>
        <w:top w:val="none" w:sz="0" w:space="0" w:color="auto"/>
        <w:left w:val="none" w:sz="0" w:space="0" w:color="auto"/>
        <w:bottom w:val="none" w:sz="0" w:space="0" w:color="auto"/>
        <w:right w:val="none" w:sz="0" w:space="0" w:color="auto"/>
      </w:divBdr>
    </w:div>
    <w:div w:id="386875410">
      <w:bodyDiv w:val="1"/>
      <w:marLeft w:val="0"/>
      <w:marRight w:val="0"/>
      <w:marTop w:val="0"/>
      <w:marBottom w:val="0"/>
      <w:divBdr>
        <w:top w:val="none" w:sz="0" w:space="0" w:color="auto"/>
        <w:left w:val="none" w:sz="0" w:space="0" w:color="auto"/>
        <w:bottom w:val="none" w:sz="0" w:space="0" w:color="auto"/>
        <w:right w:val="none" w:sz="0" w:space="0" w:color="auto"/>
      </w:divBdr>
    </w:div>
    <w:div w:id="399600967">
      <w:bodyDiv w:val="1"/>
      <w:marLeft w:val="0"/>
      <w:marRight w:val="0"/>
      <w:marTop w:val="0"/>
      <w:marBottom w:val="0"/>
      <w:divBdr>
        <w:top w:val="none" w:sz="0" w:space="0" w:color="auto"/>
        <w:left w:val="none" w:sz="0" w:space="0" w:color="auto"/>
        <w:bottom w:val="none" w:sz="0" w:space="0" w:color="auto"/>
        <w:right w:val="none" w:sz="0" w:space="0" w:color="auto"/>
      </w:divBdr>
    </w:div>
    <w:div w:id="409470734">
      <w:bodyDiv w:val="1"/>
      <w:marLeft w:val="0"/>
      <w:marRight w:val="0"/>
      <w:marTop w:val="0"/>
      <w:marBottom w:val="0"/>
      <w:divBdr>
        <w:top w:val="none" w:sz="0" w:space="0" w:color="auto"/>
        <w:left w:val="none" w:sz="0" w:space="0" w:color="auto"/>
        <w:bottom w:val="none" w:sz="0" w:space="0" w:color="auto"/>
        <w:right w:val="none" w:sz="0" w:space="0" w:color="auto"/>
      </w:divBdr>
    </w:div>
    <w:div w:id="424306319">
      <w:bodyDiv w:val="1"/>
      <w:marLeft w:val="0"/>
      <w:marRight w:val="0"/>
      <w:marTop w:val="0"/>
      <w:marBottom w:val="0"/>
      <w:divBdr>
        <w:top w:val="none" w:sz="0" w:space="0" w:color="auto"/>
        <w:left w:val="none" w:sz="0" w:space="0" w:color="auto"/>
        <w:bottom w:val="none" w:sz="0" w:space="0" w:color="auto"/>
        <w:right w:val="none" w:sz="0" w:space="0" w:color="auto"/>
      </w:divBdr>
    </w:div>
    <w:div w:id="425813258">
      <w:bodyDiv w:val="1"/>
      <w:marLeft w:val="0"/>
      <w:marRight w:val="0"/>
      <w:marTop w:val="0"/>
      <w:marBottom w:val="0"/>
      <w:divBdr>
        <w:top w:val="none" w:sz="0" w:space="0" w:color="auto"/>
        <w:left w:val="none" w:sz="0" w:space="0" w:color="auto"/>
        <w:bottom w:val="none" w:sz="0" w:space="0" w:color="auto"/>
        <w:right w:val="none" w:sz="0" w:space="0" w:color="auto"/>
      </w:divBdr>
    </w:div>
    <w:div w:id="426197672">
      <w:bodyDiv w:val="1"/>
      <w:marLeft w:val="0"/>
      <w:marRight w:val="0"/>
      <w:marTop w:val="0"/>
      <w:marBottom w:val="0"/>
      <w:divBdr>
        <w:top w:val="none" w:sz="0" w:space="0" w:color="auto"/>
        <w:left w:val="none" w:sz="0" w:space="0" w:color="auto"/>
        <w:bottom w:val="none" w:sz="0" w:space="0" w:color="auto"/>
        <w:right w:val="none" w:sz="0" w:space="0" w:color="auto"/>
      </w:divBdr>
    </w:div>
    <w:div w:id="436288957">
      <w:bodyDiv w:val="1"/>
      <w:marLeft w:val="0"/>
      <w:marRight w:val="0"/>
      <w:marTop w:val="0"/>
      <w:marBottom w:val="0"/>
      <w:divBdr>
        <w:top w:val="none" w:sz="0" w:space="0" w:color="auto"/>
        <w:left w:val="none" w:sz="0" w:space="0" w:color="auto"/>
        <w:bottom w:val="none" w:sz="0" w:space="0" w:color="auto"/>
        <w:right w:val="none" w:sz="0" w:space="0" w:color="auto"/>
      </w:divBdr>
    </w:div>
    <w:div w:id="455804499">
      <w:bodyDiv w:val="1"/>
      <w:marLeft w:val="0"/>
      <w:marRight w:val="0"/>
      <w:marTop w:val="0"/>
      <w:marBottom w:val="0"/>
      <w:divBdr>
        <w:top w:val="none" w:sz="0" w:space="0" w:color="auto"/>
        <w:left w:val="none" w:sz="0" w:space="0" w:color="auto"/>
        <w:bottom w:val="none" w:sz="0" w:space="0" w:color="auto"/>
        <w:right w:val="none" w:sz="0" w:space="0" w:color="auto"/>
      </w:divBdr>
      <w:divsChild>
        <w:div w:id="683093469">
          <w:marLeft w:val="0"/>
          <w:marRight w:val="0"/>
          <w:marTop w:val="0"/>
          <w:marBottom w:val="0"/>
          <w:divBdr>
            <w:top w:val="none" w:sz="0" w:space="0" w:color="auto"/>
            <w:left w:val="none" w:sz="0" w:space="0" w:color="auto"/>
            <w:bottom w:val="none" w:sz="0" w:space="0" w:color="auto"/>
            <w:right w:val="none" w:sz="0" w:space="0" w:color="auto"/>
          </w:divBdr>
          <w:divsChild>
            <w:div w:id="1492791787">
              <w:marLeft w:val="0"/>
              <w:marRight w:val="0"/>
              <w:marTop w:val="0"/>
              <w:marBottom w:val="0"/>
              <w:divBdr>
                <w:top w:val="none" w:sz="0" w:space="0" w:color="auto"/>
                <w:left w:val="none" w:sz="0" w:space="0" w:color="auto"/>
                <w:bottom w:val="none" w:sz="0" w:space="0" w:color="auto"/>
                <w:right w:val="none" w:sz="0" w:space="0" w:color="auto"/>
              </w:divBdr>
              <w:divsChild>
                <w:div w:id="2005889574">
                  <w:marLeft w:val="0"/>
                  <w:marRight w:val="0"/>
                  <w:marTop w:val="0"/>
                  <w:marBottom w:val="0"/>
                  <w:divBdr>
                    <w:top w:val="none" w:sz="0" w:space="0" w:color="auto"/>
                    <w:left w:val="none" w:sz="0" w:space="0" w:color="auto"/>
                    <w:bottom w:val="none" w:sz="0" w:space="0" w:color="auto"/>
                    <w:right w:val="none" w:sz="0" w:space="0" w:color="auto"/>
                  </w:divBdr>
                  <w:divsChild>
                    <w:div w:id="11160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520629547">
      <w:bodyDiv w:val="1"/>
      <w:marLeft w:val="0"/>
      <w:marRight w:val="0"/>
      <w:marTop w:val="0"/>
      <w:marBottom w:val="0"/>
      <w:divBdr>
        <w:top w:val="none" w:sz="0" w:space="0" w:color="auto"/>
        <w:left w:val="none" w:sz="0" w:space="0" w:color="auto"/>
        <w:bottom w:val="none" w:sz="0" w:space="0" w:color="auto"/>
        <w:right w:val="none" w:sz="0" w:space="0" w:color="auto"/>
      </w:divBdr>
    </w:div>
    <w:div w:id="545026239">
      <w:bodyDiv w:val="1"/>
      <w:marLeft w:val="0"/>
      <w:marRight w:val="0"/>
      <w:marTop w:val="0"/>
      <w:marBottom w:val="0"/>
      <w:divBdr>
        <w:top w:val="none" w:sz="0" w:space="0" w:color="auto"/>
        <w:left w:val="none" w:sz="0" w:space="0" w:color="auto"/>
        <w:bottom w:val="none" w:sz="0" w:space="0" w:color="auto"/>
        <w:right w:val="none" w:sz="0" w:space="0" w:color="auto"/>
      </w:divBdr>
    </w:div>
    <w:div w:id="586231862">
      <w:bodyDiv w:val="1"/>
      <w:marLeft w:val="0"/>
      <w:marRight w:val="0"/>
      <w:marTop w:val="0"/>
      <w:marBottom w:val="0"/>
      <w:divBdr>
        <w:top w:val="none" w:sz="0" w:space="0" w:color="auto"/>
        <w:left w:val="none" w:sz="0" w:space="0" w:color="auto"/>
        <w:bottom w:val="none" w:sz="0" w:space="0" w:color="auto"/>
        <w:right w:val="none" w:sz="0" w:space="0" w:color="auto"/>
      </w:divBdr>
    </w:div>
    <w:div w:id="592319168">
      <w:bodyDiv w:val="1"/>
      <w:marLeft w:val="0"/>
      <w:marRight w:val="0"/>
      <w:marTop w:val="0"/>
      <w:marBottom w:val="0"/>
      <w:divBdr>
        <w:top w:val="none" w:sz="0" w:space="0" w:color="auto"/>
        <w:left w:val="none" w:sz="0" w:space="0" w:color="auto"/>
        <w:bottom w:val="none" w:sz="0" w:space="0" w:color="auto"/>
        <w:right w:val="none" w:sz="0" w:space="0" w:color="auto"/>
      </w:divBdr>
    </w:div>
    <w:div w:id="602879509">
      <w:bodyDiv w:val="1"/>
      <w:marLeft w:val="0"/>
      <w:marRight w:val="0"/>
      <w:marTop w:val="0"/>
      <w:marBottom w:val="0"/>
      <w:divBdr>
        <w:top w:val="none" w:sz="0" w:space="0" w:color="auto"/>
        <w:left w:val="none" w:sz="0" w:space="0" w:color="auto"/>
        <w:bottom w:val="none" w:sz="0" w:space="0" w:color="auto"/>
        <w:right w:val="none" w:sz="0" w:space="0" w:color="auto"/>
      </w:divBdr>
    </w:div>
    <w:div w:id="619993469">
      <w:bodyDiv w:val="1"/>
      <w:marLeft w:val="0"/>
      <w:marRight w:val="0"/>
      <w:marTop w:val="0"/>
      <w:marBottom w:val="0"/>
      <w:divBdr>
        <w:top w:val="none" w:sz="0" w:space="0" w:color="auto"/>
        <w:left w:val="none" w:sz="0" w:space="0" w:color="auto"/>
        <w:bottom w:val="none" w:sz="0" w:space="0" w:color="auto"/>
        <w:right w:val="none" w:sz="0" w:space="0" w:color="auto"/>
      </w:divBdr>
    </w:div>
    <w:div w:id="624192910">
      <w:bodyDiv w:val="1"/>
      <w:marLeft w:val="0"/>
      <w:marRight w:val="0"/>
      <w:marTop w:val="0"/>
      <w:marBottom w:val="0"/>
      <w:divBdr>
        <w:top w:val="none" w:sz="0" w:space="0" w:color="auto"/>
        <w:left w:val="none" w:sz="0" w:space="0" w:color="auto"/>
        <w:bottom w:val="none" w:sz="0" w:space="0" w:color="auto"/>
        <w:right w:val="none" w:sz="0" w:space="0" w:color="auto"/>
      </w:divBdr>
    </w:div>
    <w:div w:id="626932424">
      <w:bodyDiv w:val="1"/>
      <w:marLeft w:val="0"/>
      <w:marRight w:val="0"/>
      <w:marTop w:val="0"/>
      <w:marBottom w:val="0"/>
      <w:divBdr>
        <w:top w:val="none" w:sz="0" w:space="0" w:color="auto"/>
        <w:left w:val="none" w:sz="0" w:space="0" w:color="auto"/>
        <w:bottom w:val="none" w:sz="0" w:space="0" w:color="auto"/>
        <w:right w:val="none" w:sz="0" w:space="0" w:color="auto"/>
      </w:divBdr>
    </w:div>
    <w:div w:id="642124262">
      <w:bodyDiv w:val="1"/>
      <w:marLeft w:val="0"/>
      <w:marRight w:val="0"/>
      <w:marTop w:val="0"/>
      <w:marBottom w:val="0"/>
      <w:divBdr>
        <w:top w:val="none" w:sz="0" w:space="0" w:color="auto"/>
        <w:left w:val="none" w:sz="0" w:space="0" w:color="auto"/>
        <w:bottom w:val="none" w:sz="0" w:space="0" w:color="auto"/>
        <w:right w:val="none" w:sz="0" w:space="0" w:color="auto"/>
      </w:divBdr>
    </w:div>
    <w:div w:id="653995814">
      <w:bodyDiv w:val="1"/>
      <w:marLeft w:val="0"/>
      <w:marRight w:val="0"/>
      <w:marTop w:val="0"/>
      <w:marBottom w:val="0"/>
      <w:divBdr>
        <w:top w:val="none" w:sz="0" w:space="0" w:color="auto"/>
        <w:left w:val="none" w:sz="0" w:space="0" w:color="auto"/>
        <w:bottom w:val="none" w:sz="0" w:space="0" w:color="auto"/>
        <w:right w:val="none" w:sz="0" w:space="0" w:color="auto"/>
      </w:divBdr>
    </w:div>
    <w:div w:id="659693507">
      <w:bodyDiv w:val="1"/>
      <w:marLeft w:val="0"/>
      <w:marRight w:val="0"/>
      <w:marTop w:val="0"/>
      <w:marBottom w:val="0"/>
      <w:divBdr>
        <w:top w:val="none" w:sz="0" w:space="0" w:color="auto"/>
        <w:left w:val="none" w:sz="0" w:space="0" w:color="auto"/>
        <w:bottom w:val="none" w:sz="0" w:space="0" w:color="auto"/>
        <w:right w:val="none" w:sz="0" w:space="0" w:color="auto"/>
      </w:divBdr>
    </w:div>
    <w:div w:id="713315926">
      <w:bodyDiv w:val="1"/>
      <w:marLeft w:val="0"/>
      <w:marRight w:val="0"/>
      <w:marTop w:val="0"/>
      <w:marBottom w:val="0"/>
      <w:divBdr>
        <w:top w:val="none" w:sz="0" w:space="0" w:color="auto"/>
        <w:left w:val="none" w:sz="0" w:space="0" w:color="auto"/>
        <w:bottom w:val="none" w:sz="0" w:space="0" w:color="auto"/>
        <w:right w:val="none" w:sz="0" w:space="0" w:color="auto"/>
      </w:divBdr>
    </w:div>
    <w:div w:id="796338700">
      <w:bodyDiv w:val="1"/>
      <w:marLeft w:val="0"/>
      <w:marRight w:val="0"/>
      <w:marTop w:val="0"/>
      <w:marBottom w:val="0"/>
      <w:divBdr>
        <w:top w:val="none" w:sz="0" w:space="0" w:color="auto"/>
        <w:left w:val="none" w:sz="0" w:space="0" w:color="auto"/>
        <w:bottom w:val="none" w:sz="0" w:space="0" w:color="auto"/>
        <w:right w:val="none" w:sz="0" w:space="0" w:color="auto"/>
      </w:divBdr>
    </w:div>
    <w:div w:id="800416843">
      <w:bodyDiv w:val="1"/>
      <w:marLeft w:val="0"/>
      <w:marRight w:val="0"/>
      <w:marTop w:val="0"/>
      <w:marBottom w:val="0"/>
      <w:divBdr>
        <w:top w:val="none" w:sz="0" w:space="0" w:color="auto"/>
        <w:left w:val="none" w:sz="0" w:space="0" w:color="auto"/>
        <w:bottom w:val="none" w:sz="0" w:space="0" w:color="auto"/>
        <w:right w:val="none" w:sz="0" w:space="0" w:color="auto"/>
      </w:divBdr>
      <w:divsChild>
        <w:div w:id="1145901826">
          <w:marLeft w:val="0"/>
          <w:marRight w:val="0"/>
          <w:marTop w:val="0"/>
          <w:marBottom w:val="0"/>
          <w:divBdr>
            <w:top w:val="none" w:sz="0" w:space="0" w:color="auto"/>
            <w:left w:val="none" w:sz="0" w:space="0" w:color="auto"/>
            <w:bottom w:val="none" w:sz="0" w:space="0" w:color="auto"/>
            <w:right w:val="none" w:sz="0" w:space="0" w:color="auto"/>
          </w:divBdr>
          <w:divsChild>
            <w:div w:id="9931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4821">
      <w:bodyDiv w:val="1"/>
      <w:marLeft w:val="0"/>
      <w:marRight w:val="0"/>
      <w:marTop w:val="0"/>
      <w:marBottom w:val="0"/>
      <w:divBdr>
        <w:top w:val="none" w:sz="0" w:space="0" w:color="auto"/>
        <w:left w:val="none" w:sz="0" w:space="0" w:color="auto"/>
        <w:bottom w:val="none" w:sz="0" w:space="0" w:color="auto"/>
        <w:right w:val="none" w:sz="0" w:space="0" w:color="auto"/>
      </w:divBdr>
    </w:div>
    <w:div w:id="864640465">
      <w:bodyDiv w:val="1"/>
      <w:marLeft w:val="0"/>
      <w:marRight w:val="0"/>
      <w:marTop w:val="0"/>
      <w:marBottom w:val="0"/>
      <w:divBdr>
        <w:top w:val="none" w:sz="0" w:space="0" w:color="auto"/>
        <w:left w:val="none" w:sz="0" w:space="0" w:color="auto"/>
        <w:bottom w:val="none" w:sz="0" w:space="0" w:color="auto"/>
        <w:right w:val="none" w:sz="0" w:space="0" w:color="auto"/>
      </w:divBdr>
    </w:div>
    <w:div w:id="875460534">
      <w:bodyDiv w:val="1"/>
      <w:marLeft w:val="0"/>
      <w:marRight w:val="0"/>
      <w:marTop w:val="0"/>
      <w:marBottom w:val="0"/>
      <w:divBdr>
        <w:top w:val="none" w:sz="0" w:space="0" w:color="auto"/>
        <w:left w:val="none" w:sz="0" w:space="0" w:color="auto"/>
        <w:bottom w:val="none" w:sz="0" w:space="0" w:color="auto"/>
        <w:right w:val="none" w:sz="0" w:space="0" w:color="auto"/>
      </w:divBdr>
      <w:divsChild>
        <w:div w:id="1436560732">
          <w:marLeft w:val="0"/>
          <w:marRight w:val="0"/>
          <w:marTop w:val="0"/>
          <w:marBottom w:val="0"/>
          <w:divBdr>
            <w:top w:val="none" w:sz="0" w:space="0" w:color="auto"/>
            <w:left w:val="none" w:sz="0" w:space="0" w:color="auto"/>
            <w:bottom w:val="none" w:sz="0" w:space="0" w:color="auto"/>
            <w:right w:val="none" w:sz="0" w:space="0" w:color="auto"/>
          </w:divBdr>
          <w:divsChild>
            <w:div w:id="1610431818">
              <w:marLeft w:val="0"/>
              <w:marRight w:val="0"/>
              <w:marTop w:val="0"/>
              <w:marBottom w:val="0"/>
              <w:divBdr>
                <w:top w:val="none" w:sz="0" w:space="0" w:color="auto"/>
                <w:left w:val="none" w:sz="0" w:space="0" w:color="auto"/>
                <w:bottom w:val="none" w:sz="0" w:space="0" w:color="auto"/>
                <w:right w:val="none" w:sz="0" w:space="0" w:color="auto"/>
              </w:divBdr>
              <w:divsChild>
                <w:div w:id="484592634">
                  <w:blockQuote w:val="1"/>
                  <w:marLeft w:val="720"/>
                  <w:marRight w:val="0"/>
                  <w:marTop w:val="100"/>
                  <w:marBottom w:val="100"/>
                  <w:divBdr>
                    <w:top w:val="none" w:sz="0" w:space="0" w:color="auto"/>
                    <w:left w:val="none" w:sz="0" w:space="0" w:color="auto"/>
                    <w:bottom w:val="none" w:sz="0" w:space="0" w:color="auto"/>
                    <w:right w:val="none" w:sz="0" w:space="0" w:color="auto"/>
                  </w:divBdr>
                </w:div>
                <w:div w:id="21383266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88611449">
      <w:bodyDiv w:val="1"/>
      <w:marLeft w:val="0"/>
      <w:marRight w:val="0"/>
      <w:marTop w:val="0"/>
      <w:marBottom w:val="0"/>
      <w:divBdr>
        <w:top w:val="none" w:sz="0" w:space="0" w:color="auto"/>
        <w:left w:val="none" w:sz="0" w:space="0" w:color="auto"/>
        <w:bottom w:val="none" w:sz="0" w:space="0" w:color="auto"/>
        <w:right w:val="none" w:sz="0" w:space="0" w:color="auto"/>
      </w:divBdr>
    </w:div>
    <w:div w:id="908274842">
      <w:bodyDiv w:val="1"/>
      <w:marLeft w:val="0"/>
      <w:marRight w:val="0"/>
      <w:marTop w:val="0"/>
      <w:marBottom w:val="0"/>
      <w:divBdr>
        <w:top w:val="none" w:sz="0" w:space="0" w:color="auto"/>
        <w:left w:val="none" w:sz="0" w:space="0" w:color="auto"/>
        <w:bottom w:val="none" w:sz="0" w:space="0" w:color="auto"/>
        <w:right w:val="none" w:sz="0" w:space="0" w:color="auto"/>
      </w:divBdr>
    </w:div>
    <w:div w:id="926304389">
      <w:bodyDiv w:val="1"/>
      <w:marLeft w:val="0"/>
      <w:marRight w:val="0"/>
      <w:marTop w:val="0"/>
      <w:marBottom w:val="0"/>
      <w:divBdr>
        <w:top w:val="none" w:sz="0" w:space="0" w:color="auto"/>
        <w:left w:val="none" w:sz="0" w:space="0" w:color="auto"/>
        <w:bottom w:val="none" w:sz="0" w:space="0" w:color="auto"/>
        <w:right w:val="none" w:sz="0" w:space="0" w:color="auto"/>
      </w:divBdr>
    </w:div>
    <w:div w:id="946424486">
      <w:bodyDiv w:val="1"/>
      <w:marLeft w:val="0"/>
      <w:marRight w:val="0"/>
      <w:marTop w:val="0"/>
      <w:marBottom w:val="0"/>
      <w:divBdr>
        <w:top w:val="none" w:sz="0" w:space="0" w:color="auto"/>
        <w:left w:val="none" w:sz="0" w:space="0" w:color="auto"/>
        <w:bottom w:val="none" w:sz="0" w:space="0" w:color="auto"/>
        <w:right w:val="none" w:sz="0" w:space="0" w:color="auto"/>
      </w:divBdr>
    </w:div>
    <w:div w:id="946887986">
      <w:bodyDiv w:val="1"/>
      <w:marLeft w:val="0"/>
      <w:marRight w:val="0"/>
      <w:marTop w:val="0"/>
      <w:marBottom w:val="0"/>
      <w:divBdr>
        <w:top w:val="none" w:sz="0" w:space="0" w:color="auto"/>
        <w:left w:val="none" w:sz="0" w:space="0" w:color="auto"/>
        <w:bottom w:val="none" w:sz="0" w:space="0" w:color="auto"/>
        <w:right w:val="none" w:sz="0" w:space="0" w:color="auto"/>
      </w:divBdr>
    </w:div>
    <w:div w:id="948901432">
      <w:bodyDiv w:val="1"/>
      <w:marLeft w:val="0"/>
      <w:marRight w:val="0"/>
      <w:marTop w:val="0"/>
      <w:marBottom w:val="0"/>
      <w:divBdr>
        <w:top w:val="none" w:sz="0" w:space="0" w:color="auto"/>
        <w:left w:val="none" w:sz="0" w:space="0" w:color="auto"/>
        <w:bottom w:val="none" w:sz="0" w:space="0" w:color="auto"/>
        <w:right w:val="none" w:sz="0" w:space="0" w:color="auto"/>
      </w:divBdr>
    </w:div>
    <w:div w:id="972826291">
      <w:bodyDiv w:val="1"/>
      <w:marLeft w:val="0"/>
      <w:marRight w:val="0"/>
      <w:marTop w:val="0"/>
      <w:marBottom w:val="0"/>
      <w:divBdr>
        <w:top w:val="none" w:sz="0" w:space="0" w:color="auto"/>
        <w:left w:val="none" w:sz="0" w:space="0" w:color="auto"/>
        <w:bottom w:val="none" w:sz="0" w:space="0" w:color="auto"/>
        <w:right w:val="none" w:sz="0" w:space="0" w:color="auto"/>
      </w:divBdr>
    </w:div>
    <w:div w:id="986012633">
      <w:bodyDiv w:val="1"/>
      <w:marLeft w:val="0"/>
      <w:marRight w:val="0"/>
      <w:marTop w:val="0"/>
      <w:marBottom w:val="0"/>
      <w:divBdr>
        <w:top w:val="none" w:sz="0" w:space="0" w:color="auto"/>
        <w:left w:val="none" w:sz="0" w:space="0" w:color="auto"/>
        <w:bottom w:val="none" w:sz="0" w:space="0" w:color="auto"/>
        <w:right w:val="none" w:sz="0" w:space="0" w:color="auto"/>
      </w:divBdr>
    </w:div>
    <w:div w:id="1001277645">
      <w:bodyDiv w:val="1"/>
      <w:marLeft w:val="0"/>
      <w:marRight w:val="0"/>
      <w:marTop w:val="0"/>
      <w:marBottom w:val="0"/>
      <w:divBdr>
        <w:top w:val="none" w:sz="0" w:space="0" w:color="auto"/>
        <w:left w:val="none" w:sz="0" w:space="0" w:color="auto"/>
        <w:bottom w:val="none" w:sz="0" w:space="0" w:color="auto"/>
        <w:right w:val="none" w:sz="0" w:space="0" w:color="auto"/>
      </w:divBdr>
    </w:div>
    <w:div w:id="1025978957">
      <w:bodyDiv w:val="1"/>
      <w:marLeft w:val="0"/>
      <w:marRight w:val="0"/>
      <w:marTop w:val="0"/>
      <w:marBottom w:val="0"/>
      <w:divBdr>
        <w:top w:val="none" w:sz="0" w:space="0" w:color="auto"/>
        <w:left w:val="none" w:sz="0" w:space="0" w:color="auto"/>
        <w:bottom w:val="none" w:sz="0" w:space="0" w:color="auto"/>
        <w:right w:val="none" w:sz="0" w:space="0" w:color="auto"/>
      </w:divBdr>
    </w:div>
    <w:div w:id="1042944704">
      <w:bodyDiv w:val="1"/>
      <w:marLeft w:val="0"/>
      <w:marRight w:val="0"/>
      <w:marTop w:val="0"/>
      <w:marBottom w:val="0"/>
      <w:divBdr>
        <w:top w:val="none" w:sz="0" w:space="0" w:color="auto"/>
        <w:left w:val="none" w:sz="0" w:space="0" w:color="auto"/>
        <w:bottom w:val="none" w:sz="0" w:space="0" w:color="auto"/>
        <w:right w:val="none" w:sz="0" w:space="0" w:color="auto"/>
      </w:divBdr>
    </w:div>
    <w:div w:id="1049185938">
      <w:bodyDiv w:val="1"/>
      <w:marLeft w:val="0"/>
      <w:marRight w:val="0"/>
      <w:marTop w:val="0"/>
      <w:marBottom w:val="0"/>
      <w:divBdr>
        <w:top w:val="none" w:sz="0" w:space="0" w:color="auto"/>
        <w:left w:val="none" w:sz="0" w:space="0" w:color="auto"/>
        <w:bottom w:val="none" w:sz="0" w:space="0" w:color="auto"/>
        <w:right w:val="none" w:sz="0" w:space="0" w:color="auto"/>
      </w:divBdr>
    </w:div>
    <w:div w:id="1069227355">
      <w:bodyDiv w:val="1"/>
      <w:marLeft w:val="0"/>
      <w:marRight w:val="0"/>
      <w:marTop w:val="0"/>
      <w:marBottom w:val="0"/>
      <w:divBdr>
        <w:top w:val="none" w:sz="0" w:space="0" w:color="auto"/>
        <w:left w:val="none" w:sz="0" w:space="0" w:color="auto"/>
        <w:bottom w:val="none" w:sz="0" w:space="0" w:color="auto"/>
        <w:right w:val="none" w:sz="0" w:space="0" w:color="auto"/>
      </w:divBdr>
    </w:div>
    <w:div w:id="1083646542">
      <w:bodyDiv w:val="1"/>
      <w:marLeft w:val="0"/>
      <w:marRight w:val="0"/>
      <w:marTop w:val="0"/>
      <w:marBottom w:val="0"/>
      <w:divBdr>
        <w:top w:val="none" w:sz="0" w:space="0" w:color="auto"/>
        <w:left w:val="none" w:sz="0" w:space="0" w:color="auto"/>
        <w:bottom w:val="none" w:sz="0" w:space="0" w:color="auto"/>
        <w:right w:val="none" w:sz="0" w:space="0" w:color="auto"/>
      </w:divBdr>
    </w:div>
    <w:div w:id="1093210964">
      <w:bodyDiv w:val="1"/>
      <w:marLeft w:val="0"/>
      <w:marRight w:val="0"/>
      <w:marTop w:val="0"/>
      <w:marBottom w:val="0"/>
      <w:divBdr>
        <w:top w:val="none" w:sz="0" w:space="0" w:color="auto"/>
        <w:left w:val="none" w:sz="0" w:space="0" w:color="auto"/>
        <w:bottom w:val="none" w:sz="0" w:space="0" w:color="auto"/>
        <w:right w:val="none" w:sz="0" w:space="0" w:color="auto"/>
      </w:divBdr>
    </w:div>
    <w:div w:id="1096486401">
      <w:bodyDiv w:val="1"/>
      <w:marLeft w:val="0"/>
      <w:marRight w:val="0"/>
      <w:marTop w:val="0"/>
      <w:marBottom w:val="0"/>
      <w:divBdr>
        <w:top w:val="none" w:sz="0" w:space="0" w:color="auto"/>
        <w:left w:val="none" w:sz="0" w:space="0" w:color="auto"/>
        <w:bottom w:val="none" w:sz="0" w:space="0" w:color="auto"/>
        <w:right w:val="none" w:sz="0" w:space="0" w:color="auto"/>
      </w:divBdr>
    </w:div>
    <w:div w:id="1105229996">
      <w:bodyDiv w:val="1"/>
      <w:marLeft w:val="0"/>
      <w:marRight w:val="0"/>
      <w:marTop w:val="0"/>
      <w:marBottom w:val="0"/>
      <w:divBdr>
        <w:top w:val="none" w:sz="0" w:space="0" w:color="auto"/>
        <w:left w:val="none" w:sz="0" w:space="0" w:color="auto"/>
        <w:bottom w:val="none" w:sz="0" w:space="0" w:color="auto"/>
        <w:right w:val="none" w:sz="0" w:space="0" w:color="auto"/>
      </w:divBdr>
    </w:div>
    <w:div w:id="1111894272">
      <w:bodyDiv w:val="1"/>
      <w:marLeft w:val="0"/>
      <w:marRight w:val="0"/>
      <w:marTop w:val="0"/>
      <w:marBottom w:val="0"/>
      <w:divBdr>
        <w:top w:val="none" w:sz="0" w:space="0" w:color="auto"/>
        <w:left w:val="none" w:sz="0" w:space="0" w:color="auto"/>
        <w:bottom w:val="none" w:sz="0" w:space="0" w:color="auto"/>
        <w:right w:val="none" w:sz="0" w:space="0" w:color="auto"/>
      </w:divBdr>
    </w:div>
    <w:div w:id="1129009919">
      <w:bodyDiv w:val="1"/>
      <w:marLeft w:val="0"/>
      <w:marRight w:val="0"/>
      <w:marTop w:val="0"/>
      <w:marBottom w:val="0"/>
      <w:divBdr>
        <w:top w:val="none" w:sz="0" w:space="0" w:color="auto"/>
        <w:left w:val="none" w:sz="0" w:space="0" w:color="auto"/>
        <w:bottom w:val="none" w:sz="0" w:space="0" w:color="auto"/>
        <w:right w:val="none" w:sz="0" w:space="0" w:color="auto"/>
      </w:divBdr>
    </w:div>
    <w:div w:id="1133403089">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61047972">
      <w:bodyDiv w:val="1"/>
      <w:marLeft w:val="0"/>
      <w:marRight w:val="0"/>
      <w:marTop w:val="0"/>
      <w:marBottom w:val="0"/>
      <w:divBdr>
        <w:top w:val="none" w:sz="0" w:space="0" w:color="auto"/>
        <w:left w:val="none" w:sz="0" w:space="0" w:color="auto"/>
        <w:bottom w:val="none" w:sz="0" w:space="0" w:color="auto"/>
        <w:right w:val="none" w:sz="0" w:space="0" w:color="auto"/>
      </w:divBdr>
    </w:div>
    <w:div w:id="1170604831">
      <w:bodyDiv w:val="1"/>
      <w:marLeft w:val="0"/>
      <w:marRight w:val="0"/>
      <w:marTop w:val="0"/>
      <w:marBottom w:val="0"/>
      <w:divBdr>
        <w:top w:val="none" w:sz="0" w:space="0" w:color="auto"/>
        <w:left w:val="none" w:sz="0" w:space="0" w:color="auto"/>
        <w:bottom w:val="none" w:sz="0" w:space="0" w:color="auto"/>
        <w:right w:val="none" w:sz="0" w:space="0" w:color="auto"/>
      </w:divBdr>
    </w:div>
    <w:div w:id="1171262968">
      <w:bodyDiv w:val="1"/>
      <w:marLeft w:val="0"/>
      <w:marRight w:val="0"/>
      <w:marTop w:val="0"/>
      <w:marBottom w:val="0"/>
      <w:divBdr>
        <w:top w:val="none" w:sz="0" w:space="0" w:color="auto"/>
        <w:left w:val="none" w:sz="0" w:space="0" w:color="auto"/>
        <w:bottom w:val="none" w:sz="0" w:space="0" w:color="auto"/>
        <w:right w:val="none" w:sz="0" w:space="0" w:color="auto"/>
      </w:divBdr>
    </w:div>
    <w:div w:id="1198665108">
      <w:bodyDiv w:val="1"/>
      <w:marLeft w:val="0"/>
      <w:marRight w:val="0"/>
      <w:marTop w:val="0"/>
      <w:marBottom w:val="0"/>
      <w:divBdr>
        <w:top w:val="none" w:sz="0" w:space="0" w:color="auto"/>
        <w:left w:val="none" w:sz="0" w:space="0" w:color="auto"/>
        <w:bottom w:val="none" w:sz="0" w:space="0" w:color="auto"/>
        <w:right w:val="none" w:sz="0" w:space="0" w:color="auto"/>
      </w:divBdr>
    </w:div>
    <w:div w:id="1230194485">
      <w:bodyDiv w:val="1"/>
      <w:marLeft w:val="0"/>
      <w:marRight w:val="0"/>
      <w:marTop w:val="0"/>
      <w:marBottom w:val="0"/>
      <w:divBdr>
        <w:top w:val="none" w:sz="0" w:space="0" w:color="auto"/>
        <w:left w:val="none" w:sz="0" w:space="0" w:color="auto"/>
        <w:bottom w:val="none" w:sz="0" w:space="0" w:color="auto"/>
        <w:right w:val="none" w:sz="0" w:space="0" w:color="auto"/>
      </w:divBdr>
    </w:div>
    <w:div w:id="1234970128">
      <w:bodyDiv w:val="1"/>
      <w:marLeft w:val="0"/>
      <w:marRight w:val="0"/>
      <w:marTop w:val="0"/>
      <w:marBottom w:val="0"/>
      <w:divBdr>
        <w:top w:val="none" w:sz="0" w:space="0" w:color="auto"/>
        <w:left w:val="none" w:sz="0" w:space="0" w:color="auto"/>
        <w:bottom w:val="none" w:sz="0" w:space="0" w:color="auto"/>
        <w:right w:val="none" w:sz="0" w:space="0" w:color="auto"/>
      </w:divBdr>
    </w:div>
    <w:div w:id="1252079447">
      <w:bodyDiv w:val="1"/>
      <w:marLeft w:val="0"/>
      <w:marRight w:val="0"/>
      <w:marTop w:val="0"/>
      <w:marBottom w:val="0"/>
      <w:divBdr>
        <w:top w:val="none" w:sz="0" w:space="0" w:color="auto"/>
        <w:left w:val="none" w:sz="0" w:space="0" w:color="auto"/>
        <w:bottom w:val="none" w:sz="0" w:space="0" w:color="auto"/>
        <w:right w:val="none" w:sz="0" w:space="0" w:color="auto"/>
      </w:divBdr>
    </w:div>
    <w:div w:id="1263689765">
      <w:bodyDiv w:val="1"/>
      <w:marLeft w:val="0"/>
      <w:marRight w:val="0"/>
      <w:marTop w:val="0"/>
      <w:marBottom w:val="0"/>
      <w:divBdr>
        <w:top w:val="none" w:sz="0" w:space="0" w:color="auto"/>
        <w:left w:val="none" w:sz="0" w:space="0" w:color="auto"/>
        <w:bottom w:val="none" w:sz="0" w:space="0" w:color="auto"/>
        <w:right w:val="none" w:sz="0" w:space="0" w:color="auto"/>
      </w:divBdr>
      <w:divsChild>
        <w:div w:id="1272933696">
          <w:marLeft w:val="0"/>
          <w:marRight w:val="0"/>
          <w:marTop w:val="0"/>
          <w:marBottom w:val="0"/>
          <w:divBdr>
            <w:top w:val="none" w:sz="0" w:space="0" w:color="auto"/>
            <w:left w:val="none" w:sz="0" w:space="0" w:color="auto"/>
            <w:bottom w:val="none" w:sz="0" w:space="0" w:color="auto"/>
            <w:right w:val="none" w:sz="0" w:space="0" w:color="auto"/>
          </w:divBdr>
        </w:div>
      </w:divsChild>
    </w:div>
    <w:div w:id="1265068322">
      <w:bodyDiv w:val="1"/>
      <w:marLeft w:val="0"/>
      <w:marRight w:val="0"/>
      <w:marTop w:val="0"/>
      <w:marBottom w:val="0"/>
      <w:divBdr>
        <w:top w:val="none" w:sz="0" w:space="0" w:color="auto"/>
        <w:left w:val="none" w:sz="0" w:space="0" w:color="auto"/>
        <w:bottom w:val="none" w:sz="0" w:space="0" w:color="auto"/>
        <w:right w:val="none" w:sz="0" w:space="0" w:color="auto"/>
      </w:divBdr>
    </w:div>
    <w:div w:id="1267154314">
      <w:bodyDiv w:val="1"/>
      <w:marLeft w:val="0"/>
      <w:marRight w:val="0"/>
      <w:marTop w:val="0"/>
      <w:marBottom w:val="0"/>
      <w:divBdr>
        <w:top w:val="none" w:sz="0" w:space="0" w:color="auto"/>
        <w:left w:val="none" w:sz="0" w:space="0" w:color="auto"/>
        <w:bottom w:val="none" w:sz="0" w:space="0" w:color="auto"/>
        <w:right w:val="none" w:sz="0" w:space="0" w:color="auto"/>
      </w:divBdr>
    </w:div>
    <w:div w:id="1272862829">
      <w:bodyDiv w:val="1"/>
      <w:marLeft w:val="0"/>
      <w:marRight w:val="0"/>
      <w:marTop w:val="0"/>
      <w:marBottom w:val="0"/>
      <w:divBdr>
        <w:top w:val="none" w:sz="0" w:space="0" w:color="auto"/>
        <w:left w:val="none" w:sz="0" w:space="0" w:color="auto"/>
        <w:bottom w:val="none" w:sz="0" w:space="0" w:color="auto"/>
        <w:right w:val="none" w:sz="0" w:space="0" w:color="auto"/>
      </w:divBdr>
      <w:divsChild>
        <w:div w:id="1477456448">
          <w:marLeft w:val="547"/>
          <w:marRight w:val="0"/>
          <w:marTop w:val="144"/>
          <w:marBottom w:val="0"/>
          <w:divBdr>
            <w:top w:val="none" w:sz="0" w:space="0" w:color="auto"/>
            <w:left w:val="none" w:sz="0" w:space="0" w:color="auto"/>
            <w:bottom w:val="none" w:sz="0" w:space="0" w:color="auto"/>
            <w:right w:val="none" w:sz="0" w:space="0" w:color="auto"/>
          </w:divBdr>
        </w:div>
      </w:divsChild>
    </w:div>
    <w:div w:id="1274558720">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14411822">
      <w:bodyDiv w:val="1"/>
      <w:marLeft w:val="0"/>
      <w:marRight w:val="0"/>
      <w:marTop w:val="0"/>
      <w:marBottom w:val="0"/>
      <w:divBdr>
        <w:top w:val="none" w:sz="0" w:space="0" w:color="auto"/>
        <w:left w:val="none" w:sz="0" w:space="0" w:color="auto"/>
        <w:bottom w:val="none" w:sz="0" w:space="0" w:color="auto"/>
        <w:right w:val="none" w:sz="0" w:space="0" w:color="auto"/>
      </w:divBdr>
    </w:div>
    <w:div w:id="1338533151">
      <w:bodyDiv w:val="1"/>
      <w:marLeft w:val="0"/>
      <w:marRight w:val="0"/>
      <w:marTop w:val="0"/>
      <w:marBottom w:val="0"/>
      <w:divBdr>
        <w:top w:val="none" w:sz="0" w:space="0" w:color="auto"/>
        <w:left w:val="none" w:sz="0" w:space="0" w:color="auto"/>
        <w:bottom w:val="none" w:sz="0" w:space="0" w:color="auto"/>
        <w:right w:val="none" w:sz="0" w:space="0" w:color="auto"/>
      </w:divBdr>
    </w:div>
    <w:div w:id="1340502452">
      <w:bodyDiv w:val="1"/>
      <w:marLeft w:val="0"/>
      <w:marRight w:val="0"/>
      <w:marTop w:val="0"/>
      <w:marBottom w:val="0"/>
      <w:divBdr>
        <w:top w:val="none" w:sz="0" w:space="0" w:color="auto"/>
        <w:left w:val="none" w:sz="0" w:space="0" w:color="auto"/>
        <w:bottom w:val="none" w:sz="0" w:space="0" w:color="auto"/>
        <w:right w:val="none" w:sz="0" w:space="0" w:color="auto"/>
      </w:divBdr>
    </w:div>
    <w:div w:id="1353995479">
      <w:bodyDiv w:val="1"/>
      <w:marLeft w:val="0"/>
      <w:marRight w:val="0"/>
      <w:marTop w:val="0"/>
      <w:marBottom w:val="0"/>
      <w:divBdr>
        <w:top w:val="none" w:sz="0" w:space="0" w:color="auto"/>
        <w:left w:val="none" w:sz="0" w:space="0" w:color="auto"/>
        <w:bottom w:val="none" w:sz="0" w:space="0" w:color="auto"/>
        <w:right w:val="none" w:sz="0" w:space="0" w:color="auto"/>
      </w:divBdr>
    </w:div>
    <w:div w:id="1419057409">
      <w:bodyDiv w:val="1"/>
      <w:marLeft w:val="0"/>
      <w:marRight w:val="0"/>
      <w:marTop w:val="0"/>
      <w:marBottom w:val="0"/>
      <w:divBdr>
        <w:top w:val="none" w:sz="0" w:space="0" w:color="auto"/>
        <w:left w:val="none" w:sz="0" w:space="0" w:color="auto"/>
        <w:bottom w:val="none" w:sz="0" w:space="0" w:color="auto"/>
        <w:right w:val="none" w:sz="0" w:space="0" w:color="auto"/>
      </w:divBdr>
    </w:div>
    <w:div w:id="1431969939">
      <w:bodyDiv w:val="1"/>
      <w:marLeft w:val="0"/>
      <w:marRight w:val="0"/>
      <w:marTop w:val="0"/>
      <w:marBottom w:val="0"/>
      <w:divBdr>
        <w:top w:val="none" w:sz="0" w:space="0" w:color="auto"/>
        <w:left w:val="none" w:sz="0" w:space="0" w:color="auto"/>
        <w:bottom w:val="none" w:sz="0" w:space="0" w:color="auto"/>
        <w:right w:val="none" w:sz="0" w:space="0" w:color="auto"/>
      </w:divBdr>
    </w:div>
    <w:div w:id="1481532156">
      <w:bodyDiv w:val="1"/>
      <w:marLeft w:val="0"/>
      <w:marRight w:val="0"/>
      <w:marTop w:val="0"/>
      <w:marBottom w:val="0"/>
      <w:divBdr>
        <w:top w:val="none" w:sz="0" w:space="0" w:color="auto"/>
        <w:left w:val="none" w:sz="0" w:space="0" w:color="auto"/>
        <w:bottom w:val="none" w:sz="0" w:space="0" w:color="auto"/>
        <w:right w:val="none" w:sz="0" w:space="0" w:color="auto"/>
      </w:divBdr>
    </w:div>
    <w:div w:id="1533106271">
      <w:bodyDiv w:val="1"/>
      <w:marLeft w:val="0"/>
      <w:marRight w:val="0"/>
      <w:marTop w:val="0"/>
      <w:marBottom w:val="0"/>
      <w:divBdr>
        <w:top w:val="none" w:sz="0" w:space="0" w:color="auto"/>
        <w:left w:val="none" w:sz="0" w:space="0" w:color="auto"/>
        <w:bottom w:val="none" w:sz="0" w:space="0" w:color="auto"/>
        <w:right w:val="none" w:sz="0" w:space="0" w:color="auto"/>
      </w:divBdr>
    </w:div>
    <w:div w:id="1545752214">
      <w:bodyDiv w:val="1"/>
      <w:marLeft w:val="0"/>
      <w:marRight w:val="0"/>
      <w:marTop w:val="0"/>
      <w:marBottom w:val="0"/>
      <w:divBdr>
        <w:top w:val="none" w:sz="0" w:space="0" w:color="auto"/>
        <w:left w:val="none" w:sz="0" w:space="0" w:color="auto"/>
        <w:bottom w:val="none" w:sz="0" w:space="0" w:color="auto"/>
        <w:right w:val="none" w:sz="0" w:space="0" w:color="auto"/>
      </w:divBdr>
    </w:div>
    <w:div w:id="1552763823">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sChild>
        <w:div w:id="918906596">
          <w:marLeft w:val="0"/>
          <w:marRight w:val="0"/>
          <w:marTop w:val="0"/>
          <w:marBottom w:val="0"/>
          <w:divBdr>
            <w:top w:val="none" w:sz="0" w:space="0" w:color="auto"/>
            <w:left w:val="none" w:sz="0" w:space="0" w:color="auto"/>
            <w:bottom w:val="none" w:sz="0" w:space="0" w:color="auto"/>
            <w:right w:val="none" w:sz="0" w:space="0" w:color="auto"/>
          </w:divBdr>
          <w:divsChild>
            <w:div w:id="1233853673">
              <w:marLeft w:val="0"/>
              <w:marRight w:val="0"/>
              <w:marTop w:val="0"/>
              <w:marBottom w:val="0"/>
              <w:divBdr>
                <w:top w:val="none" w:sz="0" w:space="0" w:color="auto"/>
                <w:left w:val="none" w:sz="0" w:space="0" w:color="auto"/>
                <w:bottom w:val="none" w:sz="0" w:space="0" w:color="auto"/>
                <w:right w:val="none" w:sz="0" w:space="0" w:color="auto"/>
              </w:divBdr>
              <w:divsChild>
                <w:div w:id="701250827">
                  <w:blockQuote w:val="1"/>
                  <w:marLeft w:val="720"/>
                  <w:marRight w:val="0"/>
                  <w:marTop w:val="100"/>
                  <w:marBottom w:val="100"/>
                  <w:divBdr>
                    <w:top w:val="none" w:sz="0" w:space="0" w:color="auto"/>
                    <w:left w:val="none" w:sz="0" w:space="0" w:color="auto"/>
                    <w:bottom w:val="none" w:sz="0" w:space="0" w:color="auto"/>
                    <w:right w:val="none" w:sz="0" w:space="0" w:color="auto"/>
                  </w:divBdr>
                </w:div>
                <w:div w:id="151179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95361943">
      <w:bodyDiv w:val="1"/>
      <w:marLeft w:val="0"/>
      <w:marRight w:val="0"/>
      <w:marTop w:val="0"/>
      <w:marBottom w:val="0"/>
      <w:divBdr>
        <w:top w:val="none" w:sz="0" w:space="0" w:color="auto"/>
        <w:left w:val="none" w:sz="0" w:space="0" w:color="auto"/>
        <w:bottom w:val="none" w:sz="0" w:space="0" w:color="auto"/>
        <w:right w:val="none" w:sz="0" w:space="0" w:color="auto"/>
      </w:divBdr>
    </w:div>
    <w:div w:id="1600332296">
      <w:bodyDiv w:val="1"/>
      <w:marLeft w:val="0"/>
      <w:marRight w:val="0"/>
      <w:marTop w:val="0"/>
      <w:marBottom w:val="0"/>
      <w:divBdr>
        <w:top w:val="none" w:sz="0" w:space="0" w:color="auto"/>
        <w:left w:val="none" w:sz="0" w:space="0" w:color="auto"/>
        <w:bottom w:val="none" w:sz="0" w:space="0" w:color="auto"/>
        <w:right w:val="none" w:sz="0" w:space="0" w:color="auto"/>
      </w:divBdr>
    </w:div>
    <w:div w:id="1602763651">
      <w:bodyDiv w:val="1"/>
      <w:marLeft w:val="0"/>
      <w:marRight w:val="0"/>
      <w:marTop w:val="0"/>
      <w:marBottom w:val="0"/>
      <w:divBdr>
        <w:top w:val="none" w:sz="0" w:space="0" w:color="auto"/>
        <w:left w:val="none" w:sz="0" w:space="0" w:color="auto"/>
        <w:bottom w:val="none" w:sz="0" w:space="0" w:color="auto"/>
        <w:right w:val="none" w:sz="0" w:space="0" w:color="auto"/>
      </w:divBdr>
    </w:div>
    <w:div w:id="1610118198">
      <w:bodyDiv w:val="1"/>
      <w:marLeft w:val="0"/>
      <w:marRight w:val="0"/>
      <w:marTop w:val="0"/>
      <w:marBottom w:val="0"/>
      <w:divBdr>
        <w:top w:val="none" w:sz="0" w:space="0" w:color="auto"/>
        <w:left w:val="none" w:sz="0" w:space="0" w:color="auto"/>
        <w:bottom w:val="none" w:sz="0" w:space="0" w:color="auto"/>
        <w:right w:val="none" w:sz="0" w:space="0" w:color="auto"/>
      </w:divBdr>
    </w:div>
    <w:div w:id="1631015879">
      <w:bodyDiv w:val="1"/>
      <w:marLeft w:val="0"/>
      <w:marRight w:val="0"/>
      <w:marTop w:val="0"/>
      <w:marBottom w:val="0"/>
      <w:divBdr>
        <w:top w:val="none" w:sz="0" w:space="0" w:color="auto"/>
        <w:left w:val="none" w:sz="0" w:space="0" w:color="auto"/>
        <w:bottom w:val="none" w:sz="0" w:space="0" w:color="auto"/>
        <w:right w:val="none" w:sz="0" w:space="0" w:color="auto"/>
      </w:divBdr>
    </w:div>
    <w:div w:id="1666662417">
      <w:bodyDiv w:val="1"/>
      <w:marLeft w:val="0"/>
      <w:marRight w:val="0"/>
      <w:marTop w:val="0"/>
      <w:marBottom w:val="0"/>
      <w:divBdr>
        <w:top w:val="none" w:sz="0" w:space="0" w:color="auto"/>
        <w:left w:val="none" w:sz="0" w:space="0" w:color="auto"/>
        <w:bottom w:val="none" w:sz="0" w:space="0" w:color="auto"/>
        <w:right w:val="none" w:sz="0" w:space="0" w:color="auto"/>
      </w:divBdr>
    </w:div>
    <w:div w:id="1732968549">
      <w:bodyDiv w:val="1"/>
      <w:marLeft w:val="0"/>
      <w:marRight w:val="0"/>
      <w:marTop w:val="0"/>
      <w:marBottom w:val="0"/>
      <w:divBdr>
        <w:top w:val="none" w:sz="0" w:space="0" w:color="auto"/>
        <w:left w:val="none" w:sz="0" w:space="0" w:color="auto"/>
        <w:bottom w:val="none" w:sz="0" w:space="0" w:color="auto"/>
        <w:right w:val="none" w:sz="0" w:space="0" w:color="auto"/>
      </w:divBdr>
    </w:div>
    <w:div w:id="1735424605">
      <w:bodyDiv w:val="1"/>
      <w:marLeft w:val="0"/>
      <w:marRight w:val="0"/>
      <w:marTop w:val="0"/>
      <w:marBottom w:val="0"/>
      <w:divBdr>
        <w:top w:val="none" w:sz="0" w:space="0" w:color="auto"/>
        <w:left w:val="none" w:sz="0" w:space="0" w:color="auto"/>
        <w:bottom w:val="none" w:sz="0" w:space="0" w:color="auto"/>
        <w:right w:val="none" w:sz="0" w:space="0" w:color="auto"/>
      </w:divBdr>
    </w:div>
    <w:div w:id="1744252327">
      <w:bodyDiv w:val="1"/>
      <w:marLeft w:val="0"/>
      <w:marRight w:val="0"/>
      <w:marTop w:val="0"/>
      <w:marBottom w:val="0"/>
      <w:divBdr>
        <w:top w:val="none" w:sz="0" w:space="0" w:color="auto"/>
        <w:left w:val="none" w:sz="0" w:space="0" w:color="auto"/>
        <w:bottom w:val="none" w:sz="0" w:space="0" w:color="auto"/>
        <w:right w:val="none" w:sz="0" w:space="0" w:color="auto"/>
      </w:divBdr>
    </w:div>
    <w:div w:id="1750957423">
      <w:bodyDiv w:val="1"/>
      <w:marLeft w:val="0"/>
      <w:marRight w:val="0"/>
      <w:marTop w:val="0"/>
      <w:marBottom w:val="0"/>
      <w:divBdr>
        <w:top w:val="none" w:sz="0" w:space="0" w:color="auto"/>
        <w:left w:val="none" w:sz="0" w:space="0" w:color="auto"/>
        <w:bottom w:val="none" w:sz="0" w:space="0" w:color="auto"/>
        <w:right w:val="none" w:sz="0" w:space="0" w:color="auto"/>
      </w:divBdr>
    </w:div>
    <w:div w:id="1755665585">
      <w:bodyDiv w:val="1"/>
      <w:marLeft w:val="0"/>
      <w:marRight w:val="0"/>
      <w:marTop w:val="0"/>
      <w:marBottom w:val="0"/>
      <w:divBdr>
        <w:top w:val="none" w:sz="0" w:space="0" w:color="auto"/>
        <w:left w:val="none" w:sz="0" w:space="0" w:color="auto"/>
        <w:bottom w:val="none" w:sz="0" w:space="0" w:color="auto"/>
        <w:right w:val="none" w:sz="0" w:space="0" w:color="auto"/>
      </w:divBdr>
    </w:div>
    <w:div w:id="1773086627">
      <w:bodyDiv w:val="1"/>
      <w:marLeft w:val="0"/>
      <w:marRight w:val="0"/>
      <w:marTop w:val="0"/>
      <w:marBottom w:val="0"/>
      <w:divBdr>
        <w:top w:val="none" w:sz="0" w:space="0" w:color="auto"/>
        <w:left w:val="none" w:sz="0" w:space="0" w:color="auto"/>
        <w:bottom w:val="none" w:sz="0" w:space="0" w:color="auto"/>
        <w:right w:val="none" w:sz="0" w:space="0" w:color="auto"/>
      </w:divBdr>
    </w:div>
    <w:div w:id="1862552291">
      <w:bodyDiv w:val="1"/>
      <w:marLeft w:val="0"/>
      <w:marRight w:val="0"/>
      <w:marTop w:val="0"/>
      <w:marBottom w:val="0"/>
      <w:divBdr>
        <w:top w:val="none" w:sz="0" w:space="0" w:color="auto"/>
        <w:left w:val="none" w:sz="0" w:space="0" w:color="auto"/>
        <w:bottom w:val="none" w:sz="0" w:space="0" w:color="auto"/>
        <w:right w:val="none" w:sz="0" w:space="0" w:color="auto"/>
      </w:divBdr>
    </w:div>
    <w:div w:id="1911845922">
      <w:bodyDiv w:val="1"/>
      <w:marLeft w:val="0"/>
      <w:marRight w:val="0"/>
      <w:marTop w:val="0"/>
      <w:marBottom w:val="0"/>
      <w:divBdr>
        <w:top w:val="none" w:sz="0" w:space="0" w:color="auto"/>
        <w:left w:val="none" w:sz="0" w:space="0" w:color="auto"/>
        <w:bottom w:val="none" w:sz="0" w:space="0" w:color="auto"/>
        <w:right w:val="none" w:sz="0" w:space="0" w:color="auto"/>
      </w:divBdr>
    </w:div>
    <w:div w:id="1919443594">
      <w:bodyDiv w:val="1"/>
      <w:marLeft w:val="0"/>
      <w:marRight w:val="0"/>
      <w:marTop w:val="0"/>
      <w:marBottom w:val="0"/>
      <w:divBdr>
        <w:top w:val="none" w:sz="0" w:space="0" w:color="auto"/>
        <w:left w:val="none" w:sz="0" w:space="0" w:color="auto"/>
        <w:bottom w:val="none" w:sz="0" w:space="0" w:color="auto"/>
        <w:right w:val="none" w:sz="0" w:space="0" w:color="auto"/>
      </w:divBdr>
    </w:div>
    <w:div w:id="1931039305">
      <w:bodyDiv w:val="1"/>
      <w:marLeft w:val="0"/>
      <w:marRight w:val="0"/>
      <w:marTop w:val="0"/>
      <w:marBottom w:val="0"/>
      <w:divBdr>
        <w:top w:val="none" w:sz="0" w:space="0" w:color="auto"/>
        <w:left w:val="none" w:sz="0" w:space="0" w:color="auto"/>
        <w:bottom w:val="none" w:sz="0" w:space="0" w:color="auto"/>
        <w:right w:val="none" w:sz="0" w:space="0" w:color="auto"/>
      </w:divBdr>
    </w:div>
    <w:div w:id="1955359853">
      <w:bodyDiv w:val="1"/>
      <w:marLeft w:val="0"/>
      <w:marRight w:val="0"/>
      <w:marTop w:val="0"/>
      <w:marBottom w:val="0"/>
      <w:divBdr>
        <w:top w:val="none" w:sz="0" w:space="0" w:color="auto"/>
        <w:left w:val="none" w:sz="0" w:space="0" w:color="auto"/>
        <w:bottom w:val="none" w:sz="0" w:space="0" w:color="auto"/>
        <w:right w:val="none" w:sz="0" w:space="0" w:color="auto"/>
      </w:divBdr>
    </w:div>
    <w:div w:id="1985161121">
      <w:bodyDiv w:val="1"/>
      <w:marLeft w:val="0"/>
      <w:marRight w:val="0"/>
      <w:marTop w:val="0"/>
      <w:marBottom w:val="0"/>
      <w:divBdr>
        <w:top w:val="none" w:sz="0" w:space="0" w:color="auto"/>
        <w:left w:val="none" w:sz="0" w:space="0" w:color="auto"/>
        <w:bottom w:val="none" w:sz="0" w:space="0" w:color="auto"/>
        <w:right w:val="none" w:sz="0" w:space="0" w:color="auto"/>
      </w:divBdr>
    </w:div>
    <w:div w:id="2002539645">
      <w:bodyDiv w:val="1"/>
      <w:marLeft w:val="0"/>
      <w:marRight w:val="0"/>
      <w:marTop w:val="0"/>
      <w:marBottom w:val="0"/>
      <w:divBdr>
        <w:top w:val="none" w:sz="0" w:space="0" w:color="auto"/>
        <w:left w:val="none" w:sz="0" w:space="0" w:color="auto"/>
        <w:bottom w:val="none" w:sz="0" w:space="0" w:color="auto"/>
        <w:right w:val="none" w:sz="0" w:space="0" w:color="auto"/>
      </w:divBdr>
    </w:div>
    <w:div w:id="2005083955">
      <w:bodyDiv w:val="1"/>
      <w:marLeft w:val="0"/>
      <w:marRight w:val="0"/>
      <w:marTop w:val="0"/>
      <w:marBottom w:val="0"/>
      <w:divBdr>
        <w:top w:val="none" w:sz="0" w:space="0" w:color="auto"/>
        <w:left w:val="none" w:sz="0" w:space="0" w:color="auto"/>
        <w:bottom w:val="none" w:sz="0" w:space="0" w:color="auto"/>
        <w:right w:val="none" w:sz="0" w:space="0" w:color="auto"/>
      </w:divBdr>
    </w:div>
    <w:div w:id="2022664002">
      <w:bodyDiv w:val="1"/>
      <w:marLeft w:val="0"/>
      <w:marRight w:val="0"/>
      <w:marTop w:val="0"/>
      <w:marBottom w:val="0"/>
      <w:divBdr>
        <w:top w:val="none" w:sz="0" w:space="0" w:color="auto"/>
        <w:left w:val="none" w:sz="0" w:space="0" w:color="auto"/>
        <w:bottom w:val="none" w:sz="0" w:space="0" w:color="auto"/>
        <w:right w:val="none" w:sz="0" w:space="0" w:color="auto"/>
      </w:divBdr>
    </w:div>
    <w:div w:id="2041975585">
      <w:bodyDiv w:val="1"/>
      <w:marLeft w:val="0"/>
      <w:marRight w:val="0"/>
      <w:marTop w:val="0"/>
      <w:marBottom w:val="0"/>
      <w:divBdr>
        <w:top w:val="none" w:sz="0" w:space="0" w:color="auto"/>
        <w:left w:val="none" w:sz="0" w:space="0" w:color="auto"/>
        <w:bottom w:val="none" w:sz="0" w:space="0" w:color="auto"/>
        <w:right w:val="none" w:sz="0" w:space="0" w:color="auto"/>
      </w:divBdr>
    </w:div>
    <w:div w:id="2051146078">
      <w:bodyDiv w:val="1"/>
      <w:marLeft w:val="0"/>
      <w:marRight w:val="0"/>
      <w:marTop w:val="0"/>
      <w:marBottom w:val="0"/>
      <w:divBdr>
        <w:top w:val="none" w:sz="0" w:space="0" w:color="auto"/>
        <w:left w:val="none" w:sz="0" w:space="0" w:color="auto"/>
        <w:bottom w:val="none" w:sz="0" w:space="0" w:color="auto"/>
        <w:right w:val="none" w:sz="0" w:space="0" w:color="auto"/>
      </w:divBdr>
    </w:div>
    <w:div w:id="2054378032">
      <w:bodyDiv w:val="1"/>
      <w:marLeft w:val="0"/>
      <w:marRight w:val="0"/>
      <w:marTop w:val="0"/>
      <w:marBottom w:val="0"/>
      <w:divBdr>
        <w:top w:val="none" w:sz="0" w:space="0" w:color="auto"/>
        <w:left w:val="none" w:sz="0" w:space="0" w:color="auto"/>
        <w:bottom w:val="none" w:sz="0" w:space="0" w:color="auto"/>
        <w:right w:val="none" w:sz="0" w:space="0" w:color="auto"/>
      </w:divBdr>
    </w:div>
    <w:div w:id="209874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internet/msac/publishing.nsf/Content/1629-public" TargetMode="External"/><Relationship Id="rId18" Type="http://schemas.openxmlformats.org/officeDocument/2006/relationships/image" Target="media/image2.tiff"/><Relationship Id="rId26" Type="http://schemas.openxmlformats.org/officeDocument/2006/relationships/hyperlink" Target="http://msac.gov.au/internet/msac/publishing.nsf/Content/Home-1" TargetMode="External"/><Relationship Id="rId3" Type="http://schemas.openxmlformats.org/officeDocument/2006/relationships/customXml" Target="../customXml/item3.xml"/><Relationship Id="rId21" Type="http://schemas.openxmlformats.org/officeDocument/2006/relationships/hyperlink" Target="http://www.msac.gov.au/internet/msac/publishing.nsf/Content/1629-public" TargetMode="External"/><Relationship Id="rId7" Type="http://schemas.openxmlformats.org/officeDocument/2006/relationships/settings" Target="settings.xml"/><Relationship Id="rId12" Type="http://schemas.openxmlformats.org/officeDocument/2006/relationships/hyperlink" Target="https://www.tga.gov.au/resources/artg/427290" TargetMode="External"/><Relationship Id="rId17" Type="http://schemas.openxmlformats.org/officeDocument/2006/relationships/image" Target="media/image1.tiff"/><Relationship Id="rId25" Type="http://schemas.openxmlformats.org/officeDocument/2006/relationships/hyperlink" Target="https://www.safetyandquality.gov.au/sites/default/files/2021-09/aura_2021_-_report_-_final_accessible_pdf_-_for_web_publication.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eoweb.org.uk/Additions/compare.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hyperlink" Target="https://aoa.org.au/docs/default-source/advocacy/guidelines-for-antibiotic-prophylaxis-at-the-time-of-hip-and-knee-arthroplasty_asa_october-2018.pdf?sfvrsn=aa4ec004_1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tgldcdp.tg.org.au/topicTeaser?guidelinePage=Antibiotic&amp;amp;etgAccess=tru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edcalc.org/calc/relative_risk.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ac.gov.au/internet/msac/publishing.nsf/Content/1629-public" TargetMode="External"/><Relationship Id="rId22" Type="http://schemas.openxmlformats.org/officeDocument/2006/relationships/footer" Target="footer3.xml"/><Relationship Id="rId27" Type="http://schemas.openxmlformats.org/officeDocument/2006/relationships/header" Target="head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scp.no/media/documents/DAC-Gel_brochure.pdf" TargetMode="External"/><Relationship Id="rId1" Type="http://schemas.openxmlformats.org/officeDocument/2006/relationships/hyperlink" Target="https://www.tga.gov.au/resources/artg/427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1" ma:contentTypeDescription="Create a new document." ma:contentTypeScope="" ma:versionID="6a12e923abf95f0f0273ebbda849a20f">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dc5ef6e2e04bf8a65dd31ad1531a0ee2"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66B629A2-81A6-411D-B74A-79481ECA4391}">
  <ds:schemaRefs>
    <ds:schemaRef ds:uri="http://schemas.microsoft.com/sharepoint/v3/contenttype/forms"/>
  </ds:schemaRefs>
</ds:datastoreItem>
</file>

<file path=customXml/itemProps2.xml><?xml version="1.0" encoding="utf-8"?>
<ds:datastoreItem xmlns:ds="http://schemas.openxmlformats.org/officeDocument/2006/customXml" ds:itemID="{9A815349-96B5-46E1-909E-D6344D29D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b557-581c-46d3-8cc7-77c65017dc6f"/>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C448A-A36E-400B-A0FF-C7F3E58DE4A1}">
  <ds:schemaRefs>
    <ds:schemaRef ds:uri="http://schemas.openxmlformats.org/officeDocument/2006/bibliography"/>
  </ds:schemaRefs>
</ds:datastoreItem>
</file>

<file path=customXml/itemProps4.xml><?xml version="1.0" encoding="utf-8"?>
<ds:datastoreItem xmlns:ds="http://schemas.openxmlformats.org/officeDocument/2006/customXml" ds:itemID="{AEA0ADCA-773D-4977-9002-8821A4903DE5}">
  <ds:schemaRefs>
    <ds:schemaRef ds:uri="http://schemas.microsoft.com/office/2006/metadata/properties"/>
    <ds:schemaRef ds:uri="http://schemas.microsoft.com/office/infopath/2007/PartnerControls"/>
    <ds:schemaRef ds:uri="7513b557-581c-46d3-8cc7-77c65017dc6f"/>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20279</Words>
  <Characters>115595</Characters>
  <Application>Microsoft Office Word</Application>
  <DocSecurity>0</DocSecurity>
  <Lines>963</Lines>
  <Paragraphs>271</Paragraphs>
  <ScaleCrop>false</ScaleCrop>
  <Company/>
  <LinksUpToDate>false</LinksUpToDate>
  <CharactersWithSpaces>135603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2023-12-18T03:04:00Z</dcterms:created>
  <dcterms:modified xsi:type="dcterms:W3CDTF">2023-12-18T03:07:00Z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