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D03E"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6F0BB9B5" wp14:editId="2FE03FE7">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5F9A9BA"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25F0F7D3" w14:textId="77777777" w:rsidR="00BC1364" w:rsidRPr="00F715D1" w:rsidRDefault="00BC1364" w:rsidP="00F715D1">
      <w:pPr>
        <w:pStyle w:val="Subtitle"/>
      </w:pPr>
      <w:r w:rsidRPr="00F715D1">
        <w:t xml:space="preserve">Application No. </w:t>
      </w:r>
      <w:r w:rsidR="00795901" w:rsidRPr="00625EC8">
        <w:rPr>
          <w:szCs w:val="24"/>
        </w:rPr>
        <w:t>1635 – Transcatheter aortic valve implantation via transfemoral delivery using the balloon-expandable valve system for patients at low risk for surgery</w:t>
      </w:r>
    </w:p>
    <w:p w14:paraId="2860166C" w14:textId="77777777" w:rsidR="00BC1364" w:rsidRPr="00F715D1" w:rsidRDefault="00B35595" w:rsidP="008D1722">
      <w:pPr>
        <w:tabs>
          <w:tab w:val="left" w:pos="2694"/>
          <w:tab w:val="left" w:pos="3686"/>
        </w:tabs>
        <w:spacing w:after="240"/>
        <w:rPr>
          <w:rFonts w:ascii="Arial" w:hAnsi="Arial" w:cs="Arial"/>
          <w:b/>
          <w:szCs w:val="24"/>
        </w:rPr>
      </w:pPr>
      <w:r w:rsidRPr="00F715D1">
        <w:rPr>
          <w:rFonts w:ascii="Arial" w:hAnsi="Arial" w:cs="Arial"/>
          <w:b/>
          <w:szCs w:val="24"/>
        </w:rPr>
        <w:t>Applicant</w:t>
      </w:r>
      <w:r w:rsidR="008D1722">
        <w:rPr>
          <w:rFonts w:ascii="Arial" w:hAnsi="Arial" w:cs="Arial"/>
          <w:b/>
          <w:szCs w:val="24"/>
        </w:rPr>
        <w:t>:</w:t>
      </w:r>
      <w:r w:rsidR="008D1722">
        <w:rPr>
          <w:rFonts w:ascii="Arial" w:hAnsi="Arial" w:cs="Arial"/>
          <w:b/>
          <w:szCs w:val="24"/>
        </w:rPr>
        <w:tab/>
      </w:r>
      <w:r w:rsidR="0022043C">
        <w:rPr>
          <w:rFonts w:ascii="Arial" w:hAnsi="Arial" w:cs="Arial"/>
          <w:b/>
          <w:szCs w:val="24"/>
        </w:rPr>
        <w:tab/>
      </w:r>
      <w:r w:rsidR="00795901" w:rsidRPr="00795901">
        <w:rPr>
          <w:rFonts w:ascii="Arial" w:hAnsi="Arial" w:cs="Arial"/>
          <w:b/>
          <w:szCs w:val="24"/>
        </w:rPr>
        <w:t>Edwards Lifesciences</w:t>
      </w:r>
    </w:p>
    <w:p w14:paraId="72346490" w14:textId="785C1A54" w:rsidR="00425371" w:rsidRDefault="00BC1364" w:rsidP="00425371">
      <w:pPr>
        <w:tabs>
          <w:tab w:val="left" w:pos="3686"/>
        </w:tabs>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bookmarkStart w:id="0" w:name="_Hlk78288838"/>
      <w:r w:rsidR="00425371">
        <w:rPr>
          <w:rFonts w:ascii="Arial" w:hAnsi="Arial" w:cs="Arial"/>
          <w:b/>
          <w:szCs w:val="24"/>
        </w:rPr>
        <w:t>MSAC 82</w:t>
      </w:r>
      <w:r w:rsidR="00425371" w:rsidRPr="00425371">
        <w:rPr>
          <w:rFonts w:ascii="Arial" w:hAnsi="Arial" w:cs="Arial"/>
          <w:b/>
          <w:szCs w:val="24"/>
          <w:vertAlign w:val="superscript"/>
        </w:rPr>
        <w:t>nd</w:t>
      </w:r>
      <w:r w:rsidR="00425371">
        <w:rPr>
          <w:rFonts w:ascii="Arial" w:hAnsi="Arial" w:cs="Arial"/>
          <w:b/>
          <w:szCs w:val="24"/>
        </w:rPr>
        <w:t xml:space="preserve"> Meeting, </w:t>
      </w:r>
      <w:bookmarkEnd w:id="0"/>
      <w:r w:rsidR="00425371">
        <w:rPr>
          <w:rFonts w:ascii="Arial" w:hAnsi="Arial" w:cs="Arial"/>
          <w:b/>
          <w:szCs w:val="24"/>
        </w:rPr>
        <w:t>29-30 July 2021</w:t>
      </w:r>
    </w:p>
    <w:p w14:paraId="0948ECA1" w14:textId="4205DFE5" w:rsidR="00BC1364" w:rsidRPr="00F715D1" w:rsidRDefault="00425371" w:rsidP="00425371">
      <w:pPr>
        <w:tabs>
          <w:tab w:val="left" w:pos="3686"/>
        </w:tabs>
        <w:spacing w:after="240"/>
        <w:rPr>
          <w:rFonts w:ascii="Arial" w:hAnsi="Arial" w:cs="Arial"/>
          <w:b/>
          <w:szCs w:val="24"/>
        </w:rPr>
      </w:pPr>
      <w:r>
        <w:rPr>
          <w:rFonts w:ascii="Arial" w:hAnsi="Arial" w:cs="Arial"/>
          <w:b/>
          <w:szCs w:val="24"/>
        </w:rPr>
        <w:tab/>
      </w:r>
      <w:r w:rsidR="004A4D40" w:rsidRPr="00F715D1">
        <w:rPr>
          <w:rFonts w:ascii="Arial" w:hAnsi="Arial" w:cs="Arial"/>
          <w:b/>
          <w:szCs w:val="24"/>
        </w:rPr>
        <w:t xml:space="preserve">MSAC </w:t>
      </w:r>
      <w:r w:rsidR="004A4D40">
        <w:rPr>
          <w:rFonts w:ascii="Arial" w:hAnsi="Arial" w:cs="Arial"/>
          <w:b/>
          <w:szCs w:val="24"/>
        </w:rPr>
        <w:t>81</w:t>
      </w:r>
      <w:r w:rsidR="004A4D40">
        <w:rPr>
          <w:rFonts w:ascii="Arial" w:hAnsi="Arial" w:cs="Arial"/>
          <w:b/>
          <w:szCs w:val="24"/>
          <w:vertAlign w:val="superscript"/>
        </w:rPr>
        <w:t>st</w:t>
      </w:r>
      <w:r w:rsidR="004A4D40" w:rsidRPr="00F715D1">
        <w:rPr>
          <w:rFonts w:ascii="Arial" w:hAnsi="Arial" w:cs="Arial"/>
          <w:b/>
          <w:szCs w:val="24"/>
        </w:rPr>
        <w:t xml:space="preserve"> Meeting, </w:t>
      </w:r>
      <w:r w:rsidR="004A4D40">
        <w:rPr>
          <w:rFonts w:ascii="Arial" w:hAnsi="Arial" w:cs="Arial"/>
          <w:b/>
          <w:szCs w:val="24"/>
        </w:rPr>
        <w:t>31 March – 1 April 2021</w:t>
      </w:r>
    </w:p>
    <w:p w14:paraId="4DAA833A"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21791E64" w14:textId="0FB3BDA6" w:rsidR="003D7F29" w:rsidRPr="00F715D1" w:rsidRDefault="003D7F29" w:rsidP="00F715D1">
      <w:pPr>
        <w:pStyle w:val="Heading1"/>
      </w:pPr>
      <w:r w:rsidRPr="00F715D1">
        <w:t>Purpose of application</w:t>
      </w:r>
    </w:p>
    <w:p w14:paraId="3E8F9F65" w14:textId="77777777" w:rsidR="00C204FB" w:rsidRPr="00076524" w:rsidRDefault="00076524" w:rsidP="00076524">
      <w:pPr>
        <w:tabs>
          <w:tab w:val="left" w:pos="720"/>
          <w:tab w:val="left" w:pos="1140"/>
        </w:tabs>
        <w:rPr>
          <w:szCs w:val="24"/>
        </w:rPr>
      </w:pPr>
      <w:r w:rsidRPr="00C25802">
        <w:rPr>
          <w:szCs w:val="24"/>
        </w:rPr>
        <w:t xml:space="preserve">An application requesting Medicare Benefits Schedule (MBS) listing of transcatheter aortic valve implantation (TAVI) using a balloon-expandable valve (BEV) system for patients with symptomatic severe aortic stenosis (AS) at low risk for surgery was received from Edwards Lifesciences Pty </w:t>
      </w:r>
      <w:r>
        <w:rPr>
          <w:szCs w:val="24"/>
        </w:rPr>
        <w:t>Ltd by the Department of Health</w:t>
      </w:r>
      <w:r w:rsidR="00C204FB" w:rsidRPr="00076524">
        <w:rPr>
          <w:i/>
          <w:szCs w:val="24"/>
        </w:rPr>
        <w:t>.</w:t>
      </w:r>
    </w:p>
    <w:p w14:paraId="26E2C0F5" w14:textId="70B5788B" w:rsidR="00E977EE" w:rsidRPr="00F715D1" w:rsidRDefault="00E977EE" w:rsidP="00F715D1">
      <w:pPr>
        <w:pStyle w:val="Heading1"/>
      </w:pPr>
      <w:r w:rsidRPr="00F715D1">
        <w:t>MSAC’s advice to the Minister</w:t>
      </w:r>
      <w:r w:rsidR="00093AB5">
        <w:t xml:space="preserve"> – July 2021</w:t>
      </w:r>
    </w:p>
    <w:p w14:paraId="5C3F9A26" w14:textId="38E8CA6D" w:rsidR="000C4DD3" w:rsidRDefault="00ED41A7" w:rsidP="00ED41A7">
      <w:r>
        <w:t>After considering the strength of the available evidence in relation to comparative safety, clinical effectiveness and cost-effectiveness, MSAC supported MBS funding of transcatheter aortic valve implantation (TAVI) using a balloon-expandable valve (BEV) system for patients with symptomatic severe aortic stenosis at low risk for surgery on the grounds of acceptable safety, effectiveness and cost effectiveness compared with surgical aortic valve replacement (SAVR). Consistent with its assessment of TAVI in all levels of surgical risk, MSAC supported an MBS item that is agnostic of the type of TAVI device.</w:t>
      </w:r>
    </w:p>
    <w:p w14:paraId="69AE4121" w14:textId="55AA8A18" w:rsidR="000C4DD3" w:rsidRPr="00CC49DF" w:rsidRDefault="000C4DD3" w:rsidP="00571DB8">
      <w:pPr>
        <w:spacing w:before="240" w:after="240"/>
      </w:pPr>
      <w:r w:rsidRPr="00CC49DF">
        <w:t>MSAC supported the following item descriptor</w:t>
      </w:r>
      <w:r>
        <w:t xml:space="preserve"> (abridged)</w:t>
      </w:r>
      <w:r w:rsidRPr="00CC49DF">
        <w:t>:</w:t>
      </w:r>
    </w:p>
    <w:p w14:paraId="3761D2D9" w14:textId="2E407591" w:rsidR="000C4DD3" w:rsidRPr="00ED76B6" w:rsidRDefault="000C4DD3" w:rsidP="000C4DD3">
      <w:pPr>
        <w:rPr>
          <w:i/>
          <w:iCs/>
        </w:rPr>
      </w:pPr>
      <w:r w:rsidRPr="00ED76B6">
        <w:rPr>
          <w:i/>
          <w:iCs/>
        </w:rPr>
        <w:t xml:space="preserve">TAVI, </w:t>
      </w:r>
      <w:r w:rsidRPr="000C4DD3">
        <w:rPr>
          <w:i/>
          <w:iCs/>
          <w:strike/>
        </w:rPr>
        <w:t>using a</w:t>
      </w:r>
      <w:r w:rsidRPr="00ED76B6">
        <w:rPr>
          <w:i/>
          <w:iCs/>
        </w:rPr>
        <w:t xml:space="preserve"> </w:t>
      </w:r>
      <w:r w:rsidRPr="00ED76B6">
        <w:rPr>
          <w:i/>
          <w:iCs/>
          <w:strike/>
        </w:rPr>
        <w:t>balloon-expandable system</w:t>
      </w:r>
      <w:r w:rsidRPr="000C4DD3">
        <w:rPr>
          <w:i/>
          <w:iCs/>
          <w:strike/>
        </w:rPr>
        <w:t>,</w:t>
      </w:r>
      <w:r w:rsidRPr="00ED76B6">
        <w:rPr>
          <w:i/>
          <w:iCs/>
        </w:rPr>
        <w:t xml:space="preserve"> for treatment of symptomatic severe </w:t>
      </w:r>
      <w:r w:rsidRPr="00ED76B6">
        <w:rPr>
          <w:i/>
          <w:iCs/>
          <w:color w:val="FF0000"/>
        </w:rPr>
        <w:t>native calcific</w:t>
      </w:r>
      <w:r w:rsidRPr="00ED76B6">
        <w:rPr>
          <w:i/>
          <w:iCs/>
        </w:rPr>
        <w:t xml:space="preserve"> aortic stenosis, performed via transfemoral delivery, unless transfemoral delivery is contraindicated or not feasible, in a TAVI Hospital on a TAVI Patient by a TAVI Practitioner – includes all intraoperative diagnostic imaging that the TAVI Practitioner performs upon the TAVI</w:t>
      </w:r>
      <w:r>
        <w:rPr>
          <w:i/>
          <w:iCs/>
        </w:rPr>
        <w:t xml:space="preserve"> </w:t>
      </w:r>
      <w:r w:rsidRPr="00ED76B6">
        <w:rPr>
          <w:i/>
          <w:iCs/>
        </w:rPr>
        <w:t>Patient.</w:t>
      </w:r>
    </w:p>
    <w:p w14:paraId="15F81C7B" w14:textId="79EB08EC" w:rsidR="000C4DD3" w:rsidRPr="00ED76B6" w:rsidRDefault="000C4DD3" w:rsidP="00571DB8">
      <w:pPr>
        <w:spacing w:before="240" w:after="240"/>
        <w:rPr>
          <w:i/>
          <w:iCs/>
        </w:rPr>
      </w:pPr>
      <w:r w:rsidRPr="00ED76B6">
        <w:rPr>
          <w:i/>
          <w:iCs/>
        </w:rPr>
        <w:t>(Not payable more than once per patient in a five-year period.)</w:t>
      </w:r>
    </w:p>
    <w:p w14:paraId="6A6961DD" w14:textId="2E04250A" w:rsidR="000C4DD3" w:rsidRPr="00ED76B6" w:rsidRDefault="000C4DD3" w:rsidP="000C4DD3">
      <w:pPr>
        <w:rPr>
          <w:i/>
          <w:iCs/>
        </w:rPr>
      </w:pPr>
      <w:r w:rsidRPr="00ED76B6">
        <w:rPr>
          <w:i/>
          <w:iCs/>
        </w:rPr>
        <w:t xml:space="preserve">Notes: The Health Insurance (Section 3C General Medical Services – Transcatheter Aortic Valve Implantation) Determination </w:t>
      </w:r>
      <w:r w:rsidR="004A7008" w:rsidRPr="00ED76B6">
        <w:rPr>
          <w:i/>
          <w:iCs/>
        </w:rPr>
        <w:t>201</w:t>
      </w:r>
      <w:r w:rsidR="004A7008">
        <w:rPr>
          <w:i/>
          <w:iCs/>
        </w:rPr>
        <w:t>8</w:t>
      </w:r>
      <w:r w:rsidRPr="00ED76B6">
        <w:rPr>
          <w:i/>
          <w:iCs/>
        </w:rPr>
        <w:t>(</w:t>
      </w:r>
      <w:proofErr w:type="spellStart"/>
      <w:r w:rsidRPr="00ED76B6">
        <w:rPr>
          <w:i/>
          <w:iCs/>
        </w:rPr>
        <w:t>Cth</w:t>
      </w:r>
      <w:proofErr w:type="spellEnd"/>
      <w:r w:rsidRPr="00ED76B6">
        <w:rPr>
          <w:i/>
          <w:iCs/>
        </w:rPr>
        <w:t xml:space="preserve">) (Department of Health </w:t>
      </w:r>
      <w:r w:rsidR="004A7008" w:rsidRPr="00ED76B6">
        <w:rPr>
          <w:i/>
          <w:iCs/>
        </w:rPr>
        <w:t>201</w:t>
      </w:r>
      <w:r w:rsidR="004A7008">
        <w:rPr>
          <w:i/>
          <w:iCs/>
        </w:rPr>
        <w:t>8</w:t>
      </w:r>
      <w:r w:rsidRPr="00ED76B6">
        <w:rPr>
          <w:i/>
          <w:iCs/>
        </w:rPr>
        <w:t>) outlines the definitions of a TAVI Patient, TAVI Hospital and TAVI Practitioner.</w:t>
      </w:r>
    </w:p>
    <w:p w14:paraId="0924F950" w14:textId="77777777" w:rsidR="000C4DD3" w:rsidRPr="00ED76B6" w:rsidRDefault="000C4DD3" w:rsidP="000C4DD3">
      <w:pPr>
        <w:rPr>
          <w:i/>
          <w:iCs/>
        </w:rPr>
      </w:pPr>
      <w:r w:rsidRPr="00ED76B6">
        <w:rPr>
          <w:i/>
          <w:iCs/>
        </w:rPr>
        <w:lastRenderedPageBreak/>
        <w:t xml:space="preserve">TAVI Patient is a patient who, </w:t>
      </w:r>
      <w:proofErr w:type="gramStart"/>
      <w:r w:rsidRPr="00ED76B6">
        <w:rPr>
          <w:i/>
          <w:iCs/>
        </w:rPr>
        <w:t>as a result of</w:t>
      </w:r>
      <w:proofErr w:type="gramEnd"/>
      <w:r w:rsidRPr="00ED76B6">
        <w:rPr>
          <w:i/>
          <w:iCs/>
        </w:rPr>
        <w:t xml:space="preserve"> a TAVI Case Conference, has been assessed as having a low risk for surgical aortic valve replacement and is recommended as being suitable to receive the service described in Item XXXXX.</w:t>
      </w:r>
    </w:p>
    <w:p w14:paraId="5F9CDF37" w14:textId="2250E4DB" w:rsidR="000C4DD3" w:rsidRDefault="000C4DD3" w:rsidP="00571DB8">
      <w:pPr>
        <w:spacing w:before="240" w:after="240"/>
        <w:rPr>
          <w:i/>
          <w:iCs/>
        </w:rPr>
      </w:pPr>
      <w:r w:rsidRPr="00ED76B6">
        <w:rPr>
          <w:i/>
          <w:iCs/>
        </w:rPr>
        <w:t>Fee: $1,476.95 Benefit: 75% = $1,107.75 85% = $1,392.25</w:t>
      </w:r>
    </w:p>
    <w:tbl>
      <w:tblPr>
        <w:tblStyle w:val="TableGrid"/>
        <w:tblW w:w="0" w:type="auto"/>
        <w:tblLook w:val="04A0" w:firstRow="1" w:lastRow="0" w:firstColumn="1" w:lastColumn="0" w:noHBand="0" w:noVBand="1"/>
      </w:tblPr>
      <w:tblGrid>
        <w:gridCol w:w="9016"/>
      </w:tblGrid>
      <w:tr w:rsidR="00571DB8" w14:paraId="2606E327" w14:textId="77777777" w:rsidTr="00571DB8">
        <w:tc>
          <w:tcPr>
            <w:tcW w:w="9016" w:type="dxa"/>
          </w:tcPr>
          <w:p w14:paraId="6C8ADB2B" w14:textId="22AB8CA5" w:rsidR="00571DB8" w:rsidRPr="00571DB8" w:rsidRDefault="00571DB8" w:rsidP="00571DB8">
            <w:pPr>
              <w:spacing w:before="120" w:after="120"/>
              <w:rPr>
                <w:b/>
                <w:bCs/>
              </w:rPr>
            </w:pPr>
            <w:r w:rsidRPr="00571DB8">
              <w:rPr>
                <w:b/>
                <w:bCs/>
              </w:rPr>
              <w:t>Consumer summary</w:t>
            </w:r>
          </w:p>
        </w:tc>
      </w:tr>
      <w:tr w:rsidR="00571DB8" w14:paraId="04740CB7" w14:textId="77777777" w:rsidTr="00571DB8">
        <w:tc>
          <w:tcPr>
            <w:tcW w:w="9016" w:type="dxa"/>
          </w:tcPr>
          <w:p w14:paraId="70242CB3" w14:textId="77777777" w:rsidR="00571DB8" w:rsidRPr="00571DB8" w:rsidRDefault="00571DB8" w:rsidP="00571DB8">
            <w:pPr>
              <w:spacing w:before="120"/>
            </w:pPr>
            <w:r w:rsidRPr="00571DB8">
              <w:t>Edwards Lifesciences Pty Ltd applied for funding on the Medicare Benefits Schedule (MBS) for transcatheter aortic valve implantation (TAVI) using a balloon-expandable valve (BEV) in patients with symptomatic severe aortic stenosis who are at low risk for surgery.</w:t>
            </w:r>
          </w:p>
          <w:p w14:paraId="36D3C5DD" w14:textId="77777777" w:rsidR="00571DB8" w:rsidRPr="00571DB8" w:rsidRDefault="00571DB8" w:rsidP="00571DB8">
            <w:pPr>
              <w:spacing w:before="240"/>
            </w:pPr>
            <w:r w:rsidRPr="00571DB8">
              <w:t>Severe aortic stenosis is a condition that stops blood from flowing easily throughout the body. Eventually this can lead to heart failure because the aortic valve in the heart develops a severe build-up of calcium, which makes it difficult for the valve to open and close.</w:t>
            </w:r>
          </w:p>
          <w:p w14:paraId="755A8C6B" w14:textId="77777777" w:rsidR="00571DB8" w:rsidRPr="00571DB8" w:rsidRDefault="00571DB8" w:rsidP="00571DB8">
            <w:pPr>
              <w:spacing w:before="240"/>
            </w:pPr>
            <w:r w:rsidRPr="00571DB8">
              <w:t xml:space="preserve">TAVI is a procedure that helps to improve a damaged aortic valve. During a TAVI procedure, an artificial valve made of natural animal heart tissue (usually from a cow or a pig) is implanted into the heart. But instead of standard </w:t>
            </w:r>
            <w:proofErr w:type="gramStart"/>
            <w:r w:rsidRPr="00571DB8">
              <w:t>open heart</w:t>
            </w:r>
            <w:proofErr w:type="gramEnd"/>
            <w:r w:rsidRPr="00571DB8">
              <w:t xml:space="preserve"> surgery (where the chest cavity is opened during surgery), in TAVI, a catheter is placed in the femoral artery (in the groin) and guided into the heart. There are two main types of TAVI devices: TAVI-BEV or TAVI using a self-expandable valve (SEV).</w:t>
            </w:r>
          </w:p>
          <w:p w14:paraId="2DC9DC9C" w14:textId="77777777" w:rsidR="00571DB8" w:rsidRPr="00571DB8" w:rsidRDefault="00571DB8" w:rsidP="00571DB8">
            <w:pPr>
              <w:spacing w:before="240"/>
            </w:pPr>
            <w:r w:rsidRPr="00571DB8">
              <w:t xml:space="preserve">MSAC had already largely accepted that TAVI is a safe and effective </w:t>
            </w:r>
            <w:proofErr w:type="gramStart"/>
            <w:r w:rsidRPr="00571DB8">
              <w:t>procedure, and</w:t>
            </w:r>
            <w:proofErr w:type="gramEnd"/>
            <w:r w:rsidRPr="00571DB8">
              <w:t xml:space="preserve"> is better value for money than surgical aortic valve replacement (open heart surgery) in the short term. In this application, MSAC considered TAVI is likely to be as safe and as effective as surgery in the longer-term. In addition, MSAC considered that there is a robust process in place for specialist heart teams to make the best choice for patients between TAVI and SAVR, depending on patients’ needs and risk.</w:t>
            </w:r>
          </w:p>
          <w:p w14:paraId="34210A57" w14:textId="77777777" w:rsidR="00571DB8" w:rsidRPr="00571DB8" w:rsidRDefault="00571DB8" w:rsidP="00571DB8">
            <w:pPr>
              <w:spacing w:before="240"/>
            </w:pPr>
            <w:r w:rsidRPr="00571DB8">
              <w:t>MSAC also did not believe there was any reason to prefer one type of TAVI device over another.</w:t>
            </w:r>
          </w:p>
          <w:p w14:paraId="729671E3" w14:textId="77777777" w:rsidR="00571DB8" w:rsidRPr="00571DB8" w:rsidRDefault="00571DB8" w:rsidP="00571DB8">
            <w:pPr>
              <w:spacing w:before="240" w:after="120"/>
              <w:rPr>
                <w:b/>
                <w:bCs/>
              </w:rPr>
            </w:pPr>
            <w:r w:rsidRPr="00571DB8">
              <w:rPr>
                <w:b/>
                <w:bCs/>
              </w:rPr>
              <w:t>MSAC’s advice to the Commonwealth Minister for Health</w:t>
            </w:r>
          </w:p>
          <w:p w14:paraId="7145239C" w14:textId="109BF9D8" w:rsidR="00571DB8" w:rsidRDefault="00571DB8" w:rsidP="00571DB8">
            <w:pPr>
              <w:spacing w:after="120"/>
              <w:rPr>
                <w:i/>
                <w:iCs/>
              </w:rPr>
            </w:pPr>
            <w:r w:rsidRPr="00571DB8">
              <w:t xml:space="preserve">MSAC supported MBS funding for TAVI for patients at low risk for surgery using an item descriptor that does not specify the type of TAVI device. MSAC based its decision on the fact that it considered TAVI to be effective, </w:t>
            </w:r>
            <w:proofErr w:type="gramStart"/>
            <w:r w:rsidRPr="00571DB8">
              <w:t>safe</w:t>
            </w:r>
            <w:proofErr w:type="gramEnd"/>
            <w:r w:rsidRPr="00571DB8">
              <w:t xml:space="preserve"> and cost-effective compared with SAVR.</w:t>
            </w:r>
          </w:p>
        </w:tc>
      </w:tr>
    </w:tbl>
    <w:p w14:paraId="67597515" w14:textId="2DF2897A" w:rsidR="00093AB5" w:rsidRPr="00F715D1" w:rsidRDefault="00093AB5" w:rsidP="00093AB5">
      <w:pPr>
        <w:pStyle w:val="Heading1"/>
        <w:numPr>
          <w:ilvl w:val="0"/>
          <w:numId w:val="0"/>
        </w:numPr>
      </w:pPr>
      <w:r w:rsidRPr="00F715D1">
        <w:t>Summary of consideration and rationale for</w:t>
      </w:r>
      <w:r>
        <w:t xml:space="preserve"> MSAC’s advice – July 2021</w:t>
      </w:r>
    </w:p>
    <w:p w14:paraId="3052A559" w14:textId="77777777" w:rsidR="00336512" w:rsidRDefault="00336512" w:rsidP="00336512">
      <w:r>
        <w:t xml:space="preserve">MSAC recalled it had deferred its advice on MBS funding of TAVI via transfemoral delivery using the balloon-expandable valve system (BEV) for patients at low risk for surgery as it was concerned about valve durability over the longer term, given that the low surgical risk population is younger, has longer life expectancy and generally has good long-term outcomes with SAVR. MSAC recalled it had considered further consultation is needed to define key factors that suggest one procedure may be preferred over the other for the low surgical risk population. MSAC recalled that it had considered that the appropriate population and item descriptor for TAVI with low surgical risk would need to be further refined to ensure TAVI is used for low risk patients most likely to benefit from the procedure (Public Summary Document [PSD] </w:t>
      </w:r>
      <w:hyperlink r:id="rId10" w:history="1">
        <w:r w:rsidRPr="00780E09">
          <w:rPr>
            <w:rStyle w:val="Hyperlink"/>
          </w:rPr>
          <w:t>Application No. 1635</w:t>
        </w:r>
      </w:hyperlink>
      <w:r>
        <w:t xml:space="preserve">, p1). </w:t>
      </w:r>
    </w:p>
    <w:p w14:paraId="0D9F65E5" w14:textId="4A8793C5" w:rsidR="00B71642" w:rsidRDefault="00B71642" w:rsidP="00B71642">
      <w:r w:rsidRPr="00224A37">
        <w:lastRenderedPageBreak/>
        <w:t xml:space="preserve">MSAC noted </w:t>
      </w:r>
      <w:r w:rsidR="003C498A">
        <w:t>the</w:t>
      </w:r>
      <w:r w:rsidRPr="00224A37">
        <w:t xml:space="preserve"> </w:t>
      </w:r>
      <w:r w:rsidR="003C498A">
        <w:t xml:space="preserve">targeted </w:t>
      </w:r>
      <w:r w:rsidRPr="00224A37">
        <w:t>consultation feedback provided by the following organisations</w:t>
      </w:r>
      <w:r w:rsidR="003C498A">
        <w:t>:</w:t>
      </w:r>
      <w:r w:rsidRPr="00224A37">
        <w:t xml:space="preserve"> the Australian and New Zealand Society of Cardiac and Thoracic Surgeons (ANZSCTS), the Cardiac Society of Australia and New Zealand (CSANZ), Hearts4heart, and the Australian Society of Anaesthetists (ASA).</w:t>
      </w:r>
    </w:p>
    <w:p w14:paraId="3DBF18C5" w14:textId="47E2D3EF" w:rsidR="00786BD6" w:rsidRDefault="00786BD6" w:rsidP="00571DB8">
      <w:pPr>
        <w:spacing w:before="240"/>
      </w:pPr>
      <w:r>
        <w:t xml:space="preserve">MSAC noted the minor resubmission for TAVI using a BEV device for patients at low risk of surgery from the applicant. </w:t>
      </w:r>
    </w:p>
    <w:p w14:paraId="1A05D52C" w14:textId="4819FD02" w:rsidR="00092735" w:rsidRDefault="00ED41A7" w:rsidP="00571DB8">
      <w:pPr>
        <w:spacing w:before="240"/>
      </w:pPr>
      <w:r>
        <w:t xml:space="preserve">MSAC also noted the similarities with application 1640 for TAVI (device agnostic) in patients at low risk for </w:t>
      </w:r>
      <w:proofErr w:type="gramStart"/>
      <w:r>
        <w:t>surgery, and</w:t>
      </w:r>
      <w:proofErr w:type="gramEnd"/>
      <w:r>
        <w:t xml:space="preserve"> reiterated its preference for a device agnostic MBS item.</w:t>
      </w:r>
    </w:p>
    <w:p w14:paraId="1B786E8B" w14:textId="64318023" w:rsidR="00B71642" w:rsidRDefault="00ED41A7" w:rsidP="00ED41A7">
      <w:r>
        <w:t xml:space="preserve">In response to MSAC’s request, the </w:t>
      </w:r>
      <w:r w:rsidR="00B71642">
        <w:t xml:space="preserve">minor submission </w:t>
      </w:r>
      <w:r w:rsidR="00B71642" w:rsidRPr="00B71642">
        <w:t>proposed no changes to the previously proposed item descriptor and explanatory notes</w:t>
      </w:r>
      <w:r>
        <w:t xml:space="preserve">. </w:t>
      </w:r>
      <w:r w:rsidR="00B71642" w:rsidRPr="00B71642">
        <w:t>The minor submission considered that the item descriptor should only refer to the function of the Heart Team, without the need to specify appropriate populations and factors that define those “most likely to benefit from the procedure”. Any attempt to do this will not adequately capture the broad range of relevant real-world scenarios and considerations.</w:t>
      </w:r>
    </w:p>
    <w:p w14:paraId="0255DC35" w14:textId="69EF284F" w:rsidR="006C182D" w:rsidRDefault="006C182D" w:rsidP="00571DB8">
      <w:pPr>
        <w:spacing w:before="240"/>
      </w:pPr>
      <w:r w:rsidRPr="006C182D">
        <w:t>The minor submission considered that the evidence for the durability of TAVI-BEV continues to accumulate, and by and large, this suggests comparability to SAVR.</w:t>
      </w:r>
      <w:r>
        <w:t xml:space="preserve"> </w:t>
      </w:r>
      <w:r w:rsidR="00C12D7A">
        <w:t xml:space="preserve">MSAC noted the minor submission </w:t>
      </w:r>
      <w:r w:rsidR="003C498A">
        <w:t>and</w:t>
      </w:r>
      <w:r>
        <w:t xml:space="preserve"> </w:t>
      </w:r>
      <w:r w:rsidRPr="006C182D">
        <w:t>consultation feedback presented longer term TAVI val</w:t>
      </w:r>
      <w:r w:rsidR="003C498A">
        <w:t>v</w:t>
      </w:r>
      <w:r w:rsidRPr="006C182D">
        <w:t xml:space="preserve">e </w:t>
      </w:r>
      <w:r w:rsidR="003C498A">
        <w:t>data</w:t>
      </w:r>
      <w:r w:rsidRPr="006C182D">
        <w:t xml:space="preserve"> to address the issue of durability, especially for younger patients who may live for a long period after the procedure</w:t>
      </w:r>
      <w:r>
        <w:t xml:space="preserve">. </w:t>
      </w:r>
      <w:r w:rsidR="005C0813">
        <w:t xml:space="preserve">The pre-MSAC response considered that the TAVI valves have similar durability to surgical valves.  </w:t>
      </w:r>
      <w:r w:rsidR="00336512">
        <w:t>MSAC noted that the</w:t>
      </w:r>
      <w:r w:rsidR="008C3832">
        <w:t xml:space="preserve"> </w:t>
      </w:r>
      <w:r w:rsidR="00336512">
        <w:t xml:space="preserve">studies presented in the consultation feedback was for all TAVI valves. </w:t>
      </w:r>
      <w:r w:rsidRPr="006C182D">
        <w:t xml:space="preserve">MSAC considered that the totality of the evidence presented demonstrated </w:t>
      </w:r>
      <w:r>
        <w:t>acceptable</w:t>
      </w:r>
      <w:r w:rsidRPr="006C182D">
        <w:t xml:space="preserve"> valve durability at 5–10 years following TAVI</w:t>
      </w:r>
      <w:r w:rsidR="00FD6FDE">
        <w:t xml:space="preserve"> and that this was sufficient to support a</w:t>
      </w:r>
      <w:r w:rsidR="003C498A">
        <w:t>n</w:t>
      </w:r>
      <w:r w:rsidR="00FD6FDE">
        <w:t xml:space="preserve"> MBS listing. </w:t>
      </w:r>
      <w:r w:rsidR="00C12D7A">
        <w:t>As a result</w:t>
      </w:r>
      <w:r w:rsidR="003C498A">
        <w:t>,</w:t>
      </w:r>
      <w:r w:rsidR="001B3885">
        <w:t xml:space="preserve"> MSAC considered that </w:t>
      </w:r>
      <w:r w:rsidR="001B3885" w:rsidRPr="001B3885">
        <w:t>TAVI is</w:t>
      </w:r>
      <w:r w:rsidR="00C12D7A">
        <w:t xml:space="preserve"> </w:t>
      </w:r>
      <w:r w:rsidR="00336512">
        <w:t>at least</w:t>
      </w:r>
      <w:r w:rsidR="00336512" w:rsidRPr="001B3885">
        <w:t xml:space="preserve"> </w:t>
      </w:r>
      <w:r w:rsidR="001B3885" w:rsidRPr="001B3885">
        <w:t>non</w:t>
      </w:r>
      <w:r w:rsidR="00336512">
        <w:noBreakHyphen/>
      </w:r>
      <w:r w:rsidR="001B3885" w:rsidRPr="001B3885">
        <w:t xml:space="preserve">inferior to SAVR in terms </w:t>
      </w:r>
      <w:r w:rsidR="005C0813">
        <w:t xml:space="preserve">of </w:t>
      </w:r>
      <w:r w:rsidR="00E92D5B">
        <w:t>long-term</w:t>
      </w:r>
      <w:r w:rsidR="005C0813">
        <w:t xml:space="preserve"> </w:t>
      </w:r>
      <w:r w:rsidR="001B3885" w:rsidRPr="001B3885">
        <w:t xml:space="preserve">safety and effectiveness for patients with symptomatic severe </w:t>
      </w:r>
      <w:r w:rsidR="003E75BA">
        <w:t>native aortic stenosis</w:t>
      </w:r>
      <w:r w:rsidR="001B3885" w:rsidRPr="001B3885">
        <w:t xml:space="preserve"> at low risk of surgery.</w:t>
      </w:r>
      <w:r w:rsidR="008C3832">
        <w:t xml:space="preserve">  </w:t>
      </w:r>
    </w:p>
    <w:p w14:paraId="3284CFD9" w14:textId="09D2D5B5" w:rsidR="00C12D7A" w:rsidRDefault="00C12D7A" w:rsidP="00571DB8">
      <w:pPr>
        <w:spacing w:before="240"/>
      </w:pPr>
      <w:r>
        <w:t xml:space="preserve">MSAC recalled that it had noted that </w:t>
      </w:r>
      <w:r w:rsidR="003E75BA">
        <w:t xml:space="preserve">TAVI-BEV was associated with higher rates of paravalvular leakage and left bundle branch block. </w:t>
      </w:r>
      <w:r w:rsidR="003E75BA" w:rsidRPr="003E75BA">
        <w:t>MSAC noted that the ANZSCTS advised that the PARTNER 3 and EVOLUT trials were conducted in highly selected populations and reported inconsistent endpoints compared with the earlier TAVI trials in higher risk populations.</w:t>
      </w:r>
      <w:r w:rsidR="003E75BA">
        <w:t xml:space="preserve"> MSAC noted that the applicant generally disagreed with ANZSCTS interpretation of the PARNTER 3 trial. MSAC noted that the applicant identified error</w:t>
      </w:r>
      <w:r w:rsidR="005C0813">
        <w:t>s</w:t>
      </w:r>
      <w:r w:rsidR="003E75BA">
        <w:t xml:space="preserve"> of fact in the ANZSCTS’s feedback however this was not material to MSAC’s assessment of the evidence. </w:t>
      </w:r>
    </w:p>
    <w:p w14:paraId="7E91EC2E" w14:textId="77777777" w:rsidR="005C0813" w:rsidRPr="005C0813" w:rsidRDefault="005C0813" w:rsidP="00571DB8">
      <w:pPr>
        <w:spacing w:before="240"/>
      </w:pPr>
      <w:r w:rsidRPr="005C0813">
        <w:t xml:space="preserve">MSAC noted feedback from CSANZ advising that it was not supportive of a defined list of factors, noting the clinical considerations are complex and should be assessed by a Heart Team. Similarly, Hearts4heart did not support restrictions in place for heart valve patients to have access to TAVI.  MSAC noted that it is difficult to be prescriptive on TAVI vs. SAVR based on age because several other factors would also affect the appropriateness of the type of procedure. MSAC also noted that patients would have to satisfy the criteria of being low risk to be eligible for this item number, regardless of their age. </w:t>
      </w:r>
    </w:p>
    <w:p w14:paraId="4A0ACE5B" w14:textId="1B0B2D07" w:rsidR="003E75BA" w:rsidRDefault="005C0813" w:rsidP="00571DB8">
      <w:pPr>
        <w:spacing w:before="240"/>
      </w:pPr>
      <w:r w:rsidRPr="005C0813">
        <w:t xml:space="preserve">MSAC considered whether the item descriptor should </w:t>
      </w:r>
      <w:r w:rsidRPr="005C0813">
        <w:rPr>
          <w:shd w:val="clear" w:color="auto" w:fill="FFFFFF"/>
          <w:lang w:val="en-US"/>
        </w:rPr>
        <w:t xml:space="preserve">exclude patients aged &lt;65 years, because </w:t>
      </w:r>
      <w:r w:rsidRPr="005C0813">
        <w:t xml:space="preserve">2020 American College of Cardiology and American Heart Association (ACC/AHA, </w:t>
      </w:r>
      <w:r w:rsidRPr="005C0813">
        <w:rPr>
          <w:iCs/>
        </w:rPr>
        <w:fldChar w:fldCharType="begin"/>
      </w:r>
      <w:r w:rsidRPr="005C0813">
        <w:rPr>
          <w:iCs/>
        </w:rPr>
        <w:instrText xml:space="preserve"> ADDIN EN.CITE &lt;EndNote&gt;&lt;Cite&gt;&lt;Author&gt;Otto&lt;/Author&gt;&lt;Year&gt;2021&lt;/Year&gt;&lt;RecNum&gt;1&lt;/RecNum&gt;&lt;DisplayText&gt;(Otto&lt;style face="italic"&gt; et al.&lt;/style&gt; 2021)&lt;/DisplayText&gt;&lt;record&gt;&lt;rec-number&gt;1&lt;/rec-number&gt;&lt;foreign-keys&gt;&lt;key app="EN" db-id="w90desf260090pexpxovxasnxs5wxp5v5zxa" timestamp="1619053099" guid="faa6e740-e72a-4716-8e9d-bc5b31c70a95"&gt;1&lt;/key&gt;&lt;/foreign-keys&gt;&lt;ref-type name="Journal Article"&gt;17&lt;/ref-type&gt;&lt;contributors&gt;&lt;authors&gt;&lt;author&gt;Otto, Catherine M&lt;/author&gt;&lt;author&gt;Nishimura, Rick A&lt;/author&gt;&lt;author&gt;Bonow, Robert O&lt;/author&gt;&lt;author&gt;Carabello, Blase A&lt;/author&gt;&lt;author&gt;Erwin III, John P&lt;/author&gt;&lt;author&gt;Gentile, Federico&lt;/author&gt;&lt;author&gt;Jneid, Hani&lt;/author&gt;&lt;author&gt;Krieger, Eric V&lt;/author&gt;&lt;author&gt;Mack, Michael&lt;/author&gt;&lt;author&gt;McLeod, Christopher&lt;/author&gt;&lt;/authors&gt;&lt;/contributors&gt;&lt;titles&gt;&lt;title&gt;2020 ACC/AHA guideline for the management of patients with valvular heart disease: a report of the American College of Cardiology/American Heart Association Joint Committee on Clinical Practice Guidelines&lt;/title&gt;&lt;secondary-title&gt;Journal of the American College of Cardiology&lt;/secondary-title&gt;&lt;/titles&gt;&lt;periodical&gt;&lt;full-title&gt;Journal of the American College of Cardiology&lt;/full-title&gt;&lt;/periodical&gt;&lt;pages&gt;e25-e197&lt;/pages&gt;&lt;volume&gt;77&lt;/volume&gt;&lt;number&gt;4&lt;/number&gt;&lt;dates&gt;&lt;year&gt;2021&lt;/year&gt;&lt;/dates&gt;&lt;isbn&gt;1558-3597&lt;/isbn&gt;&lt;urls&gt;&lt;/urls&gt;&lt;/record&gt;&lt;/Cite&gt;&lt;/EndNote&gt;</w:instrText>
      </w:r>
      <w:r w:rsidRPr="005C0813">
        <w:rPr>
          <w:iCs/>
        </w:rPr>
        <w:fldChar w:fldCharType="separate"/>
      </w:r>
      <w:r w:rsidRPr="005C0813">
        <w:t xml:space="preserve">Otto </w:t>
      </w:r>
      <w:r w:rsidRPr="005C0813">
        <w:rPr>
          <w:i/>
        </w:rPr>
        <w:t>et al.</w:t>
      </w:r>
      <w:r w:rsidRPr="005C0813">
        <w:t xml:space="preserve"> 2021</w:t>
      </w:r>
      <w:r w:rsidRPr="005C0813">
        <w:rPr>
          <w:iCs/>
        </w:rPr>
        <w:fldChar w:fldCharType="end"/>
      </w:r>
      <w:r w:rsidRPr="005C0813">
        <w:rPr>
          <w:iCs/>
        </w:rPr>
        <w:t xml:space="preserve"> </w:t>
      </w:r>
      <w:r w:rsidRPr="005C0813">
        <w:rPr>
          <w:iCs/>
          <w:vertAlign w:val="superscript"/>
        </w:rPr>
        <w:footnoteReference w:id="1"/>
      </w:r>
      <w:r w:rsidRPr="005C0813">
        <w:t xml:space="preserve">) </w:t>
      </w:r>
      <w:r w:rsidRPr="005C0813">
        <w:rPr>
          <w:shd w:val="clear" w:color="auto" w:fill="FFFFFF"/>
          <w:lang w:val="en-US"/>
        </w:rPr>
        <w:t xml:space="preserve">guidelines generally recommend SAVR for patients &lt;65 years unless life </w:t>
      </w:r>
      <w:r w:rsidRPr="005C0813">
        <w:rPr>
          <w:shd w:val="clear" w:color="auto" w:fill="FFFFFF"/>
          <w:lang w:val="en-US"/>
        </w:rPr>
        <w:lastRenderedPageBreak/>
        <w:t>expectancy is limited or other factors suggest TAVI is preferable.</w:t>
      </w:r>
      <w:r w:rsidRPr="005C0813">
        <w:rPr>
          <w:shd w:val="clear" w:color="auto" w:fill="FFFFFF"/>
        </w:rPr>
        <w:t xml:space="preserve"> MSAC noted that ANZSCTS supported a preference for SAVR in patients &lt;70 years. However, </w:t>
      </w:r>
      <w:r w:rsidRPr="005C0813">
        <w:t xml:space="preserve">MSAC considered that being prescriptive about age is </w:t>
      </w:r>
      <w:r w:rsidR="00786BD6" w:rsidRPr="005C0813">
        <w:t>unnecessary because</w:t>
      </w:r>
      <w:r w:rsidRPr="005C0813">
        <w:t xml:space="preserve"> the processes of Heart Team discussions (TAVI case conference) allow for an appropriate decision to be made regarding whether a patient should have TAVI or SAVR. </w:t>
      </w:r>
    </w:p>
    <w:p w14:paraId="743F246A" w14:textId="40A61B11" w:rsidR="005C0813" w:rsidRDefault="005C0813" w:rsidP="00571DB8">
      <w:pPr>
        <w:spacing w:before="240"/>
      </w:pPr>
      <w:r w:rsidRPr="005C0813">
        <w:rPr>
          <w:shd w:val="clear" w:color="auto" w:fill="FFFFFF"/>
        </w:rPr>
        <w:t>MSAC noted that the TGA-approved indication for the TAVI valves indicated for all levels of surgical risk</w:t>
      </w:r>
      <w:r>
        <w:rPr>
          <w:shd w:val="clear" w:color="auto" w:fill="FFFFFF"/>
        </w:rPr>
        <w:t xml:space="preserve"> (including TAVI-BEV)</w:t>
      </w:r>
      <w:r w:rsidRPr="005C0813">
        <w:rPr>
          <w:shd w:val="clear" w:color="auto" w:fill="FFFFFF"/>
        </w:rPr>
        <w:t xml:space="preserve">, thus encompassing the low surgical risk population, is limited to patients who have severe native calcific </w:t>
      </w:r>
      <w:r w:rsidRPr="005C0813">
        <w:rPr>
          <w:shd w:val="clear" w:color="auto" w:fill="FFFFFF"/>
          <w:lang w:val="en-US"/>
        </w:rPr>
        <w:t>aortic stenosis</w:t>
      </w:r>
      <w:r w:rsidRPr="005C0813">
        <w:rPr>
          <w:shd w:val="clear" w:color="auto" w:fill="FFFFFF"/>
        </w:rPr>
        <w:t xml:space="preserve">, and that therefore the target patient population in the current item should also have severely calcified valve leaflets. MSAC noted that TAVI may be an appropriate procedure for some people with other types of aortic stenosis, however, for most, SAVR would be the preferred intervention. For that reason, the item descriptor should </w:t>
      </w:r>
      <w:r w:rsidRPr="005C0813">
        <w:rPr>
          <w:shd w:val="clear" w:color="auto" w:fill="FFFFFF"/>
          <w:lang w:val="en-US"/>
        </w:rPr>
        <w:t xml:space="preserve">specify that TAVI is intended for patients with severe “native calcific” </w:t>
      </w:r>
      <w:r w:rsidRPr="005C0813">
        <w:t>aortic stenosis</w:t>
      </w:r>
      <w:r w:rsidRPr="005C0813">
        <w:rPr>
          <w:shd w:val="clear" w:color="auto" w:fill="FFFFFF"/>
          <w:lang w:val="en-US"/>
        </w:rPr>
        <w:t xml:space="preserve">. MSAC considered that this would limit use for patients with aortic stenosis due to congenital abnormalities or other causes which are more common in younger age groups than native aortic stenosis. </w:t>
      </w:r>
    </w:p>
    <w:p w14:paraId="2342C96D" w14:textId="77777777" w:rsidR="005C0813" w:rsidRPr="005C0813" w:rsidRDefault="005C0813" w:rsidP="00571DB8">
      <w:pPr>
        <w:spacing w:before="240"/>
      </w:pPr>
      <w:r w:rsidRPr="005C0813">
        <w:t>MSAC noted ANZSCTS’s proposal for independent surgical assessment. MSAC noted that the current MBS explanatory notes for TAVI specify that the Heart Team must consistent of three or more participants where the first participant is a cardiothoracic surgeon and the second is an interventional cardiologist, where either the first or second participant is a TAVI Practitioner. MSAC noted that requirements for the composition of Heart Teams is regulated. MSAC considered that this should allow sufficient surgical input as all members of the team have to agree whether a patient is suitable for TAVI and this should also consider factors such as patient frailty and cognition. Overall, MSAC concluded that Heart Team discussions would be based on contemporary guidelines (and patient choice; see below), presenting a robust basis for clinical decision-making.</w:t>
      </w:r>
    </w:p>
    <w:p w14:paraId="4173E876" w14:textId="77777777" w:rsidR="005C0813" w:rsidRPr="005C0813" w:rsidRDefault="005C0813" w:rsidP="00571DB8">
      <w:pPr>
        <w:spacing w:before="240"/>
      </w:pPr>
      <w:r w:rsidRPr="005C0813">
        <w:t>MSAC emphasised the importance of a shared decision</w:t>
      </w:r>
      <w:r w:rsidRPr="005C0813">
        <w:noBreakHyphen/>
        <w:t>making process as outlined in the 2020 ACC/AHA guidelines that accounts for the patient’s values and preferences and informs patients about the benefits and limitations of each approach, including the risks associated with reintervention. MSAC recalled that it had previously noted that Heart Team</w:t>
      </w:r>
    </w:p>
    <w:p w14:paraId="16A9CD6A" w14:textId="2C0543B6" w:rsidR="005C0813" w:rsidRPr="005C0813" w:rsidRDefault="005C0813" w:rsidP="005C0813">
      <w:r w:rsidRPr="005C0813">
        <w:t>discussions should help guide the patient to the appropriate choice (PSD Application 1635, p4). MSAC noted that, as raised by Hearts4heart, patients may prefer TAVI as it is less invasive, and patients generally prefer the faster recovery from TAVI. However, MSAC considered that it was important that patients were informed about the limited long</w:t>
      </w:r>
      <w:r w:rsidRPr="005C0813">
        <w:noBreakHyphen/>
        <w:t>term data (beyond 10 years) available for TAVI so that patients can make informed decisions. MSAC noted that CSANZ had recommended that high quality patient information be provided explaining the progressive evolution of TAVI.</w:t>
      </w:r>
    </w:p>
    <w:p w14:paraId="649E93D7" w14:textId="7C3E508E" w:rsidR="005C0813" w:rsidRPr="005C0813" w:rsidRDefault="005C0813" w:rsidP="00571DB8">
      <w:pPr>
        <w:spacing w:before="240"/>
      </w:pPr>
      <w:r w:rsidRPr="005C0813">
        <w:t xml:space="preserve">MSAC noted that repeat TAVI (valve-in-valve) procedures may become the preferred method of reintervention for TAVI patients requiring a repeat procedure. MSAC considered that repeat TAVI was likely to be less risky than repeat SAVR as repeat SAVR carries additional risks </w:t>
      </w:r>
      <w:r w:rsidR="00E92D5B">
        <w:t xml:space="preserve">due </w:t>
      </w:r>
      <w:r w:rsidRPr="005C0813">
        <w:t xml:space="preserve">to differences in the placement of the original SAVR and TAVI valves.  </w:t>
      </w:r>
    </w:p>
    <w:p w14:paraId="6B2A2D11" w14:textId="77777777" w:rsidR="005C0813" w:rsidRPr="005C0813" w:rsidRDefault="005C0813" w:rsidP="00571DB8">
      <w:pPr>
        <w:spacing w:before="240"/>
      </w:pPr>
      <w:r w:rsidRPr="005C0813">
        <w:t>MSAC concluded that it would be appropriate to audit Heart Team documentation and decisions and considered that the process of audit would encourage compliance in the clinical community. MSAC considered that it would also be appropriate to consider audits of Heart Teams at the level of the hospital. MSAC noted that TAVI Hospitals are required to undergo an accreditation and re</w:t>
      </w:r>
      <w:r w:rsidRPr="005C0813">
        <w:noBreakHyphen/>
        <w:t xml:space="preserve">accreditation process. MSAC noted that the TAVI Accreditation </w:t>
      </w:r>
      <w:r w:rsidRPr="005C0813">
        <w:lastRenderedPageBreak/>
        <w:t xml:space="preserve">Committee and Cardiac Accreditation Services Limited would be involved in the auditing process. </w:t>
      </w:r>
    </w:p>
    <w:p w14:paraId="1655E937" w14:textId="77777777" w:rsidR="005C0813" w:rsidRPr="005C0813" w:rsidRDefault="005C0813" w:rsidP="00571DB8">
      <w:pPr>
        <w:spacing w:before="240"/>
      </w:pPr>
      <w:r w:rsidRPr="005C0813">
        <w:t xml:space="preserve">MSAC advised that the Department should consider whether a proforma for documenting the Heart Team assessment should be developed. MSAC advised that this could also be provided to the TAVI Registry. </w:t>
      </w:r>
    </w:p>
    <w:p w14:paraId="5D8B1A8F" w14:textId="75F7C17F" w:rsidR="005C0813" w:rsidRPr="005C0813" w:rsidRDefault="005C0813" w:rsidP="00571DB8">
      <w:pPr>
        <w:spacing w:before="240"/>
      </w:pPr>
      <w:r w:rsidRPr="005C0813">
        <w:t xml:space="preserve">MSAC considered that this item should be reviewed in 2 years to assess predicted versus actual use. MSAC </w:t>
      </w:r>
      <w:r w:rsidR="004A7008">
        <w:t xml:space="preserve">requested the Department include summary data </w:t>
      </w:r>
      <w:r w:rsidRPr="005C0813">
        <w:t>from the TAVI registry</w:t>
      </w:r>
      <w:r w:rsidR="001C7260">
        <w:t>, where possible</w:t>
      </w:r>
      <w:r w:rsidRPr="005C0813">
        <w:t xml:space="preserve">. MSAC considered that there is a risk of leakage to asymptomatic patients who are younger and at low risk for adverse clinical outcomes from aortic stenosis. This could be looked at in the TAVI registry data, </w:t>
      </w:r>
      <w:proofErr w:type="gramStart"/>
      <w:r w:rsidRPr="005C0813">
        <w:t>and also</w:t>
      </w:r>
      <w:proofErr w:type="gramEnd"/>
      <w:r w:rsidRPr="005C0813">
        <w:t xml:space="preserve"> valve durability over time. </w:t>
      </w:r>
      <w:r w:rsidRPr="005C0813">
        <w:rPr>
          <w:shd w:val="clear" w:color="auto" w:fill="FFFFFF"/>
          <w:lang w:val="en-US"/>
        </w:rPr>
        <w:t>MSAC advised that the requirement for native calcific aortic stenosis could be updated in the future if new evidence emerges or when MSAC considers combining the TAVI items into a single item.</w:t>
      </w:r>
    </w:p>
    <w:p w14:paraId="19D13231" w14:textId="77777777" w:rsidR="005C0813" w:rsidRPr="005C0813" w:rsidRDefault="005C0813" w:rsidP="00571DB8">
      <w:pPr>
        <w:spacing w:before="240"/>
      </w:pPr>
      <w:r w:rsidRPr="005C0813">
        <w:t xml:space="preserve">MSAC noted that the TAVI registry should be able to provide data on length of stay, noting this would be for the currently subsidised high-risk population. </w:t>
      </w:r>
    </w:p>
    <w:p w14:paraId="71407ADD" w14:textId="27414CEC" w:rsidR="00355FE1" w:rsidRDefault="00355FE1" w:rsidP="00571DB8">
      <w:pPr>
        <w:spacing w:before="240"/>
      </w:pPr>
      <w:r>
        <w:t>MSAC supported a Prosthes</w:t>
      </w:r>
      <w:r w:rsidR="000A6282">
        <w:t>e</w:t>
      </w:r>
      <w:r>
        <w:t>s List benefit of $22,932</w:t>
      </w:r>
      <w:r w:rsidR="00F82577" w:rsidRPr="00F82577">
        <w:t xml:space="preserve"> </w:t>
      </w:r>
      <w:r w:rsidR="00F82577">
        <w:t xml:space="preserve">for </w:t>
      </w:r>
      <w:r w:rsidR="00F82577" w:rsidRPr="00F82577">
        <w:t>TAVI-BEV device</w:t>
      </w:r>
      <w:r>
        <w:t>. MSAC recalled that based on the clinical and economic evidence, it was not convinced that there is basis to separate TAVI</w:t>
      </w:r>
      <w:r>
        <w:noBreakHyphen/>
        <w:t xml:space="preserve">BEV and TAVI-SEV for funding purposes. </w:t>
      </w:r>
      <w:r w:rsidRPr="00FF57EF">
        <w:t xml:space="preserve">Therefore, MSAC reaffirmed that the higher </w:t>
      </w:r>
      <w:r w:rsidR="00F82577" w:rsidRPr="00FF57EF">
        <w:t xml:space="preserve">Prostheses </w:t>
      </w:r>
      <w:r w:rsidRPr="00FF57EF">
        <w:t>List benefit (</w:t>
      </w:r>
      <w:r w:rsidRPr="00FF57EF">
        <w:rPr>
          <w:b/>
          <w:bCs/>
        </w:rPr>
        <w:t>$</w:t>
      </w:r>
      <w:r w:rsidR="00A73019" w:rsidRPr="00FF57EF">
        <w:rPr>
          <w:b/>
          <w:bCs/>
        </w:rPr>
        <w:t>redacted</w:t>
      </w:r>
      <w:r w:rsidRPr="00FF57EF">
        <w:t xml:space="preserve"> for TAVI-BEV compared with the current benchmark of $22,932 for TAVI-BEV and TAVI-SEV) was not justified.</w:t>
      </w:r>
    </w:p>
    <w:p w14:paraId="2D26110E" w14:textId="62F57C4E" w:rsidR="00DC64DD" w:rsidRDefault="00DC64DD" w:rsidP="00571DB8">
      <w:pPr>
        <w:spacing w:before="240"/>
      </w:pPr>
      <w:r w:rsidRPr="00FF57EF">
        <w:t xml:space="preserve">MSAC </w:t>
      </w:r>
      <w:r w:rsidR="007A3FED" w:rsidRPr="00FF57EF">
        <w:t>was concerned that</w:t>
      </w:r>
      <w:r w:rsidRPr="00FF57EF">
        <w:t xml:space="preserve"> </w:t>
      </w:r>
      <w:r w:rsidR="000D3E7B" w:rsidRPr="00FF57EF">
        <w:t xml:space="preserve">consumer </w:t>
      </w:r>
      <w:r w:rsidRPr="00FF57EF">
        <w:t xml:space="preserve">feedback </w:t>
      </w:r>
      <w:r w:rsidR="007A3FED" w:rsidRPr="00FF57EF">
        <w:t xml:space="preserve">indicated </w:t>
      </w:r>
      <w:r w:rsidRPr="00FF57EF">
        <w:t xml:space="preserve">additional costs of approximately $5,000 to $6,000 were being incurred for the TAVI-BEV device. MSAC recalled that at its November 2020 consideration of TAVI-BEV for the intermediate risk population, the pre-MSAC response indicated that the proposed </w:t>
      </w:r>
      <w:r w:rsidR="00F82577" w:rsidRPr="00FF57EF">
        <w:t xml:space="preserve">Prostheses </w:t>
      </w:r>
      <w:r w:rsidRPr="00FF57EF">
        <w:t xml:space="preserve">List benefit of </w:t>
      </w:r>
      <w:r w:rsidRPr="00FF57EF">
        <w:rPr>
          <w:b/>
          <w:bCs/>
        </w:rPr>
        <w:t>$</w:t>
      </w:r>
      <w:r w:rsidR="00B0002F" w:rsidRPr="00FF57EF">
        <w:rPr>
          <w:b/>
          <w:bCs/>
        </w:rPr>
        <w:t>redacted</w:t>
      </w:r>
      <w:r w:rsidRPr="00FF57EF">
        <w:t xml:space="preserve"> includes consumable</w:t>
      </w:r>
      <w:r w:rsidR="00276E2B" w:rsidRPr="00FF57EF">
        <w:t xml:space="preserve"> item</w:t>
      </w:r>
      <w:r w:rsidRPr="00FF57EF">
        <w:t>s</w:t>
      </w:r>
      <w:r w:rsidR="00276E2B" w:rsidRPr="00FF57EF">
        <w:t xml:space="preserve"> necessary for valve placement</w:t>
      </w:r>
      <w:r w:rsidRPr="00FF57EF">
        <w:t xml:space="preserve"> so there would be no net change to price within the private sector (previously purchased by private hospitals and/or patients).</w:t>
      </w:r>
      <w:r w:rsidR="00443902" w:rsidRPr="00FF57EF">
        <w:t xml:space="preserve"> MSAC did not consider that this additional cost to patients or hospitals was reasonable based on its assessment of cost-effectiveness.</w:t>
      </w:r>
      <w:r w:rsidRPr="00FF57EF">
        <w:t xml:space="preserve"> </w:t>
      </w:r>
      <w:r w:rsidR="000D3E7B" w:rsidRPr="00FF57EF">
        <w:t xml:space="preserve">MSAC </w:t>
      </w:r>
      <w:r w:rsidR="001C03AF" w:rsidRPr="00FF57EF">
        <w:t xml:space="preserve">reaffirmed </w:t>
      </w:r>
      <w:r w:rsidR="001A4AF5" w:rsidRPr="00FF57EF">
        <w:t>that it</w:t>
      </w:r>
      <w:r w:rsidR="0088697E" w:rsidRPr="00FF57EF">
        <w:t>s assessment of cost</w:t>
      </w:r>
      <w:r w:rsidR="0088697E" w:rsidRPr="00FF57EF">
        <w:noBreakHyphen/>
        <w:t xml:space="preserve">effectiveness </w:t>
      </w:r>
      <w:r w:rsidR="005573C5" w:rsidRPr="00FF57EF">
        <w:t xml:space="preserve">and advice on the </w:t>
      </w:r>
      <w:r w:rsidR="0063404D" w:rsidRPr="00FF57EF">
        <w:t xml:space="preserve">Prostheses </w:t>
      </w:r>
      <w:r w:rsidR="005573C5" w:rsidRPr="00FF57EF">
        <w:t>List Benefit</w:t>
      </w:r>
      <w:r w:rsidR="00E94A04" w:rsidRPr="00FF57EF">
        <w:t xml:space="preserve"> (as above)</w:t>
      </w:r>
      <w:r w:rsidR="005573C5" w:rsidRPr="00FF57EF">
        <w:t xml:space="preserve"> </w:t>
      </w:r>
      <w:r w:rsidR="0088697E" w:rsidRPr="00FF57EF">
        <w:t>was</w:t>
      </w:r>
      <w:r w:rsidR="001A4AF5" w:rsidRPr="00FF57EF">
        <w:t xml:space="preserve"> </w:t>
      </w:r>
      <w:r w:rsidR="0088697E" w:rsidRPr="00FF57EF">
        <w:t>based on</w:t>
      </w:r>
      <w:r w:rsidR="001A4AF5" w:rsidRPr="00FF57EF">
        <w:t xml:space="preserve"> the complete </w:t>
      </w:r>
      <w:r w:rsidR="007A5C89" w:rsidRPr="00FF57EF">
        <w:t xml:space="preserve">intervention which included the valve and all components of the </w:t>
      </w:r>
      <w:r w:rsidR="00377D4F" w:rsidRPr="00FF57EF">
        <w:t>delivery system</w:t>
      </w:r>
      <w:r w:rsidR="007A5C89" w:rsidRPr="00FF57EF">
        <w:t>.</w:t>
      </w:r>
      <w:r w:rsidR="00377D4F" w:rsidRPr="00FF57EF">
        <w:t xml:space="preserve"> </w:t>
      </w:r>
      <w:r w:rsidR="007E6DB9" w:rsidRPr="00FF57EF">
        <w:t xml:space="preserve">In the current application’s </w:t>
      </w:r>
      <w:r w:rsidR="0068406C" w:rsidRPr="00FF57EF">
        <w:t>revised base case of the economic model</w:t>
      </w:r>
      <w:r w:rsidR="007E6DB9" w:rsidRPr="00FF57EF">
        <w:t xml:space="preserve">, </w:t>
      </w:r>
      <w:r w:rsidR="0068406C" w:rsidRPr="00FF57EF">
        <w:t xml:space="preserve">the </w:t>
      </w:r>
      <w:r w:rsidR="00837A67" w:rsidRPr="00FF57EF">
        <w:t xml:space="preserve">TAVI </w:t>
      </w:r>
      <w:r w:rsidR="0068406C" w:rsidRPr="00FF57EF">
        <w:t xml:space="preserve">procedural costs </w:t>
      </w:r>
      <w:r w:rsidR="007E6DB9" w:rsidRPr="00FF57EF">
        <w:t xml:space="preserve">for private patients </w:t>
      </w:r>
      <w:r w:rsidR="006F5553" w:rsidRPr="00FF57EF">
        <w:t xml:space="preserve">included </w:t>
      </w:r>
      <w:r w:rsidR="0068406C" w:rsidRPr="00FF57EF">
        <w:t xml:space="preserve">MBS costs, a hospitalisation cost of $21,161 and </w:t>
      </w:r>
      <w:r w:rsidR="00C4191F" w:rsidRPr="00FF57EF">
        <w:t xml:space="preserve">prothesis </w:t>
      </w:r>
      <w:r w:rsidR="006F5553" w:rsidRPr="00FF57EF">
        <w:t xml:space="preserve">cost of </w:t>
      </w:r>
      <w:r w:rsidR="00C4191F" w:rsidRPr="00FF57EF">
        <w:t xml:space="preserve">$22,932 which </w:t>
      </w:r>
      <w:r w:rsidR="00ED006A" w:rsidRPr="00FF57EF">
        <w:t xml:space="preserve">should </w:t>
      </w:r>
      <w:r w:rsidR="00276E2B" w:rsidRPr="00FF57EF">
        <w:t xml:space="preserve">include </w:t>
      </w:r>
      <w:r w:rsidR="009074B2" w:rsidRPr="00FF57EF">
        <w:t>the valve and the delivery system</w:t>
      </w:r>
      <w:r w:rsidR="000D3E7B" w:rsidRPr="00FF57EF">
        <w:t>.</w:t>
      </w:r>
    </w:p>
    <w:p w14:paraId="12A2A2C1" w14:textId="531FEF2D" w:rsidR="00355FE1" w:rsidRDefault="00355FE1" w:rsidP="00571DB8">
      <w:pPr>
        <w:keepNext/>
        <w:keepLines/>
        <w:spacing w:before="240"/>
        <w:outlineLvl w:val="1"/>
        <w:rPr>
          <w:b/>
          <w:iCs/>
          <w:szCs w:val="24"/>
        </w:rPr>
      </w:pPr>
      <w:r w:rsidRPr="00355FE1">
        <w:rPr>
          <w:b/>
          <w:iCs/>
          <w:szCs w:val="24"/>
        </w:rPr>
        <w:t>Other discussion</w:t>
      </w:r>
    </w:p>
    <w:p w14:paraId="1A169829" w14:textId="77777777" w:rsidR="005C0813" w:rsidRPr="005C0813" w:rsidRDefault="005C0813" w:rsidP="00571DB8">
      <w:pPr>
        <w:spacing w:before="240"/>
      </w:pPr>
      <w:bookmarkStart w:id="1" w:name="_Hlk80029472"/>
      <w:r w:rsidRPr="005C0813">
        <w:t>MSAC noted that expanding the listing of TAVI would increase the number of TAVI procedures and protheses funded by private health insurance providers. MSAC requested the Department advise private insurance providers of this recommendation.</w:t>
      </w:r>
    </w:p>
    <w:bookmarkEnd w:id="1"/>
    <w:p w14:paraId="6D62D42E" w14:textId="2587A76B" w:rsidR="00093AB5" w:rsidRPr="00F715D1" w:rsidRDefault="00093AB5" w:rsidP="00093AB5">
      <w:pPr>
        <w:pStyle w:val="Heading1"/>
      </w:pPr>
      <w:r w:rsidRPr="00F715D1">
        <w:t>MSAC’s advice to the Minister</w:t>
      </w:r>
      <w:r>
        <w:t xml:space="preserve"> – March-April 2021</w:t>
      </w:r>
    </w:p>
    <w:p w14:paraId="31F74FB3" w14:textId="77777777" w:rsidR="00093AB5" w:rsidRDefault="00093AB5" w:rsidP="00093AB5">
      <w:pPr>
        <w:spacing w:after="240"/>
      </w:pPr>
      <w:r w:rsidRPr="00FF2A9F">
        <w:t xml:space="preserve">After considering the strength of the available evidence in relation to comparative safety, clinical effectiveness and cost-effectiveness, MSAC deferred its advice on </w:t>
      </w:r>
      <w:r w:rsidRPr="002C1D71">
        <w:t xml:space="preserve">Medicare Benefits Schedule </w:t>
      </w:r>
      <w:r>
        <w:t>(</w:t>
      </w:r>
      <w:r w:rsidRPr="00FF2A9F">
        <w:t>MBS</w:t>
      </w:r>
      <w:r>
        <w:t>)</w:t>
      </w:r>
      <w:r w:rsidRPr="00FF2A9F">
        <w:t xml:space="preserve"> funding of transcatheter aortic valve implantation </w:t>
      </w:r>
      <w:r>
        <w:t xml:space="preserve">(TAVI) </w:t>
      </w:r>
      <w:r w:rsidRPr="00FF2A9F">
        <w:t xml:space="preserve">via transfemoral delivery using the balloon-expandable valve system </w:t>
      </w:r>
      <w:r>
        <w:t xml:space="preserve">(BEV) </w:t>
      </w:r>
      <w:r w:rsidRPr="00FF2A9F">
        <w:t>for patients at low risk for surgery. MSAC largely accepted that TAVI-BEV is safe, effective and cost</w:t>
      </w:r>
      <w:r>
        <w:t>-</w:t>
      </w:r>
      <w:r w:rsidRPr="00FF2A9F">
        <w:t xml:space="preserve">effective compared with surgical aortic valve replacement (SAVR), but was concerned about valve </w:t>
      </w:r>
      <w:r w:rsidRPr="00FF2A9F">
        <w:lastRenderedPageBreak/>
        <w:t>durability over the longer term</w:t>
      </w:r>
      <w:r>
        <w:t>,</w:t>
      </w:r>
      <w:r w:rsidRPr="00FF2A9F">
        <w:t xml:space="preserve"> given that the low</w:t>
      </w:r>
      <w:r>
        <w:t xml:space="preserve"> surgical </w:t>
      </w:r>
      <w:r w:rsidRPr="00FF2A9F">
        <w:t xml:space="preserve">risk population </w:t>
      </w:r>
      <w:r>
        <w:t>is</w:t>
      </w:r>
      <w:r w:rsidRPr="00FF2A9F">
        <w:t xml:space="preserve"> younger, ha</w:t>
      </w:r>
      <w:r>
        <w:t>s</w:t>
      </w:r>
      <w:r w:rsidRPr="00FF2A9F">
        <w:t xml:space="preserve"> longer life expectancy and generally ha</w:t>
      </w:r>
      <w:r>
        <w:t>s</w:t>
      </w:r>
      <w:r w:rsidRPr="00FF2A9F">
        <w:t xml:space="preserve"> good long-term outcomes with SAVR.</w:t>
      </w:r>
    </w:p>
    <w:p w14:paraId="77B958BF" w14:textId="77777777" w:rsidR="00093AB5" w:rsidRPr="00FF2A9F" w:rsidRDefault="00093AB5" w:rsidP="00093AB5">
      <w:pPr>
        <w:spacing w:after="240"/>
      </w:pPr>
      <w:r>
        <w:t xml:space="preserve">For these reasons, </w:t>
      </w:r>
      <w:r w:rsidRPr="00524823">
        <w:t>MSAC considered further consultation is needed to define key factors that suggest one procedure may be preferred over the other</w:t>
      </w:r>
      <w:r>
        <w:t xml:space="preserve"> for the low surgical risk population. </w:t>
      </w:r>
      <w:r w:rsidRPr="00524823">
        <w:t>MSAC considered that the appropriate population and item descriptor for TAVI with low surgical risk wo</w:t>
      </w:r>
      <w:r>
        <w:t xml:space="preserve">uld need to be further refined </w:t>
      </w:r>
      <w:r w:rsidRPr="00524823">
        <w:t>to ensure TAVI is used for low risk patients most likely</w:t>
      </w:r>
      <w:r>
        <w:t xml:space="preserve"> to benefit from the procedure.</w:t>
      </w:r>
    </w:p>
    <w:p w14:paraId="1C8E859C" w14:textId="77777777" w:rsidR="00093AB5" w:rsidRDefault="00093AB5" w:rsidP="00093AB5">
      <w:pPr>
        <w:pStyle w:val="Default"/>
        <w:spacing w:after="240"/>
        <w:rPr>
          <w:i/>
          <w:color w:val="auto"/>
        </w:rPr>
      </w:pPr>
      <w:r>
        <w:t xml:space="preserve">In addition, </w:t>
      </w:r>
      <w:r w:rsidRPr="002B64D2">
        <w:t xml:space="preserve">MSAC </w:t>
      </w:r>
      <w:r>
        <w:t>maintained its preference for a device-agnostic MBS item descriptor for this new item, recalling its precedent set on the basis of similar clinical performance and thus the same benefit across TAVI device options in high surgical risk and intermediate surgical risk populations.</w:t>
      </w:r>
      <w:r w:rsidRPr="00233303">
        <w:t xml:space="preserve"> </w:t>
      </w:r>
      <w:r>
        <w:t>T</w:t>
      </w:r>
      <w:r w:rsidRPr="00233303">
        <w:t>his advice w</w:t>
      </w:r>
      <w:r>
        <w:t>ould be re-assessed at the July</w:t>
      </w:r>
      <w:r w:rsidRPr="00233303">
        <w:t xml:space="preserve"> 2021 MSAC meeting consideration of the TAVI device agnostic application </w:t>
      </w:r>
      <w:r>
        <w:t>for patients at</w:t>
      </w:r>
      <w:r w:rsidRPr="00233303">
        <w:t xml:space="preserve"> </w:t>
      </w:r>
      <w:r>
        <w:t>low risk</w:t>
      </w:r>
      <w:r w:rsidRPr="00233303">
        <w:t xml:space="preserve"> for surgery (MSAC </w:t>
      </w:r>
      <w:r>
        <w:t>A</w:t>
      </w:r>
      <w:r w:rsidRPr="00233303">
        <w:t>pplication 1</w:t>
      </w:r>
      <w:r>
        <w:t>640</w:t>
      </w:r>
      <w:r w:rsidRPr="00233303">
        <w:t>).</w:t>
      </w:r>
    </w:p>
    <w:tbl>
      <w:tblPr>
        <w:tblStyle w:val="TableGrid"/>
        <w:tblW w:w="0" w:type="auto"/>
        <w:tblLook w:val="04A0" w:firstRow="1" w:lastRow="0" w:firstColumn="1" w:lastColumn="0" w:noHBand="0" w:noVBand="1"/>
        <w:tblDescription w:val="Consumer summary of MSAC consideration"/>
      </w:tblPr>
      <w:tblGrid>
        <w:gridCol w:w="9016"/>
      </w:tblGrid>
      <w:tr w:rsidR="00093AB5" w14:paraId="325CA78C" w14:textId="77777777" w:rsidTr="002C6F8C">
        <w:trPr>
          <w:tblHeader/>
        </w:trPr>
        <w:tc>
          <w:tcPr>
            <w:tcW w:w="9016" w:type="dxa"/>
          </w:tcPr>
          <w:p w14:paraId="22A86CA4" w14:textId="77777777" w:rsidR="00093AB5" w:rsidRPr="000663AA" w:rsidRDefault="00093AB5" w:rsidP="002C6F8C">
            <w:pPr>
              <w:pStyle w:val="Default"/>
              <w:spacing w:before="120" w:after="120"/>
              <w:rPr>
                <w:b/>
                <w:color w:val="auto"/>
              </w:rPr>
            </w:pPr>
            <w:r w:rsidRPr="00C06B0B">
              <w:rPr>
                <w:b/>
                <w:color w:val="auto"/>
              </w:rPr>
              <w:t>Consumer summary</w:t>
            </w:r>
          </w:p>
        </w:tc>
      </w:tr>
      <w:tr w:rsidR="00093AB5" w14:paraId="3E246449" w14:textId="77777777" w:rsidTr="002C6F8C">
        <w:tc>
          <w:tcPr>
            <w:tcW w:w="9016" w:type="dxa"/>
          </w:tcPr>
          <w:p w14:paraId="279462C7" w14:textId="77777777" w:rsidR="00093AB5" w:rsidRDefault="00093AB5" w:rsidP="002C6F8C">
            <w:pPr>
              <w:pStyle w:val="Default"/>
              <w:spacing w:after="240"/>
              <w:rPr>
                <w:color w:val="auto"/>
              </w:rPr>
            </w:pPr>
            <w:r w:rsidRPr="002C1D71">
              <w:rPr>
                <w:color w:val="auto"/>
              </w:rPr>
              <w:t xml:space="preserve">Edwards Lifesciences Pty Ltd applied for funding </w:t>
            </w:r>
            <w:r>
              <w:rPr>
                <w:color w:val="auto"/>
              </w:rPr>
              <w:t>on</w:t>
            </w:r>
            <w:r w:rsidRPr="002C1D71">
              <w:rPr>
                <w:color w:val="auto"/>
              </w:rPr>
              <w:t xml:space="preserve"> the Medicare Benefits Schedule (MBS) for transcatheter aortic valve implantation (TAVI) using a balloon-expandable valve</w:t>
            </w:r>
            <w:r>
              <w:rPr>
                <w:color w:val="auto"/>
              </w:rPr>
              <w:t xml:space="preserve"> (BEV)</w:t>
            </w:r>
            <w:r w:rsidRPr="002C1D71">
              <w:rPr>
                <w:color w:val="auto"/>
              </w:rPr>
              <w:t xml:space="preserve"> in patients with symptomatic severe aortic stenosis who are at low risk for surgery.</w:t>
            </w:r>
          </w:p>
          <w:p w14:paraId="029E399F" w14:textId="77777777" w:rsidR="00093AB5" w:rsidRDefault="00093AB5" w:rsidP="002C6F8C">
            <w:pPr>
              <w:pStyle w:val="Default"/>
              <w:spacing w:after="240"/>
              <w:rPr>
                <w:color w:val="auto"/>
              </w:rPr>
            </w:pPr>
            <w:r w:rsidRPr="002C1D71">
              <w:rPr>
                <w:color w:val="auto"/>
              </w:rPr>
              <w:t>Severe aortic stenosis is a condition that stops blood from flowing easily throughout the body. Eventually this can lead to heart failure because the aortic valve in the heart develops a severe build-up of calcium, which makes it difficult for the valve to open and close.</w:t>
            </w:r>
          </w:p>
          <w:p w14:paraId="0B154DA0" w14:textId="77777777" w:rsidR="00093AB5" w:rsidRDefault="00093AB5" w:rsidP="002C6F8C">
            <w:pPr>
              <w:pStyle w:val="Default"/>
              <w:spacing w:after="240"/>
            </w:pPr>
            <w:r w:rsidRPr="002C1D71">
              <w:rPr>
                <w:color w:val="auto"/>
              </w:rPr>
              <w:t xml:space="preserve">TAVI is a procedure that helps to improve a damaged aortic valve. During a TAVI procedure, an artificial valve made of natural animal heart tissue (usually from a cow or a pig) is implanted into the heart. But instead of standard </w:t>
            </w:r>
            <w:proofErr w:type="gramStart"/>
            <w:r w:rsidRPr="002C1D71">
              <w:rPr>
                <w:color w:val="auto"/>
              </w:rPr>
              <w:t>open</w:t>
            </w:r>
            <w:r>
              <w:rPr>
                <w:color w:val="auto"/>
              </w:rPr>
              <w:t xml:space="preserve"> </w:t>
            </w:r>
            <w:r w:rsidRPr="002C1D71">
              <w:rPr>
                <w:color w:val="auto"/>
              </w:rPr>
              <w:t>heart</w:t>
            </w:r>
            <w:proofErr w:type="gramEnd"/>
            <w:r w:rsidRPr="002C1D71">
              <w:rPr>
                <w:color w:val="auto"/>
              </w:rPr>
              <w:t xml:space="preserve"> surgery (where the chest cavity is opened during surgery), in TAVI, a catheter is placed in the femoral artery (in the groin) and guided into the heart</w:t>
            </w:r>
            <w:r>
              <w:t>. There are two main types of TAVI devices: TAVI-BEV or TAVI using a self-expandable valve (SEV).</w:t>
            </w:r>
          </w:p>
          <w:p w14:paraId="4B4FA3D5" w14:textId="77777777" w:rsidR="00093AB5" w:rsidRDefault="00093AB5" w:rsidP="002C6F8C">
            <w:pPr>
              <w:pStyle w:val="Default"/>
              <w:spacing w:after="240"/>
              <w:rPr>
                <w:color w:val="auto"/>
              </w:rPr>
            </w:pPr>
            <w:r>
              <w:rPr>
                <w:color w:val="auto"/>
              </w:rPr>
              <w:t xml:space="preserve">MSAC accepted that TAVI is a safe and effective </w:t>
            </w:r>
            <w:proofErr w:type="gramStart"/>
            <w:r>
              <w:rPr>
                <w:color w:val="auto"/>
              </w:rPr>
              <w:t>procedure, and</w:t>
            </w:r>
            <w:proofErr w:type="gramEnd"/>
            <w:r>
              <w:rPr>
                <w:color w:val="auto"/>
              </w:rPr>
              <w:t xml:space="preserve"> is better value for money than surgical aortic valve replacement (open heart surgery) in the short term. But there is not enough information on how long TAVI valves last before they need to be replaced. This is especially important for patients at low risk for surgery, because these people are usually younger, have a longer life expectancy, and tend to have good outcomes from surgery. For this </w:t>
            </w:r>
            <w:proofErr w:type="gramStart"/>
            <w:r>
              <w:rPr>
                <w:color w:val="auto"/>
              </w:rPr>
              <w:t>reason</w:t>
            </w:r>
            <w:proofErr w:type="gramEnd"/>
            <w:r>
              <w:rPr>
                <w:color w:val="auto"/>
              </w:rPr>
              <w:t xml:space="preserve"> MSAC will consult further with experts and consumer groups </w:t>
            </w:r>
            <w:r w:rsidRPr="000B1C87">
              <w:rPr>
                <w:color w:val="auto"/>
              </w:rPr>
              <w:t xml:space="preserve">to </w:t>
            </w:r>
            <w:r>
              <w:rPr>
                <w:color w:val="auto"/>
              </w:rPr>
              <w:t xml:space="preserve">define </w:t>
            </w:r>
            <w:r w:rsidRPr="000B1C87">
              <w:rPr>
                <w:color w:val="auto"/>
              </w:rPr>
              <w:t xml:space="preserve">low risk patients most likely to benefit from the </w:t>
            </w:r>
            <w:r>
              <w:rPr>
                <w:color w:val="auto"/>
              </w:rPr>
              <w:t xml:space="preserve">TAVI </w:t>
            </w:r>
            <w:r w:rsidRPr="000B1C87">
              <w:rPr>
                <w:color w:val="auto"/>
              </w:rPr>
              <w:t>procedure.</w:t>
            </w:r>
          </w:p>
          <w:p w14:paraId="494CEF65" w14:textId="77777777" w:rsidR="00093AB5" w:rsidRPr="000663AA" w:rsidRDefault="00093AB5" w:rsidP="002C6F8C">
            <w:pPr>
              <w:pStyle w:val="Default"/>
              <w:spacing w:after="240"/>
              <w:rPr>
                <w:i/>
                <w:color w:val="auto"/>
              </w:rPr>
            </w:pPr>
            <w:r>
              <w:rPr>
                <w:color w:val="auto"/>
              </w:rPr>
              <w:t xml:space="preserve">MSAC also did not believe there was any overall reason to prefer one type of TAVI device over another. </w:t>
            </w:r>
            <w:r>
              <w:t>This advice would be re-assessed at the July 2021 MSAC meeting, when MSAC reviews another application for TAVI in low surgical risk patients using any type of TAVI device.</w:t>
            </w:r>
          </w:p>
          <w:p w14:paraId="2788DC1F" w14:textId="77777777" w:rsidR="00093AB5" w:rsidRDefault="00093AB5" w:rsidP="002C6F8C">
            <w:pPr>
              <w:pStyle w:val="Default"/>
              <w:spacing w:after="240"/>
              <w:rPr>
                <w:b/>
                <w:color w:val="auto"/>
              </w:rPr>
            </w:pPr>
            <w:r w:rsidRPr="00C06B0B">
              <w:rPr>
                <w:b/>
                <w:color w:val="auto"/>
              </w:rPr>
              <w:t xml:space="preserve">MSAC’s </w:t>
            </w:r>
            <w:r>
              <w:rPr>
                <w:b/>
                <w:color w:val="auto"/>
              </w:rPr>
              <w:t>advice</w:t>
            </w:r>
            <w:r w:rsidRPr="00C06B0B">
              <w:rPr>
                <w:b/>
                <w:color w:val="auto"/>
              </w:rPr>
              <w:t xml:space="preserve"> to the Commonwealth Minister</w:t>
            </w:r>
            <w:r>
              <w:rPr>
                <w:b/>
                <w:color w:val="auto"/>
              </w:rPr>
              <w:t xml:space="preserve"> for Health</w:t>
            </w:r>
          </w:p>
          <w:p w14:paraId="4871505A" w14:textId="77777777" w:rsidR="00093AB5" w:rsidRDefault="00093AB5" w:rsidP="002C6F8C">
            <w:pPr>
              <w:pStyle w:val="Default"/>
              <w:spacing w:after="240"/>
              <w:rPr>
                <w:i/>
                <w:color w:val="auto"/>
              </w:rPr>
            </w:pPr>
            <w:r>
              <w:t>MSAC deferred its advice on TAVI for patients at low risk for surgery and will seek further advice from experts and consumer groups</w:t>
            </w:r>
            <w:r w:rsidRPr="00E65C35">
              <w:t>.</w:t>
            </w:r>
            <w:r>
              <w:t xml:space="preserve"> </w:t>
            </w:r>
          </w:p>
        </w:tc>
      </w:tr>
    </w:tbl>
    <w:p w14:paraId="556ED6FD" w14:textId="12832D95" w:rsidR="00093AB5" w:rsidRPr="00F715D1" w:rsidRDefault="00093AB5" w:rsidP="00093AB5">
      <w:pPr>
        <w:pStyle w:val="Heading1"/>
        <w:numPr>
          <w:ilvl w:val="0"/>
          <w:numId w:val="0"/>
        </w:numPr>
      </w:pPr>
      <w:r w:rsidRPr="00F715D1">
        <w:lastRenderedPageBreak/>
        <w:t>Summary of consideration and rationale for</w:t>
      </w:r>
      <w:r>
        <w:t xml:space="preserve"> MSAC’s advice – March-April 2021</w:t>
      </w:r>
    </w:p>
    <w:p w14:paraId="2AA7C98C" w14:textId="08F7DE32" w:rsidR="00C4696D" w:rsidRDefault="00C4696D" w:rsidP="001C54E9">
      <w:pPr>
        <w:spacing w:after="240"/>
      </w:pPr>
      <w:r>
        <w:t xml:space="preserve">MSAC noted that </w:t>
      </w:r>
      <w:r w:rsidRPr="001B4630">
        <w:t>TAVI is currently MBS</w:t>
      </w:r>
      <w:r>
        <w:t>-</w:t>
      </w:r>
      <w:r w:rsidRPr="001B4630">
        <w:t xml:space="preserve">listed </w:t>
      </w:r>
      <w:r>
        <w:t xml:space="preserve">as a TAVI device agnostic item (either BEV or self-expandable valve [SEV]) for </w:t>
      </w:r>
      <w:r w:rsidRPr="001B4630">
        <w:t>high-risk</w:t>
      </w:r>
      <w:r>
        <w:t>/inoperable</w:t>
      </w:r>
      <w:r w:rsidRPr="001B4630">
        <w:t xml:space="preserve"> surgical patients with symptomatic severe </w:t>
      </w:r>
      <w:r w:rsidRPr="00EC2824">
        <w:t xml:space="preserve">aortic stenosis </w:t>
      </w:r>
      <w:r>
        <w:t>(</w:t>
      </w:r>
      <w:r w:rsidRPr="001B4630">
        <w:t>AS</w:t>
      </w:r>
      <w:r>
        <w:t>)</w:t>
      </w:r>
      <w:r w:rsidRPr="001B4630">
        <w:t xml:space="preserve"> under item 38495.</w:t>
      </w:r>
      <w:r>
        <w:t xml:space="preserve"> MSAC also </w:t>
      </w:r>
      <w:r w:rsidR="00A564EC">
        <w:t xml:space="preserve">recalled its </w:t>
      </w:r>
      <w:r>
        <w:t>recent assessment of TAVI-BEV for intermediate risk for surgery, “c</w:t>
      </w:r>
      <w:r w:rsidRPr="00233303">
        <w:t>onsistent with the current MBS item for TAVI (item 38495)</w:t>
      </w:r>
      <w:r>
        <w:t xml:space="preserve">, </w:t>
      </w:r>
      <w:r w:rsidRPr="00233303">
        <w:t>MSAC supported an MBS item agnostic of the type of TAVI device</w:t>
      </w:r>
      <w:r>
        <w:t>” (</w:t>
      </w:r>
      <w:hyperlink r:id="rId11" w:history="1">
        <w:r>
          <w:rPr>
            <w:rStyle w:val="Hyperlink"/>
          </w:rPr>
          <w:t>Public Summary Document [PSD] Application No. 1603, p1</w:t>
        </w:r>
      </w:hyperlink>
      <w:r>
        <w:t>]</w:t>
      </w:r>
      <w:r w:rsidRPr="00233303">
        <w:t>.</w:t>
      </w:r>
      <w:r>
        <w:t xml:space="preserve"> MSAC </w:t>
      </w:r>
      <w:r w:rsidRPr="005F0A1E">
        <w:t>noted</w:t>
      </w:r>
      <w:r>
        <w:t xml:space="preserve"> that this device-specific application for TAVI-BEV is </w:t>
      </w:r>
      <w:r w:rsidRPr="000B7C35">
        <w:t>seek</w:t>
      </w:r>
      <w:r>
        <w:t>ing</w:t>
      </w:r>
      <w:r w:rsidRPr="000B7C35">
        <w:t xml:space="preserve"> to expand MBS listing to include</w:t>
      </w:r>
      <w:r>
        <w:t xml:space="preserve"> low-</w:t>
      </w:r>
      <w:r w:rsidRPr="005771B0">
        <w:t>risk</w:t>
      </w:r>
      <w:r>
        <w:t xml:space="preserve"> surgical patients.</w:t>
      </w:r>
    </w:p>
    <w:p w14:paraId="4728BDEE" w14:textId="3D163B4B" w:rsidR="006222A0" w:rsidRDefault="006222A0" w:rsidP="00672E67">
      <w:pPr>
        <w:pStyle w:val="NormalBeforeBullet"/>
      </w:pPr>
      <w:r w:rsidRPr="00637488">
        <w:t xml:space="preserve">MSAC </w:t>
      </w:r>
      <w:r>
        <w:t xml:space="preserve">noted </w:t>
      </w:r>
      <w:r w:rsidRPr="00637488">
        <w:t>supportive consumer feedback</w:t>
      </w:r>
      <w:r>
        <w:t xml:space="preserve"> for the application</w:t>
      </w:r>
      <w:r w:rsidRPr="00637488">
        <w:t xml:space="preserve"> emphasising the importance of a less invasive procedure, fewer complications (bleeding and atrial fibrillation)</w:t>
      </w:r>
      <w:r w:rsidR="001173AE">
        <w:t>,</w:t>
      </w:r>
      <w:r w:rsidRPr="00637488">
        <w:t xml:space="preserve"> faster recovery and shorter hospital stay.</w:t>
      </w:r>
    </w:p>
    <w:p w14:paraId="375D503A" w14:textId="39D643C2" w:rsidR="001857F2" w:rsidRDefault="00C4696D" w:rsidP="001C54E9">
      <w:pPr>
        <w:spacing w:after="240"/>
      </w:pPr>
      <w:r>
        <w:t xml:space="preserve">MSAC considered that </w:t>
      </w:r>
      <w:r w:rsidRPr="006B0872">
        <w:t xml:space="preserve">surgical aortic valve replacement (SAVR) </w:t>
      </w:r>
      <w:r w:rsidR="0085632E">
        <w:t xml:space="preserve">as the main comparator and TAVI-SEV </w:t>
      </w:r>
      <w:r w:rsidR="002A715C">
        <w:t xml:space="preserve">as </w:t>
      </w:r>
      <w:r w:rsidR="0085632E">
        <w:t>the secondary comparator was appropriate. MSAC noted there</w:t>
      </w:r>
      <w:r w:rsidR="0085632E" w:rsidRPr="00076524">
        <w:rPr>
          <w:color w:val="000000"/>
        </w:rPr>
        <w:t xml:space="preserve"> was a direct randomised controlled trial (RCT) assessing TAVI-BEV </w:t>
      </w:r>
      <w:r w:rsidR="0085632E" w:rsidRPr="00076524">
        <w:rPr>
          <w:i/>
          <w:color w:val="000000"/>
        </w:rPr>
        <w:t>vs.</w:t>
      </w:r>
      <w:r w:rsidR="0085632E" w:rsidRPr="00076524">
        <w:rPr>
          <w:color w:val="000000"/>
        </w:rPr>
        <w:t xml:space="preserve"> SAVR (PARTNER 3 trial) and the applicant developed assessment report </w:t>
      </w:r>
      <w:r w:rsidR="0085632E">
        <w:rPr>
          <w:color w:val="000000"/>
        </w:rPr>
        <w:t>(</w:t>
      </w:r>
      <w:r w:rsidR="0085632E" w:rsidRPr="00076524">
        <w:rPr>
          <w:color w:val="000000"/>
        </w:rPr>
        <w:t>ADAR</w:t>
      </w:r>
      <w:r w:rsidR="0085632E">
        <w:rPr>
          <w:color w:val="000000"/>
        </w:rPr>
        <w:t>)</w:t>
      </w:r>
      <w:r w:rsidR="0085632E" w:rsidRPr="00076524">
        <w:rPr>
          <w:color w:val="000000"/>
        </w:rPr>
        <w:t xml:space="preserve"> also included a direct RCT assessing TAVI-SEV </w:t>
      </w:r>
      <w:r w:rsidR="0085632E" w:rsidRPr="00076524">
        <w:rPr>
          <w:i/>
          <w:color w:val="000000"/>
        </w:rPr>
        <w:t>vs.</w:t>
      </w:r>
      <w:r w:rsidR="0085632E" w:rsidRPr="00076524">
        <w:rPr>
          <w:color w:val="000000"/>
        </w:rPr>
        <w:t xml:space="preserve"> SAVR (EVOLUT trial).</w:t>
      </w:r>
    </w:p>
    <w:p w14:paraId="319B1A55" w14:textId="47B317AD" w:rsidR="001857F2" w:rsidRPr="00672E67" w:rsidRDefault="001857F2" w:rsidP="001C54E9">
      <w:pPr>
        <w:spacing w:after="240"/>
        <w:rPr>
          <w:color w:val="000000"/>
        </w:rPr>
      </w:pPr>
      <w:r>
        <w:t xml:space="preserve">MSAC </w:t>
      </w:r>
      <w:r w:rsidR="001173AE">
        <w:t xml:space="preserve">noted </w:t>
      </w:r>
      <w:r>
        <w:t xml:space="preserve">and agreed with the </w:t>
      </w:r>
      <w:r w:rsidR="001173AE">
        <w:t xml:space="preserve">ESC </w:t>
      </w:r>
      <w:r w:rsidR="00A049C3">
        <w:t xml:space="preserve">advice </w:t>
      </w:r>
      <w:r w:rsidR="001173AE">
        <w:t xml:space="preserve">for </w:t>
      </w:r>
      <w:r>
        <w:t xml:space="preserve">the comparative safety and </w:t>
      </w:r>
      <w:r w:rsidR="007E0267">
        <w:t xml:space="preserve">comparative </w:t>
      </w:r>
      <w:r w:rsidR="001173AE">
        <w:t xml:space="preserve">effectiveness </w:t>
      </w:r>
      <w:r w:rsidR="000873EE">
        <w:t>comparing TAVI-BEV with SAVR</w:t>
      </w:r>
      <w:r>
        <w:t>.</w:t>
      </w:r>
      <w:r w:rsidR="0085632E">
        <w:t xml:space="preserve"> </w:t>
      </w:r>
      <w:r w:rsidR="00252FD1">
        <w:t xml:space="preserve">MSAC noted that there was less bleeding with </w:t>
      </w:r>
      <w:r w:rsidR="007E0267">
        <w:t>TAVI-BEV</w:t>
      </w:r>
      <w:r w:rsidR="00252FD1">
        <w:t xml:space="preserve"> but higher rates of paravalvular leakage.</w:t>
      </w:r>
      <w:r w:rsidR="00F6090C">
        <w:t xml:space="preserve"> </w:t>
      </w:r>
      <w:r w:rsidR="00252FD1">
        <w:t>MSAC noted that left bundle branch block was more common with TAVI</w:t>
      </w:r>
      <w:r w:rsidR="00252FD1">
        <w:noBreakHyphen/>
        <w:t xml:space="preserve">BEV and this could lead to heart failure. MSAC considered that this was of greater significance to low surgical risk patients who may be expected to have a longer life expectancy than higher risk </w:t>
      </w:r>
      <w:r w:rsidR="00E30661">
        <w:t>populations</w:t>
      </w:r>
      <w:r w:rsidR="00252FD1">
        <w:t xml:space="preserve">. </w:t>
      </w:r>
      <w:r w:rsidR="00E30661">
        <w:t xml:space="preserve">MSAC noted that </w:t>
      </w:r>
      <w:r w:rsidR="00E30661" w:rsidRPr="00B341C8">
        <w:rPr>
          <w:iCs/>
        </w:rPr>
        <w:t xml:space="preserve">TAVI-BEV </w:t>
      </w:r>
      <w:r w:rsidR="00E30661">
        <w:rPr>
          <w:iCs/>
        </w:rPr>
        <w:t>was</w:t>
      </w:r>
      <w:r w:rsidR="00E30661" w:rsidRPr="00B341C8">
        <w:rPr>
          <w:iCs/>
        </w:rPr>
        <w:t xml:space="preserve"> superior over SAVR in terms of the primary composite outcome of death, </w:t>
      </w:r>
      <w:proofErr w:type="gramStart"/>
      <w:r w:rsidR="00E30661" w:rsidRPr="00B341C8">
        <w:rPr>
          <w:iCs/>
        </w:rPr>
        <w:t>stroke</w:t>
      </w:r>
      <w:proofErr w:type="gramEnd"/>
      <w:r w:rsidR="00E30661" w:rsidRPr="00B341C8">
        <w:rPr>
          <w:iCs/>
        </w:rPr>
        <w:t xml:space="preserve"> and rehospitalisation</w:t>
      </w:r>
      <w:r w:rsidR="00E30661">
        <w:rPr>
          <w:iCs/>
        </w:rPr>
        <w:t xml:space="preserve">. However, </w:t>
      </w:r>
      <w:r w:rsidR="00A564EC">
        <w:t xml:space="preserve">MSAC </w:t>
      </w:r>
      <w:r w:rsidR="00E30661">
        <w:t xml:space="preserve">also </w:t>
      </w:r>
      <w:r w:rsidR="00A564EC">
        <w:t xml:space="preserve">noted that the Kaplan-Meier plots for the key effectiveness outcomes (death, composite of death or disabling stroke) appeared to be converging but the point estimates favoured TAVI-BEV. </w:t>
      </w:r>
      <w:r w:rsidR="00252FD1">
        <w:t>MSAC noted that several of the deaths</w:t>
      </w:r>
      <w:r w:rsidR="00507F4A">
        <w:t xml:space="preserve"> </w:t>
      </w:r>
      <w:r w:rsidR="00252FD1">
        <w:t>tha</w:t>
      </w:r>
      <w:r w:rsidR="00E30661">
        <w:t>t</w:t>
      </w:r>
      <w:r w:rsidR="00252FD1">
        <w:t xml:space="preserve"> occurred between year 1 and year 2 did not appear related to aortic valve replacement. </w:t>
      </w:r>
      <w:r w:rsidR="0085632E">
        <w:t xml:space="preserve">Overall, </w:t>
      </w:r>
      <w:r w:rsidR="00E81877">
        <w:t xml:space="preserve">MSAC </w:t>
      </w:r>
      <w:r w:rsidR="00937305">
        <w:t>largely accepted</w:t>
      </w:r>
      <w:r w:rsidR="00E81877">
        <w:t xml:space="preserve"> that </w:t>
      </w:r>
      <w:r w:rsidR="0085632E">
        <w:t>TAVI-BEV is safe</w:t>
      </w:r>
      <w:r w:rsidR="002A715C">
        <w:t>r</w:t>
      </w:r>
      <w:r w:rsidR="0085632E">
        <w:t xml:space="preserve"> and </w:t>
      </w:r>
      <w:r w:rsidR="002A715C">
        <w:t xml:space="preserve">more </w:t>
      </w:r>
      <w:r w:rsidR="0085632E">
        <w:t>effective in the short term compared with SAVR.</w:t>
      </w:r>
    </w:p>
    <w:p w14:paraId="506495B0" w14:textId="03DF51DA" w:rsidR="00C4696D" w:rsidRDefault="00067682" w:rsidP="001C54E9">
      <w:pPr>
        <w:spacing w:after="240"/>
      </w:pPr>
      <w:r>
        <w:t xml:space="preserve">MSAC noted that the indirect comparison of TAVI-BEV </w:t>
      </w:r>
      <w:r w:rsidRPr="00672E67">
        <w:rPr>
          <w:i/>
        </w:rPr>
        <w:t>vs</w:t>
      </w:r>
      <w:r w:rsidR="00E0765F" w:rsidRPr="00672E67">
        <w:rPr>
          <w:i/>
        </w:rPr>
        <w:t>.</w:t>
      </w:r>
      <w:r>
        <w:t xml:space="preserve"> TAVI SEV was affected by some </w:t>
      </w:r>
      <w:r w:rsidRPr="005227AF">
        <w:t>differences in eligibility criteria, reporting of comorbidities and statistical</w:t>
      </w:r>
      <w:r>
        <w:t xml:space="preserve"> methods</w:t>
      </w:r>
      <w:r w:rsidDel="00067682">
        <w:t xml:space="preserve"> </w:t>
      </w:r>
      <w:r w:rsidR="00562EC7">
        <w:t>but considered the trials were</w:t>
      </w:r>
      <w:r w:rsidR="00252FD1">
        <w:t xml:space="preserve"> somewhat</w:t>
      </w:r>
      <w:r w:rsidR="00562EC7">
        <w:t xml:space="preserve"> exchangeable</w:t>
      </w:r>
      <w:r w:rsidR="00C4696D">
        <w:t xml:space="preserve">. </w:t>
      </w:r>
      <w:r w:rsidR="00562EC7">
        <w:t>MSAC noted that there was a statistically significant differen</w:t>
      </w:r>
      <w:r w:rsidR="00A85073">
        <w:t>ce</w:t>
      </w:r>
      <w:r w:rsidR="00562EC7">
        <w:t xml:space="preserve"> in the proportion of patients requiring a permanent pacemaker which favoured TAVI-BEV. However, </w:t>
      </w:r>
      <w:r w:rsidR="00C4696D">
        <w:t xml:space="preserve">MSAC agreed with ESC that the results from </w:t>
      </w:r>
      <w:r w:rsidR="00C4696D" w:rsidRPr="00B62069">
        <w:t>the indirect comparison did not show differences between TAVI-BEV and TAVI-SEV that strongly justified a device</w:t>
      </w:r>
      <w:r w:rsidR="0096796C">
        <w:noBreakHyphen/>
      </w:r>
      <w:r w:rsidR="00C4696D" w:rsidRPr="00B62069">
        <w:t>specific approach.</w:t>
      </w:r>
      <w:r w:rsidR="00C4696D">
        <w:t xml:space="preserve"> </w:t>
      </w:r>
      <w:r w:rsidR="005227AF">
        <w:t xml:space="preserve">MSAC considered that clinicians </w:t>
      </w:r>
      <w:r w:rsidR="00562EC7">
        <w:t>are appropriately</w:t>
      </w:r>
      <w:r w:rsidR="005227AF">
        <w:t xml:space="preserve"> placed to decide on the most appropriate device for individual pat</w:t>
      </w:r>
      <w:r w:rsidR="00672E67">
        <w:t>ients.</w:t>
      </w:r>
    </w:p>
    <w:p w14:paraId="22A5CC3C" w14:textId="4EA422A1" w:rsidR="00E51814" w:rsidRDefault="00562EC7" w:rsidP="001C54E9">
      <w:pPr>
        <w:spacing w:after="240"/>
      </w:pPr>
      <w:r>
        <w:t>MSAC noted the economic evaluation comparing TAVI-BEV with SAVR was a cost-</w:t>
      </w:r>
      <w:r w:rsidR="00B83C44">
        <w:t>utility</w:t>
      </w:r>
      <w:r>
        <w:t xml:space="preserve"> analysis. </w:t>
      </w:r>
      <w:r w:rsidR="00E51814">
        <w:t xml:space="preserve">MSAC noted that TAVI-BEV was dominant. </w:t>
      </w:r>
      <w:r w:rsidR="00B83C44">
        <w:t>MSAC noted that this was due to TAVI</w:t>
      </w:r>
      <w:r w:rsidR="00D259EC">
        <w:t>-BEV</w:t>
      </w:r>
      <w:r w:rsidR="00B83C44">
        <w:t xml:space="preserve"> having a shorter and less costly hospitalisation. </w:t>
      </w:r>
      <w:r w:rsidR="00C55E41">
        <w:t>MSAC noted the cost-utility analysis overestimated the benefit of TAVI-BEV</w:t>
      </w:r>
      <w:r w:rsidR="00B83C44">
        <w:t xml:space="preserve"> </w:t>
      </w:r>
      <w:r w:rsidR="00252FD1">
        <w:t>because the</w:t>
      </w:r>
      <w:r w:rsidR="00B83C44">
        <w:t xml:space="preserve"> 2-year data from the PARTNER 3 trial</w:t>
      </w:r>
      <w:r w:rsidR="00B83C44">
        <w:rPr>
          <w:rStyle w:val="FootnoteReference"/>
        </w:rPr>
        <w:footnoteReference w:id="2"/>
      </w:r>
      <w:r w:rsidR="00252FD1">
        <w:t xml:space="preserve"> showed that the benefit of TAVI-BEV appeared to be decreasing over time</w:t>
      </w:r>
      <w:r w:rsidR="0017291F">
        <w:t xml:space="preserve">. </w:t>
      </w:r>
      <w:r w:rsidR="00252FD1">
        <w:t xml:space="preserve">The pre-ESC response </w:t>
      </w:r>
      <w:r w:rsidR="00B83C44">
        <w:t xml:space="preserve">acknowledged </w:t>
      </w:r>
      <w:r w:rsidR="00252FD1">
        <w:t xml:space="preserve">this </w:t>
      </w:r>
      <w:proofErr w:type="gramStart"/>
      <w:r w:rsidR="00252FD1">
        <w:t>concern</w:t>
      </w:r>
      <w:r w:rsidR="00B83C44">
        <w:t>, but</w:t>
      </w:r>
      <w:proofErr w:type="gramEnd"/>
      <w:r w:rsidR="00B83C44">
        <w:t xml:space="preserve"> reiterated that TAVI</w:t>
      </w:r>
      <w:r w:rsidR="00D259EC">
        <w:t>-BEV</w:t>
      </w:r>
      <w:r w:rsidR="00B83C44">
        <w:t xml:space="preserve"> is </w:t>
      </w:r>
      <w:r w:rsidR="00B83C44">
        <w:lastRenderedPageBreak/>
        <w:t>dominant over SAVR and that there is no reason</w:t>
      </w:r>
      <w:r w:rsidR="00EF6F8D">
        <w:t xml:space="preserve"> to</w:t>
      </w:r>
      <w:r w:rsidR="00B83C44">
        <w:t xml:space="preserve"> expect worse cumulative survival with TAVI</w:t>
      </w:r>
      <w:r w:rsidR="00D259EC">
        <w:t>-BEV</w:t>
      </w:r>
      <w:r w:rsidR="00B83C44">
        <w:t>.</w:t>
      </w:r>
      <w:r w:rsidR="00252FD1">
        <w:t xml:space="preserve"> </w:t>
      </w:r>
      <w:r w:rsidR="00B83C44">
        <w:t xml:space="preserve">The pre-MSAC response presented additional data from the </w:t>
      </w:r>
      <w:r w:rsidR="00B83C44" w:rsidRPr="00B83C44">
        <w:t>Australian Cardiac Outcomes Registry (ACOR)</w:t>
      </w:r>
      <w:r w:rsidR="00B83C44">
        <w:rPr>
          <w:rStyle w:val="FootnoteReference"/>
        </w:rPr>
        <w:footnoteReference w:id="3"/>
      </w:r>
      <w:r w:rsidR="00B83C44">
        <w:t xml:space="preserve"> showing that the length of hospital stay was 4 days across all surgical risk levels</w:t>
      </w:r>
      <w:r w:rsidR="00EF6F8D">
        <w:t xml:space="preserve">; and </w:t>
      </w:r>
      <w:r w:rsidR="00B83C44">
        <w:t xml:space="preserve">also stated that data from the United States shows decreasing length of hospitalisation with </w:t>
      </w:r>
      <w:r w:rsidR="0089791E">
        <w:t>TAVI procedures</w:t>
      </w:r>
      <w:r w:rsidR="00B83C44">
        <w:t xml:space="preserve"> over time </w:t>
      </w:r>
      <w:r w:rsidR="00B83C44">
        <w:rPr>
          <w:rStyle w:val="FootnoteReference"/>
        </w:rPr>
        <w:footnoteReference w:id="4"/>
      </w:r>
      <w:r w:rsidR="00B83C44">
        <w:t xml:space="preserve">. </w:t>
      </w:r>
      <w:r w:rsidR="00252FD1">
        <w:t xml:space="preserve">Overall, MSAC </w:t>
      </w:r>
      <w:r w:rsidR="00937305">
        <w:t>largely accepted that</w:t>
      </w:r>
      <w:r w:rsidR="00E81877">
        <w:t xml:space="preserve"> TAVI-BEV is cost-effective compared with </w:t>
      </w:r>
      <w:r w:rsidR="00252FD1">
        <w:t>SAVR.</w:t>
      </w:r>
    </w:p>
    <w:p w14:paraId="4E8F434A" w14:textId="6C230297" w:rsidR="00E51814" w:rsidRDefault="00E51814" w:rsidP="001C54E9">
      <w:pPr>
        <w:spacing w:after="240"/>
      </w:pPr>
      <w:r>
        <w:t xml:space="preserve">MSAC considered the economic comparison of TAVI-BEV </w:t>
      </w:r>
      <w:r w:rsidRPr="00672E67">
        <w:rPr>
          <w:i/>
        </w:rPr>
        <w:t>vs</w:t>
      </w:r>
      <w:r>
        <w:t>. TAVI-SEV was uninformative</w:t>
      </w:r>
      <w:r w:rsidR="00562EC7">
        <w:t xml:space="preserve"> as it made</w:t>
      </w:r>
      <w:r w:rsidR="00507F4A">
        <w:t xml:space="preserve"> several implausible</w:t>
      </w:r>
      <w:r w:rsidR="00562EC7">
        <w:t xml:space="preserve"> assumptions that </w:t>
      </w:r>
      <w:r w:rsidR="00507F4A">
        <w:t xml:space="preserve">inappropriately </w:t>
      </w:r>
      <w:r w:rsidR="00562EC7">
        <w:t>favoured TAVI-BEV</w:t>
      </w:r>
      <w:r w:rsidR="00672E67">
        <w:t>.</w:t>
      </w:r>
    </w:p>
    <w:p w14:paraId="1C0F4140" w14:textId="6103736F" w:rsidR="00C55E41" w:rsidRDefault="00252FD1" w:rsidP="001C54E9">
      <w:pPr>
        <w:spacing w:after="240"/>
      </w:pPr>
      <w:r>
        <w:t xml:space="preserve">Based on the clinical and economic evidence, </w:t>
      </w:r>
      <w:r w:rsidR="00C55E41">
        <w:t>MSAC w</w:t>
      </w:r>
      <w:r w:rsidR="008C4137">
        <w:t>as</w:t>
      </w:r>
      <w:r w:rsidR="00C55E41">
        <w:t xml:space="preserve"> not </w:t>
      </w:r>
      <w:r w:rsidR="00E81877">
        <w:t>convinced</w:t>
      </w:r>
      <w:r w:rsidR="00C55E41">
        <w:t xml:space="preserve"> that there is </w:t>
      </w:r>
      <w:r w:rsidR="00526F76">
        <w:t>basis to separate TAVI</w:t>
      </w:r>
      <w:r w:rsidR="00526F76">
        <w:noBreakHyphen/>
        <w:t>BEV and TAVI-SEV</w:t>
      </w:r>
      <w:r w:rsidR="00F575B9">
        <w:t xml:space="preserve"> for funding purposes</w:t>
      </w:r>
      <w:r w:rsidR="00817FE1">
        <w:t xml:space="preserve">. MSAC considered that the TAVI procedure is similar for both </w:t>
      </w:r>
      <w:r w:rsidR="000873EE">
        <w:t>devices and the evidence presented did not conclusively show that TAVI</w:t>
      </w:r>
      <w:r w:rsidR="000873EE">
        <w:noBreakHyphen/>
        <w:t>BEV achieved superior clinical outcomes compared with TAVI</w:t>
      </w:r>
      <w:r w:rsidR="000873EE">
        <w:noBreakHyphen/>
      </w:r>
      <w:r w:rsidR="00D259EC">
        <w:t>S</w:t>
      </w:r>
      <w:r w:rsidR="000873EE">
        <w:t xml:space="preserve">EV. </w:t>
      </w:r>
      <w:r w:rsidR="00722274">
        <w:t xml:space="preserve">MSAC noted this was consistent with the precedent set for similar clinical performance across TAVI device options in higher risk populations. </w:t>
      </w:r>
      <w:r w:rsidR="000873EE" w:rsidRPr="00FF57EF">
        <w:t xml:space="preserve">Therefore, MSAC considered that the higher </w:t>
      </w:r>
      <w:r w:rsidR="001738B5" w:rsidRPr="00FF57EF">
        <w:t xml:space="preserve">Prostheses </w:t>
      </w:r>
      <w:r w:rsidR="000873EE" w:rsidRPr="00FF57EF">
        <w:t>List benefit (</w:t>
      </w:r>
      <w:r w:rsidR="000873EE" w:rsidRPr="00FF57EF">
        <w:rPr>
          <w:b/>
        </w:rPr>
        <w:t>$</w:t>
      </w:r>
      <w:r w:rsidR="00625BC8" w:rsidRPr="00FF57EF">
        <w:rPr>
          <w:b/>
        </w:rPr>
        <w:t>redacted</w:t>
      </w:r>
      <w:r w:rsidR="00625BC8" w:rsidRPr="00FF57EF">
        <w:t xml:space="preserve"> </w:t>
      </w:r>
      <w:r w:rsidR="000873EE" w:rsidRPr="00FF57EF">
        <w:t>for TAVI-BEV compared with the current benchmark of $22,932 for TAVI-</w:t>
      </w:r>
      <w:r w:rsidR="00672E67" w:rsidRPr="00FF57EF">
        <w:t xml:space="preserve">BEV and </w:t>
      </w:r>
      <w:r w:rsidR="00F575B9" w:rsidRPr="00FF57EF">
        <w:t>TAVI-</w:t>
      </w:r>
      <w:r w:rsidR="00672E67" w:rsidRPr="00FF57EF">
        <w:t>SEV) was not justified.</w:t>
      </w:r>
    </w:p>
    <w:p w14:paraId="2FF75F4F" w14:textId="3F5C0239" w:rsidR="00817FE1" w:rsidRDefault="00507F4A" w:rsidP="001C54E9">
      <w:pPr>
        <w:spacing w:after="240"/>
      </w:pPr>
      <w:r>
        <w:t xml:space="preserve">MSAC noted that the financial implications estimated large cost savings. The MSAC considered the financial impact was uncertain. </w:t>
      </w:r>
      <w:r w:rsidR="00817FE1">
        <w:t>MSAC considered that there is a risk of leakage into</w:t>
      </w:r>
      <w:r w:rsidR="00F575B9">
        <w:t xml:space="preserve"> patients with asymptomatic AS.</w:t>
      </w:r>
    </w:p>
    <w:p w14:paraId="5AA32162" w14:textId="1409F405" w:rsidR="00C4696D" w:rsidRPr="0038743B" w:rsidRDefault="00C4696D">
      <w:pPr>
        <w:pStyle w:val="NormalBeforeBullet"/>
      </w:pPr>
      <w:r>
        <w:t xml:space="preserve">MSAC agreed with ESC’s concern that </w:t>
      </w:r>
      <w:r w:rsidRPr="005F0A1E">
        <w:t>people under 75 years of age could be eligible for this MBS item</w:t>
      </w:r>
      <w:r>
        <w:t xml:space="preserve">, but that </w:t>
      </w:r>
      <w:r w:rsidRPr="005F0A1E">
        <w:t xml:space="preserve">data on TAVI are limited for patients under 75 years of age and for </w:t>
      </w:r>
      <w:r>
        <w:t>low surgical risk</w:t>
      </w:r>
      <w:r w:rsidRPr="005F0A1E">
        <w:t xml:space="preserve"> patients, and SAVR is preferred for these patients.</w:t>
      </w:r>
      <w:r>
        <w:t xml:space="preserve"> MSAC also noted the applicant’s pre-MSAC response, which h</w:t>
      </w:r>
      <w:r w:rsidRPr="0038743B">
        <w:t>ighlighted recent clinical guidelines issued by the American College of Cardiology/American Heart Association (ACC/AHA)</w:t>
      </w:r>
      <w:r>
        <w:t>,</w:t>
      </w:r>
      <w:r w:rsidRPr="0038743B">
        <w:t xml:space="preserve"> stating that in (Otto 2021)</w:t>
      </w:r>
      <w:r w:rsidR="00983D99">
        <w:rPr>
          <w:rStyle w:val="FootnoteReference"/>
        </w:rPr>
        <w:footnoteReference w:id="5"/>
      </w:r>
      <w:r w:rsidRPr="0038743B">
        <w:t>:</w:t>
      </w:r>
    </w:p>
    <w:p w14:paraId="3F449B92" w14:textId="77777777" w:rsidR="00C4696D" w:rsidRPr="0038743B" w:rsidRDefault="00C4696D" w:rsidP="001C54E9">
      <w:pPr>
        <w:pStyle w:val="Bullet"/>
        <w:numPr>
          <w:ilvl w:val="0"/>
          <w:numId w:val="38"/>
        </w:numPr>
        <w:ind w:left="720"/>
      </w:pPr>
      <w:r>
        <w:t>p</w:t>
      </w:r>
      <w:r w:rsidRPr="0038743B">
        <w:t>atients aged &lt;65 years or with life expectancy &gt;20 years: SAVR is preferred</w:t>
      </w:r>
    </w:p>
    <w:p w14:paraId="46110A41" w14:textId="77777777" w:rsidR="00C4696D" w:rsidRPr="0038743B" w:rsidRDefault="00C4696D" w:rsidP="001C54E9">
      <w:pPr>
        <w:pStyle w:val="Bullet"/>
        <w:numPr>
          <w:ilvl w:val="0"/>
          <w:numId w:val="38"/>
        </w:numPr>
        <w:ind w:left="720"/>
      </w:pPr>
      <w:r>
        <w:t>p</w:t>
      </w:r>
      <w:r w:rsidRPr="0038743B">
        <w:t>atients aged &gt;80 years or with life expectancy &lt;10 years: TAVI is preferred</w:t>
      </w:r>
    </w:p>
    <w:p w14:paraId="16C32DC4" w14:textId="36DE88E3" w:rsidR="00C4696D" w:rsidRPr="005771B0" w:rsidRDefault="00C4696D" w:rsidP="001C54E9">
      <w:pPr>
        <w:pStyle w:val="BulletLast"/>
        <w:numPr>
          <w:ilvl w:val="0"/>
          <w:numId w:val="38"/>
        </w:numPr>
        <w:spacing w:after="120"/>
        <w:ind w:left="720"/>
      </w:pPr>
      <w:r>
        <w:t>s</w:t>
      </w:r>
      <w:r w:rsidRPr="0038743B">
        <w:t>ymptomatic patients aged 65–80 years with no contraindication to transfemoral TAVI: SAVR or transfemoral TAVI is recommended after shared decision making</w:t>
      </w:r>
      <w:r w:rsidR="00F575B9">
        <w:t>.</w:t>
      </w:r>
    </w:p>
    <w:p w14:paraId="0BB3A33C" w14:textId="1DAD66A0" w:rsidR="00AA5265" w:rsidRDefault="00C4696D">
      <w:pPr>
        <w:spacing w:after="240"/>
      </w:pPr>
      <w:r>
        <w:t xml:space="preserve">MSAC considered that the main </w:t>
      </w:r>
      <w:r w:rsidR="00096DCA">
        <w:t xml:space="preserve">residual </w:t>
      </w:r>
      <w:r>
        <w:t xml:space="preserve">concerns in </w:t>
      </w:r>
      <w:r w:rsidR="00096DCA">
        <w:t xml:space="preserve">deciding whether to support </w:t>
      </w:r>
      <w:r>
        <w:t>the application</w:t>
      </w:r>
      <w:r w:rsidR="00096DCA">
        <w:t>’s requested funding</w:t>
      </w:r>
      <w:r>
        <w:t xml:space="preserve"> relate to </w:t>
      </w:r>
      <w:r w:rsidR="00096DCA">
        <w:t xml:space="preserve">the </w:t>
      </w:r>
      <w:r>
        <w:t xml:space="preserve">durability of </w:t>
      </w:r>
      <w:r w:rsidR="00096DCA">
        <w:t xml:space="preserve">the </w:t>
      </w:r>
      <w:r>
        <w:t xml:space="preserve">TAVI </w:t>
      </w:r>
      <w:r w:rsidR="00096DCA">
        <w:t xml:space="preserve">valves </w:t>
      </w:r>
      <w:r>
        <w:t xml:space="preserve">and the patient’s expected longevity. MSAC considered that a patient’s eligibility for TAVI should be changed from being based on </w:t>
      </w:r>
      <w:r w:rsidR="0089791E">
        <w:t xml:space="preserve">the </w:t>
      </w:r>
      <w:r>
        <w:t>risk of adverse outcomes following SAVR to being based on the patient’s expected longevity and comorbidities (such as frailty and cognitive function), as well as exclusion</w:t>
      </w:r>
      <w:r w:rsidR="00BD2ABF">
        <w:t xml:space="preserve"> criteria</w:t>
      </w:r>
      <w:r>
        <w:t xml:space="preserve"> due to issues such as bicuspid valve disease. </w:t>
      </w:r>
      <w:r w:rsidR="00A068BC">
        <w:t xml:space="preserve">MSAC noted that </w:t>
      </w:r>
      <w:r w:rsidR="00B83C44">
        <w:t xml:space="preserve">joint Australian guidance by </w:t>
      </w:r>
      <w:r w:rsidR="00B83C44" w:rsidRPr="00B83C44">
        <w:t>the Cardiac Society of Australia and New Zealand (CSANZ) and the Australia and New Zealand Society of Cardiac and Thoracic Surgeons (ANZSCTS)</w:t>
      </w:r>
      <w:r w:rsidR="00B83C44">
        <w:t xml:space="preserve"> will be available </w:t>
      </w:r>
      <w:proofErr w:type="gramStart"/>
      <w:r w:rsidR="00B83C44">
        <w:t>in the near future</w:t>
      </w:r>
      <w:proofErr w:type="gramEnd"/>
      <w:r w:rsidR="00B83C44">
        <w:t>.</w:t>
      </w:r>
    </w:p>
    <w:p w14:paraId="07574A22" w14:textId="0B77CBB1" w:rsidR="00AF38AD" w:rsidRDefault="003A0819">
      <w:pPr>
        <w:spacing w:after="240"/>
      </w:pPr>
      <w:r>
        <w:lastRenderedPageBreak/>
        <w:t xml:space="preserve">Although MSAC </w:t>
      </w:r>
      <w:r w:rsidR="002C4429">
        <w:t xml:space="preserve">largely </w:t>
      </w:r>
      <w:r>
        <w:t>accepted the short-term assessment of clinical evidence and the economic evaluation, it</w:t>
      </w:r>
      <w:r w:rsidR="00E519D3">
        <w:t xml:space="preserve"> remained concerned that TAVI may be used</w:t>
      </w:r>
      <w:r w:rsidR="00E51814">
        <w:t xml:space="preserve"> inappropriately</w:t>
      </w:r>
      <w:r w:rsidR="00E519D3">
        <w:t xml:space="preserve"> </w:t>
      </w:r>
      <w:r w:rsidR="00D60C3F">
        <w:t xml:space="preserve">for </w:t>
      </w:r>
      <w:r w:rsidR="00DD0066">
        <w:t>patients</w:t>
      </w:r>
      <w:r w:rsidR="00BB0297">
        <w:t xml:space="preserve"> who may be more appropriate for SAVR. </w:t>
      </w:r>
      <w:r w:rsidR="00D60C3F">
        <w:t xml:space="preserve">For this reason, MSAC deferred its </w:t>
      </w:r>
      <w:r w:rsidR="00D60C3F" w:rsidRPr="00D60C3F">
        <w:t>advice on public funding</w:t>
      </w:r>
      <w:r w:rsidR="00D60C3F">
        <w:t xml:space="preserve"> of TAVI in the low surgical risk population. </w:t>
      </w:r>
      <w:r w:rsidR="00F532DF" w:rsidRPr="00957F40">
        <w:t>MSAC noted the applicant’s pre-MSAC response</w:t>
      </w:r>
      <w:r w:rsidR="00F532DF">
        <w:t xml:space="preserve"> providing longer-term data on durability of TAVI valves f</w:t>
      </w:r>
      <w:r w:rsidR="00D360E7">
        <w:t>ro</w:t>
      </w:r>
      <w:r w:rsidR="00F532DF">
        <w:t>m</w:t>
      </w:r>
      <w:r w:rsidR="00D360E7">
        <w:t xml:space="preserve"> </w:t>
      </w:r>
      <w:r w:rsidR="00F532DF">
        <w:t xml:space="preserve">registry </w:t>
      </w:r>
      <w:proofErr w:type="gramStart"/>
      <w:r w:rsidR="00F532DF">
        <w:t>data, but</w:t>
      </w:r>
      <w:proofErr w:type="gramEnd"/>
      <w:r w:rsidR="00F532DF">
        <w:t xml:space="preserve"> </w:t>
      </w:r>
      <w:r w:rsidR="00BB0297">
        <w:t>considered the long</w:t>
      </w:r>
      <w:r w:rsidR="00D259EC">
        <w:t>-</w:t>
      </w:r>
      <w:r w:rsidR="00BB0297">
        <w:t xml:space="preserve">term outcomes with TAVI and the durability of TAVI valves are yet to be demonstrated. MSAC considered that this </w:t>
      </w:r>
      <w:r w:rsidR="00AF38AD">
        <w:t>was of greater importance for</w:t>
      </w:r>
      <w:r w:rsidR="00BB0297">
        <w:t xml:space="preserve"> </w:t>
      </w:r>
      <w:r w:rsidR="00817FE1">
        <w:t xml:space="preserve">patients at low surgical risk who, on average, are younger and have a longer life expectancy than patients with intermediate or high risk of surgical mortality. </w:t>
      </w:r>
      <w:r w:rsidR="002C4429">
        <w:t xml:space="preserve">In addition, </w:t>
      </w:r>
      <w:r w:rsidR="00925659">
        <w:t>MSAC noted that there is limited evidence on reintervention with TAVI (valve-in-valve procedures)</w:t>
      </w:r>
      <w:r w:rsidR="00A068BC">
        <w:t xml:space="preserve"> and </w:t>
      </w:r>
      <w:r w:rsidR="00C5795A">
        <w:t>whether</w:t>
      </w:r>
      <w:r w:rsidR="00A068BC">
        <w:t xml:space="preserve"> this procedure performs as well as an initial TAVI procedure</w:t>
      </w:r>
      <w:r w:rsidR="00D74563">
        <w:t>.</w:t>
      </w:r>
      <w:r w:rsidR="00925659">
        <w:t xml:space="preserve"> </w:t>
      </w:r>
      <w:r w:rsidR="0047180B">
        <w:t xml:space="preserve">MSAC noted the requirement to involve the heart team before a TAVI procedure, and that these heart team discussions should help guide the patient to the appropriate choice. MSAC </w:t>
      </w:r>
      <w:r w:rsidR="00591941">
        <w:t xml:space="preserve">considered </w:t>
      </w:r>
      <w:r w:rsidR="00FC7715">
        <w:t xml:space="preserve">that </w:t>
      </w:r>
      <w:r w:rsidR="00591941">
        <w:t xml:space="preserve">the </w:t>
      </w:r>
      <w:r w:rsidR="0047180B">
        <w:t>heart team discussions may</w:t>
      </w:r>
      <w:r w:rsidR="00386DEE">
        <w:t xml:space="preserve"> need to </w:t>
      </w:r>
      <w:r w:rsidR="0047180B">
        <w:t>consider factors such as the limited evidence on long-term outcomes. MSAC w</w:t>
      </w:r>
      <w:r w:rsidR="008C4137">
        <w:t>as</w:t>
      </w:r>
      <w:r w:rsidR="0047180B">
        <w:t xml:space="preserve"> also concerned consumers may have a strong preference for TAVI as it is less invasive than </w:t>
      </w:r>
      <w:proofErr w:type="gramStart"/>
      <w:r w:rsidR="0047180B">
        <w:t>SAVR, but</w:t>
      </w:r>
      <w:proofErr w:type="gramEnd"/>
      <w:r w:rsidR="0047180B">
        <w:t xml:space="preserve"> may not be fully informed about the lack of long term evidence data supporting its use. </w:t>
      </w:r>
      <w:r w:rsidR="00817FE1">
        <w:t xml:space="preserve">In addition, patients with low surgical risk </w:t>
      </w:r>
      <w:r w:rsidR="00C5795A">
        <w:t xml:space="preserve">have </w:t>
      </w:r>
      <w:r w:rsidR="00C5795A" w:rsidRPr="00BD2ABF">
        <w:t>generally</w:t>
      </w:r>
      <w:r w:rsidR="00BD2ABF" w:rsidRPr="002539E7">
        <w:t xml:space="preserve"> have good long-term outcomes </w:t>
      </w:r>
      <w:r w:rsidR="00BD2ABF">
        <w:t xml:space="preserve">with </w:t>
      </w:r>
      <w:r w:rsidR="00817FE1">
        <w:t>SAVR</w:t>
      </w:r>
      <w:r w:rsidR="00D60C3F">
        <w:t xml:space="preserve"> compared with intermediate or high surgical risk patients</w:t>
      </w:r>
      <w:r w:rsidR="00817FE1">
        <w:t xml:space="preserve">. </w:t>
      </w:r>
      <w:r w:rsidR="00AF38AD">
        <w:t xml:space="preserve">For these </w:t>
      </w:r>
      <w:r w:rsidR="00D60C3F">
        <w:t>reason</w:t>
      </w:r>
      <w:r w:rsidR="00AF38AD">
        <w:t>s</w:t>
      </w:r>
      <w:r w:rsidR="00D60C3F">
        <w:t xml:space="preserve">, </w:t>
      </w:r>
      <w:r w:rsidR="00AF38AD">
        <w:t>MSAC considered that the appropriate population</w:t>
      </w:r>
      <w:r w:rsidR="00BD2ABF">
        <w:t xml:space="preserve"> and item descriptor</w:t>
      </w:r>
      <w:r w:rsidR="00AF38AD">
        <w:t xml:space="preserve"> for TAVI with low surgical risk </w:t>
      </w:r>
      <w:r w:rsidR="00BD2ABF">
        <w:t xml:space="preserve">would </w:t>
      </w:r>
      <w:r w:rsidR="00AF38AD">
        <w:t xml:space="preserve">need to be further </w:t>
      </w:r>
      <w:r w:rsidR="004B5EE1">
        <w:t>refined</w:t>
      </w:r>
      <w:r w:rsidR="000C4839">
        <w:t>, such as defining key exclusion criteria,</w:t>
      </w:r>
      <w:r w:rsidR="004B5EE1">
        <w:t xml:space="preserve"> </w:t>
      </w:r>
      <w:r w:rsidR="0047180B">
        <w:t>to ensure TAVI is used for low risk</w:t>
      </w:r>
      <w:r w:rsidR="004B5EE1">
        <w:t xml:space="preserve"> patients most likely to benefit from the procedure</w:t>
      </w:r>
      <w:r w:rsidR="00AB5C37">
        <w:t xml:space="preserve">. </w:t>
      </w:r>
      <w:r w:rsidR="00AF38AD">
        <w:t xml:space="preserve">MSAC </w:t>
      </w:r>
      <w:r w:rsidR="004B5EE1">
        <w:t xml:space="preserve">considered </w:t>
      </w:r>
      <w:r w:rsidR="002E74F6">
        <w:t>further</w:t>
      </w:r>
      <w:r w:rsidR="004B5EE1">
        <w:t xml:space="preserve"> consultation is needed to define key factors that </w:t>
      </w:r>
      <w:r w:rsidR="00925659">
        <w:t xml:space="preserve">suggest </w:t>
      </w:r>
      <w:r w:rsidR="00E07D54">
        <w:t>one procedure may be preferred over the other.</w:t>
      </w:r>
    </w:p>
    <w:p w14:paraId="0A853656" w14:textId="61EFF502" w:rsidR="00896B1D" w:rsidRDefault="00AA5265">
      <w:pPr>
        <w:spacing w:after="240"/>
      </w:pPr>
      <w:r>
        <w:t xml:space="preserve">MSAC considered that a </w:t>
      </w:r>
      <w:r w:rsidR="00FC5F1A">
        <w:t xml:space="preserve">separate MBS item should be created for </w:t>
      </w:r>
      <w:r w:rsidR="003A0819">
        <w:t xml:space="preserve">TAVI </w:t>
      </w:r>
      <w:r w:rsidR="00BD2ABF">
        <w:t xml:space="preserve">in </w:t>
      </w:r>
      <w:r w:rsidR="00817FE1">
        <w:t>low risk population as this would assist monitoring of TAVI utilisation.</w:t>
      </w:r>
      <w:r w:rsidR="00FC5F1A">
        <w:t xml:space="preserve"> </w:t>
      </w:r>
      <w:r w:rsidR="00C43A47">
        <w:t xml:space="preserve">MSAC anticipated its preference for a device-agnostic MBS item descriptor for this new </w:t>
      </w:r>
      <w:proofErr w:type="gramStart"/>
      <w:r w:rsidR="00C43A47">
        <w:t>item, and</w:t>
      </w:r>
      <w:proofErr w:type="gramEnd"/>
      <w:r w:rsidR="00C43A47">
        <w:t xml:space="preserve"> considered this would be </w:t>
      </w:r>
      <w:r w:rsidR="0096796C">
        <w:t xml:space="preserve">consistent </w:t>
      </w:r>
      <w:r w:rsidR="00F25A3E">
        <w:t>with the current MBS items for TAVI and th</w:t>
      </w:r>
      <w:r w:rsidR="00C43A47">
        <w:t>us</w:t>
      </w:r>
      <w:r w:rsidR="00F25A3E">
        <w:t xml:space="preserve"> </w:t>
      </w:r>
      <w:r w:rsidR="00C43A47">
        <w:t xml:space="preserve">across all levels of surgical risk. </w:t>
      </w:r>
      <w:r w:rsidR="00896B1D">
        <w:t>MSAC noted t</w:t>
      </w:r>
      <w:r w:rsidR="00896B1D" w:rsidRPr="00233303">
        <w:t>his advice w</w:t>
      </w:r>
      <w:r w:rsidR="00896B1D">
        <w:t>ould be re-assessed at the July</w:t>
      </w:r>
      <w:r w:rsidR="00896B1D" w:rsidRPr="00233303">
        <w:t xml:space="preserve"> 2021 MSAC meeting consideration of the TAVI device agnostic application </w:t>
      </w:r>
      <w:r w:rsidR="00896B1D">
        <w:t>for patients at</w:t>
      </w:r>
      <w:r w:rsidR="00896B1D" w:rsidRPr="00233303">
        <w:t xml:space="preserve"> </w:t>
      </w:r>
      <w:r w:rsidR="00896B1D">
        <w:t>low risk</w:t>
      </w:r>
      <w:r w:rsidR="00896B1D" w:rsidRPr="00233303">
        <w:t xml:space="preserve"> for surgery (MSAC </w:t>
      </w:r>
      <w:r w:rsidR="00896B1D">
        <w:t>A</w:t>
      </w:r>
      <w:r w:rsidR="00896B1D" w:rsidRPr="00233303">
        <w:t>pplication 1</w:t>
      </w:r>
      <w:r w:rsidR="00896B1D">
        <w:t>640</w:t>
      </w:r>
      <w:r w:rsidR="00896B1D" w:rsidRPr="00233303">
        <w:t>).</w:t>
      </w:r>
    </w:p>
    <w:p w14:paraId="36CC6402" w14:textId="4728FD2B" w:rsidR="00AA5265" w:rsidRDefault="003A0819">
      <w:pPr>
        <w:spacing w:after="240"/>
        <w:rPr>
          <w:i/>
          <w:szCs w:val="24"/>
        </w:rPr>
      </w:pPr>
      <w:r>
        <w:t xml:space="preserve">MSAC </w:t>
      </w:r>
      <w:r w:rsidR="00E51814">
        <w:t>advised</w:t>
      </w:r>
      <w:r>
        <w:t xml:space="preserve"> that </w:t>
      </w:r>
      <w:r w:rsidR="00E51814">
        <w:t xml:space="preserve">at a future date </w:t>
      </w:r>
      <w:r>
        <w:t>it may be appropriate to consolidate the TAVI items based on surgical risk into a single item.</w:t>
      </w:r>
    </w:p>
    <w:p w14:paraId="5E820293" w14:textId="77777777" w:rsidR="00BC1364" w:rsidRPr="00F715D1" w:rsidRDefault="00BC1364" w:rsidP="00F715D1">
      <w:pPr>
        <w:pStyle w:val="Heading1"/>
      </w:pPr>
      <w:r w:rsidRPr="00F715D1">
        <w:t>Background</w:t>
      </w:r>
    </w:p>
    <w:p w14:paraId="52FD1C74" w14:textId="3ABB4F70" w:rsidR="00FB44D6" w:rsidRDefault="00FB44D6" w:rsidP="00FB44D6">
      <w:pPr>
        <w:tabs>
          <w:tab w:val="left" w:pos="720"/>
          <w:tab w:val="left" w:pos="1140"/>
        </w:tabs>
        <w:rPr>
          <w:szCs w:val="24"/>
        </w:rPr>
      </w:pPr>
      <w:r w:rsidRPr="00C25802">
        <w:rPr>
          <w:szCs w:val="24"/>
        </w:rPr>
        <w:t xml:space="preserve">This is the first submission for TAVI-BEV for patients with symptomatic severe aortic AS at </w:t>
      </w:r>
      <w:r>
        <w:rPr>
          <w:szCs w:val="24"/>
        </w:rPr>
        <w:t>low</w:t>
      </w:r>
      <w:r w:rsidRPr="00C25802">
        <w:rPr>
          <w:szCs w:val="24"/>
        </w:rPr>
        <w:t xml:space="preserve"> risk for surgery.</w:t>
      </w:r>
    </w:p>
    <w:p w14:paraId="53395E17" w14:textId="77777777" w:rsidR="00750CDD" w:rsidRPr="00750CDD" w:rsidRDefault="00750CDD" w:rsidP="00750CDD">
      <w:pPr>
        <w:pStyle w:val="Heading2"/>
      </w:pPr>
      <w:r w:rsidRPr="00750CDD">
        <w:t>TAVI low risk applications</w:t>
      </w:r>
    </w:p>
    <w:p w14:paraId="2EA1E662" w14:textId="6047B7CF" w:rsidR="00FB44D6" w:rsidRPr="004976DC" w:rsidRDefault="00FB44D6" w:rsidP="00FB44D6">
      <w:pPr>
        <w:tabs>
          <w:tab w:val="left" w:pos="720"/>
          <w:tab w:val="left" w:pos="1140"/>
        </w:tabs>
        <w:rPr>
          <w:szCs w:val="24"/>
        </w:rPr>
      </w:pPr>
      <w:r w:rsidRPr="004976DC">
        <w:t xml:space="preserve">The Department has received a related application, from a competitor TAVI manufacturer, for a TAVI </w:t>
      </w:r>
      <w:r w:rsidRPr="004976DC">
        <w:rPr>
          <w:u w:val="single"/>
        </w:rPr>
        <w:t>agnostic to device (BEV [Edwards] or SEV [Medtronic] are TAVI TGA registered devices for all levels of surgical risk)</w:t>
      </w:r>
      <w:r w:rsidRPr="004976DC">
        <w:t xml:space="preserve"> in low risk (</w:t>
      </w:r>
      <w:hyperlink r:id="rId12" w:history="1">
        <w:r w:rsidRPr="004976DC">
          <w:rPr>
            <w:rStyle w:val="Hyperlink"/>
          </w:rPr>
          <w:t>MSAC application 1640</w:t>
        </w:r>
      </w:hyperlink>
      <w:r w:rsidRPr="004976DC">
        <w:t>) which is progressing via an expedited pathway</w:t>
      </w:r>
      <w:r w:rsidRPr="004976DC">
        <w:rPr>
          <w:color w:val="FF0000"/>
        </w:rPr>
        <w:t xml:space="preserve"> </w:t>
      </w:r>
      <w:r w:rsidR="009033AF">
        <w:rPr>
          <w:b/>
        </w:rPr>
        <w:t>REDACTED</w:t>
      </w:r>
      <w:r w:rsidRPr="004976DC">
        <w:t>. The application has made the a clinical claim that TAVI for the treatment of symptomatic severe AS is superior in effectiveness and safety compared to SAVR for patients at low risk of surgery</w:t>
      </w:r>
      <w:r w:rsidR="0017291F" w:rsidRPr="004976DC">
        <w:t xml:space="preserve"> </w:t>
      </w:r>
      <w:r w:rsidR="0089791E" w:rsidRPr="004976DC">
        <w:t>(</w:t>
      </w:r>
      <w:hyperlink r:id="rId13" w:history="1">
        <w:r w:rsidR="0089791E" w:rsidRPr="004976DC">
          <w:rPr>
            <w:rStyle w:val="Hyperlink"/>
          </w:rPr>
          <w:t>MSAC application 1640</w:t>
        </w:r>
      </w:hyperlink>
      <w:r w:rsidR="0089791E" w:rsidRPr="004976DC">
        <w:t>, p16)</w:t>
      </w:r>
      <w:r w:rsidRPr="004976DC">
        <w:t xml:space="preserve">. </w:t>
      </w:r>
    </w:p>
    <w:p w14:paraId="141000BE" w14:textId="77777777" w:rsidR="00FB44D6" w:rsidRPr="00B31CC9" w:rsidRDefault="00FB44D6" w:rsidP="00FB44D6">
      <w:pPr>
        <w:keepNext/>
        <w:keepLines/>
        <w:spacing w:before="200"/>
        <w:outlineLvl w:val="1"/>
        <w:rPr>
          <w:bCs/>
          <w:i/>
          <w:szCs w:val="26"/>
        </w:rPr>
      </w:pPr>
      <w:r w:rsidRPr="00B31CC9">
        <w:rPr>
          <w:bCs/>
          <w:i/>
          <w:szCs w:val="26"/>
        </w:rPr>
        <w:t>TAVI intermediate risk applications 1603 and 1652</w:t>
      </w:r>
    </w:p>
    <w:p w14:paraId="44F922E9" w14:textId="7E88AE9C" w:rsidR="00FB44D6" w:rsidRPr="00C25802" w:rsidRDefault="00FB44D6" w:rsidP="00FB44D6">
      <w:r>
        <w:t xml:space="preserve">At its November 2020 meeting, </w:t>
      </w:r>
      <w:r w:rsidRPr="00D45BBA">
        <w:t xml:space="preserve">MSAC supported the creation of a new </w:t>
      </w:r>
      <w:r>
        <w:t>MBS</w:t>
      </w:r>
      <w:r w:rsidRPr="00D45BBA">
        <w:t xml:space="preserve"> item for transcatheter aortic valve implantation (TAVI) for patients with symptomatic severe </w:t>
      </w:r>
      <w:r>
        <w:t xml:space="preserve">AS </w:t>
      </w:r>
      <w:r w:rsidRPr="00D45BBA">
        <w:t xml:space="preserve">at intermediate risk for surgery on the grounds of acceptable safety, effectiveness and cost </w:t>
      </w:r>
      <w:r w:rsidRPr="00D45BBA">
        <w:lastRenderedPageBreak/>
        <w:t>effectiveness compared with surgical aortic valve replacement (</w:t>
      </w:r>
      <w:r>
        <w:t xml:space="preserve">SAVR, </w:t>
      </w:r>
      <w:hyperlink r:id="rId14" w:history="1">
        <w:r w:rsidRPr="00994CE0">
          <w:rPr>
            <w:rStyle w:val="Hyperlink"/>
          </w:rPr>
          <w:t>Public Summary Document [PSD] Application No. 1603</w:t>
        </w:r>
      </w:hyperlink>
      <w:r>
        <w:t>)</w:t>
      </w:r>
      <w:r w:rsidRPr="00D45BBA">
        <w:t>. Consistent with the current MBS item for TAVI (item 38495), MSAC supported an MBS item agnostic of the type of TAVI device, noting that this advice would be re-assessed at the March 2021 MSAC meeting consideration of the TAVI device agnostic application in intermediate risk for surgery (</w:t>
      </w:r>
      <w:hyperlink r:id="rId15" w:history="1">
        <w:r w:rsidRPr="00D45BBA">
          <w:rPr>
            <w:rStyle w:val="Hyperlink"/>
          </w:rPr>
          <w:t>MSAC Application 1652</w:t>
        </w:r>
      </w:hyperlink>
      <w:r w:rsidRPr="00D45BBA">
        <w:t>).</w:t>
      </w:r>
    </w:p>
    <w:p w14:paraId="039E0B5F" w14:textId="514FBCEE" w:rsidR="00FB44D6" w:rsidRPr="007B30A0" w:rsidRDefault="00FB44D6" w:rsidP="0085555A">
      <w:pPr>
        <w:tabs>
          <w:tab w:val="left" w:pos="720"/>
          <w:tab w:val="left" w:pos="1140"/>
        </w:tabs>
        <w:spacing w:before="240"/>
        <w:rPr>
          <w:szCs w:val="24"/>
        </w:rPr>
      </w:pPr>
      <w:r w:rsidRPr="007B30A0">
        <w:rPr>
          <w:szCs w:val="24"/>
        </w:rPr>
        <w:t xml:space="preserve">MSAC concluded that superiority of TAVI-BEV </w:t>
      </w:r>
      <w:r w:rsidRPr="00D506C6">
        <w:rPr>
          <w:i/>
          <w:szCs w:val="24"/>
        </w:rPr>
        <w:t>vs</w:t>
      </w:r>
      <w:r w:rsidRPr="007B30A0">
        <w:rPr>
          <w:szCs w:val="24"/>
        </w:rPr>
        <w:t>. SAVR was not adequately justified over the longer-term results from propensity score analysis.</w:t>
      </w:r>
      <w:r w:rsidRPr="007B30A0">
        <w:t xml:space="preserve"> </w:t>
      </w:r>
      <w:r w:rsidRPr="007B30A0">
        <w:rPr>
          <w:szCs w:val="24"/>
        </w:rPr>
        <w:t>MSAC noted that the propensity score-adjustment showed that TAVI-BEV is superior for the outcomes of death and stroke at 12 months. However, MSAC noted the 5-year (unpublished) outcomes presented in the pre</w:t>
      </w:r>
      <w:r>
        <w:rPr>
          <w:szCs w:val="24"/>
        </w:rPr>
        <w:noBreakHyphen/>
      </w:r>
      <w:r w:rsidRPr="007B30A0">
        <w:rPr>
          <w:szCs w:val="24"/>
        </w:rPr>
        <w:t>MSAC response showed:</w:t>
      </w:r>
    </w:p>
    <w:p w14:paraId="61270025" w14:textId="77777777" w:rsidR="00FB44D6" w:rsidRPr="007B30A0" w:rsidRDefault="00FB44D6" w:rsidP="00FB44D6">
      <w:pPr>
        <w:numPr>
          <w:ilvl w:val="0"/>
          <w:numId w:val="26"/>
        </w:numPr>
        <w:tabs>
          <w:tab w:val="left" w:pos="720"/>
          <w:tab w:val="left" w:pos="1140"/>
        </w:tabs>
        <w:rPr>
          <w:szCs w:val="24"/>
        </w:rPr>
      </w:pPr>
      <w:r w:rsidRPr="007B30A0">
        <w:rPr>
          <w:szCs w:val="24"/>
        </w:rPr>
        <w:t>similar rates of mortality and all strokes (disabling + non-disabling stroke)</w:t>
      </w:r>
    </w:p>
    <w:p w14:paraId="303D73F8" w14:textId="77777777" w:rsidR="00FB44D6" w:rsidRPr="007B30A0" w:rsidRDefault="00FB44D6" w:rsidP="00FB44D6">
      <w:pPr>
        <w:numPr>
          <w:ilvl w:val="0"/>
          <w:numId w:val="26"/>
        </w:numPr>
        <w:tabs>
          <w:tab w:val="left" w:pos="720"/>
          <w:tab w:val="left" w:pos="1140"/>
        </w:tabs>
        <w:rPr>
          <w:szCs w:val="24"/>
        </w:rPr>
      </w:pPr>
      <w:r w:rsidRPr="007B30A0">
        <w:rPr>
          <w:szCs w:val="24"/>
        </w:rPr>
        <w:t>similar rates of the composite of mortality or disabling stroke, and disabling stroke (noting results numerically favoured TAVI-BEV but was not statistically significant as the confidence interval of the hazard ratio of disabling stroke included 1)</w:t>
      </w:r>
    </w:p>
    <w:p w14:paraId="4096B37B" w14:textId="77777777" w:rsidR="00FB44D6" w:rsidRPr="007B30A0" w:rsidRDefault="00FB44D6" w:rsidP="00FB44D6">
      <w:pPr>
        <w:numPr>
          <w:ilvl w:val="0"/>
          <w:numId w:val="26"/>
        </w:numPr>
        <w:tabs>
          <w:tab w:val="left" w:pos="720"/>
          <w:tab w:val="left" w:pos="1140"/>
        </w:tabs>
        <w:rPr>
          <w:szCs w:val="24"/>
        </w:rPr>
      </w:pPr>
      <w:r w:rsidRPr="007B30A0">
        <w:rPr>
          <w:szCs w:val="24"/>
        </w:rPr>
        <w:t>lower rates of non-disabling stroke favouring SAVR.</w:t>
      </w:r>
    </w:p>
    <w:p w14:paraId="1F45DDC0" w14:textId="72E7FEDD" w:rsidR="00FB44D6" w:rsidRDefault="00FB44D6" w:rsidP="00FB44D6">
      <w:pPr>
        <w:tabs>
          <w:tab w:val="left" w:pos="720"/>
          <w:tab w:val="left" w:pos="1140"/>
        </w:tabs>
        <w:rPr>
          <w:szCs w:val="24"/>
        </w:rPr>
      </w:pPr>
      <w:r w:rsidRPr="007B30A0">
        <w:rPr>
          <w:szCs w:val="24"/>
        </w:rPr>
        <w:t xml:space="preserve">MSAC </w:t>
      </w:r>
      <w:r>
        <w:rPr>
          <w:szCs w:val="24"/>
        </w:rPr>
        <w:t xml:space="preserve">also </w:t>
      </w:r>
      <w:r w:rsidRPr="007B30A0">
        <w:rPr>
          <w:szCs w:val="24"/>
        </w:rPr>
        <w:t xml:space="preserve">considered that superiority of TAVI-BEV </w:t>
      </w:r>
      <w:r w:rsidRPr="00D506C6">
        <w:rPr>
          <w:i/>
          <w:szCs w:val="24"/>
        </w:rPr>
        <w:t>vs</w:t>
      </w:r>
      <w:r w:rsidRPr="007B30A0">
        <w:rPr>
          <w:szCs w:val="24"/>
        </w:rPr>
        <w:t>. SEV was not adequately justified.</w:t>
      </w:r>
    </w:p>
    <w:p w14:paraId="29CED253" w14:textId="5C704CC1" w:rsidR="00FB44D6" w:rsidRPr="00E90A7C" w:rsidRDefault="00FB44D6" w:rsidP="0085555A">
      <w:pPr>
        <w:spacing w:before="240"/>
      </w:pPr>
      <w:r w:rsidRPr="00E90A7C">
        <w:t xml:space="preserve">MSAC noted that the revised modelling provided in the pre-MSAC response showed that TAVI-BEV is dominant (i.e. cheaper and more effective), even with a TAVI device cost of </w:t>
      </w:r>
      <w:r w:rsidRPr="0079722B">
        <w:rPr>
          <w:b/>
        </w:rPr>
        <w:t>$</w:t>
      </w:r>
      <w:r w:rsidR="00625BC8" w:rsidRPr="0079722B">
        <w:rPr>
          <w:b/>
        </w:rPr>
        <w:t>redacted</w:t>
      </w:r>
      <w:r w:rsidRPr="0079722B">
        <w:t>.</w:t>
      </w:r>
      <w:r w:rsidRPr="00E90A7C">
        <w:t xml:space="preserve"> However, MSAC noted that the higher </w:t>
      </w:r>
      <w:r w:rsidR="001738B5" w:rsidRPr="00E90A7C">
        <w:t>Prosthes</w:t>
      </w:r>
      <w:r w:rsidR="001738B5">
        <w:t>e</w:t>
      </w:r>
      <w:r w:rsidR="001738B5" w:rsidRPr="00E90A7C">
        <w:t xml:space="preserve">s </w:t>
      </w:r>
      <w:r w:rsidRPr="00E90A7C">
        <w:t>List benefit (</w:t>
      </w:r>
      <w:r w:rsidRPr="0079722B">
        <w:t xml:space="preserve">proposed </w:t>
      </w:r>
      <w:r w:rsidRPr="0079722B">
        <w:rPr>
          <w:b/>
        </w:rPr>
        <w:t>$</w:t>
      </w:r>
      <w:r w:rsidR="00625BC8" w:rsidRPr="0079722B">
        <w:rPr>
          <w:b/>
        </w:rPr>
        <w:t>redacted</w:t>
      </w:r>
      <w:r w:rsidRPr="0079722B">
        <w:t xml:space="preserve"> for TAVI-BEV</w:t>
      </w:r>
      <w:r w:rsidRPr="00E90A7C">
        <w:t xml:space="preserve"> compared with the current benchmark of $22,932 for TAVI-BEV and SEV) is not justified as the 5-year follow-up results from propensity score analysis were not a sufficient basis to conclude superiority of TAVI-BEV over SAVR.</w:t>
      </w:r>
      <w:r w:rsidR="0017291F" w:rsidRPr="00E90A7C">
        <w:t xml:space="preserve"> </w:t>
      </w:r>
      <w:r w:rsidRPr="00E90A7C">
        <w:t xml:space="preserve">In addition, MSAC noted there is the precedent set for </w:t>
      </w:r>
      <w:r w:rsidRPr="0026456D">
        <w:t xml:space="preserve">similar clinical performance and thus the same benefit across TAVI device options in high risk populations should be the default position in the intermediate risk population. MSAC considered there was no basis to award a higher benefit for one device when the Prostheses List had other devices at a lower benefit. MSAC noted that the pre-MSAC response indicated that the </w:t>
      </w:r>
      <w:r w:rsidRPr="0079722B">
        <w:rPr>
          <w:b/>
        </w:rPr>
        <w:t>$</w:t>
      </w:r>
      <w:r w:rsidR="00625BC8" w:rsidRPr="0079722B">
        <w:rPr>
          <w:b/>
        </w:rPr>
        <w:t>redacted</w:t>
      </w:r>
      <w:r w:rsidRPr="0079722B">
        <w:t xml:space="preserve"> includes consumables</w:t>
      </w:r>
      <w:r w:rsidRPr="00E90A7C">
        <w:t xml:space="preserve"> so there would be no net change to price within the private sector (previously purchased by private hospitals and/or patients).</w:t>
      </w:r>
    </w:p>
    <w:p w14:paraId="653B193D" w14:textId="646CBA81" w:rsidR="00FB44D6" w:rsidRPr="007B30A0" w:rsidRDefault="00FB44D6" w:rsidP="0085555A">
      <w:pPr>
        <w:spacing w:before="240"/>
      </w:pPr>
      <w:r w:rsidRPr="00E90A7C">
        <w:t>A comparison of the clinical outcomes</w:t>
      </w:r>
      <w:r>
        <w:t xml:space="preserve"> with TAVI-BEV in the low-risk population (current application) and the intermediate risk population (</w:t>
      </w:r>
      <w:r w:rsidRPr="00414069">
        <w:t>Application No. 1603</w:t>
      </w:r>
      <w:r>
        <w:t xml:space="preserve">) is presented in </w:t>
      </w:r>
      <w:r w:rsidRPr="009B6AD3">
        <w:fldChar w:fldCharType="begin"/>
      </w:r>
      <w:r w:rsidRPr="009B6AD3">
        <w:instrText xml:space="preserve"> REF _Ref66272816 \h </w:instrText>
      </w:r>
      <w:r w:rsidR="009B6AD3">
        <w:instrText xml:space="preserve"> \* MERGEFORMAT </w:instrText>
      </w:r>
      <w:r w:rsidRPr="009B6AD3">
        <w:fldChar w:fldCharType="separate"/>
      </w:r>
      <w:r w:rsidR="003D2F4E" w:rsidRPr="003D2F4E">
        <w:t>Table 2</w:t>
      </w:r>
      <w:r w:rsidRPr="009B6AD3">
        <w:fldChar w:fldCharType="end"/>
      </w:r>
      <w:r w:rsidRPr="009B6AD3">
        <w:t>.</w:t>
      </w:r>
      <w:r>
        <w:t xml:space="preserve"> A comparison of the economic evaluation in the low-risk population (current application) and the intermediate risk population (</w:t>
      </w:r>
      <w:r w:rsidRPr="00414069">
        <w:t>Application No. 1603</w:t>
      </w:r>
      <w:r>
        <w:t>), and high risk/inoperable population (</w:t>
      </w:r>
      <w:hyperlink r:id="rId16" w:history="1">
        <w:r w:rsidRPr="0017291F">
          <w:rPr>
            <w:rStyle w:val="Hyperlink"/>
          </w:rPr>
          <w:t>Application No. 1361.2</w:t>
        </w:r>
      </w:hyperlink>
      <w:r>
        <w:t xml:space="preserve">) is presented in </w:t>
      </w:r>
      <w:r w:rsidRPr="009B6AD3">
        <w:fldChar w:fldCharType="begin"/>
      </w:r>
      <w:r w:rsidRPr="009B6AD3">
        <w:instrText xml:space="preserve"> REF _Ref66272816 \h </w:instrText>
      </w:r>
      <w:r w:rsidR="009B6AD3">
        <w:instrText xml:space="preserve"> \* MERGEFORMAT </w:instrText>
      </w:r>
      <w:r w:rsidRPr="009B6AD3">
        <w:fldChar w:fldCharType="separate"/>
      </w:r>
      <w:r w:rsidR="003D2F4E" w:rsidRPr="003D2F4E">
        <w:t>Table 2</w:t>
      </w:r>
      <w:r w:rsidRPr="009B6AD3">
        <w:fldChar w:fldCharType="end"/>
      </w:r>
      <w:r w:rsidRPr="009B6AD3">
        <w:t>.</w:t>
      </w:r>
    </w:p>
    <w:p w14:paraId="7C9C1602" w14:textId="025024FC" w:rsidR="00FB44D6" w:rsidRPr="00ED294F" w:rsidRDefault="00FB44D6" w:rsidP="0085555A">
      <w:pPr>
        <w:tabs>
          <w:tab w:val="left" w:pos="720"/>
          <w:tab w:val="left" w:pos="1140"/>
        </w:tabs>
        <w:spacing w:before="240"/>
        <w:rPr>
          <w:szCs w:val="24"/>
        </w:rPr>
      </w:pPr>
      <w:r w:rsidRPr="00ED294F">
        <w:rPr>
          <w:szCs w:val="24"/>
        </w:rPr>
        <w:t xml:space="preserve">MSAC Application 1652 will also be considered at the March 2021 MSAC meeting. The Application made a clinical claim of non-inferior effectiveness </w:t>
      </w:r>
      <w:r>
        <w:rPr>
          <w:szCs w:val="24"/>
        </w:rPr>
        <w:t xml:space="preserve">and similar safety </w:t>
      </w:r>
      <w:r w:rsidRPr="00ED294F">
        <w:rPr>
          <w:szCs w:val="24"/>
        </w:rPr>
        <w:t>compared with SAVR (</w:t>
      </w:r>
      <w:hyperlink r:id="rId17" w:history="1">
        <w:r w:rsidRPr="00ED294F">
          <w:rPr>
            <w:rStyle w:val="Hyperlink"/>
            <w:szCs w:val="24"/>
          </w:rPr>
          <w:t>Application 1652</w:t>
        </w:r>
      </w:hyperlink>
      <w:r w:rsidRPr="00ED294F">
        <w:rPr>
          <w:szCs w:val="24"/>
        </w:rPr>
        <w:t>, p15).</w:t>
      </w:r>
    </w:p>
    <w:p w14:paraId="0B055293" w14:textId="6A5BD547" w:rsidR="00FB44D6" w:rsidRPr="00C25802" w:rsidRDefault="00FB44D6" w:rsidP="00FB44D6">
      <w:pPr>
        <w:keepNext/>
        <w:keepLines/>
        <w:spacing w:before="200"/>
        <w:outlineLvl w:val="1"/>
        <w:rPr>
          <w:bCs/>
          <w:i/>
          <w:szCs w:val="26"/>
        </w:rPr>
      </w:pPr>
      <w:r w:rsidRPr="00C25802">
        <w:rPr>
          <w:bCs/>
          <w:i/>
          <w:szCs w:val="26"/>
        </w:rPr>
        <w:t>TAVI high-</w:t>
      </w:r>
      <w:r w:rsidR="00FF4550">
        <w:rPr>
          <w:bCs/>
          <w:i/>
          <w:szCs w:val="26"/>
        </w:rPr>
        <w:t>risk and inoperable application</w:t>
      </w:r>
      <w:r w:rsidRPr="00C25802">
        <w:rPr>
          <w:bCs/>
          <w:i/>
          <w:szCs w:val="26"/>
        </w:rPr>
        <w:t xml:space="preserve"> 1361</w:t>
      </w:r>
      <w:r w:rsidR="00FF4550">
        <w:rPr>
          <w:bCs/>
          <w:i/>
          <w:szCs w:val="26"/>
        </w:rPr>
        <w:t xml:space="preserve"> series</w:t>
      </w:r>
    </w:p>
    <w:p w14:paraId="663D9104" w14:textId="77777777" w:rsidR="00FB44D6" w:rsidRDefault="00FB44D6" w:rsidP="00FB44D6">
      <w:pPr>
        <w:tabs>
          <w:tab w:val="left" w:pos="720"/>
          <w:tab w:val="left" w:pos="1140"/>
        </w:tabs>
        <w:rPr>
          <w:szCs w:val="24"/>
        </w:rPr>
      </w:pPr>
      <w:r w:rsidRPr="00C25802">
        <w:rPr>
          <w:szCs w:val="24"/>
        </w:rPr>
        <w:t>MSAC previously considered the MBS listing of TAVI for use in patients who are symptomatic severe AS at high risk for SAVR or non-operable at its March 2016, October 2015 (</w:t>
      </w:r>
      <w:hyperlink r:id="rId18" w:history="1">
        <w:r w:rsidRPr="00C25802">
          <w:rPr>
            <w:color w:val="0000FF"/>
            <w:szCs w:val="24"/>
            <w:u w:val="single"/>
          </w:rPr>
          <w:t>Stakeholder meeting</w:t>
        </w:r>
      </w:hyperlink>
      <w:r w:rsidRPr="00C25802">
        <w:rPr>
          <w:szCs w:val="24"/>
        </w:rPr>
        <w:t>) July 2015, and April 2015 meetings. At its March 2016 meeting, MSAC supported MBS listing of the TAVI procedure for the aforementioned patient population (</w:t>
      </w:r>
      <w:hyperlink r:id="rId19" w:history="1">
        <w:r>
          <w:rPr>
            <w:color w:val="0000FF"/>
            <w:szCs w:val="24"/>
            <w:u w:val="single"/>
          </w:rPr>
          <w:t>PSD</w:t>
        </w:r>
        <w:r w:rsidRPr="00C25802">
          <w:rPr>
            <w:color w:val="0000FF"/>
            <w:szCs w:val="24"/>
            <w:u w:val="single"/>
          </w:rPr>
          <w:t xml:space="preserve"> Application No. 1361.2</w:t>
        </w:r>
      </w:hyperlink>
      <w:r>
        <w:rPr>
          <w:szCs w:val="24"/>
        </w:rPr>
        <w:t>).</w:t>
      </w:r>
    </w:p>
    <w:p w14:paraId="58AA00D2" w14:textId="58557215" w:rsidR="00FB44D6" w:rsidRDefault="00FB44D6" w:rsidP="0085555A">
      <w:pPr>
        <w:tabs>
          <w:tab w:val="left" w:pos="720"/>
          <w:tab w:val="left" w:pos="1140"/>
        </w:tabs>
        <w:spacing w:before="240"/>
        <w:rPr>
          <w:szCs w:val="24"/>
        </w:rPr>
      </w:pPr>
      <w:r>
        <w:rPr>
          <w:szCs w:val="24"/>
        </w:rPr>
        <w:lastRenderedPageBreak/>
        <w:t>At the March 2016 MSAC consideration, MSAC noted f</w:t>
      </w:r>
      <w:r w:rsidRPr="00D9793F">
        <w:rPr>
          <w:szCs w:val="24"/>
        </w:rPr>
        <w:t>ive-year data from the PARTNER trial</w:t>
      </w:r>
      <w:r>
        <w:rPr>
          <w:rStyle w:val="FootnoteReference"/>
          <w:szCs w:val="24"/>
        </w:rPr>
        <w:footnoteReference w:id="6"/>
      </w:r>
      <w:r w:rsidRPr="00D9793F">
        <w:rPr>
          <w:szCs w:val="24"/>
        </w:rPr>
        <w:t xml:space="preserve"> had been used in the resubmission to</w:t>
      </w:r>
      <w:r>
        <w:rPr>
          <w:szCs w:val="24"/>
        </w:rPr>
        <w:t xml:space="preserve"> </w:t>
      </w:r>
      <w:r w:rsidRPr="00D9793F">
        <w:rPr>
          <w:szCs w:val="24"/>
        </w:rPr>
        <w:t>determine outcome benefits in the model.</w:t>
      </w:r>
      <w:r>
        <w:rPr>
          <w:szCs w:val="24"/>
        </w:rPr>
        <w:t xml:space="preserve"> </w:t>
      </w:r>
      <w:r w:rsidRPr="00D9793F">
        <w:rPr>
          <w:szCs w:val="24"/>
        </w:rPr>
        <w:t>MSAC noted that the base case result in the</w:t>
      </w:r>
      <w:r>
        <w:rPr>
          <w:szCs w:val="24"/>
        </w:rPr>
        <w:t xml:space="preserve"> </w:t>
      </w:r>
      <w:r w:rsidRPr="00D9793F">
        <w:rPr>
          <w:szCs w:val="24"/>
        </w:rPr>
        <w:t>model comparing TAVI with SAVR in high-risk surgical patients was based on the</w:t>
      </w:r>
      <w:r>
        <w:rPr>
          <w:szCs w:val="24"/>
        </w:rPr>
        <w:t xml:space="preserve"> </w:t>
      </w:r>
      <w:r w:rsidRPr="00D9793F">
        <w:rPr>
          <w:szCs w:val="24"/>
        </w:rPr>
        <w:t>subgroup of patients from this trial who received their TAVI via the transfemoral</w:t>
      </w:r>
      <w:r>
        <w:rPr>
          <w:szCs w:val="24"/>
        </w:rPr>
        <w:t xml:space="preserve"> </w:t>
      </w:r>
      <w:r w:rsidRPr="00D9793F">
        <w:rPr>
          <w:szCs w:val="24"/>
        </w:rPr>
        <w:t>route only</w:t>
      </w:r>
      <w:r>
        <w:rPr>
          <w:szCs w:val="24"/>
        </w:rPr>
        <w:t xml:space="preserve"> </w:t>
      </w:r>
      <w:r w:rsidRPr="00C8544A">
        <w:rPr>
          <w:szCs w:val="24"/>
        </w:rPr>
        <w:t>(HR 0.91; 95% CI 0.72, 1.14). These subgroup results were numerically more favourable than the intention-to-treat (ITT) results (HR 1·04; 95% CI 0·86, 1·24). MSAC also noted that the numerically different overall survival estimates following</w:t>
      </w:r>
      <w:r w:rsidRPr="00D9793F">
        <w:rPr>
          <w:szCs w:val="24"/>
        </w:rPr>
        <w:t xml:space="preserve"> TAVI and SAVR were not statistically significantly different in either the</w:t>
      </w:r>
      <w:r>
        <w:rPr>
          <w:szCs w:val="24"/>
        </w:rPr>
        <w:t xml:space="preserve"> </w:t>
      </w:r>
      <w:r w:rsidRPr="00D9793F">
        <w:rPr>
          <w:szCs w:val="24"/>
        </w:rPr>
        <w:t>ITT analysis or the subgroup analysis.</w:t>
      </w:r>
    </w:p>
    <w:p w14:paraId="2F6C9B2B" w14:textId="5B3D6360" w:rsidR="00FB44D6" w:rsidRDefault="00FB44D6" w:rsidP="0085555A">
      <w:pPr>
        <w:tabs>
          <w:tab w:val="left" w:pos="720"/>
          <w:tab w:val="left" w:pos="1140"/>
        </w:tabs>
        <w:spacing w:before="240"/>
        <w:rPr>
          <w:szCs w:val="24"/>
        </w:rPr>
      </w:pPr>
      <w:r w:rsidRPr="0086419A">
        <w:rPr>
          <w:szCs w:val="24"/>
        </w:rPr>
        <w:t>MSAC judged that the greater uncertainty in the revised economic model for TAVI versus</w:t>
      </w:r>
      <w:r>
        <w:rPr>
          <w:szCs w:val="24"/>
        </w:rPr>
        <w:t xml:space="preserve"> </w:t>
      </w:r>
      <w:r w:rsidRPr="0086419A">
        <w:rPr>
          <w:szCs w:val="24"/>
        </w:rPr>
        <w:t xml:space="preserve">SAVR was a source of concern. </w:t>
      </w:r>
      <w:r w:rsidRPr="0079722B">
        <w:rPr>
          <w:szCs w:val="24"/>
        </w:rPr>
        <w:t>The more internally valid estimate of $44,011/QALY increased to $54,489/QALY</w:t>
      </w:r>
      <w:r w:rsidRPr="0086419A">
        <w:rPr>
          <w:szCs w:val="24"/>
        </w:rPr>
        <w:t xml:space="preserve"> when combined in a plausible bivariate sensitivity analysis with</w:t>
      </w:r>
      <w:r>
        <w:rPr>
          <w:szCs w:val="24"/>
        </w:rPr>
        <w:t xml:space="preserve"> </w:t>
      </w:r>
      <w:r w:rsidRPr="0086419A">
        <w:rPr>
          <w:szCs w:val="24"/>
        </w:rPr>
        <w:t>the concern about the probability of complications. Most importantly, MSAC did not</w:t>
      </w:r>
      <w:r>
        <w:rPr>
          <w:szCs w:val="24"/>
        </w:rPr>
        <w:t xml:space="preserve"> </w:t>
      </w:r>
      <w:r w:rsidRPr="0086419A">
        <w:rPr>
          <w:szCs w:val="24"/>
        </w:rPr>
        <w:t>consider that the claim of an improved overall survival was substantiated in order to justify</w:t>
      </w:r>
      <w:r>
        <w:rPr>
          <w:szCs w:val="24"/>
        </w:rPr>
        <w:t xml:space="preserve"> </w:t>
      </w:r>
      <w:r w:rsidRPr="0086419A">
        <w:rPr>
          <w:szCs w:val="24"/>
        </w:rPr>
        <w:t>the incremental cost-effectiveness and incremental cost-utility ratios presented in Steps 3, 4</w:t>
      </w:r>
      <w:r>
        <w:rPr>
          <w:szCs w:val="24"/>
        </w:rPr>
        <w:t xml:space="preserve"> </w:t>
      </w:r>
      <w:r w:rsidRPr="0086419A">
        <w:rPr>
          <w:szCs w:val="24"/>
        </w:rPr>
        <w:t>and 5 of this model, and instead recommended that this aspect of TAVI use be negotiated on</w:t>
      </w:r>
      <w:r>
        <w:rPr>
          <w:szCs w:val="24"/>
        </w:rPr>
        <w:t xml:space="preserve"> </w:t>
      </w:r>
      <w:r w:rsidRPr="0086419A">
        <w:rPr>
          <w:szCs w:val="24"/>
        </w:rPr>
        <w:t>a cost-minimisation basis. Further, as much of the incremental cost in the model was driven</w:t>
      </w:r>
      <w:r>
        <w:rPr>
          <w:szCs w:val="24"/>
        </w:rPr>
        <w:t xml:space="preserve"> </w:t>
      </w:r>
      <w:r w:rsidRPr="0086419A">
        <w:rPr>
          <w:szCs w:val="24"/>
        </w:rPr>
        <w:t>by the cost of the prosthesis, MSAC advised that negotiation of a reduced benefit for the</w:t>
      </w:r>
      <w:r>
        <w:rPr>
          <w:szCs w:val="24"/>
        </w:rPr>
        <w:t xml:space="preserve"> </w:t>
      </w:r>
      <w:r w:rsidRPr="0086419A">
        <w:rPr>
          <w:szCs w:val="24"/>
        </w:rPr>
        <w:t xml:space="preserve">relevant prostheses when considered for the </w:t>
      </w:r>
      <w:r w:rsidR="001738B5" w:rsidRPr="0086419A">
        <w:rPr>
          <w:szCs w:val="24"/>
        </w:rPr>
        <w:t>Prosthes</w:t>
      </w:r>
      <w:r w:rsidR="001738B5">
        <w:rPr>
          <w:szCs w:val="24"/>
        </w:rPr>
        <w:t>e</w:t>
      </w:r>
      <w:r w:rsidR="001738B5" w:rsidRPr="0086419A">
        <w:rPr>
          <w:szCs w:val="24"/>
        </w:rPr>
        <w:t xml:space="preserve">s </w:t>
      </w:r>
      <w:r w:rsidRPr="0086419A">
        <w:rPr>
          <w:szCs w:val="24"/>
        </w:rPr>
        <w:t>List would address this concern.</w:t>
      </w:r>
      <w:r>
        <w:rPr>
          <w:szCs w:val="24"/>
        </w:rPr>
        <w:t xml:space="preserve"> </w:t>
      </w:r>
      <w:r w:rsidRPr="0086419A">
        <w:rPr>
          <w:szCs w:val="24"/>
        </w:rPr>
        <w:t xml:space="preserve">MSAC advised that, notwithstanding the </w:t>
      </w:r>
      <w:proofErr w:type="spellStart"/>
      <w:r w:rsidRPr="0086419A">
        <w:rPr>
          <w:szCs w:val="24"/>
        </w:rPr>
        <w:t>CoreValve</w:t>
      </w:r>
      <w:proofErr w:type="spellEnd"/>
      <w:r w:rsidRPr="0086419A">
        <w:rPr>
          <w:szCs w:val="24"/>
        </w:rPr>
        <w:t xml:space="preserve"> trial, there was limited evidence of</w:t>
      </w:r>
      <w:r>
        <w:rPr>
          <w:szCs w:val="24"/>
        </w:rPr>
        <w:t xml:space="preserve"> </w:t>
      </w:r>
      <w:r w:rsidRPr="0086419A">
        <w:rPr>
          <w:szCs w:val="24"/>
        </w:rPr>
        <w:t>superior safety and clinical effectiveness for TAVI versus SAVR, and as such a cost</w:t>
      </w:r>
      <w:r>
        <w:rPr>
          <w:szCs w:val="24"/>
        </w:rPr>
        <w:t>-</w:t>
      </w:r>
      <w:r w:rsidRPr="0086419A">
        <w:rPr>
          <w:szCs w:val="24"/>
        </w:rPr>
        <w:t>minimisation approach should be considered across all prostheses. MSAC advised that the</w:t>
      </w:r>
      <w:r>
        <w:rPr>
          <w:szCs w:val="24"/>
        </w:rPr>
        <w:t xml:space="preserve"> </w:t>
      </w:r>
      <w:r w:rsidRPr="0086419A">
        <w:rPr>
          <w:szCs w:val="24"/>
        </w:rPr>
        <w:t xml:space="preserve">cost-minimisation basis for this negotiation should be that the benefit for any </w:t>
      </w:r>
      <w:r>
        <w:rPr>
          <w:szCs w:val="24"/>
        </w:rPr>
        <w:t xml:space="preserve">TAVI </w:t>
      </w:r>
      <w:r w:rsidRPr="0086419A">
        <w:rPr>
          <w:szCs w:val="24"/>
        </w:rPr>
        <w:t>prosthesis should be no greater than would exceed the current SAVR prosthesis benefit, plus</w:t>
      </w:r>
      <w:r>
        <w:rPr>
          <w:szCs w:val="24"/>
        </w:rPr>
        <w:t xml:space="preserve"> </w:t>
      </w:r>
      <w:r w:rsidRPr="0086419A">
        <w:rPr>
          <w:szCs w:val="24"/>
        </w:rPr>
        <w:t>the current AR-DRG cost for the procedure to implant the SAVR prosthesis, minus the</w:t>
      </w:r>
      <w:r>
        <w:rPr>
          <w:szCs w:val="24"/>
        </w:rPr>
        <w:t xml:space="preserve"> </w:t>
      </w:r>
      <w:r w:rsidRPr="0086419A">
        <w:rPr>
          <w:szCs w:val="24"/>
        </w:rPr>
        <w:t>application of the 1:1.5 ratio to reduce this AR-DRG cost to implant the TAVI prosthesis.</w:t>
      </w:r>
      <w:r>
        <w:rPr>
          <w:szCs w:val="24"/>
        </w:rPr>
        <w:t xml:space="preserve"> </w:t>
      </w:r>
      <w:r w:rsidRPr="0086419A">
        <w:rPr>
          <w:szCs w:val="24"/>
        </w:rPr>
        <w:t>MSAC further advised that this reduced benefit should also apply to the use of TAVI in the</w:t>
      </w:r>
      <w:r>
        <w:rPr>
          <w:szCs w:val="24"/>
        </w:rPr>
        <w:t xml:space="preserve"> </w:t>
      </w:r>
      <w:r w:rsidRPr="0086419A">
        <w:rPr>
          <w:szCs w:val="24"/>
        </w:rPr>
        <w:t>other cohort of currently inoperable patients.</w:t>
      </w:r>
    </w:p>
    <w:p w14:paraId="5BD26B3D" w14:textId="746E9946" w:rsidR="00FB44D6" w:rsidRDefault="00FB44D6" w:rsidP="0085555A">
      <w:pPr>
        <w:tabs>
          <w:tab w:val="left" w:pos="720"/>
          <w:tab w:val="left" w:pos="1140"/>
        </w:tabs>
        <w:spacing w:before="240"/>
        <w:rPr>
          <w:i/>
          <w:szCs w:val="24"/>
        </w:rPr>
        <w:sectPr w:rsidR="00FB44D6" w:rsidSect="00271F18">
          <w:headerReference w:type="even" r:id="rId20"/>
          <w:headerReference w:type="default" r:id="rId21"/>
          <w:footerReference w:type="even" r:id="rId22"/>
          <w:footerReference w:type="default" r:id="rId23"/>
          <w:headerReference w:type="first" r:id="rId24"/>
          <w:footerReference w:type="first" r:id="rId25"/>
          <w:pgSz w:w="11906" w:h="16838"/>
          <w:pgMar w:top="1134" w:right="1440" w:bottom="426" w:left="1440" w:header="708" w:footer="708" w:gutter="0"/>
          <w:cols w:space="708"/>
          <w:docGrid w:linePitch="360"/>
        </w:sectPr>
      </w:pPr>
      <w:r w:rsidRPr="00C25802">
        <w:rPr>
          <w:szCs w:val="24"/>
        </w:rPr>
        <w:t xml:space="preserve">TAVI was listed on the MBS (MBS item 38495, and case conference items 6080, 6081) for patients assessed as having an unacceptably high risk for surgical aortic valve </w:t>
      </w:r>
      <w:r>
        <w:rPr>
          <w:szCs w:val="24"/>
        </w:rPr>
        <w:t>replacement on 1 November 2017</w:t>
      </w:r>
      <w:r w:rsidR="00BC1364" w:rsidRPr="0041184F">
        <w:rPr>
          <w:i/>
          <w:szCs w:val="24"/>
        </w:rPr>
        <w:t>.</w:t>
      </w:r>
    </w:p>
    <w:p w14:paraId="3268F07B" w14:textId="15869B17" w:rsidR="00FB44D6" w:rsidRPr="00FB44D6" w:rsidRDefault="00FB44D6" w:rsidP="00883AA2">
      <w:pPr>
        <w:keepNext/>
        <w:spacing w:after="40"/>
        <w:jc w:val="both"/>
        <w:outlineLvl w:val="4"/>
        <w:rPr>
          <w:rFonts w:ascii="Arial Narrow" w:hAnsi="Arial Narrow" w:cs="Arial"/>
          <w:b/>
          <w:bCs/>
          <w:iCs/>
          <w:sz w:val="20"/>
          <w:lang w:eastAsia="en-US"/>
        </w:rPr>
      </w:pPr>
      <w:bookmarkStart w:id="2" w:name="_Ref65065464"/>
      <w:r w:rsidRPr="00FB44D6">
        <w:rPr>
          <w:rFonts w:ascii="Arial Narrow" w:hAnsi="Arial Narrow" w:cs="Arial"/>
          <w:b/>
          <w:bCs/>
          <w:iCs/>
          <w:sz w:val="20"/>
          <w:lang w:eastAsia="en-US"/>
        </w:rPr>
        <w:lastRenderedPageBreak/>
        <w:t xml:space="preserve">Table </w:t>
      </w:r>
      <w:r w:rsidRPr="00FB44D6">
        <w:rPr>
          <w:rFonts w:ascii="Arial Narrow" w:hAnsi="Arial Narrow" w:cs="Arial"/>
          <w:b/>
          <w:bCs/>
          <w:iCs/>
          <w:sz w:val="20"/>
          <w:lang w:eastAsia="en-US"/>
        </w:rPr>
        <w:fldChar w:fldCharType="begin"/>
      </w:r>
      <w:r w:rsidRPr="00FB44D6">
        <w:rPr>
          <w:rFonts w:ascii="Arial Narrow" w:hAnsi="Arial Narrow" w:cs="Arial"/>
          <w:b/>
          <w:bCs/>
          <w:iCs/>
          <w:sz w:val="20"/>
          <w:lang w:eastAsia="en-US"/>
        </w:rPr>
        <w:instrText xml:space="preserve"> SEQ Table \* ARABIC </w:instrText>
      </w:r>
      <w:r w:rsidRPr="00FB44D6">
        <w:rPr>
          <w:rFonts w:ascii="Arial Narrow" w:hAnsi="Arial Narrow" w:cs="Arial"/>
          <w:b/>
          <w:bCs/>
          <w:iCs/>
          <w:sz w:val="20"/>
          <w:lang w:eastAsia="en-US"/>
        </w:rPr>
        <w:fldChar w:fldCharType="separate"/>
      </w:r>
      <w:r w:rsidR="003D2F4E">
        <w:rPr>
          <w:rFonts w:ascii="Arial Narrow" w:hAnsi="Arial Narrow" w:cs="Arial"/>
          <w:b/>
          <w:bCs/>
          <w:iCs/>
          <w:noProof/>
          <w:sz w:val="20"/>
          <w:lang w:eastAsia="en-US"/>
        </w:rPr>
        <w:t>1</w:t>
      </w:r>
      <w:r w:rsidRPr="00FB44D6">
        <w:rPr>
          <w:rFonts w:ascii="Arial Narrow" w:hAnsi="Arial Narrow" w:cs="Arial"/>
          <w:b/>
          <w:bCs/>
          <w:iCs/>
          <w:noProof/>
          <w:sz w:val="20"/>
          <w:lang w:eastAsia="en-US"/>
        </w:rPr>
        <w:fldChar w:fldCharType="end"/>
      </w:r>
      <w:bookmarkEnd w:id="2"/>
      <w:r w:rsidRPr="00FB44D6">
        <w:rPr>
          <w:rFonts w:ascii="Arial Narrow" w:hAnsi="Arial Narrow" w:cs="Tahoma"/>
          <w:iCs/>
          <w:sz w:val="20"/>
          <w:szCs w:val="22"/>
          <w:lang w:eastAsia="en-US"/>
        </w:rPr>
        <w:tab/>
      </w:r>
      <w:r w:rsidRPr="00FB44D6">
        <w:rPr>
          <w:rFonts w:ascii="Arial Narrow" w:hAnsi="Arial Narrow" w:cs="Arial"/>
          <w:b/>
          <w:bCs/>
          <w:iCs/>
          <w:sz w:val="20"/>
          <w:lang w:eastAsia="en-US"/>
        </w:rPr>
        <w:t xml:space="preserve">Comparison of clinical outcomes between TAVI-BEV for low-risk patients (MSAC 1635) and TAVI-BEV for intermediate-risk patients (MSAC 1603) </w:t>
      </w:r>
    </w:p>
    <w:tbl>
      <w:tblPr>
        <w:tblStyle w:val="HealthConsult3"/>
        <w:tblW w:w="13892" w:type="dxa"/>
        <w:tblInd w:w="-5" w:type="dxa"/>
        <w:tblLayout w:type="fixed"/>
        <w:tblLook w:val="04A0" w:firstRow="1" w:lastRow="0" w:firstColumn="1" w:lastColumn="0" w:noHBand="0" w:noVBand="1"/>
        <w:tblDescription w:val="Comparison of clinical outcomes between TAVI-BEV for low-risk patients (MSAC 1635) and TAVI-BEV for intermediate-risk patients (MSAC 1603) "/>
      </w:tblPr>
      <w:tblGrid>
        <w:gridCol w:w="2977"/>
        <w:gridCol w:w="1701"/>
        <w:gridCol w:w="1559"/>
        <w:gridCol w:w="2268"/>
        <w:gridCol w:w="1560"/>
        <w:gridCol w:w="1559"/>
        <w:gridCol w:w="2268"/>
      </w:tblGrid>
      <w:tr w:rsidR="00FB44D6" w:rsidRPr="003B08F2" w14:paraId="54395782" w14:textId="77777777" w:rsidTr="0017291F">
        <w:trPr>
          <w:trHeight w:val="20"/>
          <w:tblHeader/>
        </w:trPr>
        <w:tc>
          <w:tcPr>
            <w:tcW w:w="2977" w:type="dxa"/>
            <w:vMerge w:val="restart"/>
            <w:vAlign w:val="center"/>
          </w:tcPr>
          <w:p w14:paraId="7EDE790B" w14:textId="77777777" w:rsidR="00FB44D6" w:rsidRPr="00ED5F15" w:rsidRDefault="00FB44D6" w:rsidP="00FB44D6">
            <w:pPr>
              <w:spacing w:after="0"/>
              <w:ind w:left="23"/>
              <w:rPr>
                <w:rFonts w:ascii="Arial Narrow" w:hAnsi="Arial Narrow" w:cs="Tahoma"/>
                <w:b/>
                <w:bCs/>
                <w:i/>
                <w:iCs/>
                <w:sz w:val="20"/>
              </w:rPr>
            </w:pPr>
            <w:r w:rsidRPr="00ED5F15">
              <w:rPr>
                <w:rFonts w:ascii="Arial Narrow" w:hAnsi="Arial Narrow" w:cs="Tahoma"/>
                <w:b/>
                <w:bCs/>
                <w:i/>
                <w:iCs/>
                <w:sz w:val="20"/>
              </w:rPr>
              <w:t>Outcome</w:t>
            </w:r>
          </w:p>
        </w:tc>
        <w:tc>
          <w:tcPr>
            <w:tcW w:w="5528" w:type="dxa"/>
            <w:gridSpan w:val="3"/>
            <w:vAlign w:val="center"/>
          </w:tcPr>
          <w:p w14:paraId="37D69D72" w14:textId="77777777" w:rsidR="00FB44D6" w:rsidRPr="00ED5F15" w:rsidRDefault="00FB44D6" w:rsidP="00FB44D6">
            <w:pPr>
              <w:spacing w:after="0"/>
              <w:ind w:left="23"/>
              <w:jc w:val="center"/>
              <w:rPr>
                <w:rFonts w:ascii="Arial Narrow" w:hAnsi="Arial Narrow" w:cs="Tahoma"/>
                <w:b/>
                <w:bCs/>
                <w:i/>
                <w:iCs/>
                <w:sz w:val="20"/>
              </w:rPr>
            </w:pPr>
            <w:r w:rsidRPr="00ED5F15">
              <w:rPr>
                <w:rFonts w:ascii="Arial Narrow" w:hAnsi="Arial Narrow" w:cs="Tahoma"/>
                <w:b/>
                <w:bCs/>
                <w:i/>
                <w:iCs/>
                <w:sz w:val="20"/>
              </w:rPr>
              <w:t>PARTNER 3 (Low-Risk)</w:t>
            </w:r>
          </w:p>
        </w:tc>
        <w:tc>
          <w:tcPr>
            <w:tcW w:w="5387" w:type="dxa"/>
            <w:gridSpan w:val="3"/>
            <w:vAlign w:val="center"/>
          </w:tcPr>
          <w:p w14:paraId="3F630165" w14:textId="77777777" w:rsidR="00FB44D6" w:rsidRPr="00ED5F15" w:rsidRDefault="00FB44D6" w:rsidP="00FB44D6">
            <w:pPr>
              <w:spacing w:after="0"/>
              <w:ind w:left="23"/>
              <w:jc w:val="center"/>
              <w:rPr>
                <w:rFonts w:ascii="Arial Narrow" w:hAnsi="Arial Narrow" w:cs="Tahoma"/>
                <w:b/>
                <w:bCs/>
                <w:i/>
                <w:iCs/>
                <w:sz w:val="20"/>
              </w:rPr>
            </w:pPr>
            <w:r w:rsidRPr="00ED5F15">
              <w:rPr>
                <w:rFonts w:ascii="Arial Narrow" w:hAnsi="Arial Narrow" w:cs="Tahoma"/>
                <w:b/>
                <w:bCs/>
                <w:i/>
                <w:iCs/>
                <w:sz w:val="20"/>
              </w:rPr>
              <w:t>PARTNER S3i (Intermediate-Risk)</w:t>
            </w:r>
          </w:p>
        </w:tc>
      </w:tr>
      <w:tr w:rsidR="00FB44D6" w:rsidRPr="003B08F2" w14:paraId="3E69004E" w14:textId="77777777" w:rsidTr="0017291F">
        <w:trPr>
          <w:trHeight w:val="20"/>
          <w:tblHeader/>
        </w:trPr>
        <w:tc>
          <w:tcPr>
            <w:tcW w:w="2977" w:type="dxa"/>
            <w:vMerge/>
            <w:vAlign w:val="center"/>
          </w:tcPr>
          <w:p w14:paraId="36DEEB92" w14:textId="77777777" w:rsidR="00FB44D6" w:rsidRPr="00ED5F15" w:rsidRDefault="00FB44D6" w:rsidP="00FB44D6">
            <w:pPr>
              <w:spacing w:after="0"/>
              <w:ind w:left="23"/>
              <w:rPr>
                <w:rFonts w:ascii="Arial Narrow" w:hAnsi="Arial Narrow" w:cs="Tahoma"/>
                <w:i/>
                <w:iCs/>
                <w:sz w:val="20"/>
              </w:rPr>
            </w:pPr>
          </w:p>
        </w:tc>
        <w:tc>
          <w:tcPr>
            <w:tcW w:w="1701" w:type="dxa"/>
            <w:vAlign w:val="center"/>
          </w:tcPr>
          <w:p w14:paraId="2100159C" w14:textId="77777777" w:rsidR="00FB44D6" w:rsidRPr="00ED5F15" w:rsidRDefault="00FB44D6" w:rsidP="00FB44D6">
            <w:pPr>
              <w:spacing w:after="0"/>
              <w:ind w:left="23"/>
              <w:jc w:val="center"/>
              <w:rPr>
                <w:rFonts w:ascii="Arial Narrow" w:hAnsi="Arial Narrow" w:cs="Tahoma"/>
                <w:b/>
                <w:bCs/>
                <w:i/>
                <w:iCs/>
                <w:sz w:val="20"/>
              </w:rPr>
            </w:pPr>
            <w:r w:rsidRPr="00ED5F15">
              <w:rPr>
                <w:rFonts w:ascii="Arial Narrow" w:hAnsi="Arial Narrow" w:cs="Tahoma"/>
                <w:b/>
                <w:bCs/>
                <w:i/>
                <w:iCs/>
                <w:sz w:val="20"/>
              </w:rPr>
              <w:t>TAVI-BEV</w:t>
            </w:r>
          </w:p>
        </w:tc>
        <w:tc>
          <w:tcPr>
            <w:tcW w:w="1559" w:type="dxa"/>
            <w:vAlign w:val="center"/>
          </w:tcPr>
          <w:p w14:paraId="1B49C5C9" w14:textId="77777777" w:rsidR="00FB44D6" w:rsidRPr="00ED5F15" w:rsidRDefault="00FB44D6" w:rsidP="00FB44D6">
            <w:pPr>
              <w:spacing w:after="0"/>
              <w:ind w:left="23"/>
              <w:jc w:val="center"/>
              <w:rPr>
                <w:rFonts w:ascii="Arial Narrow" w:hAnsi="Arial Narrow" w:cs="Tahoma"/>
                <w:b/>
                <w:bCs/>
                <w:i/>
                <w:iCs/>
                <w:sz w:val="20"/>
              </w:rPr>
            </w:pPr>
            <w:r w:rsidRPr="00ED5F15">
              <w:rPr>
                <w:rFonts w:ascii="Arial Narrow" w:hAnsi="Arial Narrow" w:cs="Tahoma"/>
                <w:b/>
                <w:bCs/>
                <w:i/>
                <w:iCs/>
                <w:sz w:val="20"/>
              </w:rPr>
              <w:t>SAVR</w:t>
            </w:r>
          </w:p>
        </w:tc>
        <w:tc>
          <w:tcPr>
            <w:tcW w:w="2268" w:type="dxa"/>
            <w:vAlign w:val="center"/>
          </w:tcPr>
          <w:p w14:paraId="783567C3" w14:textId="77777777" w:rsidR="00FB44D6" w:rsidRPr="00ED5F15" w:rsidRDefault="00FB44D6" w:rsidP="00FB44D6">
            <w:pPr>
              <w:spacing w:after="0"/>
              <w:ind w:left="23"/>
              <w:jc w:val="center"/>
              <w:rPr>
                <w:rFonts w:ascii="Arial Narrow" w:hAnsi="Arial Narrow" w:cs="Tahoma"/>
                <w:b/>
                <w:bCs/>
                <w:i/>
                <w:iCs/>
                <w:sz w:val="20"/>
              </w:rPr>
            </w:pPr>
            <w:r w:rsidRPr="00ED5F15">
              <w:rPr>
                <w:rFonts w:ascii="Arial Narrow" w:hAnsi="Arial Narrow" w:cs="Tahoma"/>
                <w:b/>
                <w:bCs/>
                <w:i/>
                <w:iCs/>
                <w:sz w:val="20"/>
              </w:rPr>
              <w:t>Treatment Effect (95% CI)</w:t>
            </w:r>
          </w:p>
        </w:tc>
        <w:tc>
          <w:tcPr>
            <w:tcW w:w="1560" w:type="dxa"/>
            <w:vAlign w:val="center"/>
          </w:tcPr>
          <w:p w14:paraId="33DAA970" w14:textId="77777777" w:rsidR="00FB44D6" w:rsidRPr="00ED5F15" w:rsidRDefault="00FB44D6" w:rsidP="00FB44D6">
            <w:pPr>
              <w:spacing w:after="0"/>
              <w:ind w:left="23"/>
              <w:jc w:val="center"/>
              <w:rPr>
                <w:rFonts w:ascii="Arial Narrow" w:hAnsi="Arial Narrow" w:cs="Tahoma"/>
                <w:b/>
                <w:bCs/>
                <w:i/>
                <w:iCs/>
                <w:sz w:val="20"/>
              </w:rPr>
            </w:pPr>
            <w:r w:rsidRPr="00ED5F15">
              <w:rPr>
                <w:rFonts w:ascii="Arial Narrow" w:hAnsi="Arial Narrow" w:cs="Tahoma"/>
                <w:b/>
                <w:bCs/>
                <w:i/>
                <w:iCs/>
                <w:sz w:val="20"/>
              </w:rPr>
              <w:t>TAVI-BEV</w:t>
            </w:r>
          </w:p>
        </w:tc>
        <w:tc>
          <w:tcPr>
            <w:tcW w:w="1559" w:type="dxa"/>
            <w:vAlign w:val="center"/>
          </w:tcPr>
          <w:p w14:paraId="66A3026E" w14:textId="77777777" w:rsidR="00FB44D6" w:rsidRPr="00ED5F15" w:rsidRDefault="00FB44D6" w:rsidP="00FB44D6">
            <w:pPr>
              <w:spacing w:after="0"/>
              <w:ind w:left="23"/>
              <w:jc w:val="center"/>
              <w:rPr>
                <w:rFonts w:ascii="Arial Narrow" w:hAnsi="Arial Narrow" w:cs="Tahoma"/>
                <w:b/>
                <w:bCs/>
                <w:i/>
                <w:iCs/>
                <w:sz w:val="20"/>
              </w:rPr>
            </w:pPr>
            <w:r w:rsidRPr="00ED5F15">
              <w:rPr>
                <w:rFonts w:ascii="Arial Narrow" w:hAnsi="Arial Narrow" w:cs="Tahoma"/>
                <w:b/>
                <w:bCs/>
                <w:i/>
                <w:iCs/>
                <w:sz w:val="20"/>
              </w:rPr>
              <w:t>SAVR</w:t>
            </w:r>
          </w:p>
        </w:tc>
        <w:tc>
          <w:tcPr>
            <w:tcW w:w="2268" w:type="dxa"/>
            <w:vAlign w:val="bottom"/>
          </w:tcPr>
          <w:p w14:paraId="16A12083" w14:textId="77777777" w:rsidR="00FB44D6" w:rsidRPr="00ED5F15" w:rsidRDefault="00FB44D6" w:rsidP="0017291F">
            <w:pPr>
              <w:spacing w:after="0"/>
              <w:ind w:left="23"/>
              <w:jc w:val="center"/>
              <w:rPr>
                <w:rFonts w:ascii="Arial Narrow" w:hAnsi="Arial Narrow" w:cs="Tahoma"/>
                <w:b/>
                <w:bCs/>
                <w:i/>
                <w:iCs/>
                <w:sz w:val="20"/>
              </w:rPr>
            </w:pPr>
            <w:r w:rsidRPr="00ED5F15">
              <w:rPr>
                <w:rFonts w:ascii="Arial Narrow" w:hAnsi="Arial Narrow" w:cs="Tahoma"/>
                <w:b/>
                <w:bCs/>
                <w:i/>
                <w:iCs/>
                <w:sz w:val="20"/>
              </w:rPr>
              <w:t>Treatment Effect (95% CI)</w:t>
            </w:r>
          </w:p>
        </w:tc>
      </w:tr>
      <w:tr w:rsidR="00FB44D6" w:rsidRPr="003B08F2" w14:paraId="737C69EC" w14:textId="77777777" w:rsidTr="0017291F">
        <w:trPr>
          <w:trHeight w:val="20"/>
        </w:trPr>
        <w:tc>
          <w:tcPr>
            <w:tcW w:w="2977" w:type="dxa"/>
            <w:vAlign w:val="center"/>
          </w:tcPr>
          <w:p w14:paraId="5D3D8B73" w14:textId="77777777" w:rsidR="00FB44D6" w:rsidRPr="0079722B" w:rsidRDefault="00FB44D6" w:rsidP="00FB44D6">
            <w:pPr>
              <w:spacing w:after="0"/>
              <w:ind w:left="23"/>
              <w:rPr>
                <w:rFonts w:ascii="Arial Narrow" w:hAnsi="Arial Narrow" w:cs="Tahoma"/>
                <w:i/>
                <w:iCs/>
                <w:sz w:val="20"/>
              </w:rPr>
            </w:pPr>
            <w:r w:rsidRPr="0079722B">
              <w:rPr>
                <w:rFonts w:ascii="Arial Narrow" w:hAnsi="Arial Narrow" w:cs="Tahoma"/>
                <w:i/>
                <w:iCs/>
                <w:sz w:val="20"/>
              </w:rPr>
              <w:t xml:space="preserve">Study Type </w:t>
            </w:r>
          </w:p>
        </w:tc>
        <w:tc>
          <w:tcPr>
            <w:tcW w:w="5528" w:type="dxa"/>
            <w:gridSpan w:val="3"/>
            <w:vAlign w:val="center"/>
          </w:tcPr>
          <w:p w14:paraId="1D1B8FD3" w14:textId="77777777" w:rsidR="00FB44D6" w:rsidRPr="0079722B" w:rsidRDefault="00FB44D6" w:rsidP="003915B9">
            <w:pPr>
              <w:spacing w:after="0"/>
              <w:ind w:left="23"/>
              <w:rPr>
                <w:rFonts w:ascii="Arial Narrow" w:hAnsi="Arial Narrow" w:cs="Tahoma"/>
                <w:bCs/>
                <w:i/>
                <w:iCs/>
                <w:sz w:val="20"/>
              </w:rPr>
            </w:pPr>
            <w:r w:rsidRPr="0079722B">
              <w:rPr>
                <w:rFonts w:ascii="Arial Narrow" w:hAnsi="Arial Narrow" w:cs="Tahoma"/>
                <w:bCs/>
                <w:i/>
                <w:iCs/>
                <w:sz w:val="20"/>
              </w:rPr>
              <w:t>Randomised, multicentre, open-label trial, non-</w:t>
            </w:r>
            <w:proofErr w:type="gramStart"/>
            <w:r w:rsidRPr="0079722B">
              <w:rPr>
                <w:rFonts w:ascii="Arial Narrow" w:hAnsi="Arial Narrow" w:cs="Tahoma"/>
                <w:bCs/>
                <w:i/>
                <w:iCs/>
                <w:sz w:val="20"/>
              </w:rPr>
              <w:t>inferiority</w:t>
            </w:r>
            <w:proofErr w:type="gramEnd"/>
            <w:r w:rsidRPr="0079722B">
              <w:rPr>
                <w:rFonts w:ascii="Arial Narrow" w:hAnsi="Arial Narrow" w:cs="Tahoma"/>
                <w:bCs/>
                <w:i/>
                <w:iCs/>
                <w:sz w:val="20"/>
              </w:rPr>
              <w:t xml:space="preserve"> and superiority trial between TAVI-BEV and SAVR</w:t>
            </w:r>
          </w:p>
        </w:tc>
        <w:tc>
          <w:tcPr>
            <w:tcW w:w="5387" w:type="dxa"/>
            <w:gridSpan w:val="3"/>
            <w:vAlign w:val="center"/>
          </w:tcPr>
          <w:p w14:paraId="45694B59" w14:textId="77777777" w:rsidR="00FB44D6" w:rsidRPr="0079722B" w:rsidRDefault="00FB44D6" w:rsidP="003915B9">
            <w:pPr>
              <w:spacing w:after="0"/>
              <w:ind w:left="23"/>
              <w:rPr>
                <w:rFonts w:ascii="Arial Narrow" w:hAnsi="Arial Narrow" w:cs="Tahoma"/>
                <w:i/>
                <w:iCs/>
                <w:sz w:val="20"/>
              </w:rPr>
            </w:pPr>
            <w:r w:rsidRPr="0079722B">
              <w:rPr>
                <w:rFonts w:ascii="Arial Narrow" w:hAnsi="Arial Narrow" w:cs="Tahoma"/>
                <w:i/>
                <w:iCs/>
                <w:sz w:val="20"/>
              </w:rPr>
              <w:t>Propensity score-adjusted comparison of two sub-populations from the SAPIEN 3 (TAVI-BEV) and PARTNER 2A (SAVR)</w:t>
            </w:r>
          </w:p>
        </w:tc>
      </w:tr>
      <w:tr w:rsidR="00FB44D6" w:rsidRPr="003B08F2" w14:paraId="072E5E14" w14:textId="77777777" w:rsidTr="00FB44D6">
        <w:trPr>
          <w:trHeight w:val="20"/>
        </w:trPr>
        <w:tc>
          <w:tcPr>
            <w:tcW w:w="13892" w:type="dxa"/>
            <w:gridSpan w:val="7"/>
            <w:vAlign w:val="center"/>
          </w:tcPr>
          <w:p w14:paraId="06F885B6" w14:textId="77777777" w:rsidR="00FB44D6" w:rsidRPr="00ED5F15" w:rsidRDefault="00FB44D6" w:rsidP="00FB44D6">
            <w:pPr>
              <w:spacing w:after="0"/>
              <w:ind w:left="23"/>
              <w:rPr>
                <w:rFonts w:ascii="Arial Narrow" w:hAnsi="Arial Narrow" w:cs="Tahoma"/>
                <w:b/>
                <w:bCs/>
                <w:i/>
                <w:iCs/>
                <w:sz w:val="20"/>
              </w:rPr>
            </w:pPr>
            <w:r w:rsidRPr="00ED5F15">
              <w:rPr>
                <w:rFonts w:ascii="Arial Narrow" w:hAnsi="Arial Narrow" w:cs="Tahoma"/>
                <w:b/>
                <w:bCs/>
                <w:i/>
                <w:iCs/>
                <w:sz w:val="20"/>
              </w:rPr>
              <w:t>Patient Demographics</w:t>
            </w:r>
          </w:p>
        </w:tc>
      </w:tr>
      <w:tr w:rsidR="00FB44D6" w:rsidRPr="003B08F2" w14:paraId="16495175" w14:textId="77777777" w:rsidTr="0017291F">
        <w:trPr>
          <w:trHeight w:val="205"/>
        </w:trPr>
        <w:tc>
          <w:tcPr>
            <w:tcW w:w="2977" w:type="dxa"/>
            <w:vAlign w:val="center"/>
          </w:tcPr>
          <w:p w14:paraId="18DBD945" w14:textId="77777777" w:rsidR="00FB44D6" w:rsidRPr="00ED5F15" w:rsidRDefault="00FB44D6" w:rsidP="003915B9">
            <w:pPr>
              <w:spacing w:after="0"/>
              <w:ind w:left="23"/>
              <w:rPr>
                <w:rFonts w:ascii="Arial Narrow" w:hAnsi="Arial Narrow" w:cs="Tahoma"/>
                <w:i/>
                <w:iCs/>
                <w:sz w:val="20"/>
              </w:rPr>
            </w:pPr>
            <w:r w:rsidRPr="00ED5F15">
              <w:rPr>
                <w:rFonts w:ascii="Arial Narrow" w:hAnsi="Arial Narrow" w:cs="Tahoma"/>
                <w:i/>
                <w:iCs/>
                <w:sz w:val="20"/>
              </w:rPr>
              <w:t>Age (years)</w:t>
            </w:r>
          </w:p>
        </w:tc>
        <w:tc>
          <w:tcPr>
            <w:tcW w:w="1701" w:type="dxa"/>
            <w:vAlign w:val="center"/>
          </w:tcPr>
          <w:p w14:paraId="452AE1CA" w14:textId="77777777" w:rsidR="00FB44D6" w:rsidRPr="003B08F2" w:rsidRDefault="00FB44D6" w:rsidP="003915B9">
            <w:pPr>
              <w:spacing w:after="0"/>
              <w:ind w:left="23"/>
              <w:jc w:val="center"/>
              <w:rPr>
                <w:rFonts w:ascii="Arial Narrow" w:hAnsi="Arial Narrow" w:cs="Tahoma"/>
                <w:i/>
                <w:iCs/>
                <w:sz w:val="20"/>
                <w:highlight w:val="yellow"/>
              </w:rPr>
            </w:pPr>
            <w:r w:rsidRPr="00ED5F15">
              <w:rPr>
                <w:rFonts w:ascii="Arial Narrow" w:hAnsi="Arial Narrow" w:cs="Tahoma"/>
                <w:i/>
                <w:iCs/>
                <w:sz w:val="20"/>
              </w:rPr>
              <w:t>73.3 (5.8)</w:t>
            </w:r>
          </w:p>
        </w:tc>
        <w:tc>
          <w:tcPr>
            <w:tcW w:w="1559" w:type="dxa"/>
            <w:vAlign w:val="center"/>
          </w:tcPr>
          <w:p w14:paraId="1924E54A" w14:textId="77777777" w:rsidR="00FB44D6" w:rsidRPr="003B08F2" w:rsidRDefault="00FB44D6" w:rsidP="003915B9">
            <w:pPr>
              <w:spacing w:after="0"/>
              <w:ind w:left="23"/>
              <w:jc w:val="center"/>
              <w:rPr>
                <w:rFonts w:ascii="Arial Narrow" w:hAnsi="Arial Narrow" w:cs="Tahoma"/>
                <w:i/>
                <w:iCs/>
                <w:sz w:val="20"/>
                <w:highlight w:val="yellow"/>
              </w:rPr>
            </w:pPr>
            <w:r w:rsidRPr="00ED5F15">
              <w:rPr>
                <w:rFonts w:ascii="Arial Narrow" w:hAnsi="Arial Narrow" w:cs="Tahoma"/>
                <w:i/>
                <w:iCs/>
                <w:sz w:val="20"/>
              </w:rPr>
              <w:t>73.6 (6.1)</w:t>
            </w:r>
          </w:p>
        </w:tc>
        <w:tc>
          <w:tcPr>
            <w:tcW w:w="2268" w:type="dxa"/>
            <w:vAlign w:val="center"/>
          </w:tcPr>
          <w:p w14:paraId="377D18BB" w14:textId="77777777" w:rsidR="00FB44D6" w:rsidRPr="00F6484B" w:rsidRDefault="00FB44D6" w:rsidP="003915B9">
            <w:pPr>
              <w:spacing w:after="0"/>
              <w:ind w:left="23"/>
              <w:jc w:val="center"/>
              <w:rPr>
                <w:rFonts w:ascii="Arial Narrow" w:hAnsi="Arial Narrow" w:cs="Tahoma"/>
                <w:i/>
                <w:iCs/>
                <w:sz w:val="20"/>
              </w:rPr>
            </w:pPr>
            <w:r w:rsidRPr="00F6484B">
              <w:rPr>
                <w:rFonts w:ascii="Arial Narrow" w:hAnsi="Arial Narrow" w:cs="Tahoma"/>
                <w:i/>
                <w:iCs/>
                <w:sz w:val="20"/>
              </w:rPr>
              <w:t>-</w:t>
            </w:r>
          </w:p>
        </w:tc>
        <w:tc>
          <w:tcPr>
            <w:tcW w:w="1560" w:type="dxa"/>
            <w:vAlign w:val="center"/>
          </w:tcPr>
          <w:p w14:paraId="552A9766" w14:textId="77777777" w:rsidR="00FB44D6" w:rsidRPr="00B65B9E" w:rsidRDefault="00FB44D6" w:rsidP="003915B9">
            <w:pPr>
              <w:spacing w:after="0"/>
              <w:ind w:left="23"/>
              <w:jc w:val="center"/>
              <w:rPr>
                <w:rFonts w:ascii="Arial Narrow" w:hAnsi="Arial Narrow" w:cs="Tahoma"/>
                <w:i/>
                <w:iCs/>
                <w:sz w:val="20"/>
              </w:rPr>
            </w:pPr>
            <w:r w:rsidRPr="00B65B9E">
              <w:rPr>
                <w:rFonts w:ascii="Arial Narrow" w:hAnsi="Arial Narrow" w:cs="Tahoma"/>
                <w:i/>
                <w:iCs/>
                <w:sz w:val="20"/>
              </w:rPr>
              <w:t>81.9 (6·6)</w:t>
            </w:r>
          </w:p>
        </w:tc>
        <w:tc>
          <w:tcPr>
            <w:tcW w:w="1559" w:type="dxa"/>
            <w:vAlign w:val="center"/>
          </w:tcPr>
          <w:p w14:paraId="5DFEF93F" w14:textId="77777777" w:rsidR="00FB44D6" w:rsidRPr="00B65B9E" w:rsidRDefault="00FB44D6" w:rsidP="003915B9">
            <w:pPr>
              <w:spacing w:after="0"/>
              <w:ind w:left="23"/>
              <w:jc w:val="center"/>
              <w:rPr>
                <w:rFonts w:ascii="Arial Narrow" w:hAnsi="Arial Narrow" w:cs="Tahoma"/>
                <w:i/>
                <w:iCs/>
                <w:sz w:val="20"/>
              </w:rPr>
            </w:pPr>
            <w:r w:rsidRPr="00B65B9E">
              <w:rPr>
                <w:rFonts w:ascii="Arial Narrow" w:hAnsi="Arial Narrow" w:cs="Tahoma"/>
                <w:i/>
                <w:iCs/>
                <w:sz w:val="20"/>
              </w:rPr>
              <w:t>81.6 (6.76)</w:t>
            </w:r>
          </w:p>
        </w:tc>
        <w:tc>
          <w:tcPr>
            <w:tcW w:w="2268" w:type="dxa"/>
            <w:vAlign w:val="center"/>
          </w:tcPr>
          <w:p w14:paraId="19ACD3E2" w14:textId="77777777" w:rsidR="00FB44D6" w:rsidRPr="00B65B9E" w:rsidRDefault="00FB44D6" w:rsidP="003915B9">
            <w:pPr>
              <w:spacing w:after="0"/>
              <w:ind w:left="22"/>
              <w:jc w:val="center"/>
              <w:rPr>
                <w:rFonts w:ascii="Arial Narrow" w:hAnsi="Arial Narrow" w:cs="Tahoma"/>
                <w:i/>
                <w:iCs/>
                <w:sz w:val="20"/>
              </w:rPr>
            </w:pPr>
            <w:r w:rsidRPr="00B65B9E">
              <w:rPr>
                <w:rFonts w:ascii="Arial Narrow" w:hAnsi="Arial Narrow" w:cs="Tahoma"/>
                <w:i/>
                <w:iCs/>
                <w:sz w:val="20"/>
              </w:rPr>
              <w:t>-</w:t>
            </w:r>
          </w:p>
        </w:tc>
      </w:tr>
      <w:tr w:rsidR="00FB44D6" w:rsidRPr="003B08F2" w14:paraId="5E466CA1" w14:textId="77777777" w:rsidTr="0017291F">
        <w:trPr>
          <w:trHeight w:val="20"/>
        </w:trPr>
        <w:tc>
          <w:tcPr>
            <w:tcW w:w="2977" w:type="dxa"/>
            <w:vAlign w:val="center"/>
          </w:tcPr>
          <w:p w14:paraId="15C6AC81" w14:textId="77777777" w:rsidR="00FB44D6" w:rsidRPr="00ED5F15" w:rsidRDefault="00FB44D6" w:rsidP="003915B9">
            <w:pPr>
              <w:spacing w:after="0"/>
              <w:ind w:left="23"/>
              <w:rPr>
                <w:rFonts w:ascii="Arial Narrow" w:hAnsi="Arial Narrow" w:cs="Tahoma"/>
                <w:i/>
                <w:iCs/>
                <w:sz w:val="20"/>
              </w:rPr>
            </w:pPr>
            <w:r w:rsidRPr="00ED5F15">
              <w:rPr>
                <w:rFonts w:ascii="Arial Narrow" w:hAnsi="Arial Narrow" w:cs="Tahoma"/>
                <w:i/>
                <w:iCs/>
                <w:sz w:val="20"/>
              </w:rPr>
              <w:t>STS-PROM %</w:t>
            </w:r>
          </w:p>
        </w:tc>
        <w:tc>
          <w:tcPr>
            <w:tcW w:w="1701" w:type="dxa"/>
            <w:vAlign w:val="center"/>
          </w:tcPr>
          <w:p w14:paraId="01D490C8" w14:textId="77777777" w:rsidR="00FB44D6" w:rsidRPr="00ED5F15" w:rsidRDefault="00FB44D6" w:rsidP="003915B9">
            <w:pPr>
              <w:spacing w:after="0"/>
              <w:ind w:left="23"/>
              <w:jc w:val="center"/>
              <w:rPr>
                <w:rFonts w:ascii="Arial Narrow" w:hAnsi="Arial Narrow" w:cs="Tahoma"/>
                <w:i/>
                <w:iCs/>
                <w:sz w:val="20"/>
              </w:rPr>
            </w:pPr>
            <w:r w:rsidRPr="00ED5F15">
              <w:rPr>
                <w:rFonts w:ascii="Arial Narrow" w:hAnsi="Arial Narrow" w:cs="Tahoma"/>
                <w:i/>
                <w:iCs/>
                <w:sz w:val="20"/>
              </w:rPr>
              <w:t>1.9 (0.7)</w:t>
            </w:r>
          </w:p>
        </w:tc>
        <w:tc>
          <w:tcPr>
            <w:tcW w:w="1559" w:type="dxa"/>
            <w:vAlign w:val="center"/>
          </w:tcPr>
          <w:p w14:paraId="52C2F9CF" w14:textId="77777777" w:rsidR="00FB44D6" w:rsidRPr="00ED5F15" w:rsidRDefault="00FB44D6" w:rsidP="003915B9">
            <w:pPr>
              <w:spacing w:after="0"/>
              <w:ind w:left="23"/>
              <w:jc w:val="center"/>
              <w:rPr>
                <w:rFonts w:ascii="Arial Narrow" w:hAnsi="Arial Narrow" w:cs="Tahoma"/>
                <w:i/>
                <w:iCs/>
                <w:sz w:val="20"/>
              </w:rPr>
            </w:pPr>
            <w:r w:rsidRPr="00ED5F15">
              <w:rPr>
                <w:rFonts w:ascii="Arial Narrow" w:hAnsi="Arial Narrow" w:cs="Tahoma"/>
                <w:i/>
                <w:iCs/>
                <w:sz w:val="20"/>
              </w:rPr>
              <w:t>1.9 (0.6)</w:t>
            </w:r>
          </w:p>
        </w:tc>
        <w:tc>
          <w:tcPr>
            <w:tcW w:w="2268" w:type="dxa"/>
            <w:vAlign w:val="center"/>
          </w:tcPr>
          <w:p w14:paraId="1CF65A0A" w14:textId="77777777" w:rsidR="00FB44D6" w:rsidRPr="00F6484B" w:rsidRDefault="00FB44D6" w:rsidP="003915B9">
            <w:pPr>
              <w:spacing w:after="0"/>
              <w:ind w:left="23"/>
              <w:jc w:val="center"/>
              <w:rPr>
                <w:rFonts w:ascii="Arial Narrow" w:hAnsi="Arial Narrow" w:cs="Tahoma"/>
                <w:i/>
                <w:iCs/>
                <w:sz w:val="20"/>
              </w:rPr>
            </w:pPr>
            <w:r w:rsidRPr="00F6484B">
              <w:rPr>
                <w:rFonts w:ascii="Arial Narrow" w:hAnsi="Arial Narrow" w:cs="Tahoma"/>
                <w:i/>
                <w:iCs/>
                <w:sz w:val="20"/>
              </w:rPr>
              <w:t>-</w:t>
            </w:r>
          </w:p>
        </w:tc>
        <w:tc>
          <w:tcPr>
            <w:tcW w:w="1560" w:type="dxa"/>
            <w:vAlign w:val="center"/>
          </w:tcPr>
          <w:p w14:paraId="31E8E1F6" w14:textId="77777777" w:rsidR="00FB44D6" w:rsidRPr="00B65B9E" w:rsidRDefault="00FB44D6" w:rsidP="003915B9">
            <w:pPr>
              <w:spacing w:after="0"/>
              <w:ind w:left="23"/>
              <w:jc w:val="center"/>
              <w:rPr>
                <w:rFonts w:ascii="Arial Narrow" w:hAnsi="Arial Narrow" w:cs="Tahoma"/>
                <w:i/>
                <w:iCs/>
                <w:sz w:val="20"/>
              </w:rPr>
            </w:pPr>
            <w:r w:rsidRPr="00B65B9E">
              <w:rPr>
                <w:rFonts w:ascii="Arial Narrow" w:hAnsi="Arial Narrow" w:cs="Tahoma"/>
                <w:i/>
                <w:iCs/>
                <w:sz w:val="20"/>
              </w:rPr>
              <w:t>5.2</w:t>
            </w:r>
          </w:p>
        </w:tc>
        <w:tc>
          <w:tcPr>
            <w:tcW w:w="1559" w:type="dxa"/>
            <w:vAlign w:val="center"/>
          </w:tcPr>
          <w:p w14:paraId="4E317A46" w14:textId="77777777" w:rsidR="00FB44D6" w:rsidRPr="00B65B9E" w:rsidRDefault="00FB44D6" w:rsidP="003915B9">
            <w:pPr>
              <w:spacing w:after="0"/>
              <w:ind w:left="23"/>
              <w:jc w:val="center"/>
              <w:rPr>
                <w:rFonts w:ascii="Arial Narrow" w:hAnsi="Arial Narrow" w:cs="Tahoma"/>
                <w:i/>
                <w:iCs/>
                <w:sz w:val="20"/>
              </w:rPr>
            </w:pPr>
            <w:r w:rsidRPr="00B65B9E">
              <w:rPr>
                <w:rFonts w:ascii="Arial Narrow" w:hAnsi="Arial Narrow" w:cs="Tahoma"/>
                <w:i/>
                <w:iCs/>
                <w:sz w:val="20"/>
              </w:rPr>
              <w:t>5.4</w:t>
            </w:r>
          </w:p>
        </w:tc>
        <w:tc>
          <w:tcPr>
            <w:tcW w:w="2268" w:type="dxa"/>
            <w:vAlign w:val="center"/>
          </w:tcPr>
          <w:p w14:paraId="5B2CBC73" w14:textId="77777777" w:rsidR="00FB44D6" w:rsidRPr="00B65B9E" w:rsidRDefault="00FB44D6" w:rsidP="003915B9">
            <w:pPr>
              <w:spacing w:after="0"/>
              <w:ind w:left="22"/>
              <w:jc w:val="center"/>
              <w:rPr>
                <w:rFonts w:ascii="Arial Narrow" w:hAnsi="Arial Narrow" w:cs="Tahoma"/>
                <w:i/>
                <w:iCs/>
                <w:sz w:val="20"/>
              </w:rPr>
            </w:pPr>
            <w:r w:rsidRPr="00B65B9E">
              <w:rPr>
                <w:rFonts w:ascii="Arial Narrow" w:hAnsi="Arial Narrow" w:cs="Tahoma"/>
                <w:i/>
                <w:iCs/>
                <w:sz w:val="20"/>
              </w:rPr>
              <w:t>-</w:t>
            </w:r>
          </w:p>
        </w:tc>
      </w:tr>
      <w:tr w:rsidR="00FB44D6" w:rsidRPr="003B08F2" w14:paraId="308A0D7B" w14:textId="77777777" w:rsidTr="0017291F">
        <w:trPr>
          <w:trHeight w:val="20"/>
        </w:trPr>
        <w:tc>
          <w:tcPr>
            <w:tcW w:w="2977" w:type="dxa"/>
            <w:vAlign w:val="center"/>
          </w:tcPr>
          <w:p w14:paraId="4EC2490F" w14:textId="77777777" w:rsidR="00FB44D6" w:rsidRPr="00ED5F15" w:rsidRDefault="00FB44D6" w:rsidP="003915B9">
            <w:pPr>
              <w:spacing w:after="0"/>
              <w:ind w:left="23"/>
              <w:rPr>
                <w:rFonts w:ascii="Arial Narrow" w:hAnsi="Arial Narrow" w:cs="Tahoma"/>
                <w:i/>
                <w:iCs/>
                <w:sz w:val="20"/>
              </w:rPr>
            </w:pPr>
            <w:r w:rsidRPr="00ED5F15">
              <w:rPr>
                <w:rFonts w:ascii="Arial Narrow" w:hAnsi="Arial Narrow" w:cs="Tahoma"/>
                <w:i/>
                <w:iCs/>
                <w:sz w:val="20"/>
              </w:rPr>
              <w:t>NYHA class III or IV</w:t>
            </w:r>
          </w:p>
        </w:tc>
        <w:tc>
          <w:tcPr>
            <w:tcW w:w="1701" w:type="dxa"/>
            <w:vAlign w:val="center"/>
          </w:tcPr>
          <w:p w14:paraId="0E79A5DC" w14:textId="7AD8DD2C" w:rsidR="00FB44D6" w:rsidRPr="003B08F2" w:rsidRDefault="00FB44D6" w:rsidP="008F4F0F">
            <w:pPr>
              <w:spacing w:after="0"/>
              <w:ind w:left="23"/>
              <w:jc w:val="center"/>
              <w:rPr>
                <w:rFonts w:ascii="Arial Narrow" w:hAnsi="Arial Narrow" w:cs="Tahoma"/>
                <w:i/>
                <w:iCs/>
                <w:sz w:val="20"/>
                <w:highlight w:val="yellow"/>
              </w:rPr>
            </w:pPr>
            <w:r w:rsidRPr="00ED5F15">
              <w:rPr>
                <w:rFonts w:ascii="Arial Narrow" w:hAnsi="Arial Narrow" w:cs="Calibri"/>
                <w:i/>
                <w:iCs/>
                <w:sz w:val="20"/>
              </w:rPr>
              <w:t>155/49</w:t>
            </w:r>
            <w:r w:rsidR="008F4F0F">
              <w:rPr>
                <w:rFonts w:ascii="Arial Narrow" w:hAnsi="Arial Narrow" w:cs="Calibri"/>
                <w:i/>
                <w:iCs/>
                <w:sz w:val="20"/>
              </w:rPr>
              <w:t>6</w:t>
            </w:r>
            <w:r w:rsidRPr="00ED5F15">
              <w:rPr>
                <w:rFonts w:ascii="Arial Narrow" w:hAnsi="Arial Narrow" w:cs="Calibri"/>
                <w:i/>
                <w:iCs/>
                <w:sz w:val="20"/>
              </w:rPr>
              <w:t xml:space="preserve"> (31%)</w:t>
            </w:r>
          </w:p>
        </w:tc>
        <w:tc>
          <w:tcPr>
            <w:tcW w:w="1559" w:type="dxa"/>
            <w:vAlign w:val="center"/>
          </w:tcPr>
          <w:p w14:paraId="6BDCA17E" w14:textId="77777777" w:rsidR="00FB44D6" w:rsidRPr="003B08F2" w:rsidRDefault="00FB44D6" w:rsidP="003915B9">
            <w:pPr>
              <w:spacing w:after="0"/>
              <w:ind w:left="23"/>
              <w:jc w:val="center"/>
              <w:rPr>
                <w:rFonts w:ascii="Arial Narrow" w:hAnsi="Arial Narrow" w:cs="Tahoma"/>
                <w:i/>
                <w:iCs/>
                <w:sz w:val="20"/>
                <w:highlight w:val="yellow"/>
              </w:rPr>
            </w:pPr>
            <w:r w:rsidRPr="00ED5F15">
              <w:rPr>
                <w:rFonts w:ascii="Arial Narrow" w:hAnsi="Arial Narrow" w:cs="Calibri"/>
                <w:i/>
                <w:iCs/>
                <w:sz w:val="20"/>
              </w:rPr>
              <w:t>108/454 (24%)</w:t>
            </w:r>
          </w:p>
        </w:tc>
        <w:tc>
          <w:tcPr>
            <w:tcW w:w="2268" w:type="dxa"/>
            <w:vAlign w:val="center"/>
          </w:tcPr>
          <w:p w14:paraId="0A2C3DF0" w14:textId="77777777" w:rsidR="00FB44D6" w:rsidRPr="00F6484B" w:rsidRDefault="00FB44D6" w:rsidP="003915B9">
            <w:pPr>
              <w:spacing w:after="0"/>
              <w:ind w:left="23"/>
              <w:jc w:val="center"/>
              <w:rPr>
                <w:rFonts w:ascii="Arial Narrow" w:hAnsi="Arial Narrow" w:cs="Tahoma"/>
                <w:i/>
                <w:iCs/>
                <w:sz w:val="20"/>
              </w:rPr>
            </w:pPr>
            <w:r w:rsidRPr="00F6484B">
              <w:rPr>
                <w:rFonts w:ascii="Arial Narrow" w:hAnsi="Arial Narrow" w:cs="Tahoma"/>
                <w:i/>
                <w:iCs/>
                <w:sz w:val="20"/>
              </w:rPr>
              <w:t>-</w:t>
            </w:r>
          </w:p>
        </w:tc>
        <w:tc>
          <w:tcPr>
            <w:tcW w:w="1560" w:type="dxa"/>
            <w:vAlign w:val="center"/>
          </w:tcPr>
          <w:p w14:paraId="5E50C7AC" w14:textId="77777777" w:rsidR="00FB44D6" w:rsidRPr="00B65B9E" w:rsidRDefault="00FB44D6" w:rsidP="003915B9">
            <w:pPr>
              <w:spacing w:after="0"/>
              <w:ind w:left="23"/>
              <w:jc w:val="center"/>
              <w:rPr>
                <w:rFonts w:ascii="Arial Narrow" w:hAnsi="Arial Narrow" w:cs="Tahoma"/>
                <w:i/>
                <w:iCs/>
                <w:sz w:val="20"/>
              </w:rPr>
            </w:pPr>
            <w:r w:rsidRPr="00B65B9E">
              <w:rPr>
                <w:rFonts w:ascii="Arial Narrow" w:hAnsi="Arial Narrow" w:cs="Tahoma"/>
                <w:i/>
                <w:iCs/>
                <w:sz w:val="20"/>
              </w:rPr>
              <w:t>781/1063 (73%)</w:t>
            </w:r>
          </w:p>
        </w:tc>
        <w:tc>
          <w:tcPr>
            <w:tcW w:w="1559" w:type="dxa"/>
            <w:vAlign w:val="center"/>
          </w:tcPr>
          <w:p w14:paraId="5C09071F" w14:textId="77777777" w:rsidR="00FB44D6" w:rsidRPr="00B65B9E" w:rsidRDefault="00FB44D6" w:rsidP="003915B9">
            <w:pPr>
              <w:spacing w:after="0"/>
              <w:ind w:left="23"/>
              <w:jc w:val="center"/>
              <w:rPr>
                <w:rFonts w:ascii="Arial Narrow" w:hAnsi="Arial Narrow" w:cs="Tahoma"/>
                <w:i/>
                <w:iCs/>
                <w:sz w:val="20"/>
              </w:rPr>
            </w:pPr>
            <w:r w:rsidRPr="00B65B9E">
              <w:rPr>
                <w:rFonts w:ascii="Arial Narrow" w:hAnsi="Arial Narrow" w:cs="Tahoma"/>
                <w:i/>
                <w:iCs/>
                <w:sz w:val="20"/>
              </w:rPr>
              <w:t>718/944 (76%)</w:t>
            </w:r>
          </w:p>
        </w:tc>
        <w:tc>
          <w:tcPr>
            <w:tcW w:w="2268" w:type="dxa"/>
            <w:vAlign w:val="center"/>
          </w:tcPr>
          <w:p w14:paraId="616310D8" w14:textId="77777777" w:rsidR="00FB44D6" w:rsidRPr="00B65B9E" w:rsidRDefault="00FB44D6" w:rsidP="003915B9">
            <w:pPr>
              <w:spacing w:after="0"/>
              <w:ind w:left="22"/>
              <w:jc w:val="center"/>
              <w:rPr>
                <w:rFonts w:ascii="Arial Narrow" w:hAnsi="Arial Narrow" w:cs="Tahoma"/>
                <w:i/>
                <w:iCs/>
                <w:sz w:val="20"/>
              </w:rPr>
            </w:pPr>
            <w:r w:rsidRPr="00B65B9E">
              <w:rPr>
                <w:rFonts w:ascii="Arial Narrow" w:hAnsi="Arial Narrow" w:cs="Tahoma"/>
                <w:i/>
                <w:iCs/>
                <w:sz w:val="20"/>
              </w:rPr>
              <w:t>-</w:t>
            </w:r>
          </w:p>
        </w:tc>
      </w:tr>
      <w:tr w:rsidR="00FB44D6" w:rsidRPr="003B08F2" w14:paraId="5142F05B" w14:textId="77777777" w:rsidTr="00FB44D6">
        <w:trPr>
          <w:trHeight w:val="20"/>
        </w:trPr>
        <w:tc>
          <w:tcPr>
            <w:tcW w:w="13892" w:type="dxa"/>
            <w:gridSpan w:val="7"/>
            <w:vAlign w:val="center"/>
          </w:tcPr>
          <w:p w14:paraId="3B33E773" w14:textId="77777777" w:rsidR="00FB44D6" w:rsidRPr="00ED5F15" w:rsidRDefault="00FB44D6" w:rsidP="00FB44D6">
            <w:pPr>
              <w:spacing w:after="0"/>
              <w:ind w:left="23"/>
              <w:rPr>
                <w:rFonts w:ascii="Arial Narrow" w:hAnsi="Arial Narrow" w:cs="Tahoma"/>
                <w:b/>
                <w:bCs/>
                <w:i/>
                <w:iCs/>
                <w:sz w:val="20"/>
              </w:rPr>
            </w:pPr>
            <w:r w:rsidRPr="00ED5F15">
              <w:rPr>
                <w:rFonts w:ascii="Arial Narrow" w:hAnsi="Arial Narrow" w:cs="Tahoma"/>
                <w:b/>
                <w:bCs/>
                <w:i/>
                <w:iCs/>
                <w:sz w:val="20"/>
              </w:rPr>
              <w:t xml:space="preserve">Perioperative outcomes </w:t>
            </w:r>
          </w:p>
        </w:tc>
      </w:tr>
      <w:tr w:rsidR="00FB44D6" w:rsidRPr="003B08F2" w14:paraId="475805E8" w14:textId="77777777" w:rsidTr="0017291F">
        <w:trPr>
          <w:trHeight w:val="20"/>
        </w:trPr>
        <w:tc>
          <w:tcPr>
            <w:tcW w:w="2977" w:type="dxa"/>
            <w:vAlign w:val="center"/>
          </w:tcPr>
          <w:p w14:paraId="100BBB23" w14:textId="77777777" w:rsidR="00FB44D6" w:rsidRPr="00ED5F15" w:rsidRDefault="00FB44D6" w:rsidP="00FB44D6">
            <w:pPr>
              <w:spacing w:after="0"/>
              <w:ind w:left="23"/>
              <w:rPr>
                <w:rFonts w:ascii="Arial Narrow" w:hAnsi="Arial Narrow" w:cs="Tahoma"/>
                <w:i/>
                <w:iCs/>
                <w:sz w:val="20"/>
              </w:rPr>
            </w:pPr>
            <w:r w:rsidRPr="00ED5F15">
              <w:rPr>
                <w:rFonts w:ascii="Arial Narrow" w:hAnsi="Arial Narrow" w:cs="Tahoma"/>
                <w:i/>
                <w:iCs/>
                <w:sz w:val="20"/>
              </w:rPr>
              <w:t xml:space="preserve">All-cause mortality </w:t>
            </w:r>
          </w:p>
        </w:tc>
        <w:tc>
          <w:tcPr>
            <w:tcW w:w="1701" w:type="dxa"/>
            <w:vAlign w:val="center"/>
          </w:tcPr>
          <w:p w14:paraId="2D16ECA8" w14:textId="63506398" w:rsidR="00FB44D6" w:rsidRPr="003B08F2" w:rsidRDefault="00FB44D6" w:rsidP="004D3FAD">
            <w:pPr>
              <w:spacing w:after="0"/>
              <w:ind w:left="23"/>
              <w:jc w:val="center"/>
              <w:rPr>
                <w:rFonts w:ascii="Arial Narrow" w:hAnsi="Arial Narrow" w:cs="Tahoma"/>
                <w:i/>
                <w:iCs/>
                <w:sz w:val="20"/>
                <w:highlight w:val="yellow"/>
              </w:rPr>
            </w:pPr>
            <w:r w:rsidRPr="00ED5F15">
              <w:rPr>
                <w:rFonts w:ascii="Arial Narrow" w:hAnsi="Arial Narrow" w:cs="Calibri"/>
                <w:i/>
                <w:iCs/>
                <w:sz w:val="20"/>
              </w:rPr>
              <w:t>2/49</w:t>
            </w:r>
            <w:r w:rsidR="004D3FAD">
              <w:rPr>
                <w:rFonts w:ascii="Arial Narrow" w:hAnsi="Arial Narrow" w:cs="Calibri"/>
                <w:i/>
                <w:iCs/>
                <w:sz w:val="20"/>
              </w:rPr>
              <w:t>6</w:t>
            </w:r>
            <w:r w:rsidRPr="00ED5F15">
              <w:rPr>
                <w:rFonts w:ascii="Arial Narrow" w:hAnsi="Arial Narrow" w:cs="Calibri"/>
                <w:i/>
                <w:iCs/>
                <w:sz w:val="20"/>
              </w:rPr>
              <w:t xml:space="preserve"> (0.4%)</w:t>
            </w:r>
          </w:p>
        </w:tc>
        <w:tc>
          <w:tcPr>
            <w:tcW w:w="1559" w:type="dxa"/>
            <w:vAlign w:val="center"/>
          </w:tcPr>
          <w:p w14:paraId="6381B2AF" w14:textId="77777777" w:rsidR="00FB44D6" w:rsidRPr="003B08F2" w:rsidRDefault="00FB44D6" w:rsidP="00FB44D6">
            <w:pPr>
              <w:spacing w:after="0"/>
              <w:ind w:left="23"/>
              <w:jc w:val="center"/>
              <w:rPr>
                <w:rFonts w:ascii="Arial Narrow" w:hAnsi="Arial Narrow" w:cs="Tahoma"/>
                <w:i/>
                <w:iCs/>
                <w:sz w:val="20"/>
                <w:highlight w:val="yellow"/>
              </w:rPr>
            </w:pPr>
            <w:r w:rsidRPr="00ED5F15">
              <w:rPr>
                <w:rFonts w:ascii="Arial Narrow" w:hAnsi="Arial Narrow" w:cs="Calibri"/>
                <w:i/>
                <w:iCs/>
                <w:sz w:val="20"/>
              </w:rPr>
              <w:t>5/454 (1.1%)</w:t>
            </w:r>
          </w:p>
        </w:tc>
        <w:tc>
          <w:tcPr>
            <w:tcW w:w="2268" w:type="dxa"/>
            <w:vAlign w:val="center"/>
          </w:tcPr>
          <w:p w14:paraId="01B0D29F" w14:textId="77777777" w:rsidR="00FB44D6" w:rsidRPr="003B08F2" w:rsidRDefault="00FB44D6" w:rsidP="00FB44D6">
            <w:pPr>
              <w:spacing w:after="0"/>
              <w:ind w:left="23"/>
              <w:jc w:val="center"/>
              <w:rPr>
                <w:rFonts w:ascii="Arial Narrow" w:hAnsi="Arial Narrow" w:cs="Tahoma"/>
                <w:i/>
                <w:iCs/>
                <w:sz w:val="20"/>
                <w:highlight w:val="yellow"/>
              </w:rPr>
            </w:pPr>
            <w:r w:rsidRPr="00ED5F15">
              <w:rPr>
                <w:rFonts w:ascii="Arial Narrow" w:hAnsi="Arial Narrow" w:cs="Calibri"/>
                <w:i/>
                <w:iCs/>
                <w:sz w:val="20"/>
              </w:rPr>
              <w:t>0.37 (0.07, 1.88)</w:t>
            </w:r>
          </w:p>
        </w:tc>
        <w:tc>
          <w:tcPr>
            <w:tcW w:w="1560" w:type="dxa"/>
            <w:vAlign w:val="center"/>
          </w:tcPr>
          <w:p w14:paraId="778CD894" w14:textId="77777777" w:rsidR="00FB44D6" w:rsidRPr="00B65B9E" w:rsidRDefault="00FB44D6" w:rsidP="00FB44D6">
            <w:pPr>
              <w:spacing w:after="0"/>
              <w:ind w:left="23"/>
              <w:jc w:val="center"/>
              <w:rPr>
                <w:rFonts w:ascii="Arial Narrow" w:hAnsi="Arial Narrow" w:cs="Tahoma"/>
                <w:i/>
                <w:iCs/>
                <w:sz w:val="20"/>
              </w:rPr>
            </w:pPr>
            <w:r w:rsidRPr="00B65B9E">
              <w:rPr>
                <w:rFonts w:ascii="Arial Narrow" w:hAnsi="Arial Narrow" w:cs="Tahoma"/>
                <w:i/>
                <w:iCs/>
                <w:sz w:val="20"/>
              </w:rPr>
              <w:t>12/1063 (1%)</w:t>
            </w:r>
          </w:p>
        </w:tc>
        <w:tc>
          <w:tcPr>
            <w:tcW w:w="1559" w:type="dxa"/>
            <w:vAlign w:val="center"/>
          </w:tcPr>
          <w:p w14:paraId="715D9628" w14:textId="77777777" w:rsidR="00FB44D6" w:rsidRPr="00B65B9E" w:rsidRDefault="00FB44D6" w:rsidP="00FB44D6">
            <w:pPr>
              <w:spacing w:after="0"/>
              <w:ind w:left="23"/>
              <w:jc w:val="center"/>
              <w:rPr>
                <w:rFonts w:ascii="Arial Narrow" w:hAnsi="Arial Narrow" w:cs="Tahoma"/>
                <w:i/>
                <w:iCs/>
                <w:sz w:val="20"/>
              </w:rPr>
            </w:pPr>
            <w:r w:rsidRPr="00B65B9E">
              <w:rPr>
                <w:rFonts w:ascii="Arial Narrow" w:hAnsi="Arial Narrow" w:cs="Tahoma"/>
                <w:i/>
                <w:iCs/>
                <w:sz w:val="20"/>
              </w:rPr>
              <w:t>38/902 (4%)</w:t>
            </w:r>
          </w:p>
        </w:tc>
        <w:tc>
          <w:tcPr>
            <w:tcW w:w="2268" w:type="dxa"/>
            <w:vAlign w:val="center"/>
          </w:tcPr>
          <w:p w14:paraId="2E567F22" w14:textId="0E5091AB" w:rsidR="00FB44D6" w:rsidRPr="00B65B9E" w:rsidRDefault="00FB44D6" w:rsidP="00EB1E9D">
            <w:pPr>
              <w:spacing w:after="0"/>
              <w:ind w:left="23"/>
              <w:jc w:val="center"/>
              <w:rPr>
                <w:rFonts w:ascii="Arial Narrow" w:hAnsi="Arial Narrow" w:cs="Tahoma"/>
                <w:b/>
                <w:bCs/>
                <w:i/>
                <w:iCs/>
                <w:sz w:val="20"/>
              </w:rPr>
            </w:pPr>
            <w:r w:rsidRPr="00B65B9E">
              <w:rPr>
                <w:rFonts w:ascii="Arial Narrow" w:hAnsi="Arial Narrow" w:cs="Tahoma"/>
                <w:b/>
                <w:bCs/>
                <w:i/>
                <w:iCs/>
                <w:sz w:val="20"/>
              </w:rPr>
              <w:t>0.27 (0.14</w:t>
            </w:r>
            <w:r w:rsidR="00EB1E9D">
              <w:rPr>
                <w:rFonts w:ascii="Arial Narrow" w:hAnsi="Arial Narrow" w:cs="Tahoma"/>
                <w:b/>
                <w:bCs/>
                <w:i/>
                <w:iCs/>
                <w:sz w:val="20"/>
              </w:rPr>
              <w:t>,</w:t>
            </w:r>
            <w:r w:rsidRPr="00B65B9E">
              <w:rPr>
                <w:rFonts w:ascii="Arial Narrow" w:hAnsi="Arial Narrow" w:cs="Tahoma"/>
                <w:b/>
                <w:bCs/>
                <w:i/>
                <w:iCs/>
                <w:sz w:val="20"/>
              </w:rPr>
              <w:t xml:space="preserve"> 0.51)</w:t>
            </w:r>
          </w:p>
        </w:tc>
      </w:tr>
      <w:tr w:rsidR="00FB44D6" w:rsidRPr="003B08F2" w14:paraId="0153517D" w14:textId="77777777" w:rsidTr="00B65B9E">
        <w:trPr>
          <w:trHeight w:val="20"/>
        </w:trPr>
        <w:tc>
          <w:tcPr>
            <w:tcW w:w="2977" w:type="dxa"/>
            <w:vAlign w:val="center"/>
          </w:tcPr>
          <w:p w14:paraId="16E764DC" w14:textId="77777777" w:rsidR="00FB44D6" w:rsidRPr="00ED5F15" w:rsidRDefault="00FB44D6" w:rsidP="00FB44D6">
            <w:pPr>
              <w:spacing w:after="0"/>
              <w:ind w:left="23"/>
              <w:rPr>
                <w:rFonts w:ascii="Arial Narrow" w:hAnsi="Arial Narrow" w:cs="Tahoma"/>
                <w:i/>
                <w:iCs/>
                <w:sz w:val="20"/>
              </w:rPr>
            </w:pPr>
            <w:r w:rsidRPr="00ED5F15">
              <w:rPr>
                <w:rFonts w:ascii="Arial Narrow" w:hAnsi="Arial Narrow" w:cs="Tahoma"/>
                <w:i/>
                <w:iCs/>
                <w:sz w:val="20"/>
              </w:rPr>
              <w:t>Any stroke</w:t>
            </w:r>
          </w:p>
        </w:tc>
        <w:tc>
          <w:tcPr>
            <w:tcW w:w="1701" w:type="dxa"/>
            <w:vAlign w:val="center"/>
          </w:tcPr>
          <w:p w14:paraId="4614FBA7" w14:textId="72EC492C" w:rsidR="00FB44D6" w:rsidRPr="003B08F2" w:rsidRDefault="00FB44D6" w:rsidP="004D3FAD">
            <w:pPr>
              <w:spacing w:after="0"/>
              <w:ind w:left="23"/>
              <w:jc w:val="center"/>
              <w:rPr>
                <w:rFonts w:ascii="Arial Narrow" w:hAnsi="Arial Narrow" w:cs="Tahoma"/>
                <w:i/>
                <w:iCs/>
                <w:sz w:val="20"/>
                <w:highlight w:val="yellow"/>
              </w:rPr>
            </w:pPr>
            <w:r w:rsidRPr="00ED5F15">
              <w:rPr>
                <w:rFonts w:ascii="Arial Narrow" w:hAnsi="Arial Narrow" w:cs="Tahoma"/>
                <w:i/>
                <w:iCs/>
                <w:sz w:val="20"/>
              </w:rPr>
              <w:t>3/49</w:t>
            </w:r>
            <w:r w:rsidR="004D3FAD">
              <w:rPr>
                <w:rFonts w:ascii="Arial Narrow" w:hAnsi="Arial Narrow" w:cs="Tahoma"/>
                <w:i/>
                <w:iCs/>
                <w:sz w:val="20"/>
              </w:rPr>
              <w:t>6</w:t>
            </w:r>
            <w:r w:rsidRPr="00ED5F15">
              <w:rPr>
                <w:rFonts w:ascii="Arial Narrow" w:hAnsi="Arial Narrow" w:cs="Tahoma"/>
                <w:i/>
                <w:iCs/>
                <w:sz w:val="20"/>
              </w:rPr>
              <w:t xml:space="preserve"> (0.6%)</w:t>
            </w:r>
          </w:p>
        </w:tc>
        <w:tc>
          <w:tcPr>
            <w:tcW w:w="1559" w:type="dxa"/>
            <w:vAlign w:val="center"/>
          </w:tcPr>
          <w:p w14:paraId="2E070432" w14:textId="77777777" w:rsidR="00FB44D6" w:rsidRPr="003B08F2" w:rsidRDefault="00FB44D6" w:rsidP="00FB44D6">
            <w:pPr>
              <w:spacing w:after="0"/>
              <w:ind w:left="23"/>
              <w:jc w:val="center"/>
              <w:rPr>
                <w:rFonts w:ascii="Arial Narrow" w:hAnsi="Arial Narrow" w:cs="Tahoma"/>
                <w:i/>
                <w:iCs/>
                <w:sz w:val="20"/>
                <w:highlight w:val="yellow"/>
              </w:rPr>
            </w:pPr>
            <w:r w:rsidRPr="00ED5F15">
              <w:rPr>
                <w:rFonts w:ascii="Arial Narrow" w:hAnsi="Arial Narrow" w:cs="Tahoma"/>
                <w:i/>
                <w:iCs/>
                <w:sz w:val="20"/>
              </w:rPr>
              <w:t>11/454 (2.4%)</w:t>
            </w:r>
          </w:p>
        </w:tc>
        <w:tc>
          <w:tcPr>
            <w:tcW w:w="2268" w:type="dxa"/>
            <w:vAlign w:val="center"/>
          </w:tcPr>
          <w:p w14:paraId="5E38B36D" w14:textId="77777777" w:rsidR="00FB44D6" w:rsidRPr="003B08F2" w:rsidRDefault="00FB44D6" w:rsidP="00FB44D6">
            <w:pPr>
              <w:spacing w:after="0"/>
              <w:ind w:left="23"/>
              <w:jc w:val="center"/>
              <w:rPr>
                <w:rFonts w:ascii="Arial Narrow" w:hAnsi="Arial Narrow" w:cs="Tahoma"/>
                <w:i/>
                <w:iCs/>
                <w:sz w:val="20"/>
                <w:highlight w:val="yellow"/>
              </w:rPr>
            </w:pPr>
            <w:r w:rsidRPr="00ED5F15">
              <w:rPr>
                <w:rFonts w:ascii="Arial Narrow" w:hAnsi="Arial Narrow" w:cs="Tahoma"/>
                <w:b/>
                <w:bCs/>
                <w:i/>
                <w:iCs/>
                <w:sz w:val="20"/>
              </w:rPr>
              <w:t>0.25 (0.07, 0.88)</w:t>
            </w:r>
          </w:p>
        </w:tc>
        <w:tc>
          <w:tcPr>
            <w:tcW w:w="1560" w:type="dxa"/>
            <w:shd w:val="clear" w:color="auto" w:fill="auto"/>
            <w:vAlign w:val="center"/>
          </w:tcPr>
          <w:p w14:paraId="40483E74" w14:textId="77777777" w:rsidR="00FB44D6" w:rsidRPr="00B65B9E" w:rsidRDefault="00FB44D6" w:rsidP="00FB44D6">
            <w:pPr>
              <w:spacing w:after="0"/>
              <w:ind w:left="23"/>
              <w:jc w:val="center"/>
              <w:rPr>
                <w:rFonts w:ascii="Arial Narrow" w:hAnsi="Arial Narrow" w:cs="Tahoma"/>
                <w:i/>
                <w:iCs/>
                <w:sz w:val="20"/>
              </w:rPr>
            </w:pPr>
            <w:r w:rsidRPr="00B65B9E">
              <w:rPr>
                <w:rFonts w:ascii="Arial Narrow" w:hAnsi="Arial Narrow" w:cs="Tahoma"/>
                <w:i/>
                <w:iCs/>
                <w:sz w:val="20"/>
              </w:rPr>
              <w:t>29/1035 (3%)</w:t>
            </w:r>
          </w:p>
        </w:tc>
        <w:tc>
          <w:tcPr>
            <w:tcW w:w="1559" w:type="dxa"/>
            <w:shd w:val="clear" w:color="auto" w:fill="auto"/>
            <w:vAlign w:val="center"/>
          </w:tcPr>
          <w:p w14:paraId="2E90CA86" w14:textId="77777777" w:rsidR="00FB44D6" w:rsidRPr="00B65B9E" w:rsidRDefault="00FB44D6" w:rsidP="00FB44D6">
            <w:pPr>
              <w:spacing w:after="0"/>
              <w:ind w:left="23"/>
              <w:jc w:val="center"/>
              <w:rPr>
                <w:rFonts w:ascii="Arial Narrow" w:hAnsi="Arial Narrow" w:cs="Tahoma"/>
                <w:i/>
                <w:iCs/>
                <w:sz w:val="20"/>
              </w:rPr>
            </w:pPr>
            <w:r w:rsidRPr="00B65B9E">
              <w:rPr>
                <w:rFonts w:ascii="Arial Narrow" w:hAnsi="Arial Narrow" w:cs="Tahoma"/>
                <w:i/>
                <w:iCs/>
                <w:sz w:val="20"/>
              </w:rPr>
              <w:t>57/852 (7%)</w:t>
            </w:r>
          </w:p>
        </w:tc>
        <w:tc>
          <w:tcPr>
            <w:tcW w:w="2268" w:type="dxa"/>
            <w:shd w:val="clear" w:color="auto" w:fill="auto"/>
            <w:vAlign w:val="center"/>
          </w:tcPr>
          <w:p w14:paraId="03B63D1E" w14:textId="3A95AA6A" w:rsidR="00FB44D6" w:rsidRPr="00B65B9E" w:rsidRDefault="00FB44D6" w:rsidP="00EB1E9D">
            <w:pPr>
              <w:spacing w:after="0"/>
              <w:ind w:left="23"/>
              <w:jc w:val="center"/>
              <w:rPr>
                <w:rFonts w:ascii="Arial Narrow" w:hAnsi="Arial Narrow" w:cs="Tahoma"/>
                <w:b/>
                <w:bCs/>
                <w:i/>
                <w:iCs/>
                <w:sz w:val="20"/>
              </w:rPr>
            </w:pPr>
            <w:r w:rsidRPr="00B65B9E">
              <w:rPr>
                <w:rFonts w:ascii="Arial Narrow" w:hAnsi="Arial Narrow" w:cs="Tahoma"/>
                <w:b/>
                <w:bCs/>
                <w:i/>
                <w:iCs/>
                <w:sz w:val="20"/>
              </w:rPr>
              <w:t>0.42 (0.27</w:t>
            </w:r>
            <w:r w:rsidR="00EB1E9D">
              <w:rPr>
                <w:rFonts w:ascii="Arial Narrow" w:hAnsi="Arial Narrow" w:cs="Tahoma"/>
                <w:b/>
                <w:bCs/>
                <w:i/>
                <w:iCs/>
                <w:sz w:val="20"/>
              </w:rPr>
              <w:t>,</w:t>
            </w:r>
            <w:r w:rsidRPr="00B65B9E">
              <w:rPr>
                <w:rFonts w:ascii="Arial Narrow" w:hAnsi="Arial Narrow" w:cs="Tahoma"/>
                <w:b/>
                <w:bCs/>
                <w:i/>
                <w:iCs/>
                <w:sz w:val="20"/>
              </w:rPr>
              <w:t xml:space="preserve"> 0.65)</w:t>
            </w:r>
          </w:p>
        </w:tc>
      </w:tr>
      <w:tr w:rsidR="00FB44D6" w:rsidRPr="003B08F2" w14:paraId="313AAAE0" w14:textId="77777777" w:rsidTr="0017291F">
        <w:trPr>
          <w:trHeight w:val="20"/>
        </w:trPr>
        <w:tc>
          <w:tcPr>
            <w:tcW w:w="2977" w:type="dxa"/>
            <w:vAlign w:val="center"/>
          </w:tcPr>
          <w:p w14:paraId="7469D49D" w14:textId="77777777" w:rsidR="00FB44D6" w:rsidRPr="00ED5F15" w:rsidRDefault="00FB44D6" w:rsidP="00FB44D6">
            <w:pPr>
              <w:spacing w:after="0"/>
              <w:ind w:left="23"/>
              <w:rPr>
                <w:rFonts w:ascii="Arial Narrow" w:hAnsi="Arial Narrow" w:cs="Tahoma"/>
                <w:i/>
                <w:iCs/>
                <w:sz w:val="20"/>
              </w:rPr>
            </w:pPr>
            <w:r w:rsidRPr="00ED5F15">
              <w:rPr>
                <w:rFonts w:ascii="Arial Narrow" w:hAnsi="Arial Narrow" w:cs="Tahoma"/>
                <w:i/>
                <w:iCs/>
                <w:sz w:val="20"/>
              </w:rPr>
              <w:t>Disabling stroke</w:t>
            </w:r>
          </w:p>
        </w:tc>
        <w:tc>
          <w:tcPr>
            <w:tcW w:w="1701" w:type="dxa"/>
            <w:vAlign w:val="center"/>
          </w:tcPr>
          <w:p w14:paraId="1B0E91AF" w14:textId="77777777" w:rsidR="00FB44D6" w:rsidRPr="003B08F2" w:rsidRDefault="00FB44D6" w:rsidP="00FB44D6">
            <w:pPr>
              <w:spacing w:after="0"/>
              <w:ind w:left="23"/>
              <w:jc w:val="center"/>
              <w:rPr>
                <w:rFonts w:ascii="Arial Narrow" w:hAnsi="Arial Narrow" w:cs="Tahoma"/>
                <w:i/>
                <w:iCs/>
                <w:sz w:val="20"/>
                <w:highlight w:val="yellow"/>
              </w:rPr>
            </w:pPr>
            <w:r w:rsidRPr="00ED5F15">
              <w:rPr>
                <w:rFonts w:ascii="Arial Narrow" w:hAnsi="Arial Narrow" w:cs="Calibri"/>
                <w:i/>
                <w:iCs/>
                <w:sz w:val="20"/>
              </w:rPr>
              <w:t>0</w:t>
            </w:r>
          </w:p>
        </w:tc>
        <w:tc>
          <w:tcPr>
            <w:tcW w:w="1559" w:type="dxa"/>
            <w:vAlign w:val="center"/>
          </w:tcPr>
          <w:p w14:paraId="18F7B554" w14:textId="77777777" w:rsidR="00FB44D6" w:rsidRPr="003B08F2" w:rsidRDefault="00FB44D6" w:rsidP="00FB44D6">
            <w:pPr>
              <w:spacing w:after="0"/>
              <w:ind w:left="23"/>
              <w:jc w:val="center"/>
              <w:rPr>
                <w:rFonts w:ascii="Arial Narrow" w:hAnsi="Arial Narrow" w:cs="Tahoma"/>
                <w:i/>
                <w:iCs/>
                <w:sz w:val="20"/>
                <w:highlight w:val="yellow"/>
              </w:rPr>
            </w:pPr>
            <w:r w:rsidRPr="00ED5F15">
              <w:rPr>
                <w:rFonts w:ascii="Arial Narrow" w:hAnsi="Arial Narrow" w:cs="Calibri"/>
                <w:i/>
                <w:iCs/>
                <w:sz w:val="20"/>
              </w:rPr>
              <w:t>2/454 (0.4%)</w:t>
            </w:r>
          </w:p>
        </w:tc>
        <w:tc>
          <w:tcPr>
            <w:tcW w:w="2268" w:type="dxa"/>
            <w:vAlign w:val="center"/>
          </w:tcPr>
          <w:p w14:paraId="71F40751" w14:textId="77777777" w:rsidR="00FB44D6" w:rsidRPr="003B08F2" w:rsidRDefault="00FB44D6" w:rsidP="00FB44D6">
            <w:pPr>
              <w:spacing w:after="0"/>
              <w:ind w:left="23"/>
              <w:jc w:val="center"/>
              <w:rPr>
                <w:rFonts w:ascii="Arial Narrow" w:hAnsi="Arial Narrow" w:cs="Tahoma"/>
                <w:i/>
                <w:iCs/>
                <w:sz w:val="20"/>
                <w:highlight w:val="yellow"/>
              </w:rPr>
            </w:pPr>
            <w:r w:rsidRPr="00ED5F15">
              <w:rPr>
                <w:rFonts w:ascii="Arial Narrow" w:hAnsi="Arial Narrow" w:cs="Tahoma"/>
                <w:i/>
                <w:iCs/>
                <w:sz w:val="20"/>
              </w:rPr>
              <w:t>NC</w:t>
            </w:r>
          </w:p>
        </w:tc>
        <w:tc>
          <w:tcPr>
            <w:tcW w:w="1560" w:type="dxa"/>
            <w:vAlign w:val="center"/>
          </w:tcPr>
          <w:p w14:paraId="39C9AA48" w14:textId="77777777" w:rsidR="00FB44D6" w:rsidRPr="00B65B9E" w:rsidRDefault="00FB44D6" w:rsidP="00FB44D6">
            <w:pPr>
              <w:spacing w:after="0"/>
              <w:ind w:left="23"/>
              <w:jc w:val="center"/>
              <w:rPr>
                <w:rFonts w:ascii="Arial Narrow" w:hAnsi="Arial Narrow" w:cs="Tahoma"/>
                <w:i/>
                <w:iCs/>
                <w:sz w:val="20"/>
              </w:rPr>
            </w:pPr>
            <w:r w:rsidRPr="00B65B9E">
              <w:rPr>
                <w:rFonts w:ascii="Arial Narrow" w:hAnsi="Arial Narrow" w:cs="Tahoma"/>
                <w:i/>
                <w:iCs/>
                <w:sz w:val="20"/>
              </w:rPr>
              <w:t>11/1053 (1%)</w:t>
            </w:r>
          </w:p>
        </w:tc>
        <w:tc>
          <w:tcPr>
            <w:tcW w:w="1559" w:type="dxa"/>
            <w:vAlign w:val="center"/>
          </w:tcPr>
          <w:p w14:paraId="08966FBD" w14:textId="77777777" w:rsidR="00FB44D6" w:rsidRPr="00B65B9E" w:rsidRDefault="00FB44D6" w:rsidP="00FB44D6">
            <w:pPr>
              <w:spacing w:after="0"/>
              <w:ind w:left="23"/>
              <w:jc w:val="center"/>
              <w:rPr>
                <w:rFonts w:ascii="Arial Narrow" w:hAnsi="Arial Narrow" w:cs="Tahoma"/>
                <w:i/>
                <w:iCs/>
                <w:sz w:val="20"/>
              </w:rPr>
            </w:pPr>
            <w:r w:rsidRPr="00B65B9E">
              <w:rPr>
                <w:rFonts w:ascii="Arial Narrow" w:hAnsi="Arial Narrow" w:cs="Tahoma"/>
                <w:i/>
                <w:iCs/>
                <w:sz w:val="20"/>
              </w:rPr>
              <w:t>41/868 (5%)</w:t>
            </w:r>
          </w:p>
        </w:tc>
        <w:tc>
          <w:tcPr>
            <w:tcW w:w="2268" w:type="dxa"/>
            <w:vAlign w:val="center"/>
          </w:tcPr>
          <w:p w14:paraId="0E496880" w14:textId="6D641F52" w:rsidR="00FB44D6" w:rsidRPr="00B65B9E" w:rsidRDefault="00FB44D6" w:rsidP="00EB1E9D">
            <w:pPr>
              <w:spacing w:after="0"/>
              <w:ind w:left="23"/>
              <w:jc w:val="center"/>
              <w:rPr>
                <w:rFonts w:ascii="Arial Narrow" w:hAnsi="Arial Narrow" w:cs="Tahoma"/>
                <w:b/>
                <w:bCs/>
                <w:i/>
                <w:iCs/>
                <w:sz w:val="20"/>
              </w:rPr>
            </w:pPr>
            <w:r w:rsidRPr="00B65B9E">
              <w:rPr>
                <w:rFonts w:ascii="Arial Narrow" w:hAnsi="Arial Narrow" w:cs="Tahoma"/>
                <w:b/>
                <w:bCs/>
                <w:i/>
                <w:iCs/>
                <w:sz w:val="20"/>
              </w:rPr>
              <w:t>0.22 (0.11</w:t>
            </w:r>
            <w:r w:rsidR="00EB1E9D">
              <w:rPr>
                <w:rFonts w:ascii="Arial Narrow" w:hAnsi="Arial Narrow" w:cs="Tahoma"/>
                <w:b/>
                <w:bCs/>
                <w:i/>
                <w:iCs/>
                <w:sz w:val="20"/>
              </w:rPr>
              <w:t>,</w:t>
            </w:r>
            <w:r w:rsidRPr="00B65B9E">
              <w:rPr>
                <w:rFonts w:ascii="Arial Narrow" w:hAnsi="Arial Narrow" w:cs="Tahoma"/>
                <w:b/>
                <w:bCs/>
                <w:i/>
                <w:iCs/>
                <w:sz w:val="20"/>
              </w:rPr>
              <w:t xml:space="preserve"> 0.43)</w:t>
            </w:r>
          </w:p>
        </w:tc>
      </w:tr>
      <w:tr w:rsidR="00FB44D6" w:rsidRPr="003B08F2" w14:paraId="65A2402B" w14:textId="77777777" w:rsidTr="0017291F">
        <w:trPr>
          <w:trHeight w:val="20"/>
        </w:trPr>
        <w:tc>
          <w:tcPr>
            <w:tcW w:w="2977" w:type="dxa"/>
            <w:vAlign w:val="center"/>
          </w:tcPr>
          <w:p w14:paraId="32BA2BF1" w14:textId="77777777" w:rsidR="00FB44D6" w:rsidRPr="00ED5F15" w:rsidRDefault="00FB44D6" w:rsidP="00FB44D6">
            <w:pPr>
              <w:spacing w:after="0"/>
              <w:ind w:left="23"/>
              <w:rPr>
                <w:rFonts w:ascii="Arial Narrow" w:hAnsi="Arial Narrow" w:cs="Tahoma"/>
                <w:i/>
                <w:iCs/>
                <w:sz w:val="20"/>
              </w:rPr>
            </w:pPr>
            <w:r w:rsidRPr="00ED5F15">
              <w:rPr>
                <w:rFonts w:ascii="Arial Narrow" w:hAnsi="Arial Narrow" w:cs="Tahoma"/>
                <w:i/>
                <w:iCs/>
                <w:sz w:val="20"/>
              </w:rPr>
              <w:t>Death or disabling stroke</w:t>
            </w:r>
          </w:p>
        </w:tc>
        <w:tc>
          <w:tcPr>
            <w:tcW w:w="1701" w:type="dxa"/>
            <w:vAlign w:val="center"/>
          </w:tcPr>
          <w:p w14:paraId="2B348ADA" w14:textId="2F27593C" w:rsidR="00FB44D6" w:rsidRPr="003B08F2" w:rsidRDefault="00FB44D6" w:rsidP="004D3FAD">
            <w:pPr>
              <w:spacing w:after="0"/>
              <w:ind w:left="23"/>
              <w:jc w:val="center"/>
              <w:rPr>
                <w:rFonts w:ascii="Arial Narrow" w:hAnsi="Arial Narrow" w:cs="Tahoma"/>
                <w:i/>
                <w:iCs/>
                <w:sz w:val="20"/>
                <w:highlight w:val="yellow"/>
              </w:rPr>
            </w:pPr>
            <w:r w:rsidRPr="00ED5F15">
              <w:rPr>
                <w:rFonts w:ascii="Arial Narrow" w:hAnsi="Arial Narrow" w:cs="Calibri"/>
                <w:i/>
                <w:iCs/>
                <w:sz w:val="20"/>
              </w:rPr>
              <w:t>2/49</w:t>
            </w:r>
            <w:r w:rsidR="004D3FAD">
              <w:rPr>
                <w:rFonts w:ascii="Arial Narrow" w:hAnsi="Arial Narrow" w:cs="Calibri"/>
                <w:i/>
                <w:iCs/>
                <w:sz w:val="20"/>
              </w:rPr>
              <w:t>6</w:t>
            </w:r>
            <w:r w:rsidRPr="00ED5F15">
              <w:rPr>
                <w:rFonts w:ascii="Arial Narrow" w:hAnsi="Arial Narrow" w:cs="Calibri"/>
                <w:i/>
                <w:iCs/>
                <w:sz w:val="20"/>
              </w:rPr>
              <w:t xml:space="preserve"> (0.4%)</w:t>
            </w:r>
          </w:p>
        </w:tc>
        <w:tc>
          <w:tcPr>
            <w:tcW w:w="1559" w:type="dxa"/>
            <w:vAlign w:val="center"/>
          </w:tcPr>
          <w:p w14:paraId="19BF9FEB" w14:textId="77777777" w:rsidR="00FB44D6" w:rsidRPr="003B08F2" w:rsidRDefault="00FB44D6" w:rsidP="00FB44D6">
            <w:pPr>
              <w:spacing w:after="0"/>
              <w:ind w:left="23"/>
              <w:jc w:val="center"/>
              <w:rPr>
                <w:rFonts w:ascii="Arial Narrow" w:hAnsi="Arial Narrow" w:cs="Tahoma"/>
                <w:i/>
                <w:iCs/>
                <w:sz w:val="20"/>
                <w:highlight w:val="yellow"/>
              </w:rPr>
            </w:pPr>
            <w:r w:rsidRPr="00ED5F15">
              <w:rPr>
                <w:rFonts w:ascii="Arial Narrow" w:hAnsi="Arial Narrow" w:cs="Calibri"/>
                <w:i/>
                <w:iCs/>
                <w:sz w:val="20"/>
              </w:rPr>
              <w:t>6/454 (1.3%)</w:t>
            </w:r>
          </w:p>
        </w:tc>
        <w:tc>
          <w:tcPr>
            <w:tcW w:w="2268" w:type="dxa"/>
            <w:vAlign w:val="center"/>
          </w:tcPr>
          <w:p w14:paraId="6766C23A" w14:textId="77777777" w:rsidR="00FB44D6" w:rsidRPr="003B08F2" w:rsidRDefault="00FB44D6" w:rsidP="00FB44D6">
            <w:pPr>
              <w:spacing w:after="0"/>
              <w:ind w:left="23"/>
              <w:jc w:val="center"/>
              <w:rPr>
                <w:rFonts w:ascii="Arial Narrow" w:hAnsi="Arial Narrow" w:cs="Tahoma"/>
                <w:i/>
                <w:iCs/>
                <w:sz w:val="20"/>
                <w:highlight w:val="yellow"/>
              </w:rPr>
            </w:pPr>
            <w:r w:rsidRPr="00ED5F15">
              <w:rPr>
                <w:rFonts w:ascii="Arial Narrow" w:hAnsi="Arial Narrow" w:cs="Calibri"/>
                <w:i/>
                <w:iCs/>
                <w:sz w:val="20"/>
              </w:rPr>
              <w:t>0.30 (0.06, 1.51)</w:t>
            </w:r>
          </w:p>
        </w:tc>
        <w:tc>
          <w:tcPr>
            <w:tcW w:w="1560" w:type="dxa"/>
            <w:vAlign w:val="center"/>
          </w:tcPr>
          <w:p w14:paraId="6C360C53" w14:textId="77777777" w:rsidR="00FB44D6" w:rsidRPr="00B65B9E" w:rsidRDefault="00FB44D6" w:rsidP="00FB44D6">
            <w:pPr>
              <w:spacing w:after="0"/>
              <w:ind w:left="23"/>
              <w:jc w:val="center"/>
              <w:rPr>
                <w:rFonts w:ascii="Arial Narrow" w:hAnsi="Arial Narrow" w:cs="Tahoma"/>
                <w:i/>
                <w:iCs/>
                <w:sz w:val="20"/>
              </w:rPr>
            </w:pPr>
            <w:r w:rsidRPr="00B65B9E">
              <w:rPr>
                <w:rFonts w:ascii="Arial Narrow" w:hAnsi="Arial Narrow" w:cs="Tahoma"/>
                <w:i/>
                <w:iCs/>
                <w:sz w:val="20"/>
              </w:rPr>
              <w:t>22/1053 (2%)</w:t>
            </w:r>
          </w:p>
        </w:tc>
        <w:tc>
          <w:tcPr>
            <w:tcW w:w="1559" w:type="dxa"/>
            <w:vAlign w:val="center"/>
          </w:tcPr>
          <w:p w14:paraId="7083C383" w14:textId="77777777" w:rsidR="00FB44D6" w:rsidRPr="00B65B9E" w:rsidRDefault="00FB44D6" w:rsidP="00FB44D6">
            <w:pPr>
              <w:spacing w:after="0"/>
              <w:ind w:left="23"/>
              <w:jc w:val="center"/>
              <w:rPr>
                <w:rFonts w:ascii="Arial Narrow" w:hAnsi="Arial Narrow" w:cs="Tahoma"/>
                <w:i/>
                <w:iCs/>
                <w:sz w:val="20"/>
              </w:rPr>
            </w:pPr>
            <w:r w:rsidRPr="00B65B9E">
              <w:rPr>
                <w:rFonts w:ascii="Arial Narrow" w:hAnsi="Arial Narrow" w:cs="Tahoma"/>
                <w:i/>
                <w:iCs/>
                <w:sz w:val="20"/>
              </w:rPr>
              <w:t>75/868 (9%)</w:t>
            </w:r>
          </w:p>
        </w:tc>
        <w:tc>
          <w:tcPr>
            <w:tcW w:w="2268" w:type="dxa"/>
            <w:vAlign w:val="center"/>
          </w:tcPr>
          <w:p w14:paraId="09F06012" w14:textId="4F5143A1" w:rsidR="00FB44D6" w:rsidRPr="003B08F2" w:rsidRDefault="00FB44D6" w:rsidP="00EB1E9D">
            <w:pPr>
              <w:spacing w:after="0"/>
              <w:ind w:left="23"/>
              <w:jc w:val="center"/>
              <w:rPr>
                <w:rFonts w:ascii="Arial Narrow" w:hAnsi="Arial Narrow" w:cs="Tahoma"/>
                <w:b/>
                <w:bCs/>
                <w:i/>
                <w:iCs/>
                <w:sz w:val="20"/>
                <w:highlight w:val="yellow"/>
              </w:rPr>
            </w:pPr>
            <w:r w:rsidRPr="00B65B9E">
              <w:rPr>
                <w:rFonts w:ascii="Arial Narrow" w:hAnsi="Arial Narrow" w:cs="Tahoma"/>
                <w:b/>
                <w:bCs/>
                <w:i/>
                <w:iCs/>
                <w:sz w:val="20"/>
              </w:rPr>
              <w:t>0.24 (0.15</w:t>
            </w:r>
            <w:r w:rsidR="00EB1E9D">
              <w:rPr>
                <w:rFonts w:ascii="Arial Narrow" w:hAnsi="Arial Narrow" w:cs="Tahoma"/>
                <w:b/>
                <w:bCs/>
                <w:i/>
                <w:iCs/>
                <w:sz w:val="20"/>
              </w:rPr>
              <w:t>,</w:t>
            </w:r>
            <w:r w:rsidRPr="00B65B9E">
              <w:rPr>
                <w:rFonts w:ascii="Arial Narrow" w:hAnsi="Arial Narrow" w:cs="Tahoma"/>
                <w:b/>
                <w:bCs/>
                <w:i/>
                <w:iCs/>
                <w:sz w:val="20"/>
              </w:rPr>
              <w:t xml:space="preserve"> 0.39)</w:t>
            </w:r>
          </w:p>
        </w:tc>
      </w:tr>
      <w:tr w:rsidR="00FB44D6" w:rsidRPr="003B08F2" w14:paraId="3047B510" w14:textId="77777777" w:rsidTr="0017291F">
        <w:trPr>
          <w:trHeight w:val="20"/>
        </w:trPr>
        <w:tc>
          <w:tcPr>
            <w:tcW w:w="2977" w:type="dxa"/>
            <w:vAlign w:val="center"/>
          </w:tcPr>
          <w:p w14:paraId="1C84A337" w14:textId="77777777" w:rsidR="00FB44D6" w:rsidRPr="00ED5F15" w:rsidRDefault="00FB44D6" w:rsidP="00FB44D6">
            <w:pPr>
              <w:spacing w:after="0"/>
              <w:ind w:left="23"/>
              <w:rPr>
                <w:rFonts w:ascii="Arial Narrow" w:hAnsi="Arial Narrow" w:cs="Tahoma"/>
                <w:i/>
                <w:iCs/>
                <w:sz w:val="20"/>
              </w:rPr>
            </w:pPr>
            <w:r w:rsidRPr="00ED5F15">
              <w:rPr>
                <w:rFonts w:ascii="Arial Narrow" w:hAnsi="Arial Narrow" w:cs="Tahoma"/>
                <w:i/>
                <w:iCs/>
                <w:sz w:val="20"/>
              </w:rPr>
              <w:t>Life-threatening or disabling bleeding</w:t>
            </w:r>
          </w:p>
        </w:tc>
        <w:tc>
          <w:tcPr>
            <w:tcW w:w="1701" w:type="dxa"/>
            <w:vAlign w:val="center"/>
          </w:tcPr>
          <w:p w14:paraId="2776368B" w14:textId="688B1774" w:rsidR="00FB44D6" w:rsidRPr="003B08F2" w:rsidRDefault="00FB44D6" w:rsidP="004D3FAD">
            <w:pPr>
              <w:spacing w:after="0"/>
              <w:ind w:left="23"/>
              <w:jc w:val="center"/>
              <w:rPr>
                <w:rFonts w:ascii="Arial Narrow" w:hAnsi="Arial Narrow" w:cs="Tahoma"/>
                <w:i/>
                <w:iCs/>
                <w:sz w:val="20"/>
                <w:highlight w:val="yellow"/>
              </w:rPr>
            </w:pPr>
            <w:r w:rsidRPr="00ED5F15">
              <w:rPr>
                <w:rFonts w:ascii="Arial Narrow" w:hAnsi="Arial Narrow" w:cs="Calibri"/>
                <w:i/>
                <w:iCs/>
                <w:sz w:val="20"/>
              </w:rPr>
              <w:t>6/49</w:t>
            </w:r>
            <w:r w:rsidR="004D3FAD">
              <w:rPr>
                <w:rFonts w:ascii="Arial Narrow" w:hAnsi="Arial Narrow" w:cs="Calibri"/>
                <w:i/>
                <w:iCs/>
                <w:sz w:val="20"/>
              </w:rPr>
              <w:t>6</w:t>
            </w:r>
            <w:r w:rsidRPr="00ED5F15">
              <w:rPr>
                <w:rFonts w:ascii="Arial Narrow" w:hAnsi="Arial Narrow" w:cs="Calibri"/>
                <w:i/>
                <w:iCs/>
                <w:sz w:val="20"/>
              </w:rPr>
              <w:t xml:space="preserve"> (1.2%)</w:t>
            </w:r>
          </w:p>
        </w:tc>
        <w:tc>
          <w:tcPr>
            <w:tcW w:w="1559" w:type="dxa"/>
            <w:vAlign w:val="center"/>
          </w:tcPr>
          <w:p w14:paraId="7D1749DC" w14:textId="77777777" w:rsidR="00FB44D6" w:rsidRPr="003B08F2" w:rsidRDefault="00FB44D6" w:rsidP="00FB44D6">
            <w:pPr>
              <w:spacing w:after="0"/>
              <w:ind w:left="23"/>
              <w:jc w:val="center"/>
              <w:rPr>
                <w:rFonts w:ascii="Arial Narrow" w:hAnsi="Arial Narrow" w:cs="Tahoma"/>
                <w:i/>
                <w:iCs/>
                <w:sz w:val="20"/>
                <w:highlight w:val="yellow"/>
              </w:rPr>
            </w:pPr>
            <w:r w:rsidRPr="00ED5F15">
              <w:rPr>
                <w:rFonts w:ascii="Arial Narrow" w:hAnsi="Arial Narrow" w:cs="Calibri"/>
                <w:i/>
                <w:iCs/>
                <w:sz w:val="20"/>
              </w:rPr>
              <w:t>54/454 (11.9%)</w:t>
            </w:r>
          </w:p>
        </w:tc>
        <w:tc>
          <w:tcPr>
            <w:tcW w:w="2268" w:type="dxa"/>
            <w:vAlign w:val="center"/>
          </w:tcPr>
          <w:p w14:paraId="01797530" w14:textId="77777777" w:rsidR="00FB44D6" w:rsidRPr="003B08F2" w:rsidRDefault="00FB44D6" w:rsidP="00FB44D6">
            <w:pPr>
              <w:spacing w:after="0"/>
              <w:ind w:left="23"/>
              <w:jc w:val="center"/>
              <w:rPr>
                <w:rFonts w:ascii="Arial Narrow" w:hAnsi="Arial Narrow" w:cs="Tahoma"/>
                <w:i/>
                <w:iCs/>
                <w:sz w:val="20"/>
                <w:highlight w:val="yellow"/>
              </w:rPr>
            </w:pPr>
            <w:r w:rsidRPr="00ED5F15">
              <w:rPr>
                <w:rFonts w:ascii="Arial Narrow" w:hAnsi="Arial Narrow" w:cs="Calibri"/>
                <w:b/>
                <w:bCs/>
                <w:i/>
                <w:iCs/>
                <w:sz w:val="20"/>
              </w:rPr>
              <w:t>0.09 (0.04, 0.22)</w:t>
            </w:r>
          </w:p>
        </w:tc>
        <w:tc>
          <w:tcPr>
            <w:tcW w:w="1560" w:type="dxa"/>
            <w:vAlign w:val="center"/>
          </w:tcPr>
          <w:p w14:paraId="2B915415" w14:textId="77777777" w:rsidR="00FB44D6" w:rsidRPr="00B65B9E" w:rsidRDefault="00FB44D6" w:rsidP="00FB44D6">
            <w:pPr>
              <w:spacing w:after="0"/>
              <w:ind w:left="23"/>
              <w:jc w:val="center"/>
              <w:rPr>
                <w:rFonts w:ascii="Arial Narrow" w:hAnsi="Arial Narrow" w:cs="Tahoma"/>
                <w:i/>
                <w:iCs/>
                <w:sz w:val="20"/>
              </w:rPr>
            </w:pPr>
            <w:r w:rsidRPr="00B65B9E">
              <w:rPr>
                <w:rFonts w:ascii="Arial Narrow" w:hAnsi="Arial Narrow" w:cs="Tahoma"/>
                <w:i/>
                <w:iCs/>
                <w:sz w:val="20"/>
              </w:rPr>
              <w:t>50/1018 (4.9%)</w:t>
            </w:r>
          </w:p>
        </w:tc>
        <w:tc>
          <w:tcPr>
            <w:tcW w:w="1559" w:type="dxa"/>
            <w:vAlign w:val="center"/>
          </w:tcPr>
          <w:p w14:paraId="01537277" w14:textId="77777777" w:rsidR="00FB44D6" w:rsidRPr="00B65B9E" w:rsidRDefault="00FB44D6" w:rsidP="00FB44D6">
            <w:pPr>
              <w:spacing w:after="0"/>
              <w:ind w:left="23"/>
              <w:jc w:val="center"/>
              <w:rPr>
                <w:rFonts w:ascii="Arial Narrow" w:hAnsi="Arial Narrow" w:cs="Tahoma"/>
                <w:i/>
                <w:iCs/>
                <w:sz w:val="20"/>
              </w:rPr>
            </w:pPr>
            <w:r w:rsidRPr="00B65B9E">
              <w:rPr>
                <w:rFonts w:ascii="Arial Narrow" w:hAnsi="Arial Narrow" w:cs="Tahoma"/>
                <w:i/>
                <w:iCs/>
                <w:sz w:val="20"/>
              </w:rPr>
              <w:t>440/493 (89.2%)</w:t>
            </w:r>
          </w:p>
        </w:tc>
        <w:tc>
          <w:tcPr>
            <w:tcW w:w="2268" w:type="dxa"/>
            <w:vAlign w:val="center"/>
          </w:tcPr>
          <w:p w14:paraId="795AED1F" w14:textId="3703B0B4" w:rsidR="00FB44D6" w:rsidRPr="003B08F2" w:rsidRDefault="00FB44D6" w:rsidP="00EB1E9D">
            <w:pPr>
              <w:spacing w:after="0"/>
              <w:ind w:left="23"/>
              <w:jc w:val="center"/>
              <w:rPr>
                <w:rFonts w:ascii="Arial Narrow" w:hAnsi="Arial Narrow" w:cs="Tahoma"/>
                <w:i/>
                <w:iCs/>
                <w:sz w:val="20"/>
                <w:highlight w:val="yellow"/>
              </w:rPr>
            </w:pPr>
            <w:r w:rsidRPr="00B65B9E">
              <w:rPr>
                <w:rFonts w:ascii="Arial Narrow" w:hAnsi="Arial Narrow" w:cs="Tahoma"/>
                <w:b/>
                <w:bCs/>
                <w:i/>
                <w:iCs/>
                <w:sz w:val="20"/>
              </w:rPr>
              <w:t>0.06 (0.04</w:t>
            </w:r>
            <w:r w:rsidR="00EB1E9D">
              <w:rPr>
                <w:rFonts w:ascii="Arial Narrow" w:hAnsi="Arial Narrow" w:cs="Tahoma"/>
                <w:b/>
                <w:bCs/>
                <w:i/>
                <w:iCs/>
                <w:sz w:val="20"/>
              </w:rPr>
              <w:t>,</w:t>
            </w:r>
            <w:r w:rsidRPr="00B65B9E">
              <w:rPr>
                <w:rFonts w:ascii="Arial Narrow" w:hAnsi="Arial Narrow" w:cs="Tahoma"/>
                <w:b/>
                <w:bCs/>
                <w:i/>
                <w:iCs/>
                <w:sz w:val="20"/>
              </w:rPr>
              <w:t xml:space="preserve"> 0.07)</w:t>
            </w:r>
          </w:p>
        </w:tc>
      </w:tr>
      <w:tr w:rsidR="00FB44D6" w:rsidRPr="003B08F2" w14:paraId="0FA82A42" w14:textId="77777777" w:rsidTr="0017291F">
        <w:trPr>
          <w:trHeight w:val="20"/>
        </w:trPr>
        <w:tc>
          <w:tcPr>
            <w:tcW w:w="2977" w:type="dxa"/>
            <w:vAlign w:val="center"/>
          </w:tcPr>
          <w:p w14:paraId="49F9F8B5" w14:textId="77777777" w:rsidR="00FB44D6" w:rsidRPr="00ED5F15" w:rsidRDefault="00FB44D6" w:rsidP="00FB44D6">
            <w:pPr>
              <w:spacing w:after="0"/>
              <w:ind w:left="23"/>
              <w:rPr>
                <w:rFonts w:ascii="Arial Narrow" w:hAnsi="Arial Narrow" w:cs="Tahoma"/>
                <w:i/>
                <w:iCs/>
                <w:sz w:val="20"/>
              </w:rPr>
            </w:pPr>
            <w:r w:rsidRPr="00ED5F15">
              <w:rPr>
                <w:rFonts w:ascii="Arial Narrow" w:hAnsi="Arial Narrow" w:cs="Tahoma"/>
                <w:i/>
                <w:iCs/>
                <w:sz w:val="20"/>
              </w:rPr>
              <w:t>Aortic valve reintervention</w:t>
            </w:r>
          </w:p>
        </w:tc>
        <w:tc>
          <w:tcPr>
            <w:tcW w:w="1701" w:type="dxa"/>
            <w:vAlign w:val="center"/>
          </w:tcPr>
          <w:p w14:paraId="15C7260D" w14:textId="77777777" w:rsidR="00FB44D6" w:rsidRPr="00ED5F15" w:rsidRDefault="00FB44D6" w:rsidP="00FB44D6">
            <w:pPr>
              <w:spacing w:after="0"/>
              <w:ind w:left="23"/>
              <w:jc w:val="center"/>
              <w:rPr>
                <w:rFonts w:ascii="Arial Narrow" w:hAnsi="Arial Narrow" w:cs="Tahoma"/>
                <w:i/>
                <w:iCs/>
                <w:sz w:val="20"/>
              </w:rPr>
            </w:pPr>
            <w:r w:rsidRPr="00ED5F15">
              <w:rPr>
                <w:rFonts w:ascii="Arial Narrow" w:hAnsi="Arial Narrow" w:cs="Tahoma"/>
                <w:i/>
                <w:iCs/>
                <w:sz w:val="20"/>
              </w:rPr>
              <w:t>0</w:t>
            </w:r>
          </w:p>
        </w:tc>
        <w:tc>
          <w:tcPr>
            <w:tcW w:w="1559" w:type="dxa"/>
            <w:vAlign w:val="center"/>
          </w:tcPr>
          <w:p w14:paraId="140B8296" w14:textId="77777777" w:rsidR="00FB44D6" w:rsidRPr="00ED5F15" w:rsidRDefault="00FB44D6" w:rsidP="00FB44D6">
            <w:pPr>
              <w:spacing w:after="0"/>
              <w:ind w:left="23"/>
              <w:jc w:val="center"/>
              <w:rPr>
                <w:rFonts w:ascii="Arial Narrow" w:hAnsi="Arial Narrow" w:cs="Tahoma"/>
                <w:i/>
                <w:iCs/>
                <w:sz w:val="20"/>
              </w:rPr>
            </w:pPr>
            <w:r w:rsidRPr="00ED5F15">
              <w:rPr>
                <w:rFonts w:ascii="Arial Narrow" w:hAnsi="Arial Narrow" w:cs="Tahoma"/>
                <w:i/>
                <w:iCs/>
                <w:sz w:val="20"/>
              </w:rPr>
              <w:t>0</w:t>
            </w:r>
          </w:p>
        </w:tc>
        <w:tc>
          <w:tcPr>
            <w:tcW w:w="2268" w:type="dxa"/>
            <w:vAlign w:val="center"/>
          </w:tcPr>
          <w:p w14:paraId="189D815F" w14:textId="77777777" w:rsidR="00FB44D6" w:rsidRPr="00ED5F15" w:rsidRDefault="00FB44D6" w:rsidP="00FB44D6">
            <w:pPr>
              <w:spacing w:after="0"/>
              <w:ind w:left="23"/>
              <w:jc w:val="center"/>
              <w:rPr>
                <w:rFonts w:ascii="Arial Narrow" w:hAnsi="Arial Narrow" w:cs="Tahoma"/>
                <w:i/>
                <w:iCs/>
                <w:sz w:val="20"/>
              </w:rPr>
            </w:pPr>
            <w:r w:rsidRPr="00ED5F15">
              <w:rPr>
                <w:rFonts w:ascii="Arial Narrow" w:hAnsi="Arial Narrow" w:cs="Tahoma"/>
                <w:i/>
                <w:iCs/>
                <w:sz w:val="20"/>
              </w:rPr>
              <w:t>-</w:t>
            </w:r>
          </w:p>
        </w:tc>
        <w:tc>
          <w:tcPr>
            <w:tcW w:w="1560" w:type="dxa"/>
            <w:vAlign w:val="center"/>
          </w:tcPr>
          <w:p w14:paraId="6D78DAEC" w14:textId="77777777" w:rsidR="00FB44D6" w:rsidRPr="00B65B9E" w:rsidRDefault="00FB44D6" w:rsidP="00FB44D6">
            <w:pPr>
              <w:spacing w:after="0"/>
              <w:ind w:left="23"/>
              <w:jc w:val="center"/>
              <w:rPr>
                <w:rFonts w:ascii="Arial Narrow" w:hAnsi="Arial Narrow" w:cs="Tahoma"/>
                <w:i/>
                <w:iCs/>
                <w:sz w:val="20"/>
              </w:rPr>
            </w:pPr>
            <w:r w:rsidRPr="00B65B9E">
              <w:rPr>
                <w:rFonts w:ascii="Arial Narrow" w:hAnsi="Arial Narrow" w:cs="Tahoma"/>
                <w:i/>
                <w:iCs/>
                <w:sz w:val="20"/>
              </w:rPr>
              <w:t>1/1062 (&lt;1%)</w:t>
            </w:r>
          </w:p>
        </w:tc>
        <w:tc>
          <w:tcPr>
            <w:tcW w:w="1559" w:type="dxa"/>
            <w:vAlign w:val="center"/>
          </w:tcPr>
          <w:p w14:paraId="50737F87" w14:textId="77777777" w:rsidR="00FB44D6" w:rsidRPr="00B65B9E" w:rsidRDefault="00FB44D6" w:rsidP="00FB44D6">
            <w:pPr>
              <w:spacing w:after="0"/>
              <w:ind w:left="23"/>
              <w:jc w:val="center"/>
              <w:rPr>
                <w:rFonts w:ascii="Arial Narrow" w:hAnsi="Arial Narrow" w:cs="Tahoma"/>
                <w:i/>
                <w:iCs/>
                <w:sz w:val="20"/>
              </w:rPr>
            </w:pPr>
            <w:r w:rsidRPr="00B65B9E">
              <w:rPr>
                <w:rFonts w:ascii="Arial Narrow" w:hAnsi="Arial Narrow" w:cs="Tahoma"/>
                <w:i/>
                <w:iCs/>
                <w:sz w:val="20"/>
              </w:rPr>
              <w:t>0/902 (0%)</w:t>
            </w:r>
          </w:p>
        </w:tc>
        <w:tc>
          <w:tcPr>
            <w:tcW w:w="2268" w:type="dxa"/>
            <w:vAlign w:val="center"/>
          </w:tcPr>
          <w:p w14:paraId="79F0382E" w14:textId="77777777" w:rsidR="00FB44D6" w:rsidRPr="00B65B9E" w:rsidRDefault="00FB44D6" w:rsidP="00FB44D6">
            <w:pPr>
              <w:spacing w:after="0"/>
              <w:ind w:left="23"/>
              <w:jc w:val="center"/>
              <w:rPr>
                <w:rFonts w:ascii="Arial Narrow" w:hAnsi="Arial Narrow" w:cs="Tahoma"/>
                <w:i/>
                <w:iCs/>
                <w:sz w:val="20"/>
              </w:rPr>
            </w:pPr>
            <w:r w:rsidRPr="00B65B9E">
              <w:rPr>
                <w:rFonts w:ascii="Arial Narrow" w:hAnsi="Arial Narrow" w:cs="Tahoma"/>
                <w:i/>
                <w:iCs/>
                <w:sz w:val="20"/>
              </w:rPr>
              <w:t>NC</w:t>
            </w:r>
          </w:p>
        </w:tc>
      </w:tr>
      <w:tr w:rsidR="00FB44D6" w:rsidRPr="003B08F2" w14:paraId="215C59C7" w14:textId="77777777" w:rsidTr="0017291F">
        <w:trPr>
          <w:trHeight w:val="20"/>
        </w:trPr>
        <w:tc>
          <w:tcPr>
            <w:tcW w:w="2977" w:type="dxa"/>
            <w:vAlign w:val="center"/>
          </w:tcPr>
          <w:p w14:paraId="4169EF08" w14:textId="77777777" w:rsidR="00FB44D6" w:rsidRPr="00ED5F15" w:rsidRDefault="00FB44D6" w:rsidP="00FB44D6">
            <w:pPr>
              <w:spacing w:after="0"/>
              <w:ind w:left="23"/>
              <w:rPr>
                <w:rFonts w:ascii="Arial Narrow" w:hAnsi="Arial Narrow" w:cs="Tahoma"/>
                <w:i/>
                <w:iCs/>
                <w:sz w:val="20"/>
              </w:rPr>
            </w:pPr>
            <w:r w:rsidRPr="00ED5F15">
              <w:rPr>
                <w:rFonts w:ascii="Arial Narrow" w:hAnsi="Arial Narrow" w:cs="Tahoma"/>
                <w:i/>
                <w:iCs/>
                <w:sz w:val="20"/>
              </w:rPr>
              <w:t>New permanent pacemakers</w:t>
            </w:r>
          </w:p>
        </w:tc>
        <w:tc>
          <w:tcPr>
            <w:tcW w:w="1701" w:type="dxa"/>
            <w:vAlign w:val="center"/>
          </w:tcPr>
          <w:p w14:paraId="1803E392" w14:textId="6D9E2730" w:rsidR="00FB44D6" w:rsidRPr="00ED5F15" w:rsidRDefault="00FB44D6" w:rsidP="004D3FAD">
            <w:pPr>
              <w:spacing w:after="0"/>
              <w:ind w:left="23"/>
              <w:jc w:val="center"/>
              <w:rPr>
                <w:rFonts w:ascii="Arial Narrow" w:hAnsi="Arial Narrow" w:cs="Tahoma"/>
                <w:i/>
                <w:iCs/>
                <w:sz w:val="20"/>
              </w:rPr>
            </w:pPr>
            <w:r w:rsidRPr="00ED5F15">
              <w:rPr>
                <w:rFonts w:ascii="Arial Narrow" w:hAnsi="Arial Narrow" w:cs="Tahoma"/>
                <w:i/>
                <w:iCs/>
                <w:sz w:val="20"/>
              </w:rPr>
              <w:t>32/49</w:t>
            </w:r>
            <w:r w:rsidR="004D3FAD">
              <w:rPr>
                <w:rFonts w:ascii="Arial Narrow" w:hAnsi="Arial Narrow" w:cs="Tahoma"/>
                <w:i/>
                <w:iCs/>
                <w:sz w:val="20"/>
              </w:rPr>
              <w:t>6</w:t>
            </w:r>
            <w:r w:rsidRPr="00ED5F15">
              <w:rPr>
                <w:rFonts w:ascii="Arial Narrow" w:hAnsi="Arial Narrow" w:cs="Tahoma"/>
                <w:i/>
                <w:iCs/>
                <w:sz w:val="20"/>
              </w:rPr>
              <w:t xml:space="preserve"> (6.5%)</w:t>
            </w:r>
          </w:p>
        </w:tc>
        <w:tc>
          <w:tcPr>
            <w:tcW w:w="1559" w:type="dxa"/>
            <w:vAlign w:val="center"/>
          </w:tcPr>
          <w:p w14:paraId="683E0D76" w14:textId="77777777" w:rsidR="00FB44D6" w:rsidRPr="00ED5F15" w:rsidRDefault="00FB44D6" w:rsidP="00FB44D6">
            <w:pPr>
              <w:spacing w:after="0"/>
              <w:ind w:left="23"/>
              <w:jc w:val="center"/>
              <w:rPr>
                <w:rFonts w:ascii="Arial Narrow" w:hAnsi="Arial Narrow" w:cs="Tahoma"/>
                <w:i/>
                <w:iCs/>
                <w:sz w:val="20"/>
              </w:rPr>
            </w:pPr>
            <w:r w:rsidRPr="00ED5F15">
              <w:rPr>
                <w:rFonts w:ascii="Arial Narrow" w:hAnsi="Arial Narrow" w:cs="Tahoma"/>
                <w:i/>
                <w:iCs/>
                <w:sz w:val="20"/>
              </w:rPr>
              <w:t>18/454 (4.0%)</w:t>
            </w:r>
          </w:p>
        </w:tc>
        <w:tc>
          <w:tcPr>
            <w:tcW w:w="2268" w:type="dxa"/>
            <w:vAlign w:val="center"/>
          </w:tcPr>
          <w:p w14:paraId="2F975544" w14:textId="77777777" w:rsidR="00FB44D6" w:rsidRPr="00ED5F15" w:rsidRDefault="00FB44D6" w:rsidP="00FB44D6">
            <w:pPr>
              <w:spacing w:after="0"/>
              <w:ind w:left="23"/>
              <w:jc w:val="center"/>
              <w:rPr>
                <w:rFonts w:ascii="Arial Narrow" w:hAnsi="Arial Narrow" w:cs="Tahoma"/>
                <w:i/>
                <w:iCs/>
                <w:sz w:val="20"/>
              </w:rPr>
            </w:pPr>
            <w:r w:rsidRPr="00ED5F15">
              <w:rPr>
                <w:rFonts w:ascii="Arial Narrow" w:hAnsi="Arial Narrow" w:cs="Tahoma"/>
                <w:i/>
                <w:iCs/>
                <w:sz w:val="20"/>
              </w:rPr>
              <w:t>1.66 (0.93, 2.96)</w:t>
            </w:r>
          </w:p>
        </w:tc>
        <w:tc>
          <w:tcPr>
            <w:tcW w:w="1560" w:type="dxa"/>
            <w:vAlign w:val="center"/>
          </w:tcPr>
          <w:p w14:paraId="5BAECCAC" w14:textId="77777777" w:rsidR="00FB44D6" w:rsidRPr="00B65B9E" w:rsidRDefault="00FB44D6" w:rsidP="00FB44D6">
            <w:pPr>
              <w:spacing w:after="0"/>
              <w:ind w:left="23"/>
              <w:jc w:val="center"/>
              <w:rPr>
                <w:rFonts w:ascii="Arial Narrow" w:hAnsi="Arial Narrow" w:cs="Tahoma"/>
                <w:i/>
                <w:iCs/>
                <w:sz w:val="20"/>
              </w:rPr>
            </w:pPr>
            <w:r w:rsidRPr="00B65B9E">
              <w:rPr>
                <w:rFonts w:ascii="Arial Narrow" w:hAnsi="Arial Narrow" w:cs="Tahoma"/>
                <w:i/>
                <w:iCs/>
                <w:sz w:val="20"/>
              </w:rPr>
              <w:t>109/955 (11%)</w:t>
            </w:r>
          </w:p>
        </w:tc>
        <w:tc>
          <w:tcPr>
            <w:tcW w:w="1559" w:type="dxa"/>
            <w:vAlign w:val="center"/>
          </w:tcPr>
          <w:p w14:paraId="5BEEBA73" w14:textId="77777777" w:rsidR="00FB44D6" w:rsidRPr="00B65B9E" w:rsidRDefault="00FB44D6" w:rsidP="00FB44D6">
            <w:pPr>
              <w:spacing w:after="0"/>
              <w:ind w:left="23"/>
              <w:jc w:val="center"/>
              <w:rPr>
                <w:rFonts w:ascii="Arial Narrow" w:hAnsi="Arial Narrow" w:cs="Tahoma"/>
                <w:i/>
                <w:iCs/>
                <w:sz w:val="20"/>
              </w:rPr>
            </w:pPr>
            <w:r w:rsidRPr="00B65B9E">
              <w:rPr>
                <w:rFonts w:ascii="Arial Narrow" w:hAnsi="Arial Narrow" w:cs="Tahoma"/>
                <w:i/>
                <w:iCs/>
                <w:sz w:val="20"/>
              </w:rPr>
              <w:t>68/836 (8%)</w:t>
            </w:r>
          </w:p>
        </w:tc>
        <w:tc>
          <w:tcPr>
            <w:tcW w:w="2268" w:type="dxa"/>
            <w:vAlign w:val="center"/>
          </w:tcPr>
          <w:p w14:paraId="7073B10E" w14:textId="105F9A7F" w:rsidR="00FB44D6" w:rsidRPr="00B65B9E" w:rsidRDefault="00FB44D6" w:rsidP="00EB1E9D">
            <w:pPr>
              <w:spacing w:after="0"/>
              <w:ind w:left="23"/>
              <w:jc w:val="center"/>
              <w:rPr>
                <w:rFonts w:ascii="Arial Narrow" w:hAnsi="Arial Narrow" w:cs="Tahoma"/>
                <w:b/>
                <w:bCs/>
                <w:i/>
                <w:iCs/>
                <w:sz w:val="20"/>
              </w:rPr>
            </w:pPr>
            <w:r w:rsidRPr="00B65B9E">
              <w:rPr>
                <w:rFonts w:ascii="Arial Narrow" w:hAnsi="Arial Narrow" w:cs="Tahoma"/>
                <w:b/>
                <w:bCs/>
                <w:i/>
                <w:iCs/>
                <w:sz w:val="20"/>
              </w:rPr>
              <w:t>1.40 (1.05</w:t>
            </w:r>
            <w:r w:rsidR="00EB1E9D">
              <w:rPr>
                <w:rFonts w:ascii="Arial Narrow" w:hAnsi="Arial Narrow" w:cs="Tahoma"/>
                <w:b/>
                <w:bCs/>
                <w:i/>
                <w:iCs/>
                <w:sz w:val="20"/>
              </w:rPr>
              <w:t>,</w:t>
            </w:r>
            <w:r w:rsidRPr="00B65B9E">
              <w:rPr>
                <w:rFonts w:ascii="Arial Narrow" w:hAnsi="Arial Narrow" w:cs="Tahoma"/>
                <w:b/>
                <w:bCs/>
                <w:i/>
                <w:iCs/>
                <w:sz w:val="20"/>
              </w:rPr>
              <w:t xml:space="preserve"> 1.87)</w:t>
            </w:r>
          </w:p>
        </w:tc>
      </w:tr>
      <w:tr w:rsidR="00FB44D6" w:rsidRPr="003B08F2" w14:paraId="2A8B2F31" w14:textId="77777777" w:rsidTr="0017291F">
        <w:trPr>
          <w:trHeight w:val="20"/>
        </w:trPr>
        <w:tc>
          <w:tcPr>
            <w:tcW w:w="2977" w:type="dxa"/>
            <w:vAlign w:val="center"/>
          </w:tcPr>
          <w:p w14:paraId="6EECEC26" w14:textId="573BE14F" w:rsidR="00FB44D6" w:rsidRPr="00ED5F15" w:rsidRDefault="00FB44D6" w:rsidP="003915B9">
            <w:pPr>
              <w:spacing w:after="0"/>
              <w:ind w:left="23"/>
              <w:rPr>
                <w:rFonts w:ascii="Arial Narrow" w:hAnsi="Arial Narrow" w:cs="Calibri"/>
                <w:i/>
                <w:iCs/>
                <w:sz w:val="20"/>
              </w:rPr>
            </w:pPr>
            <w:r w:rsidRPr="00ED5F15">
              <w:rPr>
                <w:rFonts w:ascii="Arial Narrow" w:hAnsi="Arial Narrow" w:cs="Tahoma"/>
                <w:i/>
                <w:iCs/>
                <w:sz w:val="20"/>
              </w:rPr>
              <w:t>Paravalvular regurgitation</w:t>
            </w:r>
          </w:p>
          <w:p w14:paraId="122C6B3D" w14:textId="77777777" w:rsidR="00FB44D6" w:rsidRPr="00ED5F15" w:rsidRDefault="00FB44D6" w:rsidP="003915B9">
            <w:pPr>
              <w:keepNext/>
              <w:keepLines/>
              <w:numPr>
                <w:ilvl w:val="0"/>
                <w:numId w:val="27"/>
              </w:numPr>
              <w:spacing w:after="0"/>
              <w:ind w:left="23"/>
              <w:jc w:val="both"/>
              <w:rPr>
                <w:rFonts w:ascii="Arial Narrow" w:hAnsi="Arial Narrow" w:cs="Calibri"/>
                <w:i/>
                <w:iCs/>
                <w:sz w:val="20"/>
              </w:rPr>
            </w:pPr>
            <w:r w:rsidRPr="00ED5F15">
              <w:rPr>
                <w:rFonts w:ascii="Arial Narrow" w:hAnsi="Arial Narrow" w:cs="Calibri"/>
                <w:i/>
                <w:iCs/>
                <w:sz w:val="20"/>
              </w:rPr>
              <w:t>None-trace</w:t>
            </w:r>
          </w:p>
          <w:p w14:paraId="4D1AB955" w14:textId="77777777" w:rsidR="00FB44D6" w:rsidRPr="00ED5F15" w:rsidRDefault="00FB44D6" w:rsidP="003915B9">
            <w:pPr>
              <w:keepNext/>
              <w:keepLines/>
              <w:numPr>
                <w:ilvl w:val="0"/>
                <w:numId w:val="27"/>
              </w:numPr>
              <w:spacing w:after="0"/>
              <w:ind w:left="23"/>
              <w:jc w:val="both"/>
              <w:rPr>
                <w:rFonts w:ascii="Arial Narrow" w:hAnsi="Arial Narrow" w:cs="Calibri"/>
                <w:i/>
                <w:iCs/>
                <w:sz w:val="20"/>
              </w:rPr>
            </w:pPr>
            <w:r w:rsidRPr="00ED5F15">
              <w:rPr>
                <w:rFonts w:ascii="Arial Narrow" w:hAnsi="Arial Narrow" w:cs="Calibri"/>
                <w:i/>
                <w:iCs/>
                <w:sz w:val="20"/>
              </w:rPr>
              <w:t>Mild</w:t>
            </w:r>
          </w:p>
          <w:p w14:paraId="1544D83C" w14:textId="77777777" w:rsidR="00FB44D6" w:rsidRPr="00ED5F15" w:rsidRDefault="00FB44D6" w:rsidP="003915B9">
            <w:pPr>
              <w:keepNext/>
              <w:keepLines/>
              <w:numPr>
                <w:ilvl w:val="0"/>
                <w:numId w:val="27"/>
              </w:numPr>
              <w:spacing w:after="0"/>
              <w:ind w:left="23"/>
              <w:jc w:val="both"/>
              <w:rPr>
                <w:rFonts w:ascii="Arial Narrow" w:hAnsi="Arial Narrow" w:cs="Calibri"/>
                <w:i/>
                <w:iCs/>
                <w:sz w:val="20"/>
              </w:rPr>
            </w:pPr>
            <w:r w:rsidRPr="00ED5F15">
              <w:rPr>
                <w:rFonts w:ascii="Arial Narrow" w:hAnsi="Arial Narrow" w:cs="Calibri"/>
                <w:i/>
                <w:iCs/>
                <w:sz w:val="20"/>
              </w:rPr>
              <w:t>≥Moderate</w:t>
            </w:r>
          </w:p>
        </w:tc>
        <w:tc>
          <w:tcPr>
            <w:tcW w:w="1701" w:type="dxa"/>
            <w:vAlign w:val="center"/>
          </w:tcPr>
          <w:p w14:paraId="44E7E567" w14:textId="77777777" w:rsidR="00A80E75" w:rsidRPr="00F76713" w:rsidRDefault="00A80E75" w:rsidP="003915B9">
            <w:pPr>
              <w:spacing w:after="0"/>
              <w:ind w:left="23"/>
              <w:jc w:val="center"/>
              <w:rPr>
                <w:rFonts w:ascii="Arial Narrow" w:hAnsi="Arial Narrow" w:cs="Tahoma"/>
                <w:i/>
                <w:iCs/>
                <w:sz w:val="20"/>
              </w:rPr>
            </w:pPr>
          </w:p>
          <w:p w14:paraId="0D282DEC" w14:textId="21729C6E" w:rsidR="00FB44D6" w:rsidRPr="00F76713" w:rsidRDefault="00FB44D6" w:rsidP="003915B9">
            <w:pPr>
              <w:spacing w:after="0"/>
              <w:ind w:left="23"/>
              <w:jc w:val="center"/>
              <w:rPr>
                <w:rFonts w:ascii="Arial Narrow" w:hAnsi="Arial Narrow" w:cs="Tahoma"/>
                <w:i/>
                <w:iCs/>
                <w:sz w:val="20"/>
              </w:rPr>
            </w:pPr>
            <w:r w:rsidRPr="00F76713">
              <w:rPr>
                <w:rFonts w:ascii="Arial Narrow" w:hAnsi="Arial Narrow" w:cs="Tahoma"/>
                <w:i/>
                <w:iCs/>
                <w:sz w:val="20"/>
              </w:rPr>
              <w:t>343/487 (70.4%)</w:t>
            </w:r>
          </w:p>
          <w:p w14:paraId="59766C15" w14:textId="035E2CAF" w:rsidR="00FB44D6" w:rsidRPr="00F76713" w:rsidRDefault="00FB44D6" w:rsidP="003915B9">
            <w:pPr>
              <w:spacing w:after="0"/>
              <w:ind w:left="23"/>
              <w:jc w:val="center"/>
              <w:rPr>
                <w:rFonts w:ascii="Arial Narrow" w:hAnsi="Arial Narrow" w:cs="Tahoma"/>
                <w:i/>
                <w:iCs/>
                <w:sz w:val="20"/>
              </w:rPr>
            </w:pPr>
            <w:r w:rsidRPr="00F76713">
              <w:rPr>
                <w:rFonts w:ascii="Arial Narrow" w:hAnsi="Arial Narrow" w:cs="Tahoma"/>
                <w:i/>
                <w:iCs/>
                <w:sz w:val="20"/>
              </w:rPr>
              <w:t>140/487 (28.7</w:t>
            </w:r>
            <w:r w:rsidR="00A80E75" w:rsidRPr="00F76713">
              <w:rPr>
                <w:rFonts w:ascii="Arial Narrow" w:hAnsi="Arial Narrow" w:cs="Tahoma"/>
                <w:i/>
                <w:iCs/>
                <w:sz w:val="20"/>
              </w:rPr>
              <w:t>%</w:t>
            </w:r>
            <w:r w:rsidRPr="00F76713">
              <w:rPr>
                <w:rFonts w:ascii="Arial Narrow" w:hAnsi="Arial Narrow" w:cs="Tahoma"/>
                <w:i/>
                <w:iCs/>
                <w:sz w:val="20"/>
              </w:rPr>
              <w:t>)</w:t>
            </w:r>
          </w:p>
          <w:p w14:paraId="2F1D480F" w14:textId="77777777" w:rsidR="00FB44D6" w:rsidRPr="00F76713" w:rsidRDefault="00FB44D6" w:rsidP="003915B9">
            <w:pPr>
              <w:spacing w:after="0"/>
              <w:ind w:left="23"/>
              <w:jc w:val="center"/>
              <w:rPr>
                <w:rFonts w:ascii="Arial Narrow" w:hAnsi="Arial Narrow" w:cs="Tahoma"/>
                <w:i/>
                <w:iCs/>
                <w:sz w:val="20"/>
              </w:rPr>
            </w:pPr>
            <w:r w:rsidRPr="00F76713">
              <w:rPr>
                <w:rFonts w:ascii="Arial Narrow" w:hAnsi="Arial Narrow" w:cs="Tahoma"/>
                <w:i/>
                <w:iCs/>
                <w:sz w:val="20"/>
              </w:rPr>
              <w:t>4/487 (0.8%)</w:t>
            </w:r>
          </w:p>
        </w:tc>
        <w:tc>
          <w:tcPr>
            <w:tcW w:w="1559" w:type="dxa"/>
            <w:vAlign w:val="center"/>
          </w:tcPr>
          <w:p w14:paraId="1162268B" w14:textId="77777777" w:rsidR="00FB44D6" w:rsidRPr="00F76713" w:rsidRDefault="00FB44D6" w:rsidP="003915B9">
            <w:pPr>
              <w:spacing w:after="0"/>
              <w:ind w:left="23"/>
              <w:jc w:val="center"/>
              <w:rPr>
                <w:rFonts w:ascii="Arial Narrow" w:hAnsi="Arial Narrow" w:cs="Tahoma"/>
                <w:i/>
                <w:iCs/>
                <w:sz w:val="20"/>
              </w:rPr>
            </w:pPr>
          </w:p>
          <w:p w14:paraId="7D6D53B8" w14:textId="77777777" w:rsidR="00FB44D6" w:rsidRPr="00F76713" w:rsidRDefault="00FB44D6" w:rsidP="003915B9">
            <w:pPr>
              <w:spacing w:after="0"/>
              <w:ind w:left="23"/>
              <w:jc w:val="center"/>
              <w:rPr>
                <w:rFonts w:ascii="Arial Narrow" w:hAnsi="Arial Narrow" w:cs="Tahoma"/>
                <w:i/>
                <w:iCs/>
                <w:sz w:val="20"/>
              </w:rPr>
            </w:pPr>
            <w:r w:rsidRPr="00F76713">
              <w:rPr>
                <w:rFonts w:ascii="Arial Narrow" w:hAnsi="Arial Narrow" w:cs="Tahoma"/>
                <w:i/>
                <w:iCs/>
                <w:sz w:val="20"/>
              </w:rPr>
              <w:t>409/421 (97.1%)</w:t>
            </w:r>
          </w:p>
          <w:p w14:paraId="6631C702" w14:textId="77777777" w:rsidR="00FB44D6" w:rsidRPr="00F76713" w:rsidRDefault="00FB44D6" w:rsidP="003915B9">
            <w:pPr>
              <w:spacing w:after="0"/>
              <w:ind w:left="23"/>
              <w:jc w:val="center"/>
              <w:rPr>
                <w:rFonts w:ascii="Arial Narrow" w:hAnsi="Arial Narrow" w:cs="Tahoma"/>
                <w:i/>
                <w:iCs/>
                <w:sz w:val="20"/>
              </w:rPr>
            </w:pPr>
            <w:r w:rsidRPr="00F76713">
              <w:rPr>
                <w:rFonts w:ascii="Arial Narrow" w:hAnsi="Arial Narrow" w:cs="Tahoma"/>
                <w:i/>
                <w:iCs/>
                <w:sz w:val="20"/>
              </w:rPr>
              <w:t>12/421 (2.9%)</w:t>
            </w:r>
          </w:p>
          <w:p w14:paraId="1EAC79A9" w14:textId="77777777" w:rsidR="00FB44D6" w:rsidRPr="00F76713" w:rsidRDefault="00FB44D6" w:rsidP="003915B9">
            <w:pPr>
              <w:spacing w:after="0"/>
              <w:ind w:left="23"/>
              <w:jc w:val="center"/>
              <w:rPr>
                <w:rFonts w:ascii="Arial Narrow" w:hAnsi="Arial Narrow" w:cs="Tahoma"/>
                <w:i/>
                <w:iCs/>
                <w:sz w:val="20"/>
              </w:rPr>
            </w:pPr>
            <w:r w:rsidRPr="00F76713">
              <w:rPr>
                <w:rFonts w:ascii="Arial Narrow" w:hAnsi="Arial Narrow" w:cs="Tahoma"/>
                <w:i/>
                <w:iCs/>
                <w:sz w:val="20"/>
              </w:rPr>
              <w:t>0/421 (0%)</w:t>
            </w:r>
          </w:p>
        </w:tc>
        <w:tc>
          <w:tcPr>
            <w:tcW w:w="2268" w:type="dxa"/>
            <w:vAlign w:val="center"/>
          </w:tcPr>
          <w:p w14:paraId="59C40B61" w14:textId="77777777" w:rsidR="00FB44D6" w:rsidRPr="003B08F2" w:rsidRDefault="00FB44D6" w:rsidP="003915B9">
            <w:pPr>
              <w:spacing w:after="0"/>
              <w:ind w:left="23"/>
              <w:jc w:val="center"/>
              <w:rPr>
                <w:rFonts w:ascii="Arial Narrow" w:hAnsi="Arial Narrow" w:cs="Calibri"/>
                <w:b/>
                <w:bCs/>
                <w:i/>
                <w:iCs/>
                <w:sz w:val="20"/>
                <w:highlight w:val="yellow"/>
              </w:rPr>
            </w:pPr>
          </w:p>
          <w:p w14:paraId="3731B4F0" w14:textId="77777777" w:rsidR="00E75B03" w:rsidRPr="0079722B" w:rsidRDefault="00E75B03" w:rsidP="003915B9">
            <w:pPr>
              <w:spacing w:after="0"/>
              <w:ind w:left="23"/>
              <w:jc w:val="center"/>
              <w:rPr>
                <w:rFonts w:ascii="Arial Narrow" w:hAnsi="Arial Narrow" w:cs="Calibri"/>
                <w:b/>
                <w:bCs/>
                <w:i/>
                <w:iCs/>
                <w:sz w:val="20"/>
              </w:rPr>
            </w:pPr>
            <w:r w:rsidRPr="00E75B03">
              <w:rPr>
                <w:rFonts w:ascii="Arial Narrow" w:hAnsi="Arial Narrow" w:cs="Calibri"/>
                <w:b/>
                <w:bCs/>
                <w:i/>
                <w:iCs/>
                <w:sz w:val="20"/>
              </w:rPr>
              <w:t>REDACTED</w:t>
            </w:r>
            <w:r w:rsidRPr="0079722B" w:rsidDel="00E75B03">
              <w:rPr>
                <w:rFonts w:ascii="Arial Narrow" w:hAnsi="Arial Narrow" w:cs="Calibri"/>
                <w:b/>
                <w:bCs/>
                <w:i/>
                <w:iCs/>
                <w:sz w:val="20"/>
              </w:rPr>
              <w:t xml:space="preserve"> </w:t>
            </w:r>
          </w:p>
          <w:p w14:paraId="72F99154" w14:textId="71B4B18A" w:rsidR="00FB44D6" w:rsidRPr="003B08F2" w:rsidRDefault="00E75B03" w:rsidP="003915B9">
            <w:pPr>
              <w:spacing w:after="0"/>
              <w:ind w:left="23"/>
              <w:jc w:val="center"/>
              <w:rPr>
                <w:rFonts w:ascii="Arial Narrow" w:hAnsi="Arial Narrow" w:cs="Calibri"/>
                <w:i/>
                <w:iCs/>
                <w:sz w:val="20"/>
                <w:highlight w:val="yellow"/>
              </w:rPr>
            </w:pPr>
            <w:r w:rsidRPr="0079722B">
              <w:rPr>
                <w:rFonts w:ascii="Arial Narrow" w:hAnsi="Arial Narrow" w:cs="Calibri"/>
                <w:b/>
                <w:bCs/>
                <w:i/>
                <w:iCs/>
                <w:sz w:val="20"/>
              </w:rPr>
              <w:t>REDACTED</w:t>
            </w:r>
            <w:r w:rsidRPr="0079722B" w:rsidDel="00E75B03">
              <w:rPr>
                <w:rFonts w:ascii="Arial Narrow" w:hAnsi="Arial Narrow" w:cs="Calibri"/>
                <w:b/>
                <w:bCs/>
                <w:i/>
                <w:iCs/>
                <w:sz w:val="20"/>
              </w:rPr>
              <w:t xml:space="preserve"> </w:t>
            </w:r>
          </w:p>
          <w:p w14:paraId="6B4938ED" w14:textId="77777777" w:rsidR="00FB44D6" w:rsidRPr="003B08F2" w:rsidRDefault="00FB44D6" w:rsidP="003915B9">
            <w:pPr>
              <w:spacing w:after="0"/>
              <w:ind w:left="23"/>
              <w:jc w:val="center"/>
              <w:rPr>
                <w:rFonts w:ascii="Arial Narrow" w:hAnsi="Arial Narrow" w:cs="Tahoma"/>
                <w:i/>
                <w:iCs/>
                <w:sz w:val="20"/>
                <w:highlight w:val="yellow"/>
              </w:rPr>
            </w:pPr>
            <w:r w:rsidRPr="00F76713">
              <w:rPr>
                <w:rFonts w:ascii="Arial Narrow" w:hAnsi="Arial Narrow" w:cs="Calibri"/>
                <w:i/>
                <w:iCs/>
                <w:sz w:val="20"/>
              </w:rPr>
              <w:t>NC</w:t>
            </w:r>
          </w:p>
        </w:tc>
        <w:tc>
          <w:tcPr>
            <w:tcW w:w="1560" w:type="dxa"/>
            <w:vAlign w:val="center"/>
          </w:tcPr>
          <w:p w14:paraId="7319CE36" w14:textId="77777777" w:rsidR="00FB44D6" w:rsidRPr="003B08F2" w:rsidRDefault="00FB44D6" w:rsidP="003915B9">
            <w:pPr>
              <w:spacing w:after="0"/>
              <w:ind w:left="23"/>
              <w:jc w:val="center"/>
              <w:rPr>
                <w:rFonts w:ascii="Arial Narrow" w:hAnsi="Arial Narrow" w:cs="Tahoma"/>
                <w:i/>
                <w:iCs/>
                <w:sz w:val="20"/>
                <w:highlight w:val="yellow"/>
              </w:rPr>
            </w:pPr>
          </w:p>
          <w:p w14:paraId="4008E008" w14:textId="77777777" w:rsidR="00FB44D6" w:rsidRPr="003D5582" w:rsidRDefault="00FB44D6" w:rsidP="003915B9">
            <w:pPr>
              <w:spacing w:after="0"/>
              <w:ind w:left="23"/>
              <w:jc w:val="center"/>
              <w:rPr>
                <w:rFonts w:ascii="Arial Narrow" w:hAnsi="Arial Narrow" w:cs="Tahoma"/>
                <w:i/>
                <w:iCs/>
                <w:sz w:val="20"/>
              </w:rPr>
            </w:pPr>
            <w:r w:rsidRPr="003D5582">
              <w:rPr>
                <w:rFonts w:ascii="Arial Narrow" w:hAnsi="Arial Narrow" w:cs="Tahoma"/>
                <w:i/>
                <w:iCs/>
                <w:sz w:val="20"/>
              </w:rPr>
              <w:t>51.2%</w:t>
            </w:r>
          </w:p>
          <w:p w14:paraId="2F877AD5" w14:textId="77777777" w:rsidR="00FB44D6" w:rsidRPr="003D5582" w:rsidRDefault="00FB44D6" w:rsidP="003915B9">
            <w:pPr>
              <w:spacing w:after="0"/>
              <w:ind w:left="23"/>
              <w:jc w:val="center"/>
              <w:rPr>
                <w:rFonts w:ascii="Arial Narrow" w:hAnsi="Arial Narrow" w:cs="Tahoma"/>
                <w:i/>
                <w:iCs/>
                <w:sz w:val="20"/>
              </w:rPr>
            </w:pPr>
            <w:r w:rsidRPr="003D5582">
              <w:rPr>
                <w:rFonts w:ascii="Arial Narrow" w:hAnsi="Arial Narrow" w:cs="Tahoma"/>
                <w:i/>
                <w:iCs/>
                <w:sz w:val="20"/>
              </w:rPr>
              <w:t>45.0%</w:t>
            </w:r>
          </w:p>
          <w:p w14:paraId="7B8014BE" w14:textId="77777777" w:rsidR="00FB44D6" w:rsidRPr="003B08F2" w:rsidRDefault="00FB44D6" w:rsidP="003915B9">
            <w:pPr>
              <w:spacing w:after="0"/>
              <w:ind w:left="23"/>
              <w:jc w:val="center"/>
              <w:rPr>
                <w:rFonts w:ascii="Arial Narrow" w:hAnsi="Arial Narrow" w:cs="Tahoma"/>
                <w:i/>
                <w:iCs/>
                <w:sz w:val="20"/>
                <w:highlight w:val="yellow"/>
              </w:rPr>
            </w:pPr>
            <w:r w:rsidRPr="003D5582">
              <w:rPr>
                <w:rFonts w:ascii="Arial Narrow" w:hAnsi="Arial Narrow" w:cs="Tahoma"/>
                <w:i/>
                <w:iCs/>
                <w:sz w:val="20"/>
              </w:rPr>
              <w:t>3.8%</w:t>
            </w:r>
          </w:p>
        </w:tc>
        <w:tc>
          <w:tcPr>
            <w:tcW w:w="1559" w:type="dxa"/>
            <w:vAlign w:val="center"/>
          </w:tcPr>
          <w:p w14:paraId="7BA8B548" w14:textId="77777777" w:rsidR="00FB44D6" w:rsidRPr="003B08F2" w:rsidRDefault="00FB44D6" w:rsidP="003915B9">
            <w:pPr>
              <w:spacing w:after="0"/>
              <w:ind w:left="23"/>
              <w:jc w:val="center"/>
              <w:rPr>
                <w:rFonts w:ascii="Arial Narrow" w:hAnsi="Arial Narrow" w:cs="Tahoma"/>
                <w:i/>
                <w:iCs/>
                <w:sz w:val="20"/>
                <w:highlight w:val="yellow"/>
              </w:rPr>
            </w:pPr>
          </w:p>
          <w:p w14:paraId="123F7987" w14:textId="77777777" w:rsidR="00FB44D6" w:rsidRPr="003D5582" w:rsidRDefault="00FB44D6" w:rsidP="003915B9">
            <w:pPr>
              <w:spacing w:after="0"/>
              <w:ind w:left="23"/>
              <w:jc w:val="center"/>
              <w:rPr>
                <w:rFonts w:ascii="Arial Narrow" w:hAnsi="Arial Narrow" w:cs="Tahoma"/>
                <w:i/>
                <w:iCs/>
                <w:sz w:val="20"/>
              </w:rPr>
            </w:pPr>
            <w:r w:rsidRPr="003D5582">
              <w:rPr>
                <w:rFonts w:ascii="Arial Narrow" w:hAnsi="Arial Narrow" w:cs="Tahoma"/>
                <w:i/>
                <w:iCs/>
                <w:sz w:val="20"/>
              </w:rPr>
              <w:t>96.7%</w:t>
            </w:r>
          </w:p>
          <w:p w14:paraId="2825F8F3" w14:textId="77777777" w:rsidR="00FB44D6" w:rsidRPr="003D5582" w:rsidRDefault="00FB44D6" w:rsidP="003915B9">
            <w:pPr>
              <w:spacing w:after="0"/>
              <w:ind w:left="23"/>
              <w:jc w:val="center"/>
              <w:rPr>
                <w:rFonts w:ascii="Arial Narrow" w:hAnsi="Arial Narrow" w:cs="Tahoma"/>
                <w:i/>
                <w:iCs/>
                <w:sz w:val="20"/>
              </w:rPr>
            </w:pPr>
            <w:r w:rsidRPr="003D5582">
              <w:rPr>
                <w:rFonts w:ascii="Arial Narrow" w:hAnsi="Arial Narrow" w:cs="Tahoma"/>
                <w:i/>
                <w:iCs/>
                <w:sz w:val="20"/>
              </w:rPr>
              <w:t>2.8%</w:t>
            </w:r>
          </w:p>
          <w:p w14:paraId="53CC5200" w14:textId="77777777" w:rsidR="00FB44D6" w:rsidRPr="003B08F2" w:rsidRDefault="00FB44D6" w:rsidP="003915B9">
            <w:pPr>
              <w:spacing w:after="0"/>
              <w:ind w:left="23"/>
              <w:jc w:val="center"/>
              <w:rPr>
                <w:rFonts w:ascii="Arial Narrow" w:hAnsi="Arial Narrow" w:cs="Tahoma"/>
                <w:i/>
                <w:iCs/>
                <w:sz w:val="20"/>
                <w:highlight w:val="yellow"/>
              </w:rPr>
            </w:pPr>
            <w:r w:rsidRPr="003D5582">
              <w:rPr>
                <w:rFonts w:ascii="Arial Narrow" w:hAnsi="Arial Narrow" w:cs="Tahoma"/>
                <w:i/>
                <w:iCs/>
                <w:sz w:val="20"/>
              </w:rPr>
              <w:t>0.6%</w:t>
            </w:r>
          </w:p>
        </w:tc>
        <w:tc>
          <w:tcPr>
            <w:tcW w:w="2268" w:type="dxa"/>
            <w:vAlign w:val="center"/>
          </w:tcPr>
          <w:p w14:paraId="6072AE07" w14:textId="77777777" w:rsidR="00FB44D6" w:rsidRPr="003B08F2" w:rsidRDefault="00FB44D6" w:rsidP="003915B9">
            <w:pPr>
              <w:ind w:left="22"/>
              <w:jc w:val="center"/>
              <w:rPr>
                <w:rFonts w:ascii="Arial Narrow" w:hAnsi="Arial Narrow" w:cs="Tahoma"/>
                <w:i/>
                <w:iCs/>
                <w:sz w:val="20"/>
                <w:highlight w:val="yellow"/>
              </w:rPr>
            </w:pPr>
            <w:r w:rsidRPr="003D5582">
              <w:rPr>
                <w:rFonts w:ascii="Arial Narrow" w:hAnsi="Arial Narrow" w:cs="Tahoma"/>
                <w:i/>
                <w:iCs/>
                <w:sz w:val="20"/>
              </w:rPr>
              <w:t>NR</w:t>
            </w:r>
          </w:p>
        </w:tc>
      </w:tr>
      <w:tr w:rsidR="00FB44D6" w:rsidRPr="003B08F2" w14:paraId="272A0261" w14:textId="77777777" w:rsidTr="00FB44D6">
        <w:trPr>
          <w:trHeight w:val="20"/>
        </w:trPr>
        <w:tc>
          <w:tcPr>
            <w:tcW w:w="13892" w:type="dxa"/>
            <w:gridSpan w:val="7"/>
            <w:vAlign w:val="center"/>
          </w:tcPr>
          <w:p w14:paraId="389E2CD0" w14:textId="77777777" w:rsidR="00FB44D6" w:rsidRPr="00ED5F15" w:rsidRDefault="00FB44D6" w:rsidP="00FB44D6">
            <w:pPr>
              <w:spacing w:after="0"/>
              <w:ind w:left="23"/>
              <w:rPr>
                <w:rFonts w:ascii="Arial Narrow" w:hAnsi="Arial Narrow" w:cs="Tahoma"/>
                <w:b/>
                <w:bCs/>
                <w:i/>
                <w:iCs/>
                <w:sz w:val="20"/>
              </w:rPr>
            </w:pPr>
            <w:r w:rsidRPr="00ED5F15">
              <w:rPr>
                <w:rFonts w:ascii="Arial Narrow" w:hAnsi="Arial Narrow" w:cs="Tahoma"/>
                <w:b/>
                <w:bCs/>
                <w:i/>
                <w:iCs/>
                <w:sz w:val="20"/>
              </w:rPr>
              <w:t>Outcomes at 1-year follow-up</w:t>
            </w:r>
          </w:p>
        </w:tc>
      </w:tr>
      <w:tr w:rsidR="00F42E36" w:rsidRPr="003B08F2" w14:paraId="332B3993" w14:textId="77777777" w:rsidTr="00443ADF">
        <w:trPr>
          <w:trHeight w:val="20"/>
        </w:trPr>
        <w:tc>
          <w:tcPr>
            <w:tcW w:w="2977" w:type="dxa"/>
            <w:vAlign w:val="center"/>
          </w:tcPr>
          <w:p w14:paraId="11A9FC69" w14:textId="77777777" w:rsidR="00F42E36" w:rsidRPr="00ED5F15" w:rsidRDefault="00F42E36" w:rsidP="00F42E36">
            <w:pPr>
              <w:spacing w:after="0"/>
              <w:ind w:left="23"/>
              <w:rPr>
                <w:rFonts w:ascii="Arial Narrow" w:hAnsi="Arial Narrow" w:cs="Tahoma"/>
                <w:i/>
                <w:iCs/>
                <w:sz w:val="20"/>
              </w:rPr>
            </w:pPr>
            <w:r w:rsidRPr="00ED5F15">
              <w:rPr>
                <w:rFonts w:ascii="Arial Narrow" w:hAnsi="Arial Narrow" w:cs="Tahoma"/>
                <w:i/>
                <w:iCs/>
                <w:sz w:val="20"/>
              </w:rPr>
              <w:t xml:space="preserve">All-cause mortality </w:t>
            </w:r>
          </w:p>
        </w:tc>
        <w:tc>
          <w:tcPr>
            <w:tcW w:w="1701" w:type="dxa"/>
            <w:vAlign w:val="center"/>
          </w:tcPr>
          <w:p w14:paraId="41451253" w14:textId="0667BCD9" w:rsidR="00F42E36" w:rsidRPr="00ED5F15" w:rsidRDefault="00F42E36" w:rsidP="004D3FAD">
            <w:pPr>
              <w:spacing w:after="0"/>
              <w:ind w:left="23"/>
              <w:jc w:val="center"/>
              <w:rPr>
                <w:rFonts w:ascii="Arial Narrow" w:hAnsi="Arial Narrow" w:cs="Tahoma"/>
                <w:i/>
                <w:iCs/>
                <w:sz w:val="20"/>
              </w:rPr>
            </w:pPr>
            <w:r w:rsidRPr="00ED5F15">
              <w:rPr>
                <w:rFonts w:ascii="Arial Narrow" w:hAnsi="Arial Narrow" w:cs="Calibri"/>
                <w:i/>
                <w:iCs/>
                <w:sz w:val="20"/>
              </w:rPr>
              <w:t>5/49</w:t>
            </w:r>
            <w:r w:rsidR="004D3FAD">
              <w:rPr>
                <w:rFonts w:ascii="Arial Narrow" w:hAnsi="Arial Narrow" w:cs="Calibri"/>
                <w:i/>
                <w:iCs/>
                <w:sz w:val="20"/>
              </w:rPr>
              <w:t>6</w:t>
            </w:r>
            <w:r w:rsidRPr="00ED5F15">
              <w:rPr>
                <w:rFonts w:ascii="Arial Narrow" w:hAnsi="Arial Narrow" w:cs="Calibri"/>
                <w:i/>
                <w:iCs/>
                <w:sz w:val="20"/>
              </w:rPr>
              <w:t xml:space="preserve"> (</w:t>
            </w:r>
            <w:r w:rsidRPr="00ED5F15">
              <w:rPr>
                <w:rFonts w:ascii="Arial Narrow" w:hAnsi="Arial Narrow" w:cs="Tahoma"/>
                <w:i/>
                <w:iCs/>
                <w:sz w:val="20"/>
              </w:rPr>
              <w:t>1.0%)</w:t>
            </w:r>
          </w:p>
        </w:tc>
        <w:tc>
          <w:tcPr>
            <w:tcW w:w="1559" w:type="dxa"/>
            <w:vAlign w:val="center"/>
          </w:tcPr>
          <w:p w14:paraId="11DCCD40" w14:textId="77777777" w:rsidR="00F42E36" w:rsidRPr="00ED5F15" w:rsidRDefault="00F42E36" w:rsidP="00F42E36">
            <w:pPr>
              <w:spacing w:after="0"/>
              <w:ind w:left="23"/>
              <w:jc w:val="center"/>
              <w:rPr>
                <w:rFonts w:ascii="Arial Narrow" w:hAnsi="Arial Narrow" w:cs="Tahoma"/>
                <w:i/>
                <w:iCs/>
                <w:sz w:val="20"/>
              </w:rPr>
            </w:pPr>
            <w:r w:rsidRPr="00ED5F15">
              <w:rPr>
                <w:rFonts w:ascii="Arial Narrow" w:hAnsi="Arial Narrow" w:cs="Tahoma"/>
                <w:i/>
                <w:iCs/>
                <w:sz w:val="20"/>
              </w:rPr>
              <w:t>11/454 (2.5%)</w:t>
            </w:r>
          </w:p>
        </w:tc>
        <w:tc>
          <w:tcPr>
            <w:tcW w:w="2268" w:type="dxa"/>
            <w:vAlign w:val="center"/>
          </w:tcPr>
          <w:p w14:paraId="5EBAD495" w14:textId="77777777" w:rsidR="00F42E36" w:rsidRPr="00ED5F15" w:rsidRDefault="00F42E36" w:rsidP="00F42E36">
            <w:pPr>
              <w:spacing w:after="0"/>
              <w:ind w:left="23"/>
              <w:jc w:val="center"/>
              <w:rPr>
                <w:rFonts w:ascii="Arial Narrow" w:hAnsi="Arial Narrow" w:cs="Tahoma"/>
                <w:i/>
                <w:iCs/>
                <w:sz w:val="20"/>
              </w:rPr>
            </w:pPr>
            <w:r w:rsidRPr="00ED5F15">
              <w:rPr>
                <w:rFonts w:ascii="Arial Narrow" w:hAnsi="Arial Narrow" w:cs="Tahoma"/>
                <w:i/>
                <w:iCs/>
                <w:sz w:val="20"/>
              </w:rPr>
              <w:t>0.41 (0.14, 1.17)</w:t>
            </w:r>
          </w:p>
        </w:tc>
        <w:tc>
          <w:tcPr>
            <w:tcW w:w="1560" w:type="dxa"/>
          </w:tcPr>
          <w:p w14:paraId="407A4B25" w14:textId="6FAEACD8" w:rsidR="00F42E36" w:rsidRPr="00F42E36" w:rsidRDefault="00F42E36" w:rsidP="00F42E36">
            <w:pPr>
              <w:spacing w:after="0"/>
              <w:ind w:left="23"/>
              <w:jc w:val="center"/>
              <w:rPr>
                <w:rFonts w:ascii="Arial Narrow" w:hAnsi="Arial Narrow" w:cs="Tahoma"/>
                <w:i/>
                <w:iCs/>
                <w:sz w:val="20"/>
                <w:highlight w:val="yellow"/>
              </w:rPr>
            </w:pPr>
            <w:r w:rsidRPr="00F42E36">
              <w:rPr>
                <w:rFonts w:ascii="Arial Narrow" w:hAnsi="Arial Narrow"/>
                <w:sz w:val="20"/>
              </w:rPr>
              <w:t xml:space="preserve">79/963 (8%) </w:t>
            </w:r>
          </w:p>
        </w:tc>
        <w:tc>
          <w:tcPr>
            <w:tcW w:w="1559" w:type="dxa"/>
          </w:tcPr>
          <w:p w14:paraId="2EA19D50" w14:textId="74601DCB" w:rsidR="00F42E36" w:rsidRPr="00F42E36" w:rsidRDefault="00F42E36" w:rsidP="00F42E36">
            <w:pPr>
              <w:spacing w:after="0"/>
              <w:ind w:left="23"/>
              <w:jc w:val="center"/>
              <w:rPr>
                <w:rFonts w:ascii="Arial Narrow" w:hAnsi="Arial Narrow" w:cs="Tahoma"/>
                <w:i/>
                <w:iCs/>
                <w:sz w:val="20"/>
                <w:highlight w:val="yellow"/>
              </w:rPr>
            </w:pPr>
            <w:r w:rsidRPr="00F42E36">
              <w:rPr>
                <w:rFonts w:ascii="Arial Narrow" w:hAnsi="Arial Narrow"/>
                <w:sz w:val="20"/>
              </w:rPr>
              <w:t>121/795 (15%)</w:t>
            </w:r>
          </w:p>
        </w:tc>
        <w:tc>
          <w:tcPr>
            <w:tcW w:w="2268" w:type="dxa"/>
          </w:tcPr>
          <w:p w14:paraId="091CDBDC" w14:textId="3C498145" w:rsidR="00F42E36" w:rsidRPr="003B08F2" w:rsidRDefault="00F42E36" w:rsidP="00EB1E9D">
            <w:pPr>
              <w:spacing w:after="0"/>
              <w:ind w:left="23"/>
              <w:jc w:val="center"/>
              <w:rPr>
                <w:rFonts w:ascii="Arial Narrow" w:hAnsi="Arial Narrow" w:cs="Tahoma"/>
                <w:b/>
                <w:bCs/>
                <w:i/>
                <w:iCs/>
                <w:sz w:val="20"/>
                <w:highlight w:val="yellow"/>
              </w:rPr>
            </w:pPr>
            <w:r w:rsidRPr="00F42E36">
              <w:rPr>
                <w:rFonts w:ascii="Arial Narrow" w:hAnsi="Arial Narrow" w:cs="Tahoma"/>
                <w:b/>
                <w:bCs/>
                <w:i/>
                <w:iCs/>
                <w:sz w:val="20"/>
              </w:rPr>
              <w:t>0.54 (0.41</w:t>
            </w:r>
            <w:r w:rsidR="00EB1E9D">
              <w:rPr>
                <w:rFonts w:ascii="Arial Narrow" w:hAnsi="Arial Narrow" w:cs="Tahoma"/>
                <w:b/>
                <w:bCs/>
                <w:i/>
                <w:iCs/>
                <w:sz w:val="20"/>
              </w:rPr>
              <w:t>,</w:t>
            </w:r>
            <w:r w:rsidRPr="00F42E36">
              <w:rPr>
                <w:rFonts w:ascii="Arial Narrow" w:hAnsi="Arial Narrow" w:cs="Tahoma"/>
                <w:b/>
                <w:bCs/>
                <w:i/>
                <w:iCs/>
                <w:sz w:val="20"/>
              </w:rPr>
              <w:t xml:space="preserve"> 0.70)</w:t>
            </w:r>
          </w:p>
        </w:tc>
      </w:tr>
      <w:tr w:rsidR="00F42E36" w:rsidRPr="003B08F2" w14:paraId="30FE6E8A" w14:textId="77777777" w:rsidTr="0017291F">
        <w:trPr>
          <w:trHeight w:val="20"/>
        </w:trPr>
        <w:tc>
          <w:tcPr>
            <w:tcW w:w="2977" w:type="dxa"/>
            <w:vAlign w:val="center"/>
          </w:tcPr>
          <w:p w14:paraId="1C4C8E27" w14:textId="77777777" w:rsidR="00F42E36" w:rsidRPr="00ED5F15" w:rsidRDefault="00F42E36" w:rsidP="00F42E36">
            <w:pPr>
              <w:spacing w:after="0"/>
              <w:ind w:left="23"/>
              <w:rPr>
                <w:rFonts w:ascii="Arial Narrow" w:hAnsi="Arial Narrow" w:cs="Tahoma"/>
                <w:i/>
                <w:iCs/>
                <w:sz w:val="20"/>
              </w:rPr>
            </w:pPr>
            <w:r w:rsidRPr="00ED5F15">
              <w:rPr>
                <w:rFonts w:ascii="Arial Narrow" w:hAnsi="Arial Narrow" w:cs="Tahoma"/>
                <w:i/>
                <w:iCs/>
                <w:sz w:val="20"/>
              </w:rPr>
              <w:t>Any stroke</w:t>
            </w:r>
          </w:p>
        </w:tc>
        <w:tc>
          <w:tcPr>
            <w:tcW w:w="1701" w:type="dxa"/>
            <w:vAlign w:val="center"/>
          </w:tcPr>
          <w:p w14:paraId="3FF6282A" w14:textId="4607D51C" w:rsidR="00F42E36" w:rsidRPr="00ED5F15" w:rsidRDefault="00F42E36" w:rsidP="004D3FAD">
            <w:pPr>
              <w:spacing w:after="0"/>
              <w:ind w:left="23"/>
              <w:jc w:val="center"/>
              <w:rPr>
                <w:rFonts w:ascii="Arial Narrow" w:hAnsi="Arial Narrow" w:cs="Tahoma"/>
                <w:i/>
                <w:iCs/>
                <w:sz w:val="20"/>
              </w:rPr>
            </w:pPr>
            <w:r w:rsidRPr="00ED5F15">
              <w:rPr>
                <w:rFonts w:ascii="Arial Narrow" w:hAnsi="Arial Narrow" w:cs="Tahoma"/>
                <w:i/>
                <w:iCs/>
                <w:sz w:val="20"/>
              </w:rPr>
              <w:t>6/49</w:t>
            </w:r>
            <w:r w:rsidR="004D3FAD">
              <w:rPr>
                <w:rFonts w:ascii="Arial Narrow" w:hAnsi="Arial Narrow" w:cs="Tahoma"/>
                <w:i/>
                <w:iCs/>
                <w:sz w:val="20"/>
              </w:rPr>
              <w:t>6</w:t>
            </w:r>
            <w:r w:rsidRPr="00ED5F15">
              <w:rPr>
                <w:rFonts w:ascii="Arial Narrow" w:hAnsi="Arial Narrow" w:cs="Tahoma"/>
                <w:i/>
                <w:iCs/>
                <w:sz w:val="20"/>
              </w:rPr>
              <w:t xml:space="preserve"> (1.2%)</w:t>
            </w:r>
          </w:p>
        </w:tc>
        <w:tc>
          <w:tcPr>
            <w:tcW w:w="1559" w:type="dxa"/>
            <w:vAlign w:val="center"/>
          </w:tcPr>
          <w:p w14:paraId="616F9D5C" w14:textId="6A4327E9" w:rsidR="00F42E36" w:rsidRPr="00ED5F15" w:rsidRDefault="00F42E36" w:rsidP="00F42E36">
            <w:pPr>
              <w:spacing w:after="0"/>
              <w:ind w:left="23"/>
              <w:jc w:val="center"/>
              <w:rPr>
                <w:rFonts w:ascii="Arial Narrow" w:hAnsi="Arial Narrow" w:cs="Tahoma"/>
                <w:i/>
                <w:iCs/>
                <w:sz w:val="20"/>
              </w:rPr>
            </w:pPr>
            <w:r w:rsidRPr="00ED5F15">
              <w:rPr>
                <w:rFonts w:ascii="Arial Narrow" w:hAnsi="Arial Narrow" w:cs="Tahoma"/>
                <w:i/>
                <w:iCs/>
                <w:sz w:val="20"/>
              </w:rPr>
              <w:t>14/454 (3.</w:t>
            </w:r>
            <w:r>
              <w:rPr>
                <w:rFonts w:ascii="Arial Narrow" w:hAnsi="Arial Narrow" w:cs="Tahoma"/>
                <w:i/>
                <w:iCs/>
                <w:sz w:val="20"/>
              </w:rPr>
              <w:t>1</w:t>
            </w:r>
            <w:r w:rsidRPr="00ED5F15">
              <w:rPr>
                <w:rFonts w:ascii="Arial Narrow" w:hAnsi="Arial Narrow" w:cs="Tahoma"/>
                <w:i/>
                <w:iCs/>
                <w:sz w:val="20"/>
              </w:rPr>
              <w:t>%)</w:t>
            </w:r>
          </w:p>
        </w:tc>
        <w:tc>
          <w:tcPr>
            <w:tcW w:w="2268" w:type="dxa"/>
            <w:vAlign w:val="center"/>
          </w:tcPr>
          <w:p w14:paraId="11F4C4EA" w14:textId="77777777" w:rsidR="00F42E36" w:rsidRPr="00ED5F15" w:rsidRDefault="00F42E36" w:rsidP="00F42E36">
            <w:pPr>
              <w:spacing w:after="0"/>
              <w:ind w:left="23"/>
              <w:jc w:val="center"/>
              <w:rPr>
                <w:rFonts w:ascii="Arial Narrow" w:hAnsi="Arial Narrow" w:cs="Tahoma"/>
                <w:i/>
                <w:iCs/>
                <w:sz w:val="20"/>
              </w:rPr>
            </w:pPr>
            <w:r w:rsidRPr="00ED5F15">
              <w:rPr>
                <w:rFonts w:ascii="Arial Narrow" w:hAnsi="Arial Narrow" w:cs="Tahoma"/>
                <w:i/>
                <w:iCs/>
                <w:sz w:val="20"/>
              </w:rPr>
              <w:t>0.38 (0.15, 1.00)</w:t>
            </w:r>
          </w:p>
        </w:tc>
        <w:tc>
          <w:tcPr>
            <w:tcW w:w="1560" w:type="dxa"/>
            <w:vAlign w:val="center"/>
          </w:tcPr>
          <w:p w14:paraId="76330D76" w14:textId="3DF79A00" w:rsidR="00F42E36" w:rsidRPr="00F42E36" w:rsidRDefault="00F42E36" w:rsidP="00F42E36">
            <w:pPr>
              <w:spacing w:after="0"/>
              <w:ind w:left="23"/>
              <w:jc w:val="center"/>
              <w:rPr>
                <w:rFonts w:ascii="Arial Narrow" w:hAnsi="Arial Narrow" w:cs="Tahoma"/>
                <w:i/>
                <w:iCs/>
                <w:sz w:val="20"/>
              </w:rPr>
            </w:pPr>
            <w:r w:rsidRPr="00F42E36">
              <w:rPr>
                <w:rFonts w:ascii="Arial Narrow" w:hAnsi="Arial Narrow" w:cs="Tahoma"/>
                <w:i/>
                <w:iCs/>
                <w:sz w:val="20"/>
              </w:rPr>
              <w:t>49/930 (5%)</w:t>
            </w:r>
          </w:p>
        </w:tc>
        <w:tc>
          <w:tcPr>
            <w:tcW w:w="1559" w:type="dxa"/>
            <w:vAlign w:val="center"/>
          </w:tcPr>
          <w:p w14:paraId="1F985A83" w14:textId="331ED225" w:rsidR="00F42E36" w:rsidRPr="00F42E36" w:rsidRDefault="00F42E36" w:rsidP="00F42E36">
            <w:pPr>
              <w:spacing w:after="0"/>
              <w:ind w:left="23"/>
              <w:jc w:val="center"/>
              <w:rPr>
                <w:rFonts w:ascii="Arial Narrow" w:hAnsi="Arial Narrow" w:cs="Tahoma"/>
                <w:i/>
                <w:iCs/>
                <w:sz w:val="20"/>
              </w:rPr>
            </w:pPr>
            <w:r w:rsidRPr="00F42E36">
              <w:rPr>
                <w:rFonts w:ascii="Arial Narrow" w:hAnsi="Arial Narrow" w:cs="Tahoma"/>
                <w:i/>
                <w:iCs/>
                <w:sz w:val="20"/>
              </w:rPr>
              <w:t>75/743 (10%)</w:t>
            </w:r>
          </w:p>
        </w:tc>
        <w:tc>
          <w:tcPr>
            <w:tcW w:w="2268" w:type="dxa"/>
          </w:tcPr>
          <w:p w14:paraId="32D503C5" w14:textId="7E42B73D" w:rsidR="00F42E36" w:rsidRPr="00F42E36" w:rsidRDefault="00F42E36" w:rsidP="00EB1E9D">
            <w:pPr>
              <w:spacing w:after="0"/>
              <w:ind w:left="23"/>
              <w:jc w:val="center"/>
              <w:rPr>
                <w:rFonts w:ascii="Arial Narrow" w:hAnsi="Arial Narrow" w:cs="Tahoma"/>
                <w:b/>
                <w:bCs/>
                <w:i/>
                <w:iCs/>
                <w:sz w:val="20"/>
              </w:rPr>
            </w:pPr>
            <w:r w:rsidRPr="00F42E36">
              <w:rPr>
                <w:rFonts w:ascii="Arial Narrow" w:hAnsi="Arial Narrow" w:cs="Tahoma"/>
                <w:b/>
                <w:bCs/>
                <w:i/>
                <w:iCs/>
                <w:sz w:val="20"/>
              </w:rPr>
              <w:t>0.52 (0.37</w:t>
            </w:r>
            <w:r w:rsidR="00EB1E9D">
              <w:rPr>
                <w:rFonts w:ascii="Arial Narrow" w:hAnsi="Arial Narrow" w:cs="Tahoma"/>
                <w:b/>
                <w:bCs/>
                <w:i/>
                <w:iCs/>
                <w:sz w:val="20"/>
              </w:rPr>
              <w:t>,</w:t>
            </w:r>
            <w:r w:rsidRPr="00F42E36">
              <w:rPr>
                <w:rFonts w:ascii="Arial Narrow" w:hAnsi="Arial Narrow" w:cs="Tahoma"/>
                <w:b/>
                <w:bCs/>
                <w:i/>
                <w:iCs/>
                <w:sz w:val="20"/>
              </w:rPr>
              <w:t xml:space="preserve"> 0.74)</w:t>
            </w:r>
          </w:p>
        </w:tc>
      </w:tr>
      <w:tr w:rsidR="00F42E36" w:rsidRPr="003B08F2" w14:paraId="3608BB0F" w14:textId="77777777" w:rsidTr="00443ADF">
        <w:trPr>
          <w:trHeight w:val="20"/>
        </w:trPr>
        <w:tc>
          <w:tcPr>
            <w:tcW w:w="2977" w:type="dxa"/>
            <w:vAlign w:val="center"/>
          </w:tcPr>
          <w:p w14:paraId="2BE37309" w14:textId="77777777" w:rsidR="00F42E36" w:rsidRPr="00ED5F15" w:rsidRDefault="00F42E36" w:rsidP="00F42E36">
            <w:pPr>
              <w:spacing w:after="0"/>
              <w:ind w:left="23"/>
              <w:rPr>
                <w:rFonts w:ascii="Arial Narrow" w:hAnsi="Arial Narrow" w:cs="Tahoma"/>
                <w:i/>
                <w:iCs/>
                <w:sz w:val="20"/>
              </w:rPr>
            </w:pPr>
            <w:r w:rsidRPr="00ED5F15">
              <w:rPr>
                <w:rFonts w:ascii="Arial Narrow" w:hAnsi="Arial Narrow" w:cs="Tahoma"/>
                <w:i/>
                <w:iCs/>
                <w:sz w:val="20"/>
              </w:rPr>
              <w:t>Disabling stroke</w:t>
            </w:r>
          </w:p>
        </w:tc>
        <w:tc>
          <w:tcPr>
            <w:tcW w:w="1701" w:type="dxa"/>
            <w:vAlign w:val="center"/>
          </w:tcPr>
          <w:p w14:paraId="4FC0DE03" w14:textId="09004C6C" w:rsidR="00F42E36" w:rsidRPr="00ED5F15" w:rsidRDefault="00F42E36" w:rsidP="004D3FAD">
            <w:pPr>
              <w:spacing w:after="0"/>
              <w:ind w:left="23"/>
              <w:jc w:val="center"/>
              <w:rPr>
                <w:rFonts w:ascii="Arial Narrow" w:hAnsi="Arial Narrow" w:cs="Tahoma"/>
                <w:i/>
                <w:iCs/>
                <w:sz w:val="20"/>
              </w:rPr>
            </w:pPr>
            <w:r w:rsidRPr="00ED5F15">
              <w:rPr>
                <w:rFonts w:ascii="Arial Narrow" w:hAnsi="Arial Narrow" w:cs="Calibri"/>
                <w:i/>
                <w:iCs/>
                <w:sz w:val="20"/>
              </w:rPr>
              <w:t>1/49</w:t>
            </w:r>
            <w:r w:rsidR="004D3FAD">
              <w:rPr>
                <w:rFonts w:ascii="Arial Narrow" w:hAnsi="Arial Narrow" w:cs="Calibri"/>
                <w:i/>
                <w:iCs/>
                <w:sz w:val="20"/>
              </w:rPr>
              <w:t>6</w:t>
            </w:r>
            <w:r w:rsidRPr="00ED5F15">
              <w:rPr>
                <w:rFonts w:ascii="Arial Narrow" w:hAnsi="Arial Narrow" w:cs="Calibri"/>
                <w:i/>
                <w:iCs/>
                <w:sz w:val="20"/>
              </w:rPr>
              <w:t xml:space="preserve"> (0.2%)</w:t>
            </w:r>
          </w:p>
        </w:tc>
        <w:tc>
          <w:tcPr>
            <w:tcW w:w="1559" w:type="dxa"/>
            <w:vAlign w:val="center"/>
          </w:tcPr>
          <w:p w14:paraId="3511E658" w14:textId="77777777" w:rsidR="00F42E36" w:rsidRPr="00ED5F15" w:rsidRDefault="00F42E36" w:rsidP="00F42E36">
            <w:pPr>
              <w:spacing w:after="0"/>
              <w:ind w:left="23"/>
              <w:jc w:val="center"/>
              <w:rPr>
                <w:rFonts w:ascii="Arial Narrow" w:hAnsi="Arial Narrow" w:cs="Tahoma"/>
                <w:i/>
                <w:iCs/>
                <w:sz w:val="20"/>
              </w:rPr>
            </w:pPr>
            <w:r w:rsidRPr="00ED5F15">
              <w:rPr>
                <w:rFonts w:ascii="Arial Narrow" w:hAnsi="Arial Narrow" w:cs="Calibri"/>
                <w:i/>
                <w:iCs/>
                <w:sz w:val="20"/>
              </w:rPr>
              <w:t>4/454 (0.9%)</w:t>
            </w:r>
          </w:p>
        </w:tc>
        <w:tc>
          <w:tcPr>
            <w:tcW w:w="2268" w:type="dxa"/>
            <w:vAlign w:val="center"/>
          </w:tcPr>
          <w:p w14:paraId="0ABE7BDD" w14:textId="77777777" w:rsidR="00F42E36" w:rsidRPr="00ED5F15" w:rsidRDefault="00F42E36" w:rsidP="00F42E36">
            <w:pPr>
              <w:spacing w:after="0"/>
              <w:ind w:left="23"/>
              <w:jc w:val="center"/>
              <w:rPr>
                <w:rFonts w:ascii="Arial Narrow" w:hAnsi="Arial Narrow" w:cs="Tahoma"/>
                <w:i/>
                <w:iCs/>
                <w:sz w:val="20"/>
              </w:rPr>
            </w:pPr>
            <w:r w:rsidRPr="00ED5F15">
              <w:rPr>
                <w:rFonts w:ascii="Arial Narrow" w:hAnsi="Arial Narrow" w:cs="Calibri"/>
                <w:i/>
                <w:iCs/>
                <w:sz w:val="20"/>
              </w:rPr>
              <w:t>0.22 (0.03, 2.00)</w:t>
            </w:r>
          </w:p>
        </w:tc>
        <w:tc>
          <w:tcPr>
            <w:tcW w:w="1560" w:type="dxa"/>
          </w:tcPr>
          <w:p w14:paraId="48A2821C" w14:textId="3C2C1E67" w:rsidR="00F42E36" w:rsidRPr="00F42E36" w:rsidRDefault="00F42E36" w:rsidP="00F42E36">
            <w:pPr>
              <w:spacing w:after="0"/>
              <w:ind w:left="23"/>
              <w:jc w:val="center"/>
              <w:rPr>
                <w:rFonts w:ascii="Arial Narrow" w:hAnsi="Arial Narrow" w:cs="Tahoma"/>
                <w:i/>
                <w:iCs/>
                <w:sz w:val="20"/>
              </w:rPr>
            </w:pPr>
            <w:r w:rsidRPr="00F42E36">
              <w:rPr>
                <w:rFonts w:ascii="Arial Narrow" w:hAnsi="Arial Narrow"/>
                <w:i/>
                <w:sz w:val="20"/>
              </w:rPr>
              <w:t>24/953 (3%)</w:t>
            </w:r>
          </w:p>
        </w:tc>
        <w:tc>
          <w:tcPr>
            <w:tcW w:w="1559" w:type="dxa"/>
          </w:tcPr>
          <w:p w14:paraId="1D664830" w14:textId="17FDDB99" w:rsidR="00F42E36" w:rsidRPr="00F42E36" w:rsidRDefault="00F42E36" w:rsidP="00F42E36">
            <w:pPr>
              <w:spacing w:after="0"/>
              <w:ind w:left="23"/>
              <w:jc w:val="center"/>
              <w:rPr>
                <w:rFonts w:ascii="Arial Narrow" w:hAnsi="Arial Narrow" w:cs="Tahoma"/>
                <w:i/>
                <w:iCs/>
                <w:sz w:val="20"/>
              </w:rPr>
            </w:pPr>
            <w:r w:rsidRPr="00F42E36">
              <w:rPr>
                <w:rFonts w:ascii="Arial Narrow" w:hAnsi="Arial Narrow"/>
                <w:i/>
                <w:sz w:val="20"/>
              </w:rPr>
              <w:t xml:space="preserve">54/764 (7%) </w:t>
            </w:r>
          </w:p>
        </w:tc>
        <w:tc>
          <w:tcPr>
            <w:tcW w:w="2268" w:type="dxa"/>
          </w:tcPr>
          <w:p w14:paraId="77EC0F02" w14:textId="78AC0ABF" w:rsidR="00F42E36" w:rsidRPr="00F42E36" w:rsidRDefault="00FF05FA" w:rsidP="00FF05FA">
            <w:pPr>
              <w:spacing w:after="0"/>
              <w:ind w:left="23"/>
              <w:jc w:val="center"/>
              <w:rPr>
                <w:rFonts w:ascii="Arial Narrow" w:hAnsi="Arial Narrow" w:cs="Tahoma"/>
                <w:b/>
                <w:bCs/>
                <w:i/>
                <w:iCs/>
                <w:sz w:val="20"/>
              </w:rPr>
            </w:pPr>
            <w:r w:rsidRPr="00FF05FA">
              <w:rPr>
                <w:rFonts w:ascii="Arial Narrow" w:hAnsi="Arial Narrow" w:cs="Tahoma"/>
                <w:b/>
                <w:bCs/>
                <w:i/>
                <w:iCs/>
                <w:sz w:val="20"/>
              </w:rPr>
              <w:t>0.36 (0.22</w:t>
            </w:r>
            <w:r>
              <w:rPr>
                <w:rFonts w:ascii="Arial Narrow" w:hAnsi="Arial Narrow" w:cs="Tahoma"/>
                <w:b/>
                <w:bCs/>
                <w:i/>
                <w:iCs/>
                <w:sz w:val="20"/>
              </w:rPr>
              <w:t xml:space="preserve">, </w:t>
            </w:r>
            <w:r w:rsidRPr="00FF05FA">
              <w:rPr>
                <w:rFonts w:ascii="Arial Narrow" w:hAnsi="Arial Narrow" w:cs="Tahoma"/>
                <w:b/>
                <w:bCs/>
                <w:i/>
                <w:iCs/>
                <w:sz w:val="20"/>
              </w:rPr>
              <w:t>0.57)</w:t>
            </w:r>
          </w:p>
        </w:tc>
      </w:tr>
      <w:tr w:rsidR="00F42E36" w:rsidRPr="003B08F2" w14:paraId="3DC34A17" w14:textId="77777777" w:rsidTr="0017291F">
        <w:trPr>
          <w:trHeight w:val="20"/>
        </w:trPr>
        <w:tc>
          <w:tcPr>
            <w:tcW w:w="2977" w:type="dxa"/>
            <w:vAlign w:val="center"/>
          </w:tcPr>
          <w:p w14:paraId="07FD07B1" w14:textId="77777777" w:rsidR="00F42E36" w:rsidRPr="00ED5F15" w:rsidRDefault="00F42E36" w:rsidP="00F42E36">
            <w:pPr>
              <w:spacing w:after="0"/>
              <w:ind w:left="23"/>
              <w:rPr>
                <w:rFonts w:ascii="Arial Narrow" w:hAnsi="Arial Narrow" w:cs="Tahoma"/>
                <w:i/>
                <w:iCs/>
                <w:sz w:val="20"/>
              </w:rPr>
            </w:pPr>
            <w:r w:rsidRPr="00ED5F15">
              <w:rPr>
                <w:rFonts w:ascii="Arial Narrow" w:hAnsi="Arial Narrow" w:cs="Tahoma"/>
                <w:i/>
                <w:iCs/>
                <w:sz w:val="20"/>
              </w:rPr>
              <w:t>Death or disabling stroke</w:t>
            </w:r>
          </w:p>
        </w:tc>
        <w:tc>
          <w:tcPr>
            <w:tcW w:w="1701" w:type="dxa"/>
            <w:vAlign w:val="center"/>
          </w:tcPr>
          <w:p w14:paraId="111CD198" w14:textId="0A5C169E" w:rsidR="00F42E36" w:rsidRPr="00ED5F15" w:rsidRDefault="00F42E36">
            <w:pPr>
              <w:spacing w:after="0"/>
              <w:ind w:left="23"/>
              <w:jc w:val="center"/>
              <w:rPr>
                <w:rFonts w:ascii="Arial Narrow" w:hAnsi="Arial Narrow" w:cs="Tahoma"/>
                <w:i/>
                <w:iCs/>
                <w:sz w:val="20"/>
              </w:rPr>
            </w:pPr>
            <w:r w:rsidRPr="00ED5F15">
              <w:rPr>
                <w:rFonts w:ascii="Arial Narrow" w:hAnsi="Arial Narrow" w:cs="Calibri"/>
                <w:i/>
                <w:iCs/>
                <w:sz w:val="20"/>
              </w:rPr>
              <w:t>5/49</w:t>
            </w:r>
            <w:r w:rsidR="004D3FAD">
              <w:rPr>
                <w:rFonts w:ascii="Arial Narrow" w:hAnsi="Arial Narrow" w:cs="Calibri"/>
                <w:i/>
                <w:iCs/>
                <w:sz w:val="20"/>
              </w:rPr>
              <w:t>6</w:t>
            </w:r>
            <w:r w:rsidRPr="00ED5F15">
              <w:rPr>
                <w:rFonts w:ascii="Arial Narrow" w:hAnsi="Arial Narrow" w:cs="Calibri"/>
                <w:i/>
                <w:iCs/>
                <w:sz w:val="20"/>
              </w:rPr>
              <w:t xml:space="preserve"> (1.</w:t>
            </w:r>
            <w:r w:rsidR="00EE4F9F">
              <w:rPr>
                <w:rFonts w:ascii="Arial Narrow" w:hAnsi="Arial Narrow" w:cs="Calibri"/>
                <w:i/>
                <w:iCs/>
                <w:sz w:val="20"/>
              </w:rPr>
              <w:t>0</w:t>
            </w:r>
            <w:r w:rsidRPr="00ED5F15">
              <w:rPr>
                <w:rFonts w:ascii="Arial Narrow" w:hAnsi="Arial Narrow" w:cs="Calibri"/>
                <w:i/>
                <w:iCs/>
                <w:sz w:val="20"/>
              </w:rPr>
              <w:t>%)</w:t>
            </w:r>
          </w:p>
        </w:tc>
        <w:tc>
          <w:tcPr>
            <w:tcW w:w="1559" w:type="dxa"/>
            <w:vAlign w:val="center"/>
          </w:tcPr>
          <w:p w14:paraId="19A161DA" w14:textId="77777777" w:rsidR="00F42E36" w:rsidRPr="00ED5F15" w:rsidRDefault="00F42E36" w:rsidP="00F42E36">
            <w:pPr>
              <w:spacing w:after="0"/>
              <w:ind w:left="23"/>
              <w:jc w:val="center"/>
              <w:rPr>
                <w:rFonts w:ascii="Arial Narrow" w:hAnsi="Arial Narrow" w:cs="Tahoma"/>
                <w:i/>
                <w:iCs/>
                <w:sz w:val="20"/>
              </w:rPr>
            </w:pPr>
            <w:r w:rsidRPr="00ED5F15">
              <w:rPr>
                <w:rFonts w:ascii="Arial Narrow" w:hAnsi="Arial Narrow" w:cs="Calibri"/>
                <w:i/>
                <w:iCs/>
                <w:sz w:val="20"/>
              </w:rPr>
              <w:t>13/454 (2.9%)</w:t>
            </w:r>
          </w:p>
        </w:tc>
        <w:tc>
          <w:tcPr>
            <w:tcW w:w="2268" w:type="dxa"/>
            <w:vAlign w:val="center"/>
          </w:tcPr>
          <w:p w14:paraId="5F33B36C" w14:textId="77777777" w:rsidR="00F42E36" w:rsidRPr="00ED5F15" w:rsidRDefault="00F42E36" w:rsidP="00F42E36">
            <w:pPr>
              <w:spacing w:after="0"/>
              <w:ind w:left="23"/>
              <w:jc w:val="center"/>
              <w:rPr>
                <w:rFonts w:ascii="Arial Narrow" w:hAnsi="Arial Narrow" w:cs="Tahoma"/>
                <w:i/>
                <w:iCs/>
                <w:sz w:val="20"/>
              </w:rPr>
            </w:pPr>
            <w:r w:rsidRPr="00ED5F15">
              <w:rPr>
                <w:rFonts w:ascii="Arial Narrow" w:hAnsi="Arial Narrow" w:cs="Calibri"/>
                <w:b/>
                <w:bCs/>
                <w:i/>
                <w:iCs/>
                <w:sz w:val="20"/>
              </w:rPr>
              <w:t>0.34 (0.12, 0.97)</w:t>
            </w:r>
          </w:p>
        </w:tc>
        <w:tc>
          <w:tcPr>
            <w:tcW w:w="1560" w:type="dxa"/>
            <w:vAlign w:val="center"/>
          </w:tcPr>
          <w:p w14:paraId="5D771E29" w14:textId="1C9D23B2" w:rsidR="00F42E36" w:rsidRPr="00F42E36" w:rsidRDefault="00F42E36" w:rsidP="00F42E36">
            <w:pPr>
              <w:spacing w:after="0"/>
              <w:ind w:left="23"/>
              <w:jc w:val="center"/>
              <w:rPr>
                <w:rFonts w:ascii="Arial Narrow" w:hAnsi="Arial Narrow" w:cs="Tahoma"/>
                <w:i/>
                <w:iCs/>
                <w:sz w:val="20"/>
              </w:rPr>
            </w:pPr>
            <w:r w:rsidRPr="00F42E36">
              <w:rPr>
                <w:rFonts w:ascii="Arial Narrow" w:hAnsi="Arial Narrow" w:cs="Tahoma"/>
                <w:i/>
                <w:iCs/>
                <w:sz w:val="20"/>
              </w:rPr>
              <w:t>90/953 (9%)</w:t>
            </w:r>
          </w:p>
        </w:tc>
        <w:tc>
          <w:tcPr>
            <w:tcW w:w="1559" w:type="dxa"/>
            <w:vAlign w:val="center"/>
          </w:tcPr>
          <w:p w14:paraId="3DCCE243" w14:textId="67CC1244" w:rsidR="00F42E36" w:rsidRPr="00F42E36" w:rsidRDefault="00F42E36" w:rsidP="00F42E36">
            <w:pPr>
              <w:spacing w:after="0"/>
              <w:ind w:left="23"/>
              <w:jc w:val="center"/>
              <w:rPr>
                <w:rFonts w:ascii="Arial Narrow" w:hAnsi="Arial Narrow" w:cs="Tahoma"/>
                <w:i/>
                <w:iCs/>
                <w:sz w:val="20"/>
              </w:rPr>
            </w:pPr>
            <w:r w:rsidRPr="00F42E36">
              <w:rPr>
                <w:rFonts w:ascii="Arial Narrow" w:hAnsi="Arial Narrow" w:cs="Tahoma"/>
                <w:i/>
                <w:iCs/>
                <w:sz w:val="20"/>
              </w:rPr>
              <w:t>155/764 (20%)</w:t>
            </w:r>
          </w:p>
        </w:tc>
        <w:tc>
          <w:tcPr>
            <w:tcW w:w="2268" w:type="dxa"/>
          </w:tcPr>
          <w:p w14:paraId="7810F63C" w14:textId="12FD69A2" w:rsidR="00F42E36" w:rsidRPr="00F42E36" w:rsidRDefault="00FF05FA" w:rsidP="00EB1E9D">
            <w:pPr>
              <w:spacing w:after="0"/>
              <w:ind w:left="23"/>
              <w:jc w:val="center"/>
              <w:rPr>
                <w:rFonts w:ascii="Arial Narrow" w:hAnsi="Arial Narrow" w:cs="Tahoma"/>
                <w:b/>
                <w:bCs/>
                <w:i/>
                <w:iCs/>
                <w:sz w:val="20"/>
              </w:rPr>
            </w:pPr>
            <w:r w:rsidRPr="00FF05FA">
              <w:rPr>
                <w:rFonts w:ascii="Arial Narrow" w:hAnsi="Arial Narrow" w:cs="Tahoma"/>
                <w:b/>
                <w:bCs/>
                <w:i/>
                <w:iCs/>
                <w:sz w:val="20"/>
              </w:rPr>
              <w:t>0.47 (0.37; 0.59)</w:t>
            </w:r>
          </w:p>
        </w:tc>
      </w:tr>
      <w:tr w:rsidR="00FB44D6" w:rsidRPr="003B08F2" w14:paraId="47166081" w14:textId="77777777" w:rsidTr="0017291F">
        <w:trPr>
          <w:trHeight w:val="20"/>
        </w:trPr>
        <w:tc>
          <w:tcPr>
            <w:tcW w:w="2977" w:type="dxa"/>
            <w:vAlign w:val="center"/>
          </w:tcPr>
          <w:p w14:paraId="07FE3C96" w14:textId="77777777" w:rsidR="00FB44D6" w:rsidRPr="00ED5F15" w:rsidRDefault="00FB44D6" w:rsidP="00FB44D6">
            <w:pPr>
              <w:spacing w:after="0"/>
              <w:ind w:left="23"/>
              <w:rPr>
                <w:rFonts w:ascii="Arial Narrow" w:hAnsi="Arial Narrow" w:cs="Tahoma"/>
                <w:i/>
                <w:iCs/>
                <w:sz w:val="20"/>
              </w:rPr>
            </w:pPr>
            <w:r w:rsidRPr="00ED5F15">
              <w:rPr>
                <w:rFonts w:ascii="Arial Narrow" w:hAnsi="Arial Narrow" w:cs="Tahoma"/>
                <w:i/>
                <w:iCs/>
                <w:sz w:val="20"/>
              </w:rPr>
              <w:t>Life-threatening or disabling bleeding</w:t>
            </w:r>
          </w:p>
        </w:tc>
        <w:tc>
          <w:tcPr>
            <w:tcW w:w="1701" w:type="dxa"/>
          </w:tcPr>
          <w:p w14:paraId="3F66ED01" w14:textId="21507D0F" w:rsidR="00FB44D6" w:rsidRPr="00ED5F15" w:rsidRDefault="00FB44D6" w:rsidP="004D3FAD">
            <w:pPr>
              <w:spacing w:after="0"/>
              <w:ind w:left="23"/>
              <w:jc w:val="center"/>
              <w:rPr>
                <w:rFonts w:ascii="Arial Narrow" w:hAnsi="Arial Narrow" w:cs="Tahoma"/>
                <w:i/>
                <w:iCs/>
                <w:sz w:val="20"/>
              </w:rPr>
            </w:pPr>
            <w:r w:rsidRPr="00ED5F15">
              <w:rPr>
                <w:rFonts w:ascii="Arial Narrow" w:hAnsi="Arial Narrow" w:cs="Tahoma"/>
                <w:i/>
                <w:iCs/>
                <w:sz w:val="20"/>
              </w:rPr>
              <w:t>14/49</w:t>
            </w:r>
            <w:r w:rsidR="004D3FAD">
              <w:rPr>
                <w:rFonts w:ascii="Arial Narrow" w:hAnsi="Arial Narrow" w:cs="Tahoma"/>
                <w:i/>
                <w:iCs/>
                <w:sz w:val="20"/>
              </w:rPr>
              <w:t>6</w:t>
            </w:r>
            <w:r w:rsidRPr="00ED5F15">
              <w:rPr>
                <w:rFonts w:ascii="Arial Narrow" w:hAnsi="Arial Narrow" w:cs="Tahoma"/>
                <w:i/>
                <w:iCs/>
                <w:sz w:val="20"/>
              </w:rPr>
              <w:t xml:space="preserve"> (2.8%)</w:t>
            </w:r>
          </w:p>
        </w:tc>
        <w:tc>
          <w:tcPr>
            <w:tcW w:w="1559" w:type="dxa"/>
          </w:tcPr>
          <w:p w14:paraId="6A9F2723" w14:textId="77777777" w:rsidR="00FB44D6" w:rsidRPr="00ED5F15" w:rsidRDefault="00FB44D6" w:rsidP="00FB44D6">
            <w:pPr>
              <w:spacing w:after="0"/>
              <w:ind w:left="23"/>
              <w:jc w:val="center"/>
              <w:rPr>
                <w:rFonts w:ascii="Arial Narrow" w:hAnsi="Arial Narrow" w:cs="Tahoma"/>
                <w:i/>
                <w:iCs/>
                <w:sz w:val="20"/>
              </w:rPr>
            </w:pPr>
            <w:r w:rsidRPr="00ED5F15">
              <w:rPr>
                <w:rFonts w:ascii="Arial Narrow" w:hAnsi="Arial Narrow" w:cs="Tahoma"/>
                <w:i/>
                <w:iCs/>
                <w:sz w:val="20"/>
              </w:rPr>
              <w:t>58/454 (12.8%)</w:t>
            </w:r>
          </w:p>
        </w:tc>
        <w:tc>
          <w:tcPr>
            <w:tcW w:w="2268" w:type="dxa"/>
            <w:vAlign w:val="center"/>
          </w:tcPr>
          <w:p w14:paraId="76AD5981" w14:textId="77777777" w:rsidR="00FB44D6" w:rsidRPr="00ED5F15" w:rsidRDefault="00FB44D6" w:rsidP="00FB44D6">
            <w:pPr>
              <w:spacing w:after="0"/>
              <w:ind w:left="23"/>
              <w:jc w:val="center"/>
              <w:rPr>
                <w:rFonts w:ascii="Arial Narrow" w:hAnsi="Arial Narrow" w:cs="Tahoma"/>
                <w:i/>
                <w:iCs/>
                <w:sz w:val="20"/>
              </w:rPr>
            </w:pPr>
            <w:r w:rsidRPr="00ED5F15">
              <w:rPr>
                <w:rFonts w:ascii="Arial Narrow" w:hAnsi="Arial Narrow" w:cs="Tahoma"/>
                <w:b/>
                <w:bCs/>
                <w:i/>
                <w:iCs/>
                <w:sz w:val="20"/>
              </w:rPr>
              <w:t>0.20 (0.11, 0.36)</w:t>
            </w:r>
          </w:p>
        </w:tc>
        <w:tc>
          <w:tcPr>
            <w:tcW w:w="1560" w:type="dxa"/>
            <w:vAlign w:val="center"/>
          </w:tcPr>
          <w:p w14:paraId="734FAA5D" w14:textId="77777777" w:rsidR="00FB44D6" w:rsidRPr="00EB1E9D" w:rsidRDefault="00FB44D6" w:rsidP="00FB44D6">
            <w:pPr>
              <w:spacing w:after="0"/>
              <w:ind w:left="23"/>
              <w:jc w:val="center"/>
              <w:rPr>
                <w:rFonts w:ascii="Arial Narrow" w:hAnsi="Arial Narrow" w:cs="Tahoma"/>
                <w:i/>
                <w:iCs/>
                <w:sz w:val="20"/>
              </w:rPr>
            </w:pPr>
            <w:r w:rsidRPr="00EB1E9D">
              <w:rPr>
                <w:rFonts w:ascii="Arial Narrow" w:hAnsi="Arial Narrow" w:cs="Tahoma"/>
                <w:i/>
                <w:iCs/>
                <w:sz w:val="20"/>
              </w:rPr>
              <w:t>NR</w:t>
            </w:r>
          </w:p>
        </w:tc>
        <w:tc>
          <w:tcPr>
            <w:tcW w:w="1559" w:type="dxa"/>
            <w:vAlign w:val="center"/>
          </w:tcPr>
          <w:p w14:paraId="52479F68" w14:textId="77777777" w:rsidR="00FB44D6" w:rsidRPr="00EB1E9D" w:rsidRDefault="00FB44D6" w:rsidP="00FB44D6">
            <w:pPr>
              <w:spacing w:after="0"/>
              <w:ind w:left="23"/>
              <w:jc w:val="center"/>
              <w:rPr>
                <w:rFonts w:ascii="Arial Narrow" w:hAnsi="Arial Narrow" w:cs="Tahoma"/>
                <w:i/>
                <w:iCs/>
                <w:sz w:val="20"/>
              </w:rPr>
            </w:pPr>
            <w:r w:rsidRPr="00EB1E9D">
              <w:rPr>
                <w:rFonts w:ascii="Arial Narrow" w:hAnsi="Arial Narrow" w:cs="Tahoma"/>
                <w:i/>
                <w:iCs/>
                <w:sz w:val="20"/>
              </w:rPr>
              <w:t>NR</w:t>
            </w:r>
          </w:p>
        </w:tc>
        <w:tc>
          <w:tcPr>
            <w:tcW w:w="2268" w:type="dxa"/>
            <w:vAlign w:val="center"/>
          </w:tcPr>
          <w:p w14:paraId="20BB28BB" w14:textId="77777777" w:rsidR="00FB44D6" w:rsidRPr="003B08F2" w:rsidRDefault="00FB44D6" w:rsidP="00FB44D6">
            <w:pPr>
              <w:spacing w:after="0"/>
              <w:ind w:left="23"/>
              <w:jc w:val="center"/>
              <w:rPr>
                <w:rFonts w:ascii="Arial Narrow" w:hAnsi="Arial Narrow" w:cs="Tahoma"/>
                <w:i/>
                <w:iCs/>
                <w:sz w:val="20"/>
                <w:highlight w:val="yellow"/>
              </w:rPr>
            </w:pPr>
            <w:r w:rsidRPr="00EB1E9D">
              <w:rPr>
                <w:rFonts w:ascii="Arial Narrow" w:hAnsi="Arial Narrow" w:cs="Tahoma"/>
                <w:i/>
                <w:iCs/>
                <w:sz w:val="20"/>
              </w:rPr>
              <w:t>NR</w:t>
            </w:r>
          </w:p>
        </w:tc>
      </w:tr>
      <w:tr w:rsidR="00FB44D6" w:rsidRPr="003B08F2" w14:paraId="5D541105" w14:textId="77777777" w:rsidTr="0017291F">
        <w:trPr>
          <w:trHeight w:val="20"/>
        </w:trPr>
        <w:tc>
          <w:tcPr>
            <w:tcW w:w="2977" w:type="dxa"/>
            <w:vAlign w:val="center"/>
          </w:tcPr>
          <w:p w14:paraId="40811525" w14:textId="77777777" w:rsidR="00FB44D6" w:rsidRPr="00ED5F15" w:rsidRDefault="00FB44D6" w:rsidP="00FB44D6">
            <w:pPr>
              <w:spacing w:after="0"/>
              <w:ind w:left="23"/>
              <w:rPr>
                <w:rFonts w:ascii="Arial Narrow" w:hAnsi="Arial Narrow" w:cs="Tahoma"/>
                <w:i/>
                <w:iCs/>
                <w:sz w:val="20"/>
              </w:rPr>
            </w:pPr>
            <w:r w:rsidRPr="00ED5F15">
              <w:rPr>
                <w:rFonts w:ascii="Arial Narrow" w:hAnsi="Arial Narrow" w:cs="Tahoma"/>
                <w:i/>
                <w:iCs/>
                <w:sz w:val="20"/>
              </w:rPr>
              <w:t>Aortic valve reintervention</w:t>
            </w:r>
          </w:p>
        </w:tc>
        <w:tc>
          <w:tcPr>
            <w:tcW w:w="1701" w:type="dxa"/>
            <w:vAlign w:val="center"/>
          </w:tcPr>
          <w:p w14:paraId="331515F1" w14:textId="053DAC3E" w:rsidR="00FB44D6" w:rsidRPr="00ED5F15" w:rsidRDefault="00FB44D6" w:rsidP="004D3FAD">
            <w:pPr>
              <w:spacing w:after="0"/>
              <w:ind w:left="23"/>
              <w:jc w:val="center"/>
              <w:rPr>
                <w:rFonts w:ascii="Arial Narrow" w:hAnsi="Arial Narrow" w:cs="Tahoma"/>
                <w:i/>
                <w:iCs/>
                <w:sz w:val="20"/>
              </w:rPr>
            </w:pPr>
            <w:r w:rsidRPr="00ED5F15">
              <w:rPr>
                <w:rFonts w:ascii="Arial Narrow" w:hAnsi="Arial Narrow" w:cs="Tahoma"/>
                <w:i/>
                <w:iCs/>
                <w:sz w:val="20"/>
              </w:rPr>
              <w:t>3/49</w:t>
            </w:r>
            <w:r w:rsidR="004D3FAD">
              <w:rPr>
                <w:rFonts w:ascii="Arial Narrow" w:hAnsi="Arial Narrow" w:cs="Tahoma"/>
                <w:i/>
                <w:iCs/>
                <w:sz w:val="20"/>
              </w:rPr>
              <w:t>6</w:t>
            </w:r>
            <w:r w:rsidRPr="00ED5F15">
              <w:rPr>
                <w:rFonts w:ascii="Arial Narrow" w:hAnsi="Arial Narrow" w:cs="Tahoma"/>
                <w:i/>
                <w:iCs/>
                <w:sz w:val="20"/>
              </w:rPr>
              <w:t xml:space="preserve"> (0.6%)</w:t>
            </w:r>
          </w:p>
        </w:tc>
        <w:tc>
          <w:tcPr>
            <w:tcW w:w="1559" w:type="dxa"/>
            <w:vAlign w:val="center"/>
          </w:tcPr>
          <w:p w14:paraId="4AF78ECC" w14:textId="77777777" w:rsidR="00FB44D6" w:rsidRPr="00ED5F15" w:rsidRDefault="00FB44D6" w:rsidP="00FB44D6">
            <w:pPr>
              <w:spacing w:after="0"/>
              <w:ind w:left="23"/>
              <w:jc w:val="center"/>
              <w:rPr>
                <w:rFonts w:ascii="Arial Narrow" w:hAnsi="Arial Narrow" w:cs="Tahoma"/>
                <w:i/>
                <w:iCs/>
                <w:sz w:val="20"/>
              </w:rPr>
            </w:pPr>
            <w:r w:rsidRPr="00ED5F15">
              <w:rPr>
                <w:rFonts w:ascii="Arial Narrow" w:hAnsi="Arial Narrow" w:cs="Tahoma"/>
                <w:i/>
                <w:iCs/>
                <w:sz w:val="20"/>
              </w:rPr>
              <w:t>2/454 (0.5%)</w:t>
            </w:r>
          </w:p>
        </w:tc>
        <w:tc>
          <w:tcPr>
            <w:tcW w:w="2268" w:type="dxa"/>
            <w:vAlign w:val="center"/>
          </w:tcPr>
          <w:p w14:paraId="162E168E" w14:textId="77777777" w:rsidR="00FB44D6" w:rsidRPr="00ED5F15" w:rsidRDefault="00FB44D6" w:rsidP="00FB44D6">
            <w:pPr>
              <w:spacing w:after="0"/>
              <w:ind w:left="23"/>
              <w:jc w:val="center"/>
              <w:rPr>
                <w:rFonts w:ascii="Arial Narrow" w:hAnsi="Arial Narrow" w:cs="Tahoma"/>
                <w:i/>
                <w:iCs/>
                <w:sz w:val="20"/>
              </w:rPr>
            </w:pPr>
            <w:r w:rsidRPr="00ED5F15">
              <w:rPr>
                <w:rFonts w:ascii="Arial Narrow" w:hAnsi="Arial Narrow" w:cs="Tahoma"/>
                <w:i/>
                <w:iCs/>
                <w:sz w:val="20"/>
              </w:rPr>
              <w:t>1.33 (0.22, 7.95)</w:t>
            </w:r>
          </w:p>
        </w:tc>
        <w:tc>
          <w:tcPr>
            <w:tcW w:w="1560" w:type="dxa"/>
            <w:vAlign w:val="center"/>
          </w:tcPr>
          <w:p w14:paraId="01241564" w14:textId="77777777" w:rsidR="00FB44D6" w:rsidRPr="00EB1E9D" w:rsidRDefault="00FB44D6" w:rsidP="00FB44D6">
            <w:pPr>
              <w:spacing w:after="0"/>
              <w:ind w:left="23"/>
              <w:jc w:val="center"/>
              <w:rPr>
                <w:rFonts w:ascii="Arial Narrow" w:hAnsi="Arial Narrow" w:cs="Tahoma"/>
                <w:i/>
                <w:iCs/>
                <w:sz w:val="20"/>
              </w:rPr>
            </w:pPr>
            <w:r w:rsidRPr="00EB1E9D">
              <w:rPr>
                <w:rFonts w:ascii="Arial Narrow" w:hAnsi="Arial Narrow" w:cs="Tahoma"/>
                <w:i/>
                <w:iCs/>
                <w:sz w:val="20"/>
              </w:rPr>
              <w:t>6/958 (&lt;1%)</w:t>
            </w:r>
          </w:p>
        </w:tc>
        <w:tc>
          <w:tcPr>
            <w:tcW w:w="1559" w:type="dxa"/>
            <w:vAlign w:val="center"/>
          </w:tcPr>
          <w:p w14:paraId="60553B99" w14:textId="77777777" w:rsidR="00FB44D6" w:rsidRPr="00EB1E9D" w:rsidRDefault="00FB44D6" w:rsidP="00FB44D6">
            <w:pPr>
              <w:spacing w:after="0"/>
              <w:ind w:left="23"/>
              <w:jc w:val="center"/>
              <w:rPr>
                <w:rFonts w:ascii="Arial Narrow" w:hAnsi="Arial Narrow" w:cs="Tahoma"/>
                <w:i/>
                <w:iCs/>
                <w:sz w:val="20"/>
              </w:rPr>
            </w:pPr>
            <w:r w:rsidRPr="00EB1E9D">
              <w:rPr>
                <w:rFonts w:ascii="Arial Narrow" w:hAnsi="Arial Narrow" w:cs="Tahoma"/>
                <w:i/>
                <w:iCs/>
                <w:sz w:val="20"/>
              </w:rPr>
              <w:t>4/794 (&lt;1%)</w:t>
            </w:r>
          </w:p>
        </w:tc>
        <w:tc>
          <w:tcPr>
            <w:tcW w:w="2268" w:type="dxa"/>
            <w:vAlign w:val="center"/>
          </w:tcPr>
          <w:p w14:paraId="40DC451C" w14:textId="2144D871" w:rsidR="00FB44D6" w:rsidRPr="003B08F2" w:rsidRDefault="00E75B03" w:rsidP="00E75B03">
            <w:pPr>
              <w:spacing w:after="0"/>
              <w:ind w:left="23"/>
              <w:jc w:val="center"/>
              <w:rPr>
                <w:rFonts w:ascii="Arial Narrow" w:hAnsi="Arial Narrow" w:cs="Tahoma"/>
                <w:b/>
                <w:bCs/>
                <w:i/>
                <w:iCs/>
                <w:sz w:val="20"/>
                <w:highlight w:val="yellow"/>
              </w:rPr>
            </w:pPr>
            <w:r w:rsidRPr="00E75B03">
              <w:rPr>
                <w:rFonts w:ascii="Arial Narrow" w:hAnsi="Arial Narrow" w:cs="Calibri"/>
                <w:b/>
                <w:bCs/>
                <w:i/>
                <w:iCs/>
                <w:sz w:val="20"/>
              </w:rPr>
              <w:t>REDACTED</w:t>
            </w:r>
            <w:r w:rsidRPr="006B37EB" w:rsidDel="00E75B03">
              <w:rPr>
                <w:rFonts w:ascii="Arial Narrow" w:hAnsi="Arial Narrow" w:cs="Calibri"/>
                <w:b/>
                <w:bCs/>
                <w:i/>
                <w:iCs/>
                <w:sz w:val="20"/>
              </w:rPr>
              <w:t xml:space="preserve"> </w:t>
            </w:r>
          </w:p>
        </w:tc>
      </w:tr>
      <w:tr w:rsidR="00FB44D6" w:rsidRPr="003B08F2" w14:paraId="206E05F0" w14:textId="77777777" w:rsidTr="0017291F">
        <w:trPr>
          <w:trHeight w:val="20"/>
        </w:trPr>
        <w:tc>
          <w:tcPr>
            <w:tcW w:w="2977" w:type="dxa"/>
            <w:tcBorders>
              <w:bottom w:val="single" w:sz="4" w:space="0" w:color="auto"/>
            </w:tcBorders>
            <w:vAlign w:val="center"/>
          </w:tcPr>
          <w:p w14:paraId="7D1DE273" w14:textId="77777777" w:rsidR="00FB44D6" w:rsidRPr="00ED5F15" w:rsidRDefault="00FB44D6" w:rsidP="00FB44D6">
            <w:pPr>
              <w:spacing w:after="0"/>
              <w:ind w:left="23"/>
              <w:rPr>
                <w:rFonts w:ascii="Arial Narrow" w:hAnsi="Arial Narrow" w:cs="Tahoma"/>
                <w:i/>
                <w:iCs/>
                <w:sz w:val="20"/>
              </w:rPr>
            </w:pPr>
            <w:r w:rsidRPr="00ED5F15">
              <w:rPr>
                <w:rFonts w:ascii="Arial Narrow" w:hAnsi="Arial Narrow" w:cs="Tahoma"/>
                <w:i/>
                <w:iCs/>
                <w:sz w:val="20"/>
              </w:rPr>
              <w:t>New permanent pacemakers</w:t>
            </w:r>
          </w:p>
        </w:tc>
        <w:tc>
          <w:tcPr>
            <w:tcW w:w="1701" w:type="dxa"/>
            <w:tcBorders>
              <w:bottom w:val="single" w:sz="4" w:space="0" w:color="auto"/>
            </w:tcBorders>
          </w:tcPr>
          <w:p w14:paraId="7E855CB8" w14:textId="0405B7E6" w:rsidR="00FB44D6" w:rsidRPr="00ED5F15" w:rsidRDefault="00FB44D6">
            <w:pPr>
              <w:spacing w:after="0"/>
              <w:ind w:left="23"/>
              <w:jc w:val="center"/>
              <w:rPr>
                <w:rFonts w:ascii="Arial Narrow" w:hAnsi="Arial Narrow" w:cs="Tahoma"/>
                <w:i/>
                <w:iCs/>
                <w:sz w:val="20"/>
              </w:rPr>
            </w:pPr>
            <w:r w:rsidRPr="00ED5F15">
              <w:rPr>
                <w:rFonts w:ascii="Arial Narrow" w:hAnsi="Arial Narrow" w:cs="Tahoma"/>
                <w:i/>
                <w:iCs/>
                <w:sz w:val="20"/>
              </w:rPr>
              <w:t>36/49</w:t>
            </w:r>
            <w:r w:rsidR="004D3FAD">
              <w:rPr>
                <w:rFonts w:ascii="Arial Narrow" w:hAnsi="Arial Narrow" w:cs="Tahoma"/>
                <w:i/>
                <w:iCs/>
                <w:sz w:val="20"/>
              </w:rPr>
              <w:t>6</w:t>
            </w:r>
            <w:r w:rsidRPr="00ED5F15">
              <w:rPr>
                <w:rFonts w:ascii="Arial Narrow" w:hAnsi="Arial Narrow" w:cs="Tahoma"/>
                <w:i/>
                <w:iCs/>
                <w:sz w:val="20"/>
              </w:rPr>
              <w:t xml:space="preserve"> (7.5%)</w:t>
            </w:r>
          </w:p>
        </w:tc>
        <w:tc>
          <w:tcPr>
            <w:tcW w:w="1559" w:type="dxa"/>
            <w:tcBorders>
              <w:bottom w:val="single" w:sz="4" w:space="0" w:color="auto"/>
            </w:tcBorders>
          </w:tcPr>
          <w:p w14:paraId="5D43044A" w14:textId="5086BAFE" w:rsidR="00FB44D6" w:rsidRPr="00ED5F15" w:rsidRDefault="00FB44D6">
            <w:pPr>
              <w:spacing w:after="0"/>
              <w:ind w:left="23"/>
              <w:jc w:val="center"/>
              <w:rPr>
                <w:rFonts w:ascii="Arial Narrow" w:hAnsi="Arial Narrow" w:cs="Tahoma"/>
                <w:i/>
                <w:iCs/>
                <w:sz w:val="20"/>
              </w:rPr>
            </w:pPr>
            <w:r w:rsidRPr="00ED5F15">
              <w:rPr>
                <w:rFonts w:ascii="Arial Narrow" w:hAnsi="Arial Narrow" w:cs="Tahoma"/>
                <w:i/>
                <w:iCs/>
                <w:sz w:val="20"/>
              </w:rPr>
              <w:t>24/454 (5.5%)</w:t>
            </w:r>
          </w:p>
        </w:tc>
        <w:tc>
          <w:tcPr>
            <w:tcW w:w="2268" w:type="dxa"/>
            <w:tcBorders>
              <w:bottom w:val="single" w:sz="4" w:space="0" w:color="auto"/>
            </w:tcBorders>
            <w:vAlign w:val="center"/>
          </w:tcPr>
          <w:p w14:paraId="6F08780D" w14:textId="0CDFAB25" w:rsidR="00FB44D6" w:rsidRPr="00ED5F15" w:rsidRDefault="00FB44D6">
            <w:pPr>
              <w:spacing w:after="0"/>
              <w:ind w:left="23"/>
              <w:jc w:val="center"/>
              <w:rPr>
                <w:rFonts w:ascii="Arial Narrow" w:hAnsi="Arial Narrow" w:cs="Tahoma"/>
                <w:i/>
                <w:iCs/>
                <w:sz w:val="20"/>
              </w:rPr>
            </w:pPr>
            <w:r w:rsidRPr="00ED5F15">
              <w:rPr>
                <w:rFonts w:ascii="Arial Narrow" w:hAnsi="Arial Narrow" w:cs="Tahoma"/>
                <w:i/>
                <w:iCs/>
                <w:sz w:val="20"/>
              </w:rPr>
              <w:t>1.38 (0.82, 2.32)</w:t>
            </w:r>
          </w:p>
        </w:tc>
        <w:tc>
          <w:tcPr>
            <w:tcW w:w="1560" w:type="dxa"/>
            <w:tcBorders>
              <w:bottom w:val="single" w:sz="4" w:space="0" w:color="auto"/>
            </w:tcBorders>
            <w:vAlign w:val="center"/>
          </w:tcPr>
          <w:p w14:paraId="32F27D84" w14:textId="77777777" w:rsidR="00FB44D6" w:rsidRPr="00EB1E9D" w:rsidRDefault="00FB44D6" w:rsidP="00FB44D6">
            <w:pPr>
              <w:spacing w:after="0"/>
              <w:ind w:left="23"/>
              <w:jc w:val="center"/>
              <w:rPr>
                <w:rFonts w:ascii="Arial Narrow" w:hAnsi="Arial Narrow" w:cs="Tahoma"/>
                <w:i/>
                <w:iCs/>
                <w:sz w:val="20"/>
              </w:rPr>
            </w:pPr>
            <w:r w:rsidRPr="00EB1E9D">
              <w:rPr>
                <w:rFonts w:ascii="Arial Narrow" w:hAnsi="Arial Narrow" w:cs="Tahoma"/>
                <w:i/>
                <w:iCs/>
                <w:sz w:val="20"/>
              </w:rPr>
              <w:t>132/842 (16%)</w:t>
            </w:r>
          </w:p>
        </w:tc>
        <w:tc>
          <w:tcPr>
            <w:tcW w:w="1559" w:type="dxa"/>
            <w:tcBorders>
              <w:bottom w:val="single" w:sz="4" w:space="0" w:color="auto"/>
            </w:tcBorders>
            <w:vAlign w:val="center"/>
          </w:tcPr>
          <w:p w14:paraId="1BC5EEEC" w14:textId="77777777" w:rsidR="00FB44D6" w:rsidRPr="00EB1E9D" w:rsidRDefault="00FB44D6" w:rsidP="00FB44D6">
            <w:pPr>
              <w:spacing w:after="0"/>
              <w:ind w:left="23"/>
              <w:jc w:val="center"/>
              <w:rPr>
                <w:rFonts w:ascii="Arial Narrow" w:hAnsi="Arial Narrow" w:cs="Tahoma"/>
                <w:i/>
                <w:iCs/>
                <w:sz w:val="20"/>
              </w:rPr>
            </w:pPr>
            <w:r w:rsidRPr="00EB1E9D">
              <w:rPr>
                <w:rFonts w:ascii="Arial Narrow" w:hAnsi="Arial Narrow" w:cs="Tahoma"/>
                <w:i/>
                <w:iCs/>
                <w:sz w:val="20"/>
              </w:rPr>
              <w:t>85/721 (12%)</w:t>
            </w:r>
          </w:p>
        </w:tc>
        <w:tc>
          <w:tcPr>
            <w:tcW w:w="2268" w:type="dxa"/>
            <w:tcBorders>
              <w:bottom w:val="single" w:sz="4" w:space="0" w:color="auto"/>
            </w:tcBorders>
            <w:vAlign w:val="center"/>
          </w:tcPr>
          <w:p w14:paraId="136B8F88" w14:textId="4B5A9051" w:rsidR="00FB44D6" w:rsidRPr="003B08F2" w:rsidRDefault="00E75B03" w:rsidP="00E75B03">
            <w:pPr>
              <w:spacing w:after="0"/>
              <w:ind w:left="23"/>
              <w:jc w:val="center"/>
              <w:rPr>
                <w:rFonts w:ascii="Arial Narrow" w:hAnsi="Arial Narrow" w:cs="Tahoma"/>
                <w:b/>
                <w:bCs/>
                <w:i/>
                <w:iCs/>
                <w:sz w:val="20"/>
                <w:highlight w:val="yellow"/>
              </w:rPr>
            </w:pPr>
            <w:r w:rsidRPr="00E75B03">
              <w:rPr>
                <w:rFonts w:ascii="Arial Narrow" w:hAnsi="Arial Narrow" w:cs="Calibri"/>
                <w:b/>
                <w:bCs/>
                <w:i/>
                <w:iCs/>
                <w:sz w:val="20"/>
              </w:rPr>
              <w:t>REDACTED</w:t>
            </w:r>
            <w:r w:rsidRPr="006B37EB" w:rsidDel="00E75B03">
              <w:rPr>
                <w:rFonts w:ascii="Arial Narrow" w:hAnsi="Arial Narrow" w:cs="Calibri"/>
                <w:b/>
                <w:bCs/>
                <w:i/>
                <w:iCs/>
                <w:sz w:val="20"/>
              </w:rPr>
              <w:t xml:space="preserve"> </w:t>
            </w:r>
          </w:p>
        </w:tc>
      </w:tr>
      <w:tr w:rsidR="00FB44D6" w:rsidRPr="003B08F2" w14:paraId="4C0712F7" w14:textId="77777777" w:rsidTr="0017291F">
        <w:trPr>
          <w:trHeight w:val="20"/>
        </w:trPr>
        <w:tc>
          <w:tcPr>
            <w:tcW w:w="2977" w:type="dxa"/>
            <w:tcBorders>
              <w:bottom w:val="nil"/>
            </w:tcBorders>
            <w:vAlign w:val="center"/>
          </w:tcPr>
          <w:p w14:paraId="37E67E23" w14:textId="12DD25A6" w:rsidR="00FB44D6" w:rsidRPr="00ED5F15" w:rsidRDefault="00FB44D6" w:rsidP="00B31CC9">
            <w:pPr>
              <w:keepNext/>
              <w:keepLines/>
              <w:spacing w:after="0"/>
              <w:ind w:left="23"/>
              <w:rPr>
                <w:rFonts w:ascii="Arial Narrow" w:hAnsi="Arial Narrow" w:cs="Calibri"/>
                <w:i/>
                <w:iCs/>
                <w:sz w:val="20"/>
              </w:rPr>
            </w:pPr>
            <w:r w:rsidRPr="00ED5F15">
              <w:rPr>
                <w:rFonts w:ascii="Arial Narrow" w:hAnsi="Arial Narrow" w:cs="Tahoma"/>
                <w:i/>
                <w:iCs/>
                <w:sz w:val="20"/>
              </w:rPr>
              <w:lastRenderedPageBreak/>
              <w:t xml:space="preserve">Paravalvular regurgitation </w:t>
            </w:r>
          </w:p>
        </w:tc>
        <w:tc>
          <w:tcPr>
            <w:tcW w:w="1701" w:type="dxa"/>
            <w:tcBorders>
              <w:bottom w:val="nil"/>
            </w:tcBorders>
          </w:tcPr>
          <w:p w14:paraId="2081D62A" w14:textId="77777777" w:rsidR="00FB44D6" w:rsidRPr="003B08F2" w:rsidRDefault="00FB44D6" w:rsidP="003915B9">
            <w:pPr>
              <w:keepNext/>
              <w:keepLines/>
              <w:spacing w:after="0"/>
              <w:ind w:left="23"/>
              <w:jc w:val="center"/>
              <w:rPr>
                <w:rFonts w:ascii="Arial Narrow" w:hAnsi="Arial Narrow" w:cs="Tahoma"/>
                <w:i/>
                <w:iCs/>
                <w:sz w:val="20"/>
                <w:highlight w:val="yellow"/>
              </w:rPr>
            </w:pPr>
          </w:p>
        </w:tc>
        <w:tc>
          <w:tcPr>
            <w:tcW w:w="1559" w:type="dxa"/>
            <w:tcBorders>
              <w:bottom w:val="nil"/>
            </w:tcBorders>
          </w:tcPr>
          <w:p w14:paraId="3001CDBE" w14:textId="77777777" w:rsidR="00FB44D6" w:rsidRPr="003B08F2" w:rsidRDefault="00FB44D6" w:rsidP="003915B9">
            <w:pPr>
              <w:keepNext/>
              <w:keepLines/>
              <w:spacing w:after="0"/>
              <w:ind w:left="23"/>
              <w:jc w:val="center"/>
              <w:rPr>
                <w:rFonts w:ascii="Arial Narrow" w:hAnsi="Arial Narrow" w:cs="Tahoma"/>
                <w:i/>
                <w:iCs/>
                <w:sz w:val="20"/>
                <w:highlight w:val="yellow"/>
              </w:rPr>
            </w:pPr>
          </w:p>
        </w:tc>
        <w:tc>
          <w:tcPr>
            <w:tcW w:w="2268" w:type="dxa"/>
            <w:tcBorders>
              <w:bottom w:val="nil"/>
            </w:tcBorders>
            <w:vAlign w:val="center"/>
          </w:tcPr>
          <w:p w14:paraId="503ECC9C" w14:textId="77777777" w:rsidR="00FB44D6" w:rsidRPr="003B08F2" w:rsidRDefault="00FB44D6" w:rsidP="003915B9">
            <w:pPr>
              <w:keepNext/>
              <w:keepLines/>
              <w:spacing w:after="0"/>
              <w:ind w:left="23"/>
              <w:jc w:val="center"/>
              <w:rPr>
                <w:rFonts w:ascii="Arial Narrow" w:hAnsi="Arial Narrow" w:cs="Tahoma"/>
                <w:b/>
                <w:bCs/>
                <w:i/>
                <w:iCs/>
                <w:sz w:val="20"/>
                <w:highlight w:val="yellow"/>
              </w:rPr>
            </w:pPr>
          </w:p>
        </w:tc>
        <w:tc>
          <w:tcPr>
            <w:tcW w:w="1560" w:type="dxa"/>
            <w:tcBorders>
              <w:bottom w:val="nil"/>
            </w:tcBorders>
          </w:tcPr>
          <w:p w14:paraId="143C6DAB" w14:textId="77777777" w:rsidR="00FB44D6" w:rsidRPr="003B08F2" w:rsidRDefault="00FB44D6" w:rsidP="003915B9">
            <w:pPr>
              <w:keepNext/>
              <w:keepLines/>
              <w:spacing w:after="0"/>
              <w:ind w:left="23"/>
              <w:rPr>
                <w:rFonts w:ascii="Arial Narrow" w:hAnsi="Arial Narrow" w:cs="Tahoma"/>
                <w:i/>
                <w:iCs/>
                <w:sz w:val="20"/>
                <w:highlight w:val="yellow"/>
              </w:rPr>
            </w:pPr>
          </w:p>
        </w:tc>
        <w:tc>
          <w:tcPr>
            <w:tcW w:w="1559" w:type="dxa"/>
            <w:tcBorders>
              <w:bottom w:val="nil"/>
            </w:tcBorders>
          </w:tcPr>
          <w:p w14:paraId="6D47E94C" w14:textId="77777777" w:rsidR="00FB44D6" w:rsidRPr="003B08F2" w:rsidRDefault="00FB44D6" w:rsidP="003915B9">
            <w:pPr>
              <w:keepNext/>
              <w:keepLines/>
              <w:spacing w:after="0"/>
              <w:ind w:left="23"/>
              <w:rPr>
                <w:rFonts w:ascii="Arial Narrow" w:hAnsi="Arial Narrow" w:cs="Tahoma"/>
                <w:i/>
                <w:iCs/>
                <w:sz w:val="20"/>
                <w:highlight w:val="yellow"/>
              </w:rPr>
            </w:pPr>
          </w:p>
        </w:tc>
        <w:tc>
          <w:tcPr>
            <w:tcW w:w="2268" w:type="dxa"/>
            <w:tcBorders>
              <w:bottom w:val="nil"/>
            </w:tcBorders>
          </w:tcPr>
          <w:p w14:paraId="7ACE00F1" w14:textId="77777777" w:rsidR="00FB44D6" w:rsidRPr="003B08F2" w:rsidRDefault="00FB44D6" w:rsidP="003915B9">
            <w:pPr>
              <w:keepNext/>
              <w:keepLines/>
              <w:spacing w:after="0"/>
              <w:ind w:left="23"/>
              <w:rPr>
                <w:rFonts w:ascii="Arial Narrow" w:hAnsi="Arial Narrow" w:cs="Tahoma"/>
                <w:i/>
                <w:iCs/>
                <w:sz w:val="20"/>
                <w:highlight w:val="yellow"/>
              </w:rPr>
            </w:pPr>
          </w:p>
        </w:tc>
      </w:tr>
      <w:tr w:rsidR="00E75B03" w:rsidRPr="003B08F2" w14:paraId="0D86C858" w14:textId="77777777" w:rsidTr="0017291F">
        <w:trPr>
          <w:trHeight w:val="20"/>
        </w:trPr>
        <w:tc>
          <w:tcPr>
            <w:tcW w:w="2977" w:type="dxa"/>
            <w:tcBorders>
              <w:top w:val="nil"/>
              <w:bottom w:val="nil"/>
            </w:tcBorders>
            <w:vAlign w:val="center"/>
          </w:tcPr>
          <w:p w14:paraId="466F597C" w14:textId="77777777" w:rsidR="00E75B03" w:rsidRPr="00ED5F15" w:rsidRDefault="00E75B03" w:rsidP="00E75B03">
            <w:pPr>
              <w:keepNext/>
              <w:keepLines/>
              <w:tabs>
                <w:tab w:val="left" w:pos="720"/>
              </w:tabs>
              <w:spacing w:after="0"/>
              <w:ind w:left="23" w:firstLine="167"/>
              <w:rPr>
                <w:rFonts w:ascii="Arial Narrow" w:hAnsi="Arial Narrow" w:cs="Tahoma"/>
                <w:i/>
                <w:iCs/>
                <w:sz w:val="20"/>
              </w:rPr>
            </w:pPr>
            <w:r w:rsidRPr="00ED5F15">
              <w:rPr>
                <w:rFonts w:ascii="Arial Narrow" w:hAnsi="Arial Narrow" w:cs="Tahoma"/>
                <w:i/>
                <w:iCs/>
                <w:sz w:val="20"/>
              </w:rPr>
              <w:t>None-trace</w:t>
            </w:r>
          </w:p>
        </w:tc>
        <w:tc>
          <w:tcPr>
            <w:tcW w:w="1701" w:type="dxa"/>
            <w:tcBorders>
              <w:top w:val="nil"/>
              <w:bottom w:val="nil"/>
            </w:tcBorders>
          </w:tcPr>
          <w:p w14:paraId="38C8B606" w14:textId="77777777" w:rsidR="00E75B03" w:rsidRPr="00F76713" w:rsidRDefault="00E75B03" w:rsidP="00E75B03">
            <w:pPr>
              <w:keepNext/>
              <w:keepLines/>
              <w:spacing w:after="0"/>
              <w:ind w:left="23"/>
              <w:jc w:val="center"/>
              <w:rPr>
                <w:rFonts w:ascii="Arial Narrow" w:hAnsi="Arial Narrow" w:cs="Tahoma"/>
                <w:i/>
                <w:iCs/>
                <w:sz w:val="20"/>
              </w:rPr>
            </w:pPr>
            <w:r w:rsidRPr="00F76713">
              <w:rPr>
                <w:rFonts w:ascii="Arial Narrow" w:hAnsi="Arial Narrow" w:cs="Tahoma"/>
                <w:i/>
                <w:iCs/>
                <w:sz w:val="20"/>
              </w:rPr>
              <w:t>326/466(70.0%)</w:t>
            </w:r>
          </w:p>
        </w:tc>
        <w:tc>
          <w:tcPr>
            <w:tcW w:w="1559" w:type="dxa"/>
            <w:tcBorders>
              <w:top w:val="nil"/>
              <w:bottom w:val="nil"/>
            </w:tcBorders>
          </w:tcPr>
          <w:p w14:paraId="06FBE511" w14:textId="77777777" w:rsidR="00E75B03" w:rsidRPr="00F76713" w:rsidRDefault="00E75B03" w:rsidP="00E75B03">
            <w:pPr>
              <w:keepNext/>
              <w:keepLines/>
              <w:spacing w:after="0"/>
              <w:ind w:left="23"/>
              <w:jc w:val="center"/>
              <w:rPr>
                <w:rFonts w:ascii="Arial Narrow" w:hAnsi="Arial Narrow" w:cs="Tahoma"/>
                <w:i/>
                <w:iCs/>
                <w:sz w:val="20"/>
              </w:rPr>
            </w:pPr>
            <w:r w:rsidRPr="00F76713">
              <w:rPr>
                <w:rFonts w:ascii="Arial Narrow" w:hAnsi="Arial Narrow" w:cs="Tahoma"/>
                <w:i/>
                <w:iCs/>
                <w:sz w:val="20"/>
              </w:rPr>
              <w:t>371/381(97.4 %)</w:t>
            </w:r>
          </w:p>
        </w:tc>
        <w:tc>
          <w:tcPr>
            <w:tcW w:w="2268" w:type="dxa"/>
            <w:tcBorders>
              <w:top w:val="nil"/>
              <w:bottom w:val="nil"/>
            </w:tcBorders>
          </w:tcPr>
          <w:p w14:paraId="088F6B56" w14:textId="1609F1D7" w:rsidR="00E75B03" w:rsidRPr="003B08F2" w:rsidRDefault="00E75B03" w:rsidP="00E75B03">
            <w:pPr>
              <w:keepNext/>
              <w:keepLines/>
              <w:spacing w:after="0"/>
              <w:ind w:left="23"/>
              <w:jc w:val="center"/>
              <w:rPr>
                <w:rFonts w:ascii="Arial Narrow" w:hAnsi="Arial Narrow" w:cs="Tahoma"/>
                <w:b/>
                <w:bCs/>
                <w:i/>
                <w:iCs/>
                <w:sz w:val="20"/>
                <w:highlight w:val="yellow"/>
              </w:rPr>
            </w:pPr>
            <w:r w:rsidRPr="00E75B03">
              <w:rPr>
                <w:rFonts w:ascii="Arial Narrow" w:hAnsi="Arial Narrow" w:cs="Tahoma"/>
                <w:b/>
                <w:bCs/>
                <w:i/>
                <w:iCs/>
                <w:sz w:val="20"/>
              </w:rPr>
              <w:t>REDACTED</w:t>
            </w:r>
          </w:p>
        </w:tc>
        <w:tc>
          <w:tcPr>
            <w:tcW w:w="1560" w:type="dxa"/>
            <w:tcBorders>
              <w:top w:val="nil"/>
              <w:bottom w:val="nil"/>
            </w:tcBorders>
          </w:tcPr>
          <w:p w14:paraId="01157187" w14:textId="6A508C5A" w:rsidR="00E75B03" w:rsidRPr="003750DD" w:rsidRDefault="00E75B03" w:rsidP="00E75B03">
            <w:pPr>
              <w:keepNext/>
              <w:keepLines/>
              <w:spacing w:after="0"/>
              <w:ind w:left="23"/>
              <w:jc w:val="center"/>
              <w:rPr>
                <w:rFonts w:ascii="Arial Narrow" w:hAnsi="Arial Narrow" w:cs="Tahoma"/>
                <w:i/>
                <w:iCs/>
                <w:sz w:val="20"/>
              </w:rPr>
            </w:pPr>
            <w:r w:rsidRPr="003750DD">
              <w:rPr>
                <w:rFonts w:ascii="Arial Narrow" w:hAnsi="Arial Narrow" w:cs="Tahoma"/>
                <w:i/>
                <w:iCs/>
                <w:sz w:val="20"/>
              </w:rPr>
              <w:t>58.7%</w:t>
            </w:r>
          </w:p>
        </w:tc>
        <w:tc>
          <w:tcPr>
            <w:tcW w:w="1559" w:type="dxa"/>
            <w:tcBorders>
              <w:top w:val="nil"/>
              <w:bottom w:val="nil"/>
            </w:tcBorders>
          </w:tcPr>
          <w:p w14:paraId="2EB0ECC2" w14:textId="3A5E9F81" w:rsidR="00E75B03" w:rsidRPr="003750DD" w:rsidRDefault="00E75B03" w:rsidP="00E75B03">
            <w:pPr>
              <w:keepNext/>
              <w:keepLines/>
              <w:spacing w:after="0"/>
              <w:ind w:left="23"/>
              <w:jc w:val="center"/>
              <w:rPr>
                <w:rFonts w:ascii="Arial Narrow" w:hAnsi="Arial Narrow" w:cs="Tahoma"/>
                <w:i/>
                <w:iCs/>
                <w:sz w:val="20"/>
              </w:rPr>
            </w:pPr>
            <w:r w:rsidRPr="003750DD">
              <w:rPr>
                <w:rFonts w:ascii="Arial Narrow" w:hAnsi="Arial Narrow" w:cs="Tahoma"/>
                <w:i/>
                <w:iCs/>
                <w:sz w:val="20"/>
              </w:rPr>
              <w:t>95.9%</w:t>
            </w:r>
          </w:p>
        </w:tc>
        <w:tc>
          <w:tcPr>
            <w:tcW w:w="2268" w:type="dxa"/>
            <w:tcBorders>
              <w:top w:val="nil"/>
              <w:bottom w:val="nil"/>
            </w:tcBorders>
          </w:tcPr>
          <w:p w14:paraId="5477A877" w14:textId="6CEEC6B0" w:rsidR="00E75B03" w:rsidRPr="003B08F2" w:rsidRDefault="00E75B03" w:rsidP="0079722B">
            <w:pPr>
              <w:keepNext/>
              <w:keepLines/>
              <w:spacing w:after="0"/>
              <w:ind w:left="23"/>
              <w:jc w:val="center"/>
              <w:rPr>
                <w:rFonts w:ascii="Arial Narrow" w:hAnsi="Arial Narrow" w:cs="Tahoma"/>
                <w:i/>
                <w:iCs/>
                <w:sz w:val="20"/>
                <w:highlight w:val="yellow"/>
              </w:rPr>
            </w:pPr>
            <w:r w:rsidRPr="00E75B03">
              <w:rPr>
                <w:rFonts w:ascii="Arial Narrow" w:hAnsi="Arial Narrow" w:cs="Tahoma"/>
                <w:b/>
                <w:bCs/>
                <w:i/>
                <w:iCs/>
                <w:sz w:val="20"/>
              </w:rPr>
              <w:t>REDACTED</w:t>
            </w:r>
          </w:p>
        </w:tc>
      </w:tr>
      <w:tr w:rsidR="00E75B03" w:rsidRPr="003B08F2" w14:paraId="779D088D" w14:textId="77777777" w:rsidTr="0017291F">
        <w:trPr>
          <w:trHeight w:val="220"/>
        </w:trPr>
        <w:tc>
          <w:tcPr>
            <w:tcW w:w="2977" w:type="dxa"/>
            <w:tcBorders>
              <w:top w:val="nil"/>
              <w:bottom w:val="nil"/>
            </w:tcBorders>
          </w:tcPr>
          <w:p w14:paraId="06C0915E" w14:textId="77777777" w:rsidR="00E75B03" w:rsidRPr="00ED5F15" w:rsidRDefault="00E75B03" w:rsidP="00E75B03">
            <w:pPr>
              <w:keepNext/>
              <w:keepLines/>
              <w:spacing w:after="0"/>
              <w:ind w:left="23" w:firstLine="164"/>
              <w:rPr>
                <w:rFonts w:ascii="Arial Narrow" w:hAnsi="Arial Narrow" w:cs="Calibri"/>
                <w:i/>
                <w:iCs/>
                <w:sz w:val="20"/>
              </w:rPr>
            </w:pPr>
            <w:r w:rsidRPr="00ED5F15">
              <w:rPr>
                <w:rFonts w:ascii="Arial Narrow" w:hAnsi="Arial Narrow" w:cs="Calibri"/>
                <w:i/>
                <w:iCs/>
                <w:sz w:val="20"/>
              </w:rPr>
              <w:t>Mild</w:t>
            </w:r>
          </w:p>
        </w:tc>
        <w:tc>
          <w:tcPr>
            <w:tcW w:w="1701" w:type="dxa"/>
            <w:tcBorders>
              <w:top w:val="nil"/>
              <w:bottom w:val="nil"/>
            </w:tcBorders>
          </w:tcPr>
          <w:p w14:paraId="24957BDF" w14:textId="3A34DE10" w:rsidR="00E75B03" w:rsidRPr="00F76713" w:rsidRDefault="00E75B03">
            <w:pPr>
              <w:keepNext/>
              <w:keepLines/>
              <w:spacing w:after="0"/>
              <w:ind w:left="23"/>
              <w:jc w:val="center"/>
              <w:rPr>
                <w:rFonts w:ascii="Arial Narrow" w:hAnsi="Arial Narrow" w:cs="Tahoma"/>
                <w:i/>
                <w:iCs/>
                <w:sz w:val="20"/>
              </w:rPr>
            </w:pPr>
            <w:r w:rsidRPr="00F76713">
              <w:rPr>
                <w:rFonts w:ascii="Arial Narrow" w:hAnsi="Arial Narrow" w:cs="Tahoma"/>
                <w:i/>
                <w:iCs/>
                <w:sz w:val="20"/>
              </w:rPr>
              <w:t>137/466 (29.</w:t>
            </w:r>
            <w:r w:rsidR="00E956EF">
              <w:rPr>
                <w:rFonts w:ascii="Arial Narrow" w:hAnsi="Arial Narrow" w:cs="Tahoma"/>
                <w:i/>
                <w:iCs/>
                <w:sz w:val="20"/>
              </w:rPr>
              <w:t>4</w:t>
            </w:r>
            <w:r w:rsidRPr="00F76713">
              <w:rPr>
                <w:rFonts w:ascii="Arial Narrow" w:hAnsi="Arial Narrow" w:cs="Tahoma"/>
                <w:i/>
                <w:iCs/>
                <w:sz w:val="20"/>
              </w:rPr>
              <w:t>%)</w:t>
            </w:r>
          </w:p>
        </w:tc>
        <w:tc>
          <w:tcPr>
            <w:tcW w:w="1559" w:type="dxa"/>
            <w:tcBorders>
              <w:top w:val="nil"/>
              <w:bottom w:val="nil"/>
            </w:tcBorders>
          </w:tcPr>
          <w:p w14:paraId="15BDE0BF" w14:textId="77777777" w:rsidR="00E75B03" w:rsidRPr="00F76713" w:rsidRDefault="00E75B03" w:rsidP="00E75B03">
            <w:pPr>
              <w:keepNext/>
              <w:keepLines/>
              <w:spacing w:after="0"/>
              <w:ind w:left="23"/>
              <w:jc w:val="center"/>
              <w:rPr>
                <w:rFonts w:ascii="Arial Narrow" w:hAnsi="Arial Narrow" w:cs="Tahoma"/>
                <w:i/>
                <w:iCs/>
                <w:sz w:val="20"/>
              </w:rPr>
            </w:pPr>
            <w:r w:rsidRPr="00F76713">
              <w:rPr>
                <w:rFonts w:ascii="Arial Narrow" w:hAnsi="Arial Narrow" w:cs="Tahoma"/>
                <w:i/>
                <w:iCs/>
                <w:sz w:val="20"/>
              </w:rPr>
              <w:t>8/381 (2.1%)</w:t>
            </w:r>
          </w:p>
        </w:tc>
        <w:tc>
          <w:tcPr>
            <w:tcW w:w="2268" w:type="dxa"/>
            <w:tcBorders>
              <w:top w:val="nil"/>
              <w:bottom w:val="nil"/>
            </w:tcBorders>
          </w:tcPr>
          <w:p w14:paraId="3063C4D9" w14:textId="42CE656F" w:rsidR="00E75B03" w:rsidRPr="003B08F2" w:rsidRDefault="00E75B03" w:rsidP="00E75B03">
            <w:pPr>
              <w:keepNext/>
              <w:keepLines/>
              <w:spacing w:after="0"/>
              <w:ind w:left="23"/>
              <w:jc w:val="center"/>
              <w:rPr>
                <w:rFonts w:ascii="Arial Narrow" w:hAnsi="Arial Narrow" w:cs="Tahoma"/>
                <w:b/>
                <w:bCs/>
                <w:i/>
                <w:iCs/>
                <w:sz w:val="20"/>
                <w:highlight w:val="yellow"/>
              </w:rPr>
            </w:pPr>
            <w:r w:rsidRPr="00E75B03">
              <w:rPr>
                <w:rFonts w:ascii="Arial Narrow" w:hAnsi="Arial Narrow" w:cs="Tahoma"/>
                <w:b/>
                <w:bCs/>
                <w:i/>
                <w:iCs/>
                <w:sz w:val="20"/>
              </w:rPr>
              <w:t>REDACTED</w:t>
            </w:r>
          </w:p>
        </w:tc>
        <w:tc>
          <w:tcPr>
            <w:tcW w:w="1560" w:type="dxa"/>
            <w:tcBorders>
              <w:top w:val="nil"/>
              <w:bottom w:val="nil"/>
            </w:tcBorders>
          </w:tcPr>
          <w:p w14:paraId="7E837AEA" w14:textId="3467EE04" w:rsidR="00E75B03" w:rsidRPr="003750DD" w:rsidRDefault="00E75B03" w:rsidP="00E75B03">
            <w:pPr>
              <w:keepNext/>
              <w:keepLines/>
              <w:spacing w:after="0"/>
              <w:ind w:left="23"/>
              <w:jc w:val="center"/>
              <w:rPr>
                <w:rFonts w:ascii="Arial Narrow" w:hAnsi="Arial Narrow" w:cs="Tahoma"/>
                <w:i/>
                <w:iCs/>
                <w:sz w:val="20"/>
              </w:rPr>
            </w:pPr>
            <w:r w:rsidRPr="003750DD">
              <w:rPr>
                <w:rFonts w:ascii="Arial Narrow" w:hAnsi="Arial Narrow" w:cs="Tahoma"/>
                <w:i/>
                <w:iCs/>
                <w:sz w:val="20"/>
              </w:rPr>
              <w:t>39.8%</w:t>
            </w:r>
          </w:p>
        </w:tc>
        <w:tc>
          <w:tcPr>
            <w:tcW w:w="1559" w:type="dxa"/>
            <w:tcBorders>
              <w:top w:val="nil"/>
              <w:bottom w:val="nil"/>
            </w:tcBorders>
          </w:tcPr>
          <w:p w14:paraId="150F6B28" w14:textId="04C1AB92" w:rsidR="00E75B03" w:rsidRPr="003750DD" w:rsidRDefault="00E75B03" w:rsidP="00E75B03">
            <w:pPr>
              <w:keepNext/>
              <w:keepLines/>
              <w:spacing w:after="0"/>
              <w:ind w:left="23"/>
              <w:jc w:val="center"/>
              <w:rPr>
                <w:rFonts w:ascii="Arial Narrow" w:hAnsi="Arial Narrow" w:cs="Tahoma"/>
                <w:i/>
                <w:iCs/>
                <w:sz w:val="20"/>
              </w:rPr>
            </w:pPr>
            <w:r w:rsidRPr="003750DD">
              <w:rPr>
                <w:rFonts w:ascii="Arial Narrow" w:hAnsi="Arial Narrow" w:cs="Tahoma"/>
                <w:i/>
                <w:iCs/>
                <w:sz w:val="20"/>
              </w:rPr>
              <w:t>3.8%</w:t>
            </w:r>
          </w:p>
        </w:tc>
        <w:tc>
          <w:tcPr>
            <w:tcW w:w="2268" w:type="dxa"/>
            <w:tcBorders>
              <w:top w:val="nil"/>
              <w:bottom w:val="nil"/>
            </w:tcBorders>
          </w:tcPr>
          <w:p w14:paraId="0B8E92A9" w14:textId="146C64AD" w:rsidR="00E75B03" w:rsidRPr="003B08F2" w:rsidRDefault="00E75B03" w:rsidP="00E75B03">
            <w:pPr>
              <w:keepNext/>
              <w:keepLines/>
              <w:spacing w:after="0"/>
              <w:ind w:left="23"/>
              <w:jc w:val="center"/>
              <w:rPr>
                <w:rFonts w:ascii="Arial Narrow" w:hAnsi="Arial Narrow" w:cs="Tahoma"/>
                <w:i/>
                <w:iCs/>
                <w:sz w:val="20"/>
                <w:highlight w:val="yellow"/>
              </w:rPr>
            </w:pPr>
            <w:r w:rsidRPr="00E75B03">
              <w:rPr>
                <w:rFonts w:ascii="Arial Narrow" w:hAnsi="Arial Narrow" w:cs="Tahoma"/>
                <w:b/>
                <w:bCs/>
                <w:i/>
                <w:iCs/>
                <w:sz w:val="20"/>
              </w:rPr>
              <w:t>REDACTED</w:t>
            </w:r>
          </w:p>
        </w:tc>
      </w:tr>
      <w:tr w:rsidR="00E75B03" w:rsidRPr="003B08F2" w14:paraId="7762A543" w14:textId="77777777" w:rsidTr="0017291F">
        <w:trPr>
          <w:trHeight w:val="196"/>
        </w:trPr>
        <w:tc>
          <w:tcPr>
            <w:tcW w:w="2977" w:type="dxa"/>
            <w:tcBorders>
              <w:top w:val="nil"/>
            </w:tcBorders>
          </w:tcPr>
          <w:p w14:paraId="5E5DFB0A" w14:textId="77777777" w:rsidR="00E75B03" w:rsidRPr="00ED5F15" w:rsidRDefault="00E75B03" w:rsidP="00E75B03">
            <w:pPr>
              <w:keepNext/>
              <w:keepLines/>
              <w:spacing w:after="0"/>
              <w:ind w:left="23" w:firstLine="164"/>
              <w:rPr>
                <w:rFonts w:ascii="Arial Narrow" w:hAnsi="Arial Narrow" w:cs="Calibri"/>
                <w:i/>
                <w:iCs/>
                <w:sz w:val="20"/>
              </w:rPr>
            </w:pPr>
            <w:r w:rsidRPr="00ED5F15">
              <w:rPr>
                <w:rFonts w:ascii="Arial Narrow" w:hAnsi="Arial Narrow" w:cs="Calibri"/>
                <w:i/>
                <w:iCs/>
                <w:sz w:val="20"/>
              </w:rPr>
              <w:t>≥Moderate</w:t>
            </w:r>
          </w:p>
        </w:tc>
        <w:tc>
          <w:tcPr>
            <w:tcW w:w="1701" w:type="dxa"/>
            <w:tcBorders>
              <w:top w:val="nil"/>
            </w:tcBorders>
          </w:tcPr>
          <w:p w14:paraId="5674852D" w14:textId="77777777" w:rsidR="00E75B03" w:rsidRPr="00F76713" w:rsidRDefault="00E75B03" w:rsidP="00E75B03">
            <w:pPr>
              <w:keepNext/>
              <w:keepLines/>
              <w:spacing w:after="0"/>
              <w:ind w:left="23"/>
              <w:jc w:val="center"/>
              <w:rPr>
                <w:rFonts w:ascii="Arial Narrow" w:hAnsi="Arial Narrow" w:cs="Tahoma"/>
                <w:i/>
                <w:iCs/>
                <w:sz w:val="20"/>
              </w:rPr>
            </w:pPr>
            <w:r w:rsidRPr="00F76713">
              <w:rPr>
                <w:rFonts w:ascii="Arial Narrow" w:hAnsi="Arial Narrow" w:cs="Tahoma"/>
                <w:i/>
                <w:iCs/>
                <w:sz w:val="20"/>
              </w:rPr>
              <w:t>3/466 (0.6%)</w:t>
            </w:r>
          </w:p>
        </w:tc>
        <w:tc>
          <w:tcPr>
            <w:tcW w:w="1559" w:type="dxa"/>
            <w:tcBorders>
              <w:top w:val="nil"/>
            </w:tcBorders>
          </w:tcPr>
          <w:p w14:paraId="4F25E152" w14:textId="77777777" w:rsidR="00E75B03" w:rsidRPr="00F76713" w:rsidRDefault="00E75B03" w:rsidP="00E75B03">
            <w:pPr>
              <w:keepNext/>
              <w:keepLines/>
              <w:spacing w:after="0"/>
              <w:ind w:left="23"/>
              <w:jc w:val="center"/>
              <w:rPr>
                <w:rFonts w:ascii="Arial Narrow" w:hAnsi="Arial Narrow" w:cs="Tahoma"/>
                <w:i/>
                <w:iCs/>
                <w:sz w:val="20"/>
              </w:rPr>
            </w:pPr>
            <w:r w:rsidRPr="00F76713">
              <w:rPr>
                <w:rFonts w:ascii="Arial Narrow" w:hAnsi="Arial Narrow" w:cs="Tahoma"/>
                <w:i/>
                <w:iCs/>
                <w:sz w:val="20"/>
              </w:rPr>
              <w:t>2/381 (0.5%)</w:t>
            </w:r>
          </w:p>
        </w:tc>
        <w:tc>
          <w:tcPr>
            <w:tcW w:w="2268" w:type="dxa"/>
            <w:tcBorders>
              <w:top w:val="nil"/>
            </w:tcBorders>
          </w:tcPr>
          <w:p w14:paraId="7B41D5AF" w14:textId="01D985B9" w:rsidR="00E75B03" w:rsidRPr="00E75B03" w:rsidRDefault="00E75B03" w:rsidP="00E75B03">
            <w:pPr>
              <w:keepNext/>
              <w:keepLines/>
              <w:spacing w:after="0"/>
              <w:ind w:left="23"/>
              <w:jc w:val="center"/>
              <w:rPr>
                <w:rFonts w:ascii="Arial Narrow" w:hAnsi="Arial Narrow" w:cs="Tahoma"/>
                <w:b/>
                <w:bCs/>
                <w:i/>
                <w:iCs/>
                <w:sz w:val="20"/>
                <w:highlight w:val="yellow"/>
              </w:rPr>
            </w:pPr>
            <w:r w:rsidRPr="0079722B">
              <w:rPr>
                <w:rFonts w:ascii="Arial Narrow" w:hAnsi="Arial Narrow" w:cs="Tahoma"/>
                <w:b/>
                <w:i/>
                <w:iCs/>
                <w:sz w:val="20"/>
              </w:rPr>
              <w:t>REDACTED</w:t>
            </w:r>
          </w:p>
        </w:tc>
        <w:tc>
          <w:tcPr>
            <w:tcW w:w="1560" w:type="dxa"/>
            <w:tcBorders>
              <w:top w:val="nil"/>
            </w:tcBorders>
          </w:tcPr>
          <w:p w14:paraId="27AFA50B" w14:textId="22DC510F" w:rsidR="00E75B03" w:rsidRPr="003750DD" w:rsidRDefault="00E75B03" w:rsidP="00E75B03">
            <w:pPr>
              <w:keepNext/>
              <w:keepLines/>
              <w:spacing w:after="0"/>
              <w:ind w:left="23"/>
              <w:jc w:val="center"/>
              <w:rPr>
                <w:rFonts w:ascii="Arial Narrow" w:hAnsi="Arial Narrow" w:cs="Tahoma"/>
                <w:i/>
                <w:iCs/>
                <w:sz w:val="20"/>
              </w:rPr>
            </w:pPr>
            <w:r w:rsidRPr="003750DD">
              <w:rPr>
                <w:rFonts w:ascii="Arial Narrow" w:hAnsi="Arial Narrow" w:cs="Tahoma"/>
                <w:i/>
                <w:iCs/>
                <w:sz w:val="20"/>
              </w:rPr>
              <w:t>2.5%%</w:t>
            </w:r>
          </w:p>
        </w:tc>
        <w:tc>
          <w:tcPr>
            <w:tcW w:w="1559" w:type="dxa"/>
            <w:tcBorders>
              <w:top w:val="nil"/>
            </w:tcBorders>
          </w:tcPr>
          <w:p w14:paraId="185B6440" w14:textId="1E635C5C" w:rsidR="00E75B03" w:rsidRPr="003750DD" w:rsidRDefault="00E75B03" w:rsidP="00E75B03">
            <w:pPr>
              <w:keepNext/>
              <w:keepLines/>
              <w:spacing w:after="0"/>
              <w:ind w:left="23"/>
              <w:jc w:val="center"/>
              <w:rPr>
                <w:rFonts w:ascii="Arial Narrow" w:hAnsi="Arial Narrow" w:cs="Tahoma"/>
                <w:i/>
                <w:iCs/>
                <w:sz w:val="20"/>
              </w:rPr>
            </w:pPr>
            <w:r w:rsidRPr="003750DD">
              <w:rPr>
                <w:rFonts w:ascii="Arial Narrow" w:hAnsi="Arial Narrow" w:cs="Tahoma"/>
                <w:i/>
                <w:iCs/>
                <w:sz w:val="20"/>
              </w:rPr>
              <w:t>0.4%</w:t>
            </w:r>
          </w:p>
        </w:tc>
        <w:tc>
          <w:tcPr>
            <w:tcW w:w="2268" w:type="dxa"/>
            <w:tcBorders>
              <w:top w:val="nil"/>
            </w:tcBorders>
          </w:tcPr>
          <w:p w14:paraId="0521A925" w14:textId="7A0EE248" w:rsidR="00E75B03" w:rsidRPr="003B08F2" w:rsidRDefault="00E75B03" w:rsidP="00E75B03">
            <w:pPr>
              <w:keepNext/>
              <w:keepLines/>
              <w:spacing w:after="0"/>
              <w:ind w:left="23"/>
              <w:jc w:val="center"/>
              <w:rPr>
                <w:rFonts w:ascii="Arial Narrow" w:hAnsi="Arial Narrow" w:cs="Tahoma"/>
                <w:i/>
                <w:iCs/>
                <w:sz w:val="20"/>
                <w:highlight w:val="yellow"/>
              </w:rPr>
            </w:pPr>
            <w:r w:rsidRPr="006B37EB">
              <w:rPr>
                <w:rFonts w:ascii="Arial Narrow" w:hAnsi="Arial Narrow" w:cs="Tahoma"/>
                <w:b/>
                <w:i/>
                <w:iCs/>
                <w:sz w:val="20"/>
              </w:rPr>
              <w:t>REDACTED</w:t>
            </w:r>
          </w:p>
        </w:tc>
      </w:tr>
      <w:tr w:rsidR="00FB44D6" w:rsidRPr="003B08F2" w14:paraId="0994316C" w14:textId="77777777" w:rsidTr="00FB44D6">
        <w:trPr>
          <w:trHeight w:val="20"/>
        </w:trPr>
        <w:tc>
          <w:tcPr>
            <w:tcW w:w="13892" w:type="dxa"/>
            <w:gridSpan w:val="7"/>
            <w:vAlign w:val="center"/>
          </w:tcPr>
          <w:p w14:paraId="1E6AFDB8" w14:textId="77777777" w:rsidR="00FB44D6" w:rsidRPr="00ED5F15" w:rsidRDefault="00FB44D6" w:rsidP="00FB44D6">
            <w:pPr>
              <w:keepNext/>
              <w:keepLines/>
              <w:spacing w:after="0"/>
              <w:ind w:left="22"/>
              <w:rPr>
                <w:rFonts w:ascii="Arial Narrow" w:hAnsi="Arial Narrow" w:cs="Tahoma"/>
                <w:i/>
                <w:iCs/>
                <w:sz w:val="20"/>
              </w:rPr>
            </w:pPr>
            <w:r w:rsidRPr="00ED5F15">
              <w:rPr>
                <w:rFonts w:ascii="Arial Narrow" w:hAnsi="Arial Narrow" w:cs="Tahoma"/>
                <w:b/>
                <w:bCs/>
                <w:i/>
                <w:iCs/>
                <w:sz w:val="20"/>
              </w:rPr>
              <w:t>Outcomes at 2-years follow-up</w:t>
            </w:r>
          </w:p>
        </w:tc>
      </w:tr>
      <w:tr w:rsidR="00FB44D6" w:rsidRPr="003B08F2" w14:paraId="0B26E948" w14:textId="77777777" w:rsidTr="0017291F">
        <w:trPr>
          <w:trHeight w:val="20"/>
        </w:trPr>
        <w:tc>
          <w:tcPr>
            <w:tcW w:w="2977" w:type="dxa"/>
            <w:vAlign w:val="center"/>
          </w:tcPr>
          <w:p w14:paraId="1538AAD8" w14:textId="77777777" w:rsidR="00FB44D6" w:rsidRPr="00ED5F15" w:rsidRDefault="00FB44D6" w:rsidP="00FB44D6">
            <w:pPr>
              <w:keepNext/>
              <w:keepLines/>
              <w:spacing w:after="0"/>
              <w:ind w:left="22"/>
              <w:rPr>
                <w:rFonts w:ascii="Arial Narrow" w:hAnsi="Arial Narrow" w:cs="Tahoma"/>
                <w:i/>
                <w:iCs/>
                <w:sz w:val="20"/>
              </w:rPr>
            </w:pPr>
            <w:r w:rsidRPr="00ED5F15">
              <w:rPr>
                <w:rFonts w:ascii="Arial Narrow" w:hAnsi="Arial Narrow" w:cs="Tahoma"/>
                <w:i/>
                <w:iCs/>
                <w:sz w:val="20"/>
              </w:rPr>
              <w:t xml:space="preserve">All-cause mortality </w:t>
            </w:r>
          </w:p>
        </w:tc>
        <w:tc>
          <w:tcPr>
            <w:tcW w:w="1701" w:type="dxa"/>
          </w:tcPr>
          <w:p w14:paraId="39FED332" w14:textId="41F1F715" w:rsidR="00FB44D6" w:rsidRPr="00BD4B48" w:rsidRDefault="00FB44D6">
            <w:pPr>
              <w:keepNext/>
              <w:keepLines/>
              <w:spacing w:after="0"/>
              <w:ind w:left="22"/>
              <w:jc w:val="center"/>
              <w:rPr>
                <w:rFonts w:ascii="Arial Narrow" w:hAnsi="Arial Narrow" w:cs="Tahoma"/>
                <w:i/>
                <w:iCs/>
                <w:sz w:val="20"/>
              </w:rPr>
            </w:pPr>
            <w:r w:rsidRPr="00BD4B48">
              <w:rPr>
                <w:rFonts w:ascii="Arial Narrow" w:hAnsi="Arial Narrow" w:cs="Tahoma"/>
                <w:i/>
                <w:iCs/>
                <w:sz w:val="20"/>
              </w:rPr>
              <w:t>12/</w:t>
            </w:r>
            <w:r w:rsidR="00E956EF" w:rsidRPr="00BD4B48">
              <w:rPr>
                <w:rFonts w:ascii="Arial Narrow" w:hAnsi="Arial Narrow" w:cs="Tahoma"/>
                <w:i/>
                <w:iCs/>
                <w:sz w:val="20"/>
              </w:rPr>
              <w:t>49</w:t>
            </w:r>
            <w:r w:rsidR="00E956EF">
              <w:rPr>
                <w:rFonts w:ascii="Arial Narrow" w:hAnsi="Arial Narrow" w:cs="Tahoma"/>
                <w:i/>
                <w:iCs/>
                <w:sz w:val="20"/>
              </w:rPr>
              <w:t>6</w:t>
            </w:r>
            <w:r w:rsidR="00E956EF" w:rsidRPr="00BD4B48">
              <w:rPr>
                <w:rFonts w:ascii="Arial Narrow" w:hAnsi="Arial Narrow" w:cs="Tahoma"/>
                <w:i/>
                <w:iCs/>
                <w:sz w:val="20"/>
              </w:rPr>
              <w:t xml:space="preserve"> </w:t>
            </w:r>
            <w:r w:rsidRPr="00BD4B48">
              <w:rPr>
                <w:rFonts w:ascii="Arial Narrow" w:hAnsi="Arial Narrow" w:cs="Tahoma"/>
                <w:i/>
                <w:iCs/>
                <w:sz w:val="20"/>
              </w:rPr>
              <w:t>(2.4%)</w:t>
            </w:r>
          </w:p>
        </w:tc>
        <w:tc>
          <w:tcPr>
            <w:tcW w:w="1559" w:type="dxa"/>
          </w:tcPr>
          <w:p w14:paraId="7FF8FDE0" w14:textId="77777777" w:rsidR="00FB44D6" w:rsidRPr="00BD4B48" w:rsidRDefault="00FB44D6" w:rsidP="00FB44D6">
            <w:pPr>
              <w:keepNext/>
              <w:keepLines/>
              <w:spacing w:after="0"/>
              <w:ind w:left="22"/>
              <w:jc w:val="center"/>
              <w:rPr>
                <w:rFonts w:ascii="Arial Narrow" w:hAnsi="Arial Narrow" w:cs="Tahoma"/>
                <w:i/>
                <w:iCs/>
                <w:sz w:val="20"/>
              </w:rPr>
            </w:pPr>
            <w:r w:rsidRPr="00BD4B48">
              <w:rPr>
                <w:rFonts w:ascii="Arial Narrow" w:hAnsi="Arial Narrow" w:cs="Tahoma"/>
                <w:i/>
                <w:iCs/>
                <w:sz w:val="20"/>
              </w:rPr>
              <w:t>14/454 (3.2%)</w:t>
            </w:r>
          </w:p>
        </w:tc>
        <w:tc>
          <w:tcPr>
            <w:tcW w:w="2268" w:type="dxa"/>
            <w:vAlign w:val="center"/>
          </w:tcPr>
          <w:p w14:paraId="0E307CFA" w14:textId="77777777" w:rsidR="00FB44D6" w:rsidRPr="00BD4B48" w:rsidRDefault="00FB44D6" w:rsidP="00FB44D6">
            <w:pPr>
              <w:keepNext/>
              <w:keepLines/>
              <w:spacing w:after="0"/>
              <w:ind w:left="22"/>
              <w:jc w:val="center"/>
              <w:rPr>
                <w:rFonts w:ascii="Arial Narrow" w:hAnsi="Arial Narrow" w:cs="Tahoma"/>
                <w:i/>
                <w:iCs/>
                <w:sz w:val="20"/>
              </w:rPr>
            </w:pPr>
            <w:r w:rsidRPr="00BD4B48">
              <w:rPr>
                <w:rFonts w:ascii="Arial Narrow" w:hAnsi="Arial Narrow" w:cs="Tahoma"/>
                <w:i/>
                <w:iCs/>
                <w:sz w:val="20"/>
              </w:rPr>
              <w:t>0.75 (0.35, 1.63)</w:t>
            </w:r>
          </w:p>
        </w:tc>
        <w:tc>
          <w:tcPr>
            <w:tcW w:w="1560" w:type="dxa"/>
            <w:vAlign w:val="center"/>
          </w:tcPr>
          <w:p w14:paraId="75374D5F"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c>
          <w:tcPr>
            <w:tcW w:w="1559" w:type="dxa"/>
            <w:vAlign w:val="center"/>
          </w:tcPr>
          <w:p w14:paraId="65A02B72"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c>
          <w:tcPr>
            <w:tcW w:w="2268" w:type="dxa"/>
            <w:vAlign w:val="center"/>
          </w:tcPr>
          <w:p w14:paraId="4CAFB105"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r>
      <w:tr w:rsidR="00FB44D6" w:rsidRPr="003B08F2" w14:paraId="213AFF02" w14:textId="77777777" w:rsidTr="0017291F">
        <w:trPr>
          <w:trHeight w:val="53"/>
        </w:trPr>
        <w:tc>
          <w:tcPr>
            <w:tcW w:w="2977" w:type="dxa"/>
            <w:vAlign w:val="center"/>
          </w:tcPr>
          <w:p w14:paraId="6ED0282D" w14:textId="77777777" w:rsidR="00FB44D6" w:rsidRPr="00ED5F15" w:rsidRDefault="00FB44D6" w:rsidP="00FB44D6">
            <w:pPr>
              <w:keepNext/>
              <w:keepLines/>
              <w:spacing w:after="0"/>
              <w:ind w:left="22"/>
              <w:rPr>
                <w:rFonts w:ascii="Arial Narrow" w:hAnsi="Arial Narrow" w:cs="Tahoma"/>
                <w:i/>
                <w:iCs/>
                <w:sz w:val="20"/>
              </w:rPr>
            </w:pPr>
            <w:r w:rsidRPr="00ED5F15">
              <w:rPr>
                <w:rFonts w:ascii="Arial Narrow" w:hAnsi="Arial Narrow" w:cs="Tahoma"/>
                <w:i/>
                <w:iCs/>
                <w:sz w:val="20"/>
              </w:rPr>
              <w:t>Any stroke</w:t>
            </w:r>
          </w:p>
        </w:tc>
        <w:tc>
          <w:tcPr>
            <w:tcW w:w="1701" w:type="dxa"/>
          </w:tcPr>
          <w:p w14:paraId="42A228F4" w14:textId="6BF87161" w:rsidR="00FB44D6" w:rsidRPr="00BD4B48" w:rsidRDefault="00FB44D6">
            <w:pPr>
              <w:keepNext/>
              <w:keepLines/>
              <w:spacing w:after="0"/>
              <w:ind w:left="22"/>
              <w:jc w:val="center"/>
              <w:rPr>
                <w:rFonts w:ascii="Arial Narrow" w:hAnsi="Arial Narrow" w:cs="Tahoma"/>
                <w:i/>
                <w:iCs/>
                <w:sz w:val="20"/>
              </w:rPr>
            </w:pPr>
            <w:r w:rsidRPr="00BD4B48">
              <w:rPr>
                <w:rFonts w:ascii="Arial Narrow" w:hAnsi="Arial Narrow" w:cs="Tahoma"/>
                <w:i/>
                <w:iCs/>
                <w:sz w:val="20"/>
              </w:rPr>
              <w:t>18/</w:t>
            </w:r>
            <w:r w:rsidR="00E956EF" w:rsidRPr="00BD4B48">
              <w:rPr>
                <w:rFonts w:ascii="Arial Narrow" w:hAnsi="Arial Narrow" w:cs="Tahoma"/>
                <w:i/>
                <w:iCs/>
                <w:sz w:val="20"/>
              </w:rPr>
              <w:t>49</w:t>
            </w:r>
            <w:r w:rsidR="00E956EF">
              <w:rPr>
                <w:rFonts w:ascii="Arial Narrow" w:hAnsi="Arial Narrow" w:cs="Tahoma"/>
                <w:i/>
                <w:iCs/>
                <w:sz w:val="20"/>
              </w:rPr>
              <w:t>6</w:t>
            </w:r>
            <w:r w:rsidR="00E956EF" w:rsidRPr="00BD4B48">
              <w:rPr>
                <w:rFonts w:ascii="Arial Narrow" w:hAnsi="Arial Narrow" w:cs="Tahoma"/>
                <w:i/>
                <w:iCs/>
                <w:sz w:val="20"/>
              </w:rPr>
              <w:t xml:space="preserve"> </w:t>
            </w:r>
            <w:r w:rsidRPr="00BD4B48">
              <w:rPr>
                <w:rFonts w:ascii="Arial Narrow" w:hAnsi="Arial Narrow" w:cs="Tahoma"/>
                <w:i/>
                <w:iCs/>
                <w:sz w:val="20"/>
              </w:rPr>
              <w:t>(2.4%)</w:t>
            </w:r>
          </w:p>
        </w:tc>
        <w:tc>
          <w:tcPr>
            <w:tcW w:w="1559" w:type="dxa"/>
          </w:tcPr>
          <w:p w14:paraId="6209F3FA" w14:textId="77777777" w:rsidR="00FB44D6" w:rsidRPr="00BD4B48" w:rsidRDefault="00FB44D6" w:rsidP="00FB44D6">
            <w:pPr>
              <w:keepNext/>
              <w:keepLines/>
              <w:spacing w:after="0"/>
              <w:ind w:left="22"/>
              <w:jc w:val="center"/>
              <w:rPr>
                <w:rFonts w:ascii="Arial Narrow" w:hAnsi="Arial Narrow" w:cs="Tahoma"/>
                <w:i/>
                <w:iCs/>
                <w:sz w:val="20"/>
              </w:rPr>
            </w:pPr>
            <w:r w:rsidRPr="00BD4B48">
              <w:rPr>
                <w:rFonts w:ascii="Arial Narrow" w:hAnsi="Arial Narrow" w:cs="Tahoma"/>
                <w:i/>
                <w:iCs/>
                <w:sz w:val="20"/>
              </w:rPr>
              <w:t>15/454 (3.6%)</w:t>
            </w:r>
          </w:p>
        </w:tc>
        <w:tc>
          <w:tcPr>
            <w:tcW w:w="2268" w:type="dxa"/>
            <w:vAlign w:val="center"/>
          </w:tcPr>
          <w:p w14:paraId="32E1A7C5" w14:textId="77777777" w:rsidR="00FB44D6" w:rsidRPr="00BD4B48" w:rsidRDefault="00FB44D6" w:rsidP="00FB44D6">
            <w:pPr>
              <w:keepNext/>
              <w:keepLines/>
              <w:spacing w:after="0"/>
              <w:ind w:left="22"/>
              <w:jc w:val="center"/>
              <w:rPr>
                <w:rFonts w:ascii="Arial Narrow" w:hAnsi="Arial Narrow" w:cs="Tahoma"/>
                <w:i/>
                <w:iCs/>
                <w:sz w:val="20"/>
              </w:rPr>
            </w:pPr>
            <w:r w:rsidRPr="00BD4B48">
              <w:rPr>
                <w:rFonts w:ascii="Arial Narrow" w:hAnsi="Arial Narrow" w:cs="Tahoma"/>
                <w:i/>
                <w:iCs/>
                <w:sz w:val="20"/>
              </w:rPr>
              <w:t>0.66 (0.31, 1.40)</w:t>
            </w:r>
          </w:p>
        </w:tc>
        <w:tc>
          <w:tcPr>
            <w:tcW w:w="1560" w:type="dxa"/>
            <w:vAlign w:val="center"/>
          </w:tcPr>
          <w:p w14:paraId="15EE0444"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c>
          <w:tcPr>
            <w:tcW w:w="1559" w:type="dxa"/>
            <w:vAlign w:val="center"/>
          </w:tcPr>
          <w:p w14:paraId="6726540E"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c>
          <w:tcPr>
            <w:tcW w:w="2268" w:type="dxa"/>
            <w:vAlign w:val="center"/>
          </w:tcPr>
          <w:p w14:paraId="4473957F"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r>
      <w:tr w:rsidR="00FB44D6" w:rsidRPr="003B08F2" w14:paraId="50A24A20" w14:textId="77777777" w:rsidTr="0017291F">
        <w:trPr>
          <w:trHeight w:val="20"/>
        </w:trPr>
        <w:tc>
          <w:tcPr>
            <w:tcW w:w="2977" w:type="dxa"/>
            <w:vAlign w:val="center"/>
          </w:tcPr>
          <w:p w14:paraId="6F55A958" w14:textId="77777777" w:rsidR="00FB44D6" w:rsidRPr="00ED5F15" w:rsidRDefault="00FB44D6" w:rsidP="00FB44D6">
            <w:pPr>
              <w:keepNext/>
              <w:keepLines/>
              <w:spacing w:after="0"/>
              <w:ind w:left="22"/>
              <w:rPr>
                <w:rFonts w:ascii="Arial Narrow" w:hAnsi="Arial Narrow" w:cs="Tahoma"/>
                <w:i/>
                <w:iCs/>
                <w:sz w:val="20"/>
              </w:rPr>
            </w:pPr>
            <w:r w:rsidRPr="00ED5F15">
              <w:rPr>
                <w:rFonts w:ascii="Arial Narrow" w:hAnsi="Arial Narrow" w:cs="Tahoma"/>
                <w:i/>
                <w:iCs/>
                <w:sz w:val="20"/>
              </w:rPr>
              <w:t>Death or disabling stroke</w:t>
            </w:r>
          </w:p>
        </w:tc>
        <w:tc>
          <w:tcPr>
            <w:tcW w:w="1701" w:type="dxa"/>
          </w:tcPr>
          <w:p w14:paraId="444E88F5" w14:textId="77777777" w:rsidR="00FB44D6" w:rsidRPr="00BD4B48" w:rsidRDefault="00FB44D6" w:rsidP="00FB44D6">
            <w:pPr>
              <w:keepNext/>
              <w:keepLines/>
              <w:spacing w:after="0"/>
              <w:ind w:left="22"/>
              <w:jc w:val="center"/>
              <w:rPr>
                <w:rFonts w:ascii="Arial Narrow" w:hAnsi="Arial Narrow" w:cs="Tahoma"/>
                <w:i/>
                <w:iCs/>
                <w:sz w:val="20"/>
              </w:rPr>
            </w:pPr>
            <w:r w:rsidRPr="00BD4B48">
              <w:rPr>
                <w:rFonts w:ascii="Arial Narrow" w:hAnsi="Arial Narrow" w:cs="Tahoma"/>
                <w:i/>
                <w:iCs/>
                <w:sz w:val="20"/>
              </w:rPr>
              <w:t>3.0%</w:t>
            </w:r>
          </w:p>
        </w:tc>
        <w:tc>
          <w:tcPr>
            <w:tcW w:w="1559" w:type="dxa"/>
          </w:tcPr>
          <w:p w14:paraId="13E8FFBD" w14:textId="77777777" w:rsidR="00FB44D6" w:rsidRPr="00BD4B48" w:rsidRDefault="00FB44D6" w:rsidP="00FB44D6">
            <w:pPr>
              <w:keepNext/>
              <w:keepLines/>
              <w:spacing w:after="0"/>
              <w:ind w:left="22"/>
              <w:jc w:val="center"/>
              <w:rPr>
                <w:rFonts w:ascii="Arial Narrow" w:hAnsi="Arial Narrow" w:cs="Tahoma"/>
                <w:i/>
                <w:iCs/>
                <w:sz w:val="20"/>
              </w:rPr>
            </w:pPr>
            <w:r w:rsidRPr="00BD4B48">
              <w:rPr>
                <w:rFonts w:ascii="Arial Narrow" w:hAnsi="Arial Narrow" w:cs="Tahoma"/>
                <w:i/>
                <w:iCs/>
                <w:sz w:val="20"/>
              </w:rPr>
              <w:t>3.8%</w:t>
            </w:r>
          </w:p>
        </w:tc>
        <w:tc>
          <w:tcPr>
            <w:tcW w:w="2268" w:type="dxa"/>
            <w:vAlign w:val="center"/>
          </w:tcPr>
          <w:p w14:paraId="6CA7BC3D" w14:textId="2F1675EC" w:rsidR="00FB44D6" w:rsidRPr="003B08F2" w:rsidRDefault="00FB44D6" w:rsidP="00BD4B48">
            <w:pPr>
              <w:keepNext/>
              <w:keepLines/>
              <w:spacing w:after="0"/>
              <w:ind w:left="22"/>
              <w:jc w:val="center"/>
              <w:rPr>
                <w:rFonts w:ascii="Arial Narrow" w:hAnsi="Arial Narrow" w:cs="Tahoma"/>
                <w:i/>
                <w:iCs/>
                <w:sz w:val="20"/>
                <w:highlight w:val="yellow"/>
              </w:rPr>
            </w:pPr>
            <w:r w:rsidRPr="00BD4B48">
              <w:rPr>
                <w:rFonts w:ascii="Arial Narrow" w:hAnsi="Arial Narrow" w:cs="Tahoma"/>
                <w:i/>
                <w:iCs/>
                <w:sz w:val="20"/>
              </w:rPr>
              <w:t>0.77 (0.</w:t>
            </w:r>
            <w:r w:rsidR="00BD4B48" w:rsidRPr="00BD4B48">
              <w:rPr>
                <w:rFonts w:ascii="Arial Narrow" w:hAnsi="Arial Narrow" w:cs="Tahoma"/>
                <w:i/>
                <w:iCs/>
                <w:sz w:val="20"/>
              </w:rPr>
              <w:t>39</w:t>
            </w:r>
            <w:r w:rsidRPr="00BD4B48">
              <w:rPr>
                <w:rFonts w:ascii="Arial Narrow" w:hAnsi="Arial Narrow" w:cs="Tahoma"/>
                <w:i/>
                <w:iCs/>
                <w:sz w:val="20"/>
              </w:rPr>
              <w:t>, 1.55)</w:t>
            </w:r>
          </w:p>
        </w:tc>
        <w:tc>
          <w:tcPr>
            <w:tcW w:w="1560" w:type="dxa"/>
            <w:vAlign w:val="center"/>
          </w:tcPr>
          <w:p w14:paraId="79ED7468"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c>
          <w:tcPr>
            <w:tcW w:w="1559" w:type="dxa"/>
            <w:vAlign w:val="center"/>
          </w:tcPr>
          <w:p w14:paraId="2597AA8D"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c>
          <w:tcPr>
            <w:tcW w:w="2268" w:type="dxa"/>
            <w:vAlign w:val="center"/>
          </w:tcPr>
          <w:p w14:paraId="4676A4EF"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r>
      <w:tr w:rsidR="00FB44D6" w:rsidRPr="003B08F2" w14:paraId="085F7A4C" w14:textId="77777777" w:rsidTr="0017291F">
        <w:trPr>
          <w:trHeight w:val="20"/>
        </w:trPr>
        <w:tc>
          <w:tcPr>
            <w:tcW w:w="2977" w:type="dxa"/>
            <w:vAlign w:val="center"/>
          </w:tcPr>
          <w:p w14:paraId="7D029DA4" w14:textId="77777777" w:rsidR="00FB44D6" w:rsidRPr="00ED5F15" w:rsidRDefault="00FB44D6" w:rsidP="00FB44D6">
            <w:pPr>
              <w:keepNext/>
              <w:keepLines/>
              <w:spacing w:after="0"/>
              <w:ind w:left="22"/>
              <w:rPr>
                <w:rFonts w:ascii="Arial Narrow" w:hAnsi="Arial Narrow" w:cs="Tahoma"/>
                <w:i/>
                <w:iCs/>
                <w:sz w:val="20"/>
              </w:rPr>
            </w:pPr>
            <w:r w:rsidRPr="00ED5F15">
              <w:rPr>
                <w:rFonts w:ascii="Arial Narrow" w:hAnsi="Arial Narrow" w:cs="Tahoma"/>
                <w:i/>
                <w:iCs/>
                <w:sz w:val="20"/>
              </w:rPr>
              <w:t>New-onset atrial fibrillation</w:t>
            </w:r>
          </w:p>
        </w:tc>
        <w:tc>
          <w:tcPr>
            <w:tcW w:w="1701" w:type="dxa"/>
          </w:tcPr>
          <w:p w14:paraId="68668B9F" w14:textId="22C1CB55" w:rsidR="00FB44D6" w:rsidRPr="00BD4B48" w:rsidRDefault="00E956EF">
            <w:pPr>
              <w:keepNext/>
              <w:keepLines/>
              <w:spacing w:after="0"/>
              <w:ind w:left="22"/>
              <w:jc w:val="center"/>
              <w:rPr>
                <w:rFonts w:ascii="Arial Narrow" w:hAnsi="Arial Narrow" w:cs="Tahoma"/>
                <w:i/>
                <w:iCs/>
                <w:sz w:val="20"/>
              </w:rPr>
            </w:pPr>
            <w:r w:rsidRPr="00BD4B48">
              <w:rPr>
                <w:rFonts w:ascii="Arial Narrow" w:hAnsi="Arial Narrow" w:cs="Tahoma"/>
                <w:i/>
                <w:iCs/>
                <w:sz w:val="20"/>
              </w:rPr>
              <w:t>3</w:t>
            </w:r>
            <w:r>
              <w:rPr>
                <w:rFonts w:ascii="Arial Narrow" w:hAnsi="Arial Narrow" w:cs="Tahoma"/>
                <w:i/>
                <w:iCs/>
                <w:sz w:val="20"/>
              </w:rPr>
              <w:t>3</w:t>
            </w:r>
            <w:r w:rsidR="00FB44D6" w:rsidRPr="00BD4B48">
              <w:rPr>
                <w:rFonts w:ascii="Arial Narrow" w:hAnsi="Arial Narrow" w:cs="Tahoma"/>
                <w:i/>
                <w:iCs/>
                <w:sz w:val="20"/>
              </w:rPr>
              <w:t>/</w:t>
            </w:r>
            <w:r w:rsidRPr="00BD4B48">
              <w:rPr>
                <w:rFonts w:ascii="Arial Narrow" w:hAnsi="Arial Narrow" w:cs="Tahoma"/>
                <w:i/>
                <w:iCs/>
                <w:sz w:val="20"/>
              </w:rPr>
              <w:t>49</w:t>
            </w:r>
            <w:r>
              <w:rPr>
                <w:rFonts w:ascii="Arial Narrow" w:hAnsi="Arial Narrow" w:cs="Tahoma"/>
                <w:i/>
                <w:iCs/>
                <w:sz w:val="20"/>
              </w:rPr>
              <w:t>6</w:t>
            </w:r>
            <w:r w:rsidRPr="00BD4B48">
              <w:rPr>
                <w:rFonts w:ascii="Arial Narrow" w:hAnsi="Arial Narrow" w:cs="Tahoma"/>
                <w:i/>
                <w:iCs/>
                <w:sz w:val="20"/>
              </w:rPr>
              <w:t xml:space="preserve"> </w:t>
            </w:r>
            <w:r w:rsidR="00FB44D6" w:rsidRPr="00BD4B48">
              <w:rPr>
                <w:rFonts w:ascii="Arial Narrow" w:hAnsi="Arial Narrow" w:cs="Tahoma"/>
                <w:i/>
                <w:iCs/>
                <w:sz w:val="20"/>
              </w:rPr>
              <w:t>(7.</w:t>
            </w:r>
            <w:r>
              <w:rPr>
                <w:rFonts w:ascii="Arial Narrow" w:hAnsi="Arial Narrow" w:cs="Tahoma"/>
                <w:i/>
                <w:iCs/>
                <w:sz w:val="20"/>
              </w:rPr>
              <w:t>9</w:t>
            </w:r>
            <w:r w:rsidR="00FB44D6" w:rsidRPr="00BD4B48">
              <w:rPr>
                <w:rFonts w:ascii="Arial Narrow" w:hAnsi="Arial Narrow" w:cs="Tahoma"/>
                <w:i/>
                <w:iCs/>
                <w:sz w:val="20"/>
              </w:rPr>
              <w:t>%)</w:t>
            </w:r>
          </w:p>
        </w:tc>
        <w:tc>
          <w:tcPr>
            <w:tcW w:w="1559" w:type="dxa"/>
          </w:tcPr>
          <w:p w14:paraId="41073418" w14:textId="2978CB2C" w:rsidR="00FB44D6" w:rsidRPr="00BD4B48" w:rsidRDefault="00E956EF" w:rsidP="00A31E12">
            <w:pPr>
              <w:keepNext/>
              <w:keepLines/>
              <w:spacing w:after="0"/>
              <w:ind w:left="22"/>
              <w:jc w:val="center"/>
              <w:rPr>
                <w:rFonts w:ascii="Arial Narrow" w:hAnsi="Arial Narrow" w:cs="Tahoma"/>
                <w:i/>
                <w:iCs/>
                <w:sz w:val="20"/>
              </w:rPr>
            </w:pPr>
            <w:r w:rsidRPr="00BD4B48">
              <w:rPr>
                <w:rFonts w:ascii="Arial Narrow" w:hAnsi="Arial Narrow" w:cs="Tahoma"/>
                <w:i/>
                <w:iCs/>
                <w:sz w:val="20"/>
              </w:rPr>
              <w:t>15</w:t>
            </w:r>
            <w:r>
              <w:rPr>
                <w:rFonts w:ascii="Arial Narrow" w:hAnsi="Arial Narrow" w:cs="Tahoma"/>
                <w:i/>
                <w:iCs/>
                <w:sz w:val="20"/>
              </w:rPr>
              <w:t>3</w:t>
            </w:r>
            <w:r w:rsidR="00FB44D6" w:rsidRPr="00BD4B48">
              <w:rPr>
                <w:rFonts w:ascii="Arial Narrow" w:hAnsi="Arial Narrow" w:cs="Tahoma"/>
                <w:i/>
                <w:iCs/>
                <w:sz w:val="20"/>
              </w:rPr>
              <w:t>/454 (4</w:t>
            </w:r>
            <w:r w:rsidR="00A31E12">
              <w:rPr>
                <w:rFonts w:ascii="Arial Narrow" w:hAnsi="Arial Narrow" w:cs="Tahoma"/>
                <w:i/>
                <w:iCs/>
                <w:sz w:val="20"/>
              </w:rPr>
              <w:t>1.8</w:t>
            </w:r>
            <w:r w:rsidR="00FB44D6" w:rsidRPr="00BD4B48">
              <w:rPr>
                <w:rFonts w:ascii="Arial Narrow" w:hAnsi="Arial Narrow" w:cs="Tahoma"/>
                <w:i/>
                <w:iCs/>
                <w:sz w:val="20"/>
              </w:rPr>
              <w:t>%)</w:t>
            </w:r>
          </w:p>
        </w:tc>
        <w:tc>
          <w:tcPr>
            <w:tcW w:w="2268" w:type="dxa"/>
          </w:tcPr>
          <w:p w14:paraId="4C6654AF" w14:textId="62BEB821" w:rsidR="00FB44D6" w:rsidRPr="00BD4B48" w:rsidRDefault="00FB44D6">
            <w:pPr>
              <w:keepNext/>
              <w:keepLines/>
              <w:spacing w:after="0"/>
              <w:ind w:left="22"/>
              <w:jc w:val="center"/>
              <w:rPr>
                <w:rFonts w:ascii="Arial Narrow" w:hAnsi="Arial Narrow" w:cs="Tahoma"/>
                <w:b/>
                <w:bCs/>
                <w:i/>
                <w:iCs/>
                <w:sz w:val="20"/>
              </w:rPr>
            </w:pPr>
            <w:r w:rsidRPr="00BD4B48">
              <w:rPr>
                <w:rFonts w:ascii="Arial Narrow" w:hAnsi="Arial Narrow" w:cs="Tahoma"/>
                <w:b/>
                <w:i/>
                <w:iCs/>
                <w:sz w:val="20"/>
              </w:rPr>
              <w:t>0.</w:t>
            </w:r>
            <w:r w:rsidR="008863B2">
              <w:rPr>
                <w:rFonts w:ascii="Arial Narrow" w:hAnsi="Arial Narrow" w:cs="Tahoma"/>
                <w:b/>
                <w:i/>
                <w:iCs/>
                <w:sz w:val="20"/>
              </w:rPr>
              <w:t xml:space="preserve">20 </w:t>
            </w:r>
            <w:r w:rsidRPr="00BD4B48">
              <w:rPr>
                <w:rFonts w:ascii="Arial Narrow" w:hAnsi="Arial Narrow" w:cs="Tahoma"/>
                <w:b/>
                <w:i/>
                <w:iCs/>
                <w:sz w:val="20"/>
              </w:rPr>
              <w:t>(0.</w:t>
            </w:r>
            <w:r w:rsidR="008863B2" w:rsidRPr="00BD4B48">
              <w:rPr>
                <w:rFonts w:ascii="Arial Narrow" w:hAnsi="Arial Narrow" w:cs="Tahoma"/>
                <w:b/>
                <w:i/>
                <w:iCs/>
                <w:sz w:val="20"/>
              </w:rPr>
              <w:t>1</w:t>
            </w:r>
            <w:r w:rsidR="008863B2">
              <w:rPr>
                <w:rFonts w:ascii="Arial Narrow" w:hAnsi="Arial Narrow" w:cs="Tahoma"/>
                <w:b/>
                <w:i/>
                <w:iCs/>
                <w:sz w:val="20"/>
              </w:rPr>
              <w:t>4</w:t>
            </w:r>
            <w:r w:rsidRPr="00BD4B48">
              <w:rPr>
                <w:rFonts w:ascii="Arial Narrow" w:hAnsi="Arial Narrow" w:cs="Tahoma"/>
                <w:b/>
                <w:i/>
                <w:iCs/>
                <w:sz w:val="20"/>
              </w:rPr>
              <w:t>, 0.28)</w:t>
            </w:r>
          </w:p>
        </w:tc>
        <w:tc>
          <w:tcPr>
            <w:tcW w:w="1560" w:type="dxa"/>
            <w:vAlign w:val="center"/>
          </w:tcPr>
          <w:p w14:paraId="0CCBA0DC"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c>
          <w:tcPr>
            <w:tcW w:w="1559" w:type="dxa"/>
            <w:vAlign w:val="center"/>
          </w:tcPr>
          <w:p w14:paraId="7AE6BEE2"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c>
          <w:tcPr>
            <w:tcW w:w="2268" w:type="dxa"/>
            <w:vAlign w:val="center"/>
          </w:tcPr>
          <w:p w14:paraId="0135CF54"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r>
      <w:tr w:rsidR="00FB44D6" w:rsidRPr="003B08F2" w14:paraId="7FAE448F" w14:textId="77777777" w:rsidTr="0017291F">
        <w:trPr>
          <w:trHeight w:val="20"/>
        </w:trPr>
        <w:tc>
          <w:tcPr>
            <w:tcW w:w="2977" w:type="dxa"/>
          </w:tcPr>
          <w:p w14:paraId="51E3729A" w14:textId="77777777" w:rsidR="00FB44D6" w:rsidRPr="00ED5F15" w:rsidRDefault="00FB44D6" w:rsidP="00FB44D6">
            <w:pPr>
              <w:keepNext/>
              <w:keepLines/>
              <w:spacing w:after="0"/>
              <w:ind w:left="22"/>
              <w:rPr>
                <w:rFonts w:ascii="Arial Narrow" w:hAnsi="Arial Narrow" w:cs="Tahoma"/>
                <w:i/>
                <w:iCs/>
                <w:sz w:val="20"/>
              </w:rPr>
            </w:pPr>
            <w:r w:rsidRPr="00ED5F15">
              <w:rPr>
                <w:rFonts w:ascii="Arial Narrow" w:hAnsi="Arial Narrow" w:cs="Tahoma"/>
                <w:i/>
                <w:iCs/>
                <w:sz w:val="20"/>
              </w:rPr>
              <w:t>New permanent pacemaker implants</w:t>
            </w:r>
          </w:p>
        </w:tc>
        <w:tc>
          <w:tcPr>
            <w:tcW w:w="1701" w:type="dxa"/>
            <w:vAlign w:val="center"/>
          </w:tcPr>
          <w:p w14:paraId="1DB05DBE" w14:textId="0FBE3EFF" w:rsidR="00FB44D6" w:rsidRPr="00BD4B48" w:rsidRDefault="00FB44D6">
            <w:pPr>
              <w:keepNext/>
              <w:keepLines/>
              <w:spacing w:after="0"/>
              <w:ind w:left="22"/>
              <w:jc w:val="center"/>
              <w:rPr>
                <w:rFonts w:ascii="Arial Narrow" w:hAnsi="Arial Narrow" w:cs="Tahoma"/>
                <w:i/>
                <w:iCs/>
                <w:sz w:val="20"/>
              </w:rPr>
            </w:pPr>
            <w:r w:rsidRPr="00BD4B48">
              <w:rPr>
                <w:rFonts w:ascii="Arial Narrow" w:hAnsi="Arial Narrow" w:cs="Tahoma"/>
                <w:i/>
                <w:iCs/>
                <w:sz w:val="20"/>
              </w:rPr>
              <w:t>42/</w:t>
            </w:r>
            <w:r w:rsidR="00E956EF" w:rsidRPr="00BD4B48">
              <w:rPr>
                <w:rFonts w:ascii="Arial Narrow" w:hAnsi="Arial Narrow" w:cs="Tahoma"/>
                <w:i/>
                <w:iCs/>
                <w:sz w:val="20"/>
              </w:rPr>
              <w:t>49</w:t>
            </w:r>
            <w:r w:rsidR="00E956EF">
              <w:rPr>
                <w:rFonts w:ascii="Arial Narrow" w:hAnsi="Arial Narrow" w:cs="Tahoma"/>
                <w:i/>
                <w:iCs/>
                <w:sz w:val="20"/>
              </w:rPr>
              <w:t>6</w:t>
            </w:r>
            <w:r w:rsidR="00E956EF" w:rsidRPr="00BD4B48">
              <w:rPr>
                <w:rFonts w:ascii="Arial Narrow" w:hAnsi="Arial Narrow" w:cs="Tahoma"/>
                <w:i/>
                <w:iCs/>
                <w:sz w:val="20"/>
              </w:rPr>
              <w:t xml:space="preserve"> </w:t>
            </w:r>
            <w:r w:rsidRPr="00BD4B48">
              <w:rPr>
                <w:rFonts w:ascii="Arial Narrow" w:hAnsi="Arial Narrow" w:cs="Tahoma"/>
                <w:i/>
                <w:iCs/>
                <w:sz w:val="20"/>
              </w:rPr>
              <w:t>(8.5%)</w:t>
            </w:r>
          </w:p>
        </w:tc>
        <w:tc>
          <w:tcPr>
            <w:tcW w:w="1559" w:type="dxa"/>
            <w:vAlign w:val="center"/>
          </w:tcPr>
          <w:p w14:paraId="12091173" w14:textId="77777777" w:rsidR="00FB44D6" w:rsidRPr="00BD4B48" w:rsidRDefault="00FB44D6" w:rsidP="00FB44D6">
            <w:pPr>
              <w:keepNext/>
              <w:keepLines/>
              <w:spacing w:after="0"/>
              <w:ind w:left="22"/>
              <w:jc w:val="center"/>
              <w:rPr>
                <w:rFonts w:ascii="Arial Narrow" w:hAnsi="Arial Narrow" w:cs="Tahoma"/>
                <w:i/>
                <w:iCs/>
                <w:sz w:val="20"/>
              </w:rPr>
            </w:pPr>
            <w:r w:rsidRPr="00BD4B48">
              <w:rPr>
                <w:rFonts w:ascii="Arial Narrow" w:hAnsi="Arial Narrow" w:cs="Tahoma"/>
                <w:i/>
                <w:iCs/>
                <w:sz w:val="20"/>
              </w:rPr>
              <w:t>28/454 (6.3%)</w:t>
            </w:r>
          </w:p>
        </w:tc>
        <w:tc>
          <w:tcPr>
            <w:tcW w:w="2268" w:type="dxa"/>
            <w:vAlign w:val="center"/>
          </w:tcPr>
          <w:p w14:paraId="00EF30F0" w14:textId="68C81DDE" w:rsidR="00FB44D6" w:rsidRPr="00BD4B48" w:rsidRDefault="00FB44D6" w:rsidP="00724548">
            <w:pPr>
              <w:keepNext/>
              <w:keepLines/>
              <w:spacing w:after="0"/>
              <w:ind w:left="22"/>
              <w:jc w:val="center"/>
              <w:rPr>
                <w:rFonts w:ascii="Arial Narrow" w:hAnsi="Arial Narrow" w:cs="Tahoma"/>
                <w:b/>
                <w:bCs/>
                <w:i/>
                <w:iCs/>
                <w:sz w:val="20"/>
              </w:rPr>
            </w:pPr>
            <w:r w:rsidRPr="00BD4B48">
              <w:rPr>
                <w:rFonts w:ascii="Arial Narrow" w:hAnsi="Arial Narrow" w:cs="Tahoma"/>
                <w:i/>
                <w:iCs/>
                <w:sz w:val="20"/>
              </w:rPr>
              <w:t>1.37 (0.</w:t>
            </w:r>
            <w:r w:rsidR="008863B2" w:rsidRPr="00BD4B48">
              <w:rPr>
                <w:rFonts w:ascii="Arial Narrow" w:hAnsi="Arial Narrow" w:cs="Tahoma"/>
                <w:i/>
                <w:iCs/>
                <w:sz w:val="20"/>
              </w:rPr>
              <w:t>8</w:t>
            </w:r>
            <w:r w:rsidR="008863B2">
              <w:rPr>
                <w:rFonts w:ascii="Arial Narrow" w:hAnsi="Arial Narrow" w:cs="Tahoma"/>
                <w:i/>
                <w:iCs/>
                <w:sz w:val="20"/>
              </w:rPr>
              <w:t>7</w:t>
            </w:r>
            <w:r w:rsidRPr="00BD4B48">
              <w:rPr>
                <w:rFonts w:ascii="Arial Narrow" w:hAnsi="Arial Narrow" w:cs="Tahoma"/>
                <w:i/>
                <w:iCs/>
                <w:sz w:val="20"/>
              </w:rPr>
              <w:t>, 2.</w:t>
            </w:r>
            <w:r w:rsidR="00724548">
              <w:rPr>
                <w:rFonts w:ascii="Arial Narrow" w:hAnsi="Arial Narrow" w:cs="Tahoma"/>
                <w:i/>
                <w:iCs/>
                <w:sz w:val="20"/>
              </w:rPr>
              <w:t>18</w:t>
            </w:r>
            <w:r w:rsidRPr="00BD4B48">
              <w:rPr>
                <w:rFonts w:ascii="Arial Narrow" w:hAnsi="Arial Narrow" w:cs="Tahoma"/>
                <w:i/>
                <w:iCs/>
                <w:sz w:val="20"/>
              </w:rPr>
              <w:t>)</w:t>
            </w:r>
          </w:p>
        </w:tc>
        <w:tc>
          <w:tcPr>
            <w:tcW w:w="1560" w:type="dxa"/>
            <w:vAlign w:val="center"/>
          </w:tcPr>
          <w:p w14:paraId="73351797"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c>
          <w:tcPr>
            <w:tcW w:w="1559" w:type="dxa"/>
            <w:vAlign w:val="center"/>
          </w:tcPr>
          <w:p w14:paraId="56D6E2BB"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c>
          <w:tcPr>
            <w:tcW w:w="2268" w:type="dxa"/>
            <w:vAlign w:val="center"/>
          </w:tcPr>
          <w:p w14:paraId="0CC51473"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r>
      <w:tr w:rsidR="00FB44D6" w:rsidRPr="003B08F2" w14:paraId="39E5C78A" w14:textId="77777777" w:rsidTr="0017291F">
        <w:trPr>
          <w:trHeight w:val="20"/>
        </w:trPr>
        <w:tc>
          <w:tcPr>
            <w:tcW w:w="2977" w:type="dxa"/>
          </w:tcPr>
          <w:p w14:paraId="5B891869" w14:textId="77777777" w:rsidR="00FB44D6" w:rsidRPr="00ED5F15" w:rsidRDefault="00FB44D6" w:rsidP="00FB44D6">
            <w:pPr>
              <w:keepNext/>
              <w:keepLines/>
              <w:spacing w:after="0"/>
              <w:ind w:left="22"/>
              <w:rPr>
                <w:rFonts w:ascii="Arial Narrow" w:hAnsi="Arial Narrow" w:cs="Tahoma"/>
                <w:i/>
                <w:iCs/>
                <w:sz w:val="20"/>
              </w:rPr>
            </w:pPr>
            <w:r w:rsidRPr="00ED5F15">
              <w:rPr>
                <w:rFonts w:ascii="Arial Narrow" w:hAnsi="Arial Narrow" w:cs="Tahoma"/>
                <w:i/>
                <w:iCs/>
                <w:sz w:val="20"/>
              </w:rPr>
              <w:t>Aortic valve reintervention</w:t>
            </w:r>
          </w:p>
        </w:tc>
        <w:tc>
          <w:tcPr>
            <w:tcW w:w="1701" w:type="dxa"/>
            <w:vAlign w:val="center"/>
          </w:tcPr>
          <w:p w14:paraId="357A54BA" w14:textId="30D91F39" w:rsidR="00FB44D6" w:rsidRPr="00BD4B48" w:rsidRDefault="00FB44D6">
            <w:pPr>
              <w:keepNext/>
              <w:keepLines/>
              <w:spacing w:after="0"/>
              <w:ind w:left="22"/>
              <w:jc w:val="center"/>
              <w:rPr>
                <w:rFonts w:ascii="Arial Narrow" w:hAnsi="Arial Narrow" w:cs="Tahoma"/>
                <w:i/>
                <w:iCs/>
                <w:sz w:val="20"/>
              </w:rPr>
            </w:pPr>
            <w:r w:rsidRPr="00BD4B48">
              <w:rPr>
                <w:rFonts w:ascii="Arial Narrow" w:hAnsi="Arial Narrow" w:cs="Tahoma"/>
                <w:i/>
                <w:iCs/>
                <w:sz w:val="20"/>
              </w:rPr>
              <w:t>4/</w:t>
            </w:r>
            <w:r w:rsidR="00E956EF" w:rsidRPr="00BD4B48">
              <w:rPr>
                <w:rFonts w:ascii="Arial Narrow" w:hAnsi="Arial Narrow" w:cs="Tahoma"/>
                <w:i/>
                <w:iCs/>
                <w:sz w:val="20"/>
              </w:rPr>
              <w:t>49</w:t>
            </w:r>
            <w:r w:rsidR="00E956EF">
              <w:rPr>
                <w:rFonts w:ascii="Arial Narrow" w:hAnsi="Arial Narrow" w:cs="Tahoma"/>
                <w:i/>
                <w:iCs/>
                <w:sz w:val="20"/>
              </w:rPr>
              <w:t>6</w:t>
            </w:r>
            <w:r w:rsidR="00E956EF" w:rsidRPr="00BD4B48">
              <w:rPr>
                <w:rFonts w:ascii="Arial Narrow" w:hAnsi="Arial Narrow" w:cs="Tahoma"/>
                <w:i/>
                <w:iCs/>
                <w:sz w:val="20"/>
              </w:rPr>
              <w:t xml:space="preserve"> </w:t>
            </w:r>
            <w:r w:rsidRPr="00BD4B48">
              <w:rPr>
                <w:rFonts w:ascii="Arial Narrow" w:hAnsi="Arial Narrow" w:cs="Tahoma"/>
                <w:i/>
                <w:iCs/>
                <w:sz w:val="20"/>
              </w:rPr>
              <w:t>(0.8%)</w:t>
            </w:r>
          </w:p>
        </w:tc>
        <w:tc>
          <w:tcPr>
            <w:tcW w:w="1559" w:type="dxa"/>
            <w:vAlign w:val="center"/>
          </w:tcPr>
          <w:p w14:paraId="31114295" w14:textId="77777777" w:rsidR="00FB44D6" w:rsidRPr="00BD4B48" w:rsidRDefault="00FB44D6" w:rsidP="00FB44D6">
            <w:pPr>
              <w:keepNext/>
              <w:keepLines/>
              <w:spacing w:after="0"/>
              <w:ind w:left="22"/>
              <w:jc w:val="center"/>
              <w:rPr>
                <w:rFonts w:ascii="Arial Narrow" w:hAnsi="Arial Narrow" w:cs="Tahoma"/>
                <w:i/>
                <w:iCs/>
                <w:sz w:val="20"/>
              </w:rPr>
            </w:pPr>
            <w:r w:rsidRPr="00BD4B48">
              <w:rPr>
                <w:rFonts w:ascii="Arial Narrow" w:hAnsi="Arial Narrow" w:cs="Tahoma"/>
                <w:i/>
                <w:iCs/>
                <w:sz w:val="20"/>
              </w:rPr>
              <w:t>4/454 (0.9%)</w:t>
            </w:r>
          </w:p>
        </w:tc>
        <w:tc>
          <w:tcPr>
            <w:tcW w:w="2268" w:type="dxa"/>
            <w:vAlign w:val="center"/>
          </w:tcPr>
          <w:p w14:paraId="7E340DE4" w14:textId="44464752" w:rsidR="00FB44D6" w:rsidRPr="00BD4B48" w:rsidRDefault="00FB44D6">
            <w:pPr>
              <w:keepNext/>
              <w:keepLines/>
              <w:spacing w:after="0"/>
              <w:ind w:left="22"/>
              <w:jc w:val="center"/>
              <w:rPr>
                <w:rFonts w:ascii="Arial Narrow" w:hAnsi="Arial Narrow" w:cs="Tahoma"/>
                <w:b/>
                <w:bCs/>
                <w:i/>
                <w:iCs/>
                <w:sz w:val="20"/>
              </w:rPr>
            </w:pPr>
            <w:r w:rsidRPr="00BD4B48">
              <w:rPr>
                <w:rFonts w:ascii="Arial Narrow" w:hAnsi="Arial Narrow" w:cs="Tahoma"/>
                <w:i/>
                <w:iCs/>
                <w:sz w:val="20"/>
              </w:rPr>
              <w:t>0.</w:t>
            </w:r>
            <w:r w:rsidR="008863B2" w:rsidRPr="00BD4B48">
              <w:rPr>
                <w:rFonts w:ascii="Arial Narrow" w:hAnsi="Arial Narrow" w:cs="Tahoma"/>
                <w:i/>
                <w:iCs/>
                <w:sz w:val="20"/>
              </w:rPr>
              <w:t>9</w:t>
            </w:r>
            <w:r w:rsidR="008863B2">
              <w:rPr>
                <w:rFonts w:ascii="Arial Narrow" w:hAnsi="Arial Narrow" w:cs="Tahoma"/>
                <w:i/>
                <w:iCs/>
                <w:sz w:val="20"/>
              </w:rPr>
              <w:t>2</w:t>
            </w:r>
            <w:r w:rsidR="008863B2" w:rsidRPr="00BD4B48">
              <w:rPr>
                <w:rFonts w:ascii="Arial Narrow" w:hAnsi="Arial Narrow" w:cs="Tahoma"/>
                <w:i/>
                <w:iCs/>
                <w:sz w:val="20"/>
              </w:rPr>
              <w:t xml:space="preserve"> </w:t>
            </w:r>
            <w:r w:rsidRPr="00BD4B48">
              <w:rPr>
                <w:rFonts w:ascii="Arial Narrow" w:hAnsi="Arial Narrow" w:cs="Tahoma"/>
                <w:i/>
                <w:iCs/>
                <w:sz w:val="20"/>
              </w:rPr>
              <w:t>(0.23, 3.</w:t>
            </w:r>
            <w:r w:rsidR="008863B2" w:rsidRPr="00BD4B48">
              <w:rPr>
                <w:rFonts w:ascii="Arial Narrow" w:hAnsi="Arial Narrow" w:cs="Tahoma"/>
                <w:i/>
                <w:iCs/>
                <w:sz w:val="20"/>
              </w:rPr>
              <w:t>6</w:t>
            </w:r>
            <w:r w:rsidR="008863B2">
              <w:rPr>
                <w:rFonts w:ascii="Arial Narrow" w:hAnsi="Arial Narrow" w:cs="Tahoma"/>
                <w:i/>
                <w:iCs/>
                <w:sz w:val="20"/>
              </w:rPr>
              <w:t>4</w:t>
            </w:r>
            <w:r w:rsidRPr="00BD4B48">
              <w:rPr>
                <w:rFonts w:ascii="Arial Narrow" w:hAnsi="Arial Narrow" w:cs="Tahoma"/>
                <w:i/>
                <w:iCs/>
                <w:sz w:val="20"/>
              </w:rPr>
              <w:t>)</w:t>
            </w:r>
          </w:p>
        </w:tc>
        <w:tc>
          <w:tcPr>
            <w:tcW w:w="1560" w:type="dxa"/>
            <w:vAlign w:val="center"/>
          </w:tcPr>
          <w:p w14:paraId="2E05D3C6"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c>
          <w:tcPr>
            <w:tcW w:w="1559" w:type="dxa"/>
            <w:vAlign w:val="center"/>
          </w:tcPr>
          <w:p w14:paraId="309A14CB"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c>
          <w:tcPr>
            <w:tcW w:w="2268" w:type="dxa"/>
            <w:vAlign w:val="center"/>
          </w:tcPr>
          <w:p w14:paraId="221C7CA0"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NR</w:t>
            </w:r>
          </w:p>
        </w:tc>
      </w:tr>
      <w:tr w:rsidR="00FB44D6" w:rsidRPr="003B08F2" w14:paraId="42C2CED0" w14:textId="77777777" w:rsidTr="0017291F">
        <w:trPr>
          <w:trHeight w:val="20"/>
        </w:trPr>
        <w:tc>
          <w:tcPr>
            <w:tcW w:w="2977" w:type="dxa"/>
            <w:tcBorders>
              <w:bottom w:val="nil"/>
            </w:tcBorders>
            <w:vAlign w:val="center"/>
          </w:tcPr>
          <w:p w14:paraId="3F24C290" w14:textId="098DC454" w:rsidR="00FB44D6" w:rsidRPr="00ED5F15" w:rsidRDefault="00FB44D6" w:rsidP="00B31CC9">
            <w:pPr>
              <w:keepNext/>
              <w:keepLines/>
              <w:spacing w:after="0"/>
              <w:ind w:left="23"/>
              <w:rPr>
                <w:rFonts w:ascii="Arial Narrow" w:hAnsi="Arial Narrow" w:cs="Calibri"/>
                <w:i/>
                <w:iCs/>
                <w:sz w:val="20"/>
              </w:rPr>
            </w:pPr>
            <w:r w:rsidRPr="00ED5F15">
              <w:rPr>
                <w:rFonts w:ascii="Arial Narrow" w:hAnsi="Arial Narrow" w:cs="Tahoma"/>
                <w:i/>
                <w:iCs/>
                <w:sz w:val="20"/>
              </w:rPr>
              <w:t xml:space="preserve">Paravalvular regurgitation </w:t>
            </w:r>
          </w:p>
        </w:tc>
        <w:tc>
          <w:tcPr>
            <w:tcW w:w="1701" w:type="dxa"/>
            <w:tcBorders>
              <w:bottom w:val="nil"/>
            </w:tcBorders>
          </w:tcPr>
          <w:p w14:paraId="0048E875" w14:textId="77777777" w:rsidR="00FB44D6" w:rsidRPr="003B08F2" w:rsidRDefault="00FB44D6" w:rsidP="003915B9">
            <w:pPr>
              <w:keepNext/>
              <w:keepLines/>
              <w:spacing w:after="0"/>
              <w:ind w:left="23"/>
              <w:jc w:val="center"/>
              <w:rPr>
                <w:rFonts w:ascii="Arial Narrow" w:hAnsi="Arial Narrow" w:cs="Tahoma"/>
                <w:i/>
                <w:iCs/>
                <w:sz w:val="20"/>
                <w:highlight w:val="yellow"/>
              </w:rPr>
            </w:pPr>
          </w:p>
        </w:tc>
        <w:tc>
          <w:tcPr>
            <w:tcW w:w="1559" w:type="dxa"/>
            <w:tcBorders>
              <w:bottom w:val="nil"/>
            </w:tcBorders>
          </w:tcPr>
          <w:p w14:paraId="080A7154" w14:textId="77777777" w:rsidR="00FB44D6" w:rsidRPr="003B08F2" w:rsidRDefault="00FB44D6" w:rsidP="003915B9">
            <w:pPr>
              <w:keepNext/>
              <w:keepLines/>
              <w:spacing w:after="0"/>
              <w:ind w:left="23"/>
              <w:jc w:val="center"/>
              <w:rPr>
                <w:rFonts w:ascii="Arial Narrow" w:hAnsi="Arial Narrow" w:cs="Tahoma"/>
                <w:i/>
                <w:iCs/>
                <w:sz w:val="20"/>
                <w:highlight w:val="yellow"/>
              </w:rPr>
            </w:pPr>
          </w:p>
        </w:tc>
        <w:tc>
          <w:tcPr>
            <w:tcW w:w="2268" w:type="dxa"/>
            <w:tcBorders>
              <w:bottom w:val="nil"/>
            </w:tcBorders>
            <w:vAlign w:val="center"/>
          </w:tcPr>
          <w:p w14:paraId="13AA4610" w14:textId="77777777" w:rsidR="00FB44D6" w:rsidRPr="003B08F2" w:rsidRDefault="00FB44D6" w:rsidP="003915B9">
            <w:pPr>
              <w:keepNext/>
              <w:keepLines/>
              <w:spacing w:after="0"/>
              <w:ind w:left="23"/>
              <w:jc w:val="center"/>
              <w:rPr>
                <w:rFonts w:ascii="Arial Narrow" w:hAnsi="Arial Narrow" w:cs="Tahoma"/>
                <w:b/>
                <w:bCs/>
                <w:i/>
                <w:iCs/>
                <w:sz w:val="20"/>
                <w:highlight w:val="yellow"/>
              </w:rPr>
            </w:pPr>
          </w:p>
        </w:tc>
        <w:tc>
          <w:tcPr>
            <w:tcW w:w="1560" w:type="dxa"/>
            <w:tcBorders>
              <w:bottom w:val="nil"/>
            </w:tcBorders>
          </w:tcPr>
          <w:p w14:paraId="064E8B8E" w14:textId="77777777" w:rsidR="00FB44D6" w:rsidRPr="003E54D3" w:rsidRDefault="00FB44D6" w:rsidP="003915B9">
            <w:pPr>
              <w:keepNext/>
              <w:keepLines/>
              <w:spacing w:after="0"/>
              <w:ind w:left="23"/>
              <w:jc w:val="center"/>
              <w:rPr>
                <w:rFonts w:ascii="Arial Narrow" w:hAnsi="Arial Narrow" w:cs="Tahoma"/>
                <w:i/>
                <w:iCs/>
                <w:sz w:val="20"/>
              </w:rPr>
            </w:pPr>
          </w:p>
        </w:tc>
        <w:tc>
          <w:tcPr>
            <w:tcW w:w="1559" w:type="dxa"/>
            <w:tcBorders>
              <w:bottom w:val="nil"/>
            </w:tcBorders>
          </w:tcPr>
          <w:p w14:paraId="0E4C7036" w14:textId="77777777" w:rsidR="00FB44D6" w:rsidRPr="003E54D3" w:rsidRDefault="00FB44D6" w:rsidP="003915B9">
            <w:pPr>
              <w:keepNext/>
              <w:keepLines/>
              <w:spacing w:after="0"/>
              <w:ind w:left="23"/>
              <w:jc w:val="center"/>
              <w:rPr>
                <w:rFonts w:ascii="Arial Narrow" w:hAnsi="Arial Narrow" w:cs="Tahoma"/>
                <w:i/>
                <w:iCs/>
                <w:sz w:val="20"/>
              </w:rPr>
            </w:pPr>
          </w:p>
        </w:tc>
        <w:tc>
          <w:tcPr>
            <w:tcW w:w="2268" w:type="dxa"/>
            <w:tcBorders>
              <w:bottom w:val="nil"/>
            </w:tcBorders>
          </w:tcPr>
          <w:p w14:paraId="25798A7E" w14:textId="77777777" w:rsidR="00FB44D6" w:rsidRPr="003E54D3" w:rsidRDefault="00FB44D6" w:rsidP="003915B9">
            <w:pPr>
              <w:keepNext/>
              <w:keepLines/>
              <w:spacing w:after="0"/>
              <w:ind w:left="23"/>
              <w:jc w:val="center"/>
              <w:rPr>
                <w:rFonts w:ascii="Arial Narrow" w:hAnsi="Arial Narrow" w:cs="Tahoma"/>
                <w:i/>
                <w:iCs/>
                <w:sz w:val="20"/>
              </w:rPr>
            </w:pPr>
          </w:p>
        </w:tc>
      </w:tr>
      <w:tr w:rsidR="00FB44D6" w:rsidRPr="003B08F2" w14:paraId="5CA98A89" w14:textId="77777777" w:rsidTr="0017291F">
        <w:trPr>
          <w:trHeight w:val="20"/>
        </w:trPr>
        <w:tc>
          <w:tcPr>
            <w:tcW w:w="2977" w:type="dxa"/>
            <w:tcBorders>
              <w:top w:val="nil"/>
              <w:bottom w:val="nil"/>
            </w:tcBorders>
            <w:vAlign w:val="center"/>
          </w:tcPr>
          <w:p w14:paraId="4684EB40" w14:textId="77777777" w:rsidR="00FB44D6" w:rsidRPr="00ED5F15" w:rsidRDefault="00FB44D6" w:rsidP="003915B9">
            <w:pPr>
              <w:keepNext/>
              <w:keepLines/>
              <w:tabs>
                <w:tab w:val="left" w:pos="720"/>
              </w:tabs>
              <w:spacing w:after="0"/>
              <w:ind w:left="23" w:firstLine="167"/>
              <w:rPr>
                <w:rFonts w:ascii="Arial Narrow" w:hAnsi="Arial Narrow" w:cs="Tahoma"/>
                <w:i/>
                <w:iCs/>
                <w:sz w:val="20"/>
              </w:rPr>
            </w:pPr>
            <w:r w:rsidRPr="00ED5F15">
              <w:rPr>
                <w:rFonts w:ascii="Arial Narrow" w:hAnsi="Arial Narrow" w:cs="Tahoma"/>
                <w:i/>
                <w:iCs/>
                <w:sz w:val="20"/>
              </w:rPr>
              <w:t>None-trace</w:t>
            </w:r>
          </w:p>
        </w:tc>
        <w:tc>
          <w:tcPr>
            <w:tcW w:w="1701" w:type="dxa"/>
            <w:tcBorders>
              <w:top w:val="nil"/>
              <w:bottom w:val="nil"/>
            </w:tcBorders>
          </w:tcPr>
          <w:p w14:paraId="7441C4C6" w14:textId="77777777" w:rsidR="00FB44D6" w:rsidRPr="003B08F2" w:rsidRDefault="00FB44D6" w:rsidP="003915B9">
            <w:pPr>
              <w:keepNext/>
              <w:keepLines/>
              <w:spacing w:after="0"/>
              <w:ind w:left="23"/>
              <w:jc w:val="center"/>
              <w:rPr>
                <w:rFonts w:ascii="Arial Narrow" w:hAnsi="Arial Narrow" w:cs="Tahoma"/>
                <w:i/>
                <w:iCs/>
                <w:sz w:val="20"/>
                <w:highlight w:val="yellow"/>
              </w:rPr>
            </w:pPr>
            <w:r w:rsidRPr="003E54D3">
              <w:rPr>
                <w:rFonts w:ascii="Arial Narrow" w:hAnsi="Arial Narrow"/>
                <w:i/>
                <w:sz w:val="20"/>
              </w:rPr>
              <w:t>73.5%</w:t>
            </w:r>
          </w:p>
        </w:tc>
        <w:tc>
          <w:tcPr>
            <w:tcW w:w="1559" w:type="dxa"/>
            <w:tcBorders>
              <w:top w:val="nil"/>
              <w:bottom w:val="nil"/>
            </w:tcBorders>
          </w:tcPr>
          <w:p w14:paraId="1A26C78F" w14:textId="77777777" w:rsidR="00FB44D6" w:rsidRPr="003B08F2" w:rsidRDefault="00FB44D6" w:rsidP="003915B9">
            <w:pPr>
              <w:keepNext/>
              <w:keepLines/>
              <w:spacing w:after="0"/>
              <w:ind w:left="23"/>
              <w:jc w:val="center"/>
              <w:rPr>
                <w:rFonts w:ascii="Arial Narrow" w:hAnsi="Arial Narrow" w:cs="Tahoma"/>
                <w:i/>
                <w:iCs/>
                <w:sz w:val="20"/>
                <w:highlight w:val="yellow"/>
              </w:rPr>
            </w:pPr>
            <w:r w:rsidRPr="003E54D3">
              <w:rPr>
                <w:rFonts w:ascii="Arial Narrow" w:hAnsi="Arial Narrow"/>
                <w:i/>
                <w:sz w:val="20"/>
              </w:rPr>
              <w:t>97.7%</w:t>
            </w:r>
          </w:p>
        </w:tc>
        <w:tc>
          <w:tcPr>
            <w:tcW w:w="2268" w:type="dxa"/>
            <w:tcBorders>
              <w:top w:val="nil"/>
              <w:bottom w:val="nil"/>
            </w:tcBorders>
          </w:tcPr>
          <w:p w14:paraId="5CC27484" w14:textId="77777777" w:rsidR="00FB44D6" w:rsidRPr="003B08F2" w:rsidRDefault="00FB44D6" w:rsidP="003915B9">
            <w:pPr>
              <w:keepNext/>
              <w:keepLines/>
              <w:spacing w:after="0"/>
              <w:ind w:left="23"/>
              <w:jc w:val="center"/>
              <w:rPr>
                <w:rFonts w:ascii="Arial Narrow" w:hAnsi="Arial Narrow" w:cs="Tahoma"/>
                <w:b/>
                <w:bCs/>
                <w:i/>
                <w:iCs/>
                <w:sz w:val="20"/>
                <w:highlight w:val="yellow"/>
              </w:rPr>
            </w:pPr>
          </w:p>
        </w:tc>
        <w:tc>
          <w:tcPr>
            <w:tcW w:w="1560" w:type="dxa"/>
            <w:tcBorders>
              <w:top w:val="nil"/>
              <w:bottom w:val="nil"/>
            </w:tcBorders>
          </w:tcPr>
          <w:p w14:paraId="2AFCD54E" w14:textId="77777777" w:rsidR="00FB44D6" w:rsidRPr="003E54D3" w:rsidRDefault="00FB44D6" w:rsidP="003915B9">
            <w:pPr>
              <w:keepNext/>
              <w:keepLines/>
              <w:spacing w:after="0"/>
              <w:ind w:left="23"/>
              <w:jc w:val="center"/>
              <w:rPr>
                <w:rFonts w:ascii="Arial Narrow" w:hAnsi="Arial Narrow" w:cs="Tahoma"/>
                <w:i/>
                <w:iCs/>
                <w:sz w:val="20"/>
              </w:rPr>
            </w:pPr>
          </w:p>
        </w:tc>
        <w:tc>
          <w:tcPr>
            <w:tcW w:w="1559" w:type="dxa"/>
            <w:tcBorders>
              <w:top w:val="nil"/>
              <w:bottom w:val="nil"/>
            </w:tcBorders>
          </w:tcPr>
          <w:p w14:paraId="408FD3A6" w14:textId="77777777" w:rsidR="00FB44D6" w:rsidRPr="003E54D3" w:rsidRDefault="00FB44D6" w:rsidP="003915B9">
            <w:pPr>
              <w:keepNext/>
              <w:keepLines/>
              <w:spacing w:after="0"/>
              <w:ind w:left="23"/>
              <w:jc w:val="center"/>
              <w:rPr>
                <w:rFonts w:ascii="Arial Narrow" w:hAnsi="Arial Narrow" w:cs="Tahoma"/>
                <w:i/>
                <w:iCs/>
                <w:sz w:val="20"/>
              </w:rPr>
            </w:pPr>
          </w:p>
        </w:tc>
        <w:tc>
          <w:tcPr>
            <w:tcW w:w="2268" w:type="dxa"/>
            <w:tcBorders>
              <w:top w:val="nil"/>
              <w:bottom w:val="nil"/>
            </w:tcBorders>
          </w:tcPr>
          <w:p w14:paraId="68B757A0" w14:textId="77777777" w:rsidR="00FB44D6" w:rsidRPr="003E54D3" w:rsidRDefault="00FB44D6" w:rsidP="003915B9">
            <w:pPr>
              <w:keepNext/>
              <w:keepLines/>
              <w:spacing w:after="0"/>
              <w:ind w:left="23"/>
              <w:jc w:val="center"/>
              <w:rPr>
                <w:rFonts w:ascii="Arial Narrow" w:hAnsi="Arial Narrow" w:cs="Tahoma"/>
                <w:i/>
                <w:iCs/>
                <w:sz w:val="20"/>
              </w:rPr>
            </w:pPr>
          </w:p>
        </w:tc>
      </w:tr>
      <w:tr w:rsidR="00FB44D6" w:rsidRPr="003B08F2" w14:paraId="634FF829" w14:textId="77777777" w:rsidTr="0017291F">
        <w:trPr>
          <w:trHeight w:val="220"/>
        </w:trPr>
        <w:tc>
          <w:tcPr>
            <w:tcW w:w="2977" w:type="dxa"/>
            <w:tcBorders>
              <w:top w:val="nil"/>
              <w:bottom w:val="nil"/>
            </w:tcBorders>
          </w:tcPr>
          <w:p w14:paraId="6F349BCF" w14:textId="77777777" w:rsidR="00FB44D6" w:rsidRPr="00ED5F15" w:rsidRDefault="00FB44D6" w:rsidP="003915B9">
            <w:pPr>
              <w:keepNext/>
              <w:keepLines/>
              <w:spacing w:after="0"/>
              <w:ind w:left="23" w:firstLine="164"/>
              <w:rPr>
                <w:rFonts w:ascii="Arial Narrow" w:hAnsi="Arial Narrow" w:cs="Calibri"/>
                <w:i/>
                <w:iCs/>
                <w:sz w:val="20"/>
              </w:rPr>
            </w:pPr>
            <w:r w:rsidRPr="00ED5F15">
              <w:rPr>
                <w:rFonts w:ascii="Arial Narrow" w:hAnsi="Arial Narrow" w:cs="Calibri"/>
                <w:i/>
                <w:iCs/>
                <w:sz w:val="20"/>
              </w:rPr>
              <w:t>Mild</w:t>
            </w:r>
          </w:p>
        </w:tc>
        <w:tc>
          <w:tcPr>
            <w:tcW w:w="1701" w:type="dxa"/>
            <w:tcBorders>
              <w:top w:val="nil"/>
              <w:bottom w:val="nil"/>
            </w:tcBorders>
          </w:tcPr>
          <w:p w14:paraId="504A3F92" w14:textId="77777777" w:rsidR="00FB44D6" w:rsidRPr="003E54D3" w:rsidRDefault="00FB44D6" w:rsidP="003915B9">
            <w:pPr>
              <w:keepNext/>
              <w:keepLines/>
              <w:spacing w:after="0"/>
              <w:ind w:left="23"/>
              <w:jc w:val="center"/>
              <w:rPr>
                <w:rFonts w:ascii="Arial Narrow" w:hAnsi="Arial Narrow" w:cs="Tahoma"/>
                <w:i/>
                <w:iCs/>
                <w:sz w:val="20"/>
              </w:rPr>
            </w:pPr>
            <w:r w:rsidRPr="003E54D3">
              <w:rPr>
                <w:rFonts w:ascii="Arial Narrow" w:hAnsi="Arial Narrow"/>
                <w:i/>
                <w:sz w:val="20"/>
              </w:rPr>
              <w:t>26.0%</w:t>
            </w:r>
          </w:p>
        </w:tc>
        <w:tc>
          <w:tcPr>
            <w:tcW w:w="1559" w:type="dxa"/>
            <w:tcBorders>
              <w:top w:val="nil"/>
              <w:bottom w:val="nil"/>
            </w:tcBorders>
          </w:tcPr>
          <w:p w14:paraId="4B75A91E" w14:textId="77777777" w:rsidR="00FB44D6" w:rsidRPr="003E54D3" w:rsidRDefault="00FB44D6" w:rsidP="003915B9">
            <w:pPr>
              <w:keepNext/>
              <w:keepLines/>
              <w:spacing w:after="0"/>
              <w:ind w:left="23"/>
              <w:jc w:val="center"/>
              <w:rPr>
                <w:rFonts w:ascii="Arial Narrow" w:hAnsi="Arial Narrow" w:cs="Tahoma"/>
                <w:i/>
                <w:iCs/>
                <w:sz w:val="20"/>
              </w:rPr>
            </w:pPr>
            <w:r w:rsidRPr="003E54D3">
              <w:rPr>
                <w:rFonts w:ascii="Arial Narrow" w:hAnsi="Arial Narrow"/>
                <w:i/>
                <w:sz w:val="20"/>
              </w:rPr>
              <w:t>2.3%</w:t>
            </w:r>
          </w:p>
        </w:tc>
        <w:tc>
          <w:tcPr>
            <w:tcW w:w="2268" w:type="dxa"/>
            <w:tcBorders>
              <w:top w:val="nil"/>
              <w:bottom w:val="nil"/>
            </w:tcBorders>
          </w:tcPr>
          <w:p w14:paraId="7BE5BF02" w14:textId="77777777" w:rsidR="00FB44D6" w:rsidRPr="003B08F2" w:rsidRDefault="00FB44D6" w:rsidP="003915B9">
            <w:pPr>
              <w:keepNext/>
              <w:keepLines/>
              <w:spacing w:after="0"/>
              <w:ind w:left="23"/>
              <w:jc w:val="center"/>
              <w:rPr>
                <w:rFonts w:ascii="Arial Narrow" w:hAnsi="Arial Narrow" w:cs="Tahoma"/>
                <w:bCs/>
                <w:i/>
                <w:iCs/>
                <w:sz w:val="20"/>
                <w:highlight w:val="yellow"/>
              </w:rPr>
            </w:pPr>
            <w:r w:rsidRPr="003E54D3">
              <w:rPr>
                <w:rFonts w:ascii="Arial Narrow" w:hAnsi="Arial Narrow" w:cs="Tahoma"/>
                <w:bCs/>
                <w:i/>
                <w:iCs/>
                <w:sz w:val="20"/>
              </w:rPr>
              <w:t>NR</w:t>
            </w:r>
          </w:p>
        </w:tc>
        <w:tc>
          <w:tcPr>
            <w:tcW w:w="1560" w:type="dxa"/>
            <w:tcBorders>
              <w:top w:val="nil"/>
              <w:bottom w:val="nil"/>
            </w:tcBorders>
          </w:tcPr>
          <w:p w14:paraId="37DDAB22" w14:textId="77777777" w:rsidR="00FB44D6" w:rsidRPr="003E54D3" w:rsidRDefault="00FB44D6" w:rsidP="003915B9">
            <w:pPr>
              <w:keepNext/>
              <w:keepLines/>
              <w:spacing w:after="0"/>
              <w:ind w:left="23"/>
              <w:jc w:val="center"/>
              <w:rPr>
                <w:rFonts w:ascii="Arial Narrow" w:hAnsi="Arial Narrow" w:cs="Tahoma"/>
                <w:i/>
                <w:iCs/>
                <w:sz w:val="20"/>
              </w:rPr>
            </w:pPr>
            <w:r w:rsidRPr="003E54D3">
              <w:rPr>
                <w:rFonts w:ascii="Arial Narrow" w:hAnsi="Arial Narrow" w:cs="Tahoma"/>
                <w:i/>
                <w:iCs/>
                <w:sz w:val="20"/>
              </w:rPr>
              <w:t>NR</w:t>
            </w:r>
          </w:p>
        </w:tc>
        <w:tc>
          <w:tcPr>
            <w:tcW w:w="1559" w:type="dxa"/>
            <w:tcBorders>
              <w:top w:val="nil"/>
              <w:bottom w:val="nil"/>
            </w:tcBorders>
          </w:tcPr>
          <w:p w14:paraId="4DFB177C" w14:textId="77777777" w:rsidR="00FB44D6" w:rsidRPr="003E54D3" w:rsidRDefault="00FB44D6" w:rsidP="003915B9">
            <w:pPr>
              <w:keepNext/>
              <w:keepLines/>
              <w:spacing w:after="0"/>
              <w:ind w:left="23"/>
              <w:jc w:val="center"/>
              <w:rPr>
                <w:rFonts w:ascii="Arial Narrow" w:hAnsi="Arial Narrow" w:cs="Tahoma"/>
                <w:i/>
                <w:iCs/>
                <w:sz w:val="20"/>
              </w:rPr>
            </w:pPr>
            <w:r w:rsidRPr="003E54D3">
              <w:rPr>
                <w:rFonts w:ascii="Arial Narrow" w:hAnsi="Arial Narrow" w:cs="Tahoma"/>
                <w:i/>
                <w:iCs/>
                <w:sz w:val="20"/>
              </w:rPr>
              <w:t>NR</w:t>
            </w:r>
          </w:p>
        </w:tc>
        <w:tc>
          <w:tcPr>
            <w:tcW w:w="2268" w:type="dxa"/>
            <w:tcBorders>
              <w:top w:val="nil"/>
              <w:bottom w:val="nil"/>
            </w:tcBorders>
          </w:tcPr>
          <w:p w14:paraId="34C0CB9C" w14:textId="77777777" w:rsidR="00FB44D6" w:rsidRPr="003E54D3" w:rsidRDefault="00FB44D6" w:rsidP="003915B9">
            <w:pPr>
              <w:keepNext/>
              <w:keepLines/>
              <w:spacing w:after="0"/>
              <w:ind w:left="23"/>
              <w:jc w:val="center"/>
              <w:rPr>
                <w:rFonts w:ascii="Arial Narrow" w:hAnsi="Arial Narrow" w:cs="Tahoma"/>
                <w:i/>
                <w:iCs/>
                <w:sz w:val="20"/>
              </w:rPr>
            </w:pPr>
            <w:r w:rsidRPr="003E54D3">
              <w:rPr>
                <w:rFonts w:ascii="Arial Narrow" w:hAnsi="Arial Narrow" w:cs="Tahoma"/>
                <w:i/>
                <w:iCs/>
                <w:sz w:val="20"/>
              </w:rPr>
              <w:t>NR</w:t>
            </w:r>
          </w:p>
        </w:tc>
      </w:tr>
      <w:tr w:rsidR="00FB44D6" w:rsidRPr="003B08F2" w14:paraId="42E00F73" w14:textId="77777777" w:rsidTr="0017291F">
        <w:trPr>
          <w:trHeight w:val="196"/>
        </w:trPr>
        <w:tc>
          <w:tcPr>
            <w:tcW w:w="2977" w:type="dxa"/>
            <w:tcBorders>
              <w:top w:val="nil"/>
            </w:tcBorders>
          </w:tcPr>
          <w:p w14:paraId="0DF02A98" w14:textId="77777777" w:rsidR="00FB44D6" w:rsidRPr="00ED5F15" w:rsidRDefault="00FB44D6" w:rsidP="003915B9">
            <w:pPr>
              <w:keepNext/>
              <w:keepLines/>
              <w:spacing w:after="0"/>
              <w:ind w:left="23" w:firstLine="164"/>
              <w:rPr>
                <w:rFonts w:ascii="Arial Narrow" w:hAnsi="Arial Narrow" w:cs="Calibri"/>
                <w:i/>
                <w:iCs/>
                <w:sz w:val="20"/>
              </w:rPr>
            </w:pPr>
            <w:r w:rsidRPr="00ED5F15">
              <w:rPr>
                <w:rFonts w:ascii="Arial Narrow" w:hAnsi="Arial Narrow" w:cs="Calibri"/>
                <w:i/>
                <w:iCs/>
                <w:sz w:val="20"/>
              </w:rPr>
              <w:t>≥Moderate</w:t>
            </w:r>
          </w:p>
        </w:tc>
        <w:tc>
          <w:tcPr>
            <w:tcW w:w="1701" w:type="dxa"/>
            <w:tcBorders>
              <w:top w:val="nil"/>
            </w:tcBorders>
          </w:tcPr>
          <w:p w14:paraId="519EB9B2" w14:textId="77777777" w:rsidR="00FB44D6" w:rsidRPr="003E54D3" w:rsidRDefault="00FB44D6" w:rsidP="003915B9">
            <w:pPr>
              <w:keepNext/>
              <w:keepLines/>
              <w:spacing w:after="0"/>
              <w:ind w:left="23"/>
              <w:jc w:val="center"/>
              <w:rPr>
                <w:rFonts w:ascii="Arial Narrow" w:hAnsi="Arial Narrow" w:cs="Tahoma"/>
                <w:i/>
                <w:iCs/>
                <w:sz w:val="20"/>
              </w:rPr>
            </w:pPr>
            <w:r w:rsidRPr="003E54D3">
              <w:rPr>
                <w:rFonts w:ascii="Arial Narrow" w:hAnsi="Arial Narrow"/>
                <w:i/>
                <w:sz w:val="20"/>
              </w:rPr>
              <w:t>0.5%</w:t>
            </w:r>
          </w:p>
        </w:tc>
        <w:tc>
          <w:tcPr>
            <w:tcW w:w="1559" w:type="dxa"/>
            <w:tcBorders>
              <w:top w:val="nil"/>
            </w:tcBorders>
          </w:tcPr>
          <w:p w14:paraId="5146CF82" w14:textId="77777777" w:rsidR="00FB44D6" w:rsidRPr="003E54D3" w:rsidRDefault="00FB44D6" w:rsidP="003915B9">
            <w:pPr>
              <w:keepNext/>
              <w:keepLines/>
              <w:spacing w:after="0"/>
              <w:ind w:left="23"/>
              <w:jc w:val="center"/>
              <w:rPr>
                <w:rFonts w:ascii="Arial Narrow" w:hAnsi="Arial Narrow" w:cs="Tahoma"/>
                <w:i/>
                <w:iCs/>
                <w:sz w:val="20"/>
              </w:rPr>
            </w:pPr>
            <w:r w:rsidRPr="003E54D3">
              <w:rPr>
                <w:rFonts w:ascii="Arial Narrow" w:hAnsi="Arial Narrow"/>
                <w:i/>
                <w:sz w:val="20"/>
              </w:rPr>
              <w:t>0.0%</w:t>
            </w:r>
          </w:p>
        </w:tc>
        <w:tc>
          <w:tcPr>
            <w:tcW w:w="2268" w:type="dxa"/>
            <w:tcBorders>
              <w:top w:val="nil"/>
            </w:tcBorders>
          </w:tcPr>
          <w:p w14:paraId="24939302" w14:textId="77777777" w:rsidR="00FB44D6" w:rsidRPr="003B08F2" w:rsidRDefault="00FB44D6" w:rsidP="003915B9">
            <w:pPr>
              <w:keepNext/>
              <w:keepLines/>
              <w:spacing w:after="0"/>
              <w:ind w:left="23"/>
              <w:jc w:val="center"/>
              <w:rPr>
                <w:rFonts w:ascii="Arial Narrow" w:hAnsi="Arial Narrow" w:cs="Tahoma"/>
                <w:b/>
                <w:bCs/>
                <w:i/>
                <w:iCs/>
                <w:sz w:val="20"/>
                <w:highlight w:val="yellow"/>
              </w:rPr>
            </w:pPr>
          </w:p>
        </w:tc>
        <w:tc>
          <w:tcPr>
            <w:tcW w:w="1560" w:type="dxa"/>
            <w:tcBorders>
              <w:top w:val="nil"/>
            </w:tcBorders>
          </w:tcPr>
          <w:p w14:paraId="4C7B72F7" w14:textId="77777777" w:rsidR="00FB44D6" w:rsidRPr="003B08F2" w:rsidRDefault="00FB44D6" w:rsidP="003915B9">
            <w:pPr>
              <w:keepNext/>
              <w:keepLines/>
              <w:spacing w:after="0"/>
              <w:ind w:left="23"/>
              <w:jc w:val="center"/>
              <w:rPr>
                <w:rFonts w:ascii="Arial Narrow" w:hAnsi="Arial Narrow" w:cs="Tahoma"/>
                <w:i/>
                <w:iCs/>
                <w:sz w:val="20"/>
                <w:highlight w:val="yellow"/>
              </w:rPr>
            </w:pPr>
          </w:p>
        </w:tc>
        <w:tc>
          <w:tcPr>
            <w:tcW w:w="1559" w:type="dxa"/>
            <w:tcBorders>
              <w:top w:val="nil"/>
            </w:tcBorders>
          </w:tcPr>
          <w:p w14:paraId="36F65342" w14:textId="77777777" w:rsidR="00FB44D6" w:rsidRPr="003B08F2" w:rsidRDefault="00FB44D6" w:rsidP="003915B9">
            <w:pPr>
              <w:keepNext/>
              <w:keepLines/>
              <w:spacing w:after="0"/>
              <w:ind w:left="23"/>
              <w:jc w:val="center"/>
              <w:rPr>
                <w:rFonts w:ascii="Arial Narrow" w:hAnsi="Arial Narrow" w:cs="Tahoma"/>
                <w:i/>
                <w:iCs/>
                <w:sz w:val="20"/>
                <w:highlight w:val="yellow"/>
              </w:rPr>
            </w:pPr>
          </w:p>
        </w:tc>
        <w:tc>
          <w:tcPr>
            <w:tcW w:w="2268" w:type="dxa"/>
            <w:tcBorders>
              <w:top w:val="nil"/>
            </w:tcBorders>
          </w:tcPr>
          <w:p w14:paraId="22E4E98A" w14:textId="77777777" w:rsidR="00FB44D6" w:rsidRPr="003B08F2" w:rsidRDefault="00FB44D6" w:rsidP="003915B9">
            <w:pPr>
              <w:keepNext/>
              <w:keepLines/>
              <w:spacing w:after="0"/>
              <w:ind w:left="23"/>
              <w:jc w:val="center"/>
              <w:rPr>
                <w:rFonts w:ascii="Arial Narrow" w:hAnsi="Arial Narrow" w:cs="Tahoma"/>
                <w:i/>
                <w:iCs/>
                <w:sz w:val="20"/>
                <w:highlight w:val="yellow"/>
              </w:rPr>
            </w:pPr>
          </w:p>
        </w:tc>
      </w:tr>
      <w:tr w:rsidR="00FB44D6" w:rsidRPr="003B08F2" w14:paraId="0B73B876" w14:textId="77777777" w:rsidTr="00FB44D6">
        <w:trPr>
          <w:trHeight w:val="20"/>
        </w:trPr>
        <w:tc>
          <w:tcPr>
            <w:tcW w:w="13892" w:type="dxa"/>
            <w:gridSpan w:val="7"/>
            <w:vAlign w:val="center"/>
          </w:tcPr>
          <w:p w14:paraId="28BD9116" w14:textId="77777777" w:rsidR="00FB44D6" w:rsidRPr="00ED5F15" w:rsidRDefault="00FB44D6" w:rsidP="00FB44D6">
            <w:pPr>
              <w:keepNext/>
              <w:keepLines/>
              <w:spacing w:after="0"/>
              <w:ind w:left="0"/>
              <w:rPr>
                <w:rFonts w:ascii="Arial Narrow" w:hAnsi="Arial Narrow" w:cs="Tahoma"/>
                <w:i/>
                <w:iCs/>
                <w:sz w:val="20"/>
                <w:vertAlign w:val="superscript"/>
              </w:rPr>
            </w:pPr>
            <w:r w:rsidRPr="00ED5F15">
              <w:rPr>
                <w:rFonts w:ascii="Arial Narrow" w:hAnsi="Arial Narrow" w:cs="Tahoma"/>
                <w:b/>
                <w:bCs/>
                <w:i/>
                <w:iCs/>
                <w:sz w:val="20"/>
              </w:rPr>
              <w:t xml:space="preserve">Outcomes at 5-years follow-up </w:t>
            </w:r>
          </w:p>
        </w:tc>
      </w:tr>
      <w:tr w:rsidR="00FB44D6" w:rsidRPr="003B08F2" w14:paraId="3B7D5E87" w14:textId="77777777" w:rsidTr="0017291F">
        <w:trPr>
          <w:trHeight w:val="53"/>
        </w:trPr>
        <w:tc>
          <w:tcPr>
            <w:tcW w:w="2977" w:type="dxa"/>
            <w:vAlign w:val="center"/>
          </w:tcPr>
          <w:p w14:paraId="71783492" w14:textId="77777777" w:rsidR="00FB44D6" w:rsidRPr="00ED5F15" w:rsidRDefault="00FB44D6" w:rsidP="00FB44D6">
            <w:pPr>
              <w:spacing w:after="0"/>
              <w:ind w:left="22"/>
              <w:rPr>
                <w:rFonts w:ascii="Arial Narrow" w:hAnsi="Arial Narrow" w:cs="Tahoma"/>
                <w:i/>
                <w:iCs/>
                <w:sz w:val="20"/>
              </w:rPr>
            </w:pPr>
            <w:r w:rsidRPr="00ED5F15">
              <w:rPr>
                <w:rFonts w:ascii="Arial Narrow" w:hAnsi="Arial Narrow" w:cs="Tahoma"/>
                <w:i/>
                <w:iCs/>
                <w:sz w:val="20"/>
              </w:rPr>
              <w:t xml:space="preserve">All-cause mortality </w:t>
            </w:r>
          </w:p>
        </w:tc>
        <w:tc>
          <w:tcPr>
            <w:tcW w:w="1701" w:type="dxa"/>
            <w:vAlign w:val="center"/>
          </w:tcPr>
          <w:p w14:paraId="2B85BD9A" w14:textId="77777777" w:rsidR="00FB44D6" w:rsidRPr="00524471" w:rsidRDefault="00FB44D6" w:rsidP="00FB44D6">
            <w:pPr>
              <w:spacing w:after="0"/>
              <w:ind w:left="22"/>
              <w:jc w:val="center"/>
              <w:rPr>
                <w:rFonts w:ascii="Arial Narrow" w:hAnsi="Arial Narrow" w:cs="Tahoma"/>
                <w:i/>
                <w:iCs/>
                <w:sz w:val="20"/>
              </w:rPr>
            </w:pPr>
            <w:r w:rsidRPr="00524471">
              <w:rPr>
                <w:rFonts w:ascii="Arial Narrow" w:hAnsi="Arial Narrow" w:cs="Tahoma"/>
                <w:i/>
                <w:iCs/>
                <w:sz w:val="20"/>
              </w:rPr>
              <w:t>NR</w:t>
            </w:r>
          </w:p>
        </w:tc>
        <w:tc>
          <w:tcPr>
            <w:tcW w:w="1559" w:type="dxa"/>
            <w:vAlign w:val="center"/>
          </w:tcPr>
          <w:p w14:paraId="44C77A76" w14:textId="77777777" w:rsidR="00FB44D6" w:rsidRPr="00524471" w:rsidRDefault="00FB44D6" w:rsidP="00FB44D6">
            <w:pPr>
              <w:spacing w:after="0"/>
              <w:ind w:left="22"/>
              <w:jc w:val="center"/>
              <w:rPr>
                <w:rFonts w:ascii="Arial Narrow" w:hAnsi="Arial Narrow" w:cs="Tahoma"/>
                <w:i/>
                <w:iCs/>
                <w:sz w:val="20"/>
              </w:rPr>
            </w:pPr>
            <w:r w:rsidRPr="00524471">
              <w:rPr>
                <w:rFonts w:ascii="Arial Narrow" w:hAnsi="Arial Narrow" w:cs="Tahoma"/>
                <w:i/>
                <w:iCs/>
                <w:sz w:val="20"/>
              </w:rPr>
              <w:t>NR</w:t>
            </w:r>
          </w:p>
        </w:tc>
        <w:tc>
          <w:tcPr>
            <w:tcW w:w="2268" w:type="dxa"/>
            <w:vAlign w:val="center"/>
          </w:tcPr>
          <w:p w14:paraId="33B1DF94" w14:textId="77777777" w:rsidR="00FB44D6" w:rsidRPr="00524471" w:rsidRDefault="00FB44D6" w:rsidP="00FB44D6">
            <w:pPr>
              <w:keepNext/>
              <w:keepLines/>
              <w:spacing w:after="0"/>
              <w:ind w:left="22"/>
              <w:jc w:val="center"/>
              <w:rPr>
                <w:rFonts w:ascii="Arial Narrow" w:hAnsi="Arial Narrow" w:cs="Tahoma"/>
                <w:i/>
                <w:iCs/>
                <w:sz w:val="20"/>
              </w:rPr>
            </w:pPr>
            <w:r w:rsidRPr="00524471">
              <w:rPr>
                <w:rFonts w:ascii="Arial Narrow" w:hAnsi="Arial Narrow" w:cs="Tahoma"/>
                <w:i/>
                <w:iCs/>
                <w:sz w:val="20"/>
              </w:rPr>
              <w:t>NR</w:t>
            </w:r>
          </w:p>
        </w:tc>
        <w:tc>
          <w:tcPr>
            <w:tcW w:w="1560" w:type="dxa"/>
            <w:vAlign w:val="center"/>
          </w:tcPr>
          <w:p w14:paraId="49DAFB05"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39.1%</w:t>
            </w:r>
          </w:p>
        </w:tc>
        <w:tc>
          <w:tcPr>
            <w:tcW w:w="1559" w:type="dxa"/>
            <w:vAlign w:val="center"/>
          </w:tcPr>
          <w:p w14:paraId="70DCC8E1"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41.3%</w:t>
            </w:r>
          </w:p>
        </w:tc>
        <w:tc>
          <w:tcPr>
            <w:tcW w:w="2268" w:type="dxa"/>
            <w:vAlign w:val="center"/>
          </w:tcPr>
          <w:p w14:paraId="61134650"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0.90 (0.76, 1.06)</w:t>
            </w:r>
          </w:p>
        </w:tc>
      </w:tr>
      <w:tr w:rsidR="00FB44D6" w:rsidRPr="003B08F2" w14:paraId="03600090" w14:textId="77777777" w:rsidTr="0017291F">
        <w:trPr>
          <w:trHeight w:val="20"/>
        </w:trPr>
        <w:tc>
          <w:tcPr>
            <w:tcW w:w="2977" w:type="dxa"/>
            <w:vAlign w:val="center"/>
          </w:tcPr>
          <w:p w14:paraId="53A0375C" w14:textId="77777777" w:rsidR="00FB44D6" w:rsidRPr="00ED5F15" w:rsidRDefault="00FB44D6" w:rsidP="00FB44D6">
            <w:pPr>
              <w:spacing w:after="0"/>
              <w:ind w:left="22"/>
              <w:rPr>
                <w:rFonts w:ascii="Arial Narrow" w:hAnsi="Arial Narrow" w:cs="Tahoma"/>
                <w:i/>
                <w:iCs/>
                <w:sz w:val="20"/>
              </w:rPr>
            </w:pPr>
            <w:r w:rsidRPr="00ED5F15">
              <w:rPr>
                <w:rFonts w:ascii="Arial Narrow" w:hAnsi="Arial Narrow" w:cs="Tahoma"/>
                <w:i/>
                <w:iCs/>
                <w:sz w:val="20"/>
              </w:rPr>
              <w:t>Any stroke</w:t>
            </w:r>
          </w:p>
        </w:tc>
        <w:tc>
          <w:tcPr>
            <w:tcW w:w="1701" w:type="dxa"/>
            <w:vAlign w:val="center"/>
          </w:tcPr>
          <w:p w14:paraId="4478A7DA" w14:textId="77777777" w:rsidR="00FB44D6" w:rsidRPr="00524471" w:rsidRDefault="00FB44D6" w:rsidP="00FB44D6">
            <w:pPr>
              <w:spacing w:after="0"/>
              <w:ind w:left="22"/>
              <w:jc w:val="center"/>
              <w:rPr>
                <w:rFonts w:ascii="Arial Narrow" w:hAnsi="Arial Narrow" w:cs="Tahoma"/>
                <w:i/>
                <w:iCs/>
                <w:sz w:val="20"/>
              </w:rPr>
            </w:pPr>
            <w:r w:rsidRPr="00524471">
              <w:rPr>
                <w:rFonts w:ascii="Arial Narrow" w:hAnsi="Arial Narrow" w:cs="Tahoma"/>
                <w:i/>
                <w:iCs/>
                <w:sz w:val="20"/>
              </w:rPr>
              <w:t>NR</w:t>
            </w:r>
          </w:p>
        </w:tc>
        <w:tc>
          <w:tcPr>
            <w:tcW w:w="1559" w:type="dxa"/>
            <w:vAlign w:val="center"/>
          </w:tcPr>
          <w:p w14:paraId="63CC3175" w14:textId="77777777" w:rsidR="00FB44D6" w:rsidRPr="00524471" w:rsidRDefault="00FB44D6" w:rsidP="00FB44D6">
            <w:pPr>
              <w:spacing w:after="0"/>
              <w:ind w:left="22"/>
              <w:jc w:val="center"/>
              <w:rPr>
                <w:rFonts w:ascii="Arial Narrow" w:hAnsi="Arial Narrow" w:cs="Tahoma"/>
                <w:i/>
                <w:iCs/>
                <w:sz w:val="20"/>
              </w:rPr>
            </w:pPr>
            <w:r w:rsidRPr="00524471">
              <w:rPr>
                <w:rFonts w:ascii="Arial Narrow" w:hAnsi="Arial Narrow" w:cs="Tahoma"/>
                <w:i/>
                <w:iCs/>
                <w:sz w:val="20"/>
              </w:rPr>
              <w:t>NR</w:t>
            </w:r>
          </w:p>
        </w:tc>
        <w:tc>
          <w:tcPr>
            <w:tcW w:w="2268" w:type="dxa"/>
            <w:vAlign w:val="center"/>
          </w:tcPr>
          <w:p w14:paraId="2B92387C" w14:textId="77777777" w:rsidR="00FB44D6" w:rsidRPr="00524471" w:rsidRDefault="00FB44D6" w:rsidP="00FB44D6">
            <w:pPr>
              <w:keepNext/>
              <w:keepLines/>
              <w:spacing w:after="0"/>
              <w:ind w:left="22"/>
              <w:jc w:val="center"/>
              <w:rPr>
                <w:rFonts w:ascii="Arial Narrow" w:hAnsi="Arial Narrow" w:cs="Tahoma"/>
                <w:i/>
                <w:iCs/>
                <w:sz w:val="20"/>
              </w:rPr>
            </w:pPr>
            <w:r w:rsidRPr="00524471">
              <w:rPr>
                <w:rFonts w:ascii="Arial Narrow" w:hAnsi="Arial Narrow" w:cs="Tahoma"/>
                <w:i/>
                <w:iCs/>
                <w:sz w:val="20"/>
              </w:rPr>
              <w:t>NR</w:t>
            </w:r>
          </w:p>
        </w:tc>
        <w:tc>
          <w:tcPr>
            <w:tcW w:w="1560" w:type="dxa"/>
            <w:vAlign w:val="center"/>
          </w:tcPr>
          <w:p w14:paraId="238DC4DD"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13.4%</w:t>
            </w:r>
          </w:p>
        </w:tc>
        <w:tc>
          <w:tcPr>
            <w:tcW w:w="1559" w:type="dxa"/>
            <w:vAlign w:val="center"/>
          </w:tcPr>
          <w:p w14:paraId="10C627A2" w14:textId="77777777" w:rsidR="00FB44D6" w:rsidRPr="003E54D3" w:rsidRDefault="00FB44D6" w:rsidP="00FB44D6">
            <w:pPr>
              <w:keepNext/>
              <w:keepLines/>
              <w:spacing w:after="0"/>
              <w:ind w:left="22"/>
              <w:jc w:val="center"/>
              <w:rPr>
                <w:rFonts w:ascii="Arial Narrow" w:hAnsi="Arial Narrow" w:cs="Tahoma"/>
                <w:i/>
                <w:iCs/>
                <w:sz w:val="20"/>
              </w:rPr>
            </w:pPr>
            <w:r w:rsidRPr="003E54D3">
              <w:rPr>
                <w:rFonts w:ascii="Arial Narrow" w:hAnsi="Arial Narrow" w:cs="Tahoma"/>
                <w:i/>
                <w:iCs/>
                <w:sz w:val="20"/>
              </w:rPr>
              <w:t>11.4%</w:t>
            </w:r>
          </w:p>
        </w:tc>
        <w:tc>
          <w:tcPr>
            <w:tcW w:w="2268" w:type="dxa"/>
            <w:vAlign w:val="center"/>
          </w:tcPr>
          <w:p w14:paraId="1CEB210F" w14:textId="746B071D" w:rsidR="00FB44D6" w:rsidRPr="003B08F2" w:rsidRDefault="005C4204" w:rsidP="00FB44D6">
            <w:pPr>
              <w:keepNext/>
              <w:keepLines/>
              <w:spacing w:after="0"/>
              <w:ind w:left="22"/>
              <w:jc w:val="center"/>
              <w:rPr>
                <w:rFonts w:ascii="Arial Narrow" w:hAnsi="Arial Narrow" w:cs="Tahoma"/>
                <w:i/>
                <w:iCs/>
                <w:sz w:val="20"/>
                <w:highlight w:val="yellow"/>
              </w:rPr>
            </w:pPr>
            <w:r w:rsidRPr="005C4204">
              <w:rPr>
                <w:rFonts w:ascii="Arial Narrow" w:hAnsi="Arial Narrow" w:cs="Tahoma"/>
                <w:i/>
                <w:iCs/>
                <w:sz w:val="20"/>
              </w:rPr>
              <w:t>1.09 (0.80, 1.49)</w:t>
            </w:r>
          </w:p>
        </w:tc>
      </w:tr>
      <w:tr w:rsidR="00FB44D6" w:rsidRPr="003B08F2" w14:paraId="3CC7C777" w14:textId="77777777" w:rsidTr="0017291F">
        <w:trPr>
          <w:trHeight w:val="20"/>
        </w:trPr>
        <w:tc>
          <w:tcPr>
            <w:tcW w:w="2977" w:type="dxa"/>
            <w:vAlign w:val="center"/>
          </w:tcPr>
          <w:p w14:paraId="15024C10" w14:textId="77777777" w:rsidR="00FB44D6" w:rsidRPr="00ED5F15" w:rsidRDefault="00FB44D6" w:rsidP="00FB44D6">
            <w:pPr>
              <w:spacing w:after="0"/>
              <w:ind w:left="22"/>
              <w:rPr>
                <w:rFonts w:ascii="Arial Narrow" w:hAnsi="Arial Narrow" w:cs="Tahoma"/>
                <w:i/>
                <w:iCs/>
                <w:sz w:val="20"/>
              </w:rPr>
            </w:pPr>
            <w:r w:rsidRPr="00ED5F15">
              <w:rPr>
                <w:rFonts w:ascii="Arial Narrow" w:hAnsi="Arial Narrow" w:cs="Tahoma"/>
                <w:i/>
                <w:iCs/>
                <w:sz w:val="20"/>
              </w:rPr>
              <w:t>Disabling stroke</w:t>
            </w:r>
          </w:p>
        </w:tc>
        <w:tc>
          <w:tcPr>
            <w:tcW w:w="1701" w:type="dxa"/>
            <w:vAlign w:val="center"/>
          </w:tcPr>
          <w:p w14:paraId="142CBAB0" w14:textId="77777777" w:rsidR="00FB44D6" w:rsidRPr="00524471" w:rsidRDefault="00FB44D6" w:rsidP="00FB44D6">
            <w:pPr>
              <w:spacing w:after="0"/>
              <w:ind w:left="22"/>
              <w:jc w:val="center"/>
              <w:rPr>
                <w:rFonts w:ascii="Arial Narrow" w:hAnsi="Arial Narrow" w:cs="Tahoma"/>
                <w:i/>
                <w:iCs/>
                <w:sz w:val="20"/>
              </w:rPr>
            </w:pPr>
            <w:r w:rsidRPr="00524471">
              <w:rPr>
                <w:rFonts w:ascii="Arial Narrow" w:hAnsi="Arial Narrow" w:cs="Tahoma"/>
                <w:i/>
                <w:iCs/>
                <w:sz w:val="20"/>
              </w:rPr>
              <w:t>NR</w:t>
            </w:r>
          </w:p>
        </w:tc>
        <w:tc>
          <w:tcPr>
            <w:tcW w:w="1559" w:type="dxa"/>
            <w:vAlign w:val="center"/>
          </w:tcPr>
          <w:p w14:paraId="1302A03F" w14:textId="77777777" w:rsidR="00FB44D6" w:rsidRPr="00524471" w:rsidRDefault="00FB44D6" w:rsidP="00FB44D6">
            <w:pPr>
              <w:spacing w:after="0"/>
              <w:ind w:left="22"/>
              <w:jc w:val="center"/>
              <w:rPr>
                <w:rFonts w:ascii="Arial Narrow" w:hAnsi="Arial Narrow" w:cs="Tahoma"/>
                <w:i/>
                <w:iCs/>
                <w:sz w:val="20"/>
              </w:rPr>
            </w:pPr>
            <w:r w:rsidRPr="00524471">
              <w:rPr>
                <w:rFonts w:ascii="Arial Narrow" w:hAnsi="Arial Narrow" w:cs="Tahoma"/>
                <w:i/>
                <w:iCs/>
                <w:sz w:val="20"/>
              </w:rPr>
              <w:t>NR</w:t>
            </w:r>
          </w:p>
        </w:tc>
        <w:tc>
          <w:tcPr>
            <w:tcW w:w="2268" w:type="dxa"/>
            <w:vAlign w:val="center"/>
          </w:tcPr>
          <w:p w14:paraId="66CA4E1A" w14:textId="77777777" w:rsidR="00FB44D6" w:rsidRPr="00524471" w:rsidRDefault="00FB44D6" w:rsidP="00FB44D6">
            <w:pPr>
              <w:keepNext/>
              <w:keepLines/>
              <w:spacing w:after="0"/>
              <w:ind w:left="22"/>
              <w:jc w:val="center"/>
              <w:rPr>
                <w:rFonts w:ascii="Arial Narrow" w:hAnsi="Arial Narrow" w:cs="Tahoma"/>
                <w:i/>
                <w:iCs/>
                <w:sz w:val="20"/>
              </w:rPr>
            </w:pPr>
            <w:r w:rsidRPr="00524471">
              <w:rPr>
                <w:rFonts w:ascii="Arial Narrow" w:hAnsi="Arial Narrow" w:cs="Tahoma"/>
                <w:i/>
                <w:iCs/>
                <w:sz w:val="20"/>
              </w:rPr>
              <w:t>NR</w:t>
            </w:r>
          </w:p>
        </w:tc>
        <w:tc>
          <w:tcPr>
            <w:tcW w:w="1560" w:type="dxa"/>
            <w:vAlign w:val="center"/>
          </w:tcPr>
          <w:p w14:paraId="7A2324A4" w14:textId="77777777" w:rsidR="00FB44D6" w:rsidRPr="005C4204" w:rsidRDefault="00FB44D6" w:rsidP="00FB44D6">
            <w:pPr>
              <w:keepNext/>
              <w:keepLines/>
              <w:spacing w:after="0"/>
              <w:ind w:left="22"/>
              <w:jc w:val="center"/>
              <w:rPr>
                <w:rFonts w:ascii="Arial Narrow" w:hAnsi="Arial Narrow" w:cs="Tahoma"/>
                <w:i/>
                <w:iCs/>
                <w:sz w:val="20"/>
              </w:rPr>
            </w:pPr>
            <w:r w:rsidRPr="005C4204">
              <w:rPr>
                <w:rFonts w:ascii="Arial Narrow" w:hAnsi="Arial Narrow" w:cs="Tahoma"/>
                <w:i/>
                <w:iCs/>
                <w:sz w:val="20"/>
              </w:rPr>
              <w:t>5.8%</w:t>
            </w:r>
          </w:p>
        </w:tc>
        <w:tc>
          <w:tcPr>
            <w:tcW w:w="1559" w:type="dxa"/>
            <w:vAlign w:val="center"/>
          </w:tcPr>
          <w:p w14:paraId="3141A8AE" w14:textId="77777777" w:rsidR="00FB44D6" w:rsidRPr="005C4204" w:rsidRDefault="00FB44D6" w:rsidP="00FB44D6">
            <w:pPr>
              <w:keepNext/>
              <w:keepLines/>
              <w:spacing w:after="0"/>
              <w:ind w:left="22"/>
              <w:jc w:val="center"/>
              <w:rPr>
                <w:rFonts w:ascii="Arial Narrow" w:hAnsi="Arial Narrow" w:cs="Tahoma"/>
                <w:i/>
                <w:iCs/>
                <w:sz w:val="20"/>
              </w:rPr>
            </w:pPr>
            <w:r w:rsidRPr="005C4204">
              <w:rPr>
                <w:rFonts w:ascii="Arial Narrow" w:hAnsi="Arial Narrow" w:cs="Tahoma"/>
                <w:i/>
                <w:iCs/>
                <w:sz w:val="20"/>
              </w:rPr>
              <w:t>7.9%</w:t>
            </w:r>
          </w:p>
        </w:tc>
        <w:tc>
          <w:tcPr>
            <w:tcW w:w="2268" w:type="dxa"/>
            <w:vAlign w:val="center"/>
          </w:tcPr>
          <w:p w14:paraId="3EF0F3DA" w14:textId="77777777" w:rsidR="00FB44D6" w:rsidRPr="005C4204" w:rsidRDefault="00FB44D6" w:rsidP="00FB44D6">
            <w:pPr>
              <w:keepNext/>
              <w:keepLines/>
              <w:spacing w:after="0"/>
              <w:ind w:left="22"/>
              <w:jc w:val="center"/>
              <w:rPr>
                <w:rFonts w:ascii="Arial Narrow" w:hAnsi="Arial Narrow" w:cs="Tahoma"/>
                <w:b/>
                <w:bCs/>
                <w:i/>
                <w:iCs/>
                <w:sz w:val="20"/>
              </w:rPr>
            </w:pPr>
            <w:r w:rsidRPr="005C4204">
              <w:rPr>
                <w:rFonts w:ascii="Arial Narrow" w:hAnsi="Arial Narrow" w:cs="Tahoma"/>
                <w:b/>
                <w:bCs/>
                <w:i/>
                <w:iCs/>
                <w:sz w:val="20"/>
              </w:rPr>
              <w:t>0.66 (0.43, 1.00)</w:t>
            </w:r>
          </w:p>
        </w:tc>
      </w:tr>
      <w:tr w:rsidR="00FB44D6" w:rsidRPr="003B08F2" w14:paraId="68B6F6B6" w14:textId="77777777" w:rsidTr="0017291F">
        <w:trPr>
          <w:trHeight w:val="20"/>
        </w:trPr>
        <w:tc>
          <w:tcPr>
            <w:tcW w:w="2977" w:type="dxa"/>
            <w:vAlign w:val="center"/>
          </w:tcPr>
          <w:p w14:paraId="573BEED4" w14:textId="77777777" w:rsidR="00FB44D6" w:rsidRPr="00ED5F15" w:rsidRDefault="00FB44D6" w:rsidP="00FB44D6">
            <w:pPr>
              <w:spacing w:after="0"/>
              <w:ind w:left="22"/>
              <w:rPr>
                <w:rFonts w:ascii="Arial Narrow" w:hAnsi="Arial Narrow" w:cs="Tahoma"/>
                <w:i/>
                <w:iCs/>
                <w:sz w:val="20"/>
              </w:rPr>
            </w:pPr>
            <w:r w:rsidRPr="00ED5F15">
              <w:rPr>
                <w:rFonts w:ascii="Arial Narrow" w:hAnsi="Arial Narrow" w:cs="Tahoma"/>
                <w:i/>
                <w:iCs/>
                <w:sz w:val="20"/>
              </w:rPr>
              <w:t>Death or disabling stroke</w:t>
            </w:r>
          </w:p>
        </w:tc>
        <w:tc>
          <w:tcPr>
            <w:tcW w:w="1701" w:type="dxa"/>
            <w:vAlign w:val="center"/>
          </w:tcPr>
          <w:p w14:paraId="3146299C" w14:textId="77777777" w:rsidR="00FB44D6" w:rsidRPr="00524471" w:rsidRDefault="00FB44D6" w:rsidP="00FB44D6">
            <w:pPr>
              <w:spacing w:after="0"/>
              <w:ind w:left="22"/>
              <w:jc w:val="center"/>
              <w:rPr>
                <w:rFonts w:ascii="Arial Narrow" w:hAnsi="Arial Narrow" w:cs="Tahoma"/>
                <w:i/>
                <w:iCs/>
                <w:sz w:val="20"/>
              </w:rPr>
            </w:pPr>
            <w:r w:rsidRPr="00524471">
              <w:rPr>
                <w:rFonts w:ascii="Arial Narrow" w:hAnsi="Arial Narrow" w:cs="Tahoma"/>
                <w:i/>
                <w:iCs/>
                <w:sz w:val="20"/>
              </w:rPr>
              <w:t>NR</w:t>
            </w:r>
          </w:p>
        </w:tc>
        <w:tc>
          <w:tcPr>
            <w:tcW w:w="1559" w:type="dxa"/>
            <w:vAlign w:val="center"/>
          </w:tcPr>
          <w:p w14:paraId="6BB72368" w14:textId="77777777" w:rsidR="00FB44D6" w:rsidRPr="00524471" w:rsidRDefault="00FB44D6" w:rsidP="00FB44D6">
            <w:pPr>
              <w:spacing w:after="0"/>
              <w:ind w:left="22"/>
              <w:jc w:val="center"/>
              <w:rPr>
                <w:rFonts w:ascii="Arial Narrow" w:hAnsi="Arial Narrow" w:cs="Tahoma"/>
                <w:i/>
                <w:iCs/>
                <w:sz w:val="20"/>
              </w:rPr>
            </w:pPr>
            <w:r w:rsidRPr="00524471">
              <w:rPr>
                <w:rFonts w:ascii="Arial Narrow" w:hAnsi="Arial Narrow" w:cs="Tahoma"/>
                <w:i/>
                <w:iCs/>
                <w:sz w:val="20"/>
              </w:rPr>
              <w:t>NR</w:t>
            </w:r>
          </w:p>
        </w:tc>
        <w:tc>
          <w:tcPr>
            <w:tcW w:w="2268" w:type="dxa"/>
            <w:vAlign w:val="center"/>
          </w:tcPr>
          <w:p w14:paraId="6BD62F89" w14:textId="77777777" w:rsidR="00FB44D6" w:rsidRPr="00524471" w:rsidRDefault="00FB44D6" w:rsidP="00FB44D6">
            <w:pPr>
              <w:keepNext/>
              <w:keepLines/>
              <w:spacing w:after="0"/>
              <w:ind w:left="22"/>
              <w:jc w:val="center"/>
              <w:rPr>
                <w:rFonts w:ascii="Arial Narrow" w:hAnsi="Arial Narrow" w:cs="Tahoma"/>
                <w:i/>
                <w:iCs/>
                <w:sz w:val="20"/>
              </w:rPr>
            </w:pPr>
            <w:r w:rsidRPr="00524471">
              <w:rPr>
                <w:rFonts w:ascii="Arial Narrow" w:hAnsi="Arial Narrow" w:cs="Tahoma"/>
                <w:i/>
                <w:iCs/>
                <w:sz w:val="20"/>
              </w:rPr>
              <w:t>NR</w:t>
            </w:r>
          </w:p>
        </w:tc>
        <w:tc>
          <w:tcPr>
            <w:tcW w:w="1560" w:type="dxa"/>
            <w:vAlign w:val="center"/>
          </w:tcPr>
          <w:p w14:paraId="12EA8432" w14:textId="77777777" w:rsidR="00FB44D6" w:rsidRPr="005C4204" w:rsidRDefault="00FB44D6" w:rsidP="00FB44D6">
            <w:pPr>
              <w:keepNext/>
              <w:keepLines/>
              <w:spacing w:after="0"/>
              <w:ind w:left="22"/>
              <w:jc w:val="center"/>
              <w:rPr>
                <w:rFonts w:ascii="Arial Narrow" w:hAnsi="Arial Narrow" w:cs="Tahoma"/>
                <w:i/>
                <w:iCs/>
                <w:sz w:val="20"/>
              </w:rPr>
            </w:pPr>
            <w:r w:rsidRPr="005C4204">
              <w:rPr>
                <w:rFonts w:ascii="Arial Narrow" w:hAnsi="Arial Narrow" w:cs="Tahoma"/>
                <w:i/>
                <w:iCs/>
                <w:sz w:val="20"/>
              </w:rPr>
              <w:t>40.1%</w:t>
            </w:r>
          </w:p>
        </w:tc>
        <w:tc>
          <w:tcPr>
            <w:tcW w:w="1559" w:type="dxa"/>
            <w:vAlign w:val="center"/>
          </w:tcPr>
          <w:p w14:paraId="49DE3B85" w14:textId="77777777" w:rsidR="00FB44D6" w:rsidRPr="005C4204" w:rsidRDefault="00FB44D6" w:rsidP="00FB44D6">
            <w:pPr>
              <w:keepNext/>
              <w:keepLines/>
              <w:spacing w:after="0"/>
              <w:ind w:left="22"/>
              <w:jc w:val="center"/>
              <w:rPr>
                <w:rFonts w:ascii="Arial Narrow" w:hAnsi="Arial Narrow" w:cs="Tahoma"/>
                <w:i/>
                <w:iCs/>
                <w:sz w:val="20"/>
              </w:rPr>
            </w:pPr>
            <w:r w:rsidRPr="005C4204">
              <w:rPr>
                <w:rFonts w:ascii="Arial Narrow" w:hAnsi="Arial Narrow" w:cs="Tahoma"/>
                <w:i/>
                <w:iCs/>
                <w:sz w:val="20"/>
              </w:rPr>
              <w:t>42.7%</w:t>
            </w:r>
          </w:p>
        </w:tc>
        <w:tc>
          <w:tcPr>
            <w:tcW w:w="2268" w:type="dxa"/>
            <w:vAlign w:val="center"/>
          </w:tcPr>
          <w:p w14:paraId="6D9E307C" w14:textId="77777777" w:rsidR="00FB44D6" w:rsidRPr="005C4204" w:rsidRDefault="00FB44D6" w:rsidP="00FB44D6">
            <w:pPr>
              <w:keepNext/>
              <w:keepLines/>
              <w:spacing w:after="0"/>
              <w:ind w:left="22"/>
              <w:jc w:val="center"/>
              <w:rPr>
                <w:rFonts w:ascii="Arial Narrow" w:hAnsi="Arial Narrow" w:cs="Tahoma"/>
                <w:i/>
                <w:iCs/>
                <w:sz w:val="20"/>
              </w:rPr>
            </w:pPr>
            <w:r w:rsidRPr="005C4204">
              <w:rPr>
                <w:rFonts w:ascii="Arial Narrow" w:hAnsi="Arial Narrow" w:cs="Tahoma"/>
                <w:i/>
                <w:iCs/>
                <w:sz w:val="20"/>
              </w:rPr>
              <w:t>0.87 (0.74, 1.02)</w:t>
            </w:r>
          </w:p>
        </w:tc>
      </w:tr>
      <w:tr w:rsidR="00FB44D6" w:rsidRPr="003B08F2" w14:paraId="1D7C99D2" w14:textId="77777777" w:rsidTr="0017291F">
        <w:trPr>
          <w:trHeight w:val="20"/>
        </w:trPr>
        <w:tc>
          <w:tcPr>
            <w:tcW w:w="2977" w:type="dxa"/>
          </w:tcPr>
          <w:p w14:paraId="4E239316" w14:textId="77777777" w:rsidR="00FB44D6" w:rsidRPr="00ED5F15" w:rsidRDefault="00FB44D6" w:rsidP="00FB44D6">
            <w:pPr>
              <w:spacing w:after="0"/>
              <w:ind w:left="22"/>
              <w:rPr>
                <w:rFonts w:ascii="Arial Narrow" w:hAnsi="Arial Narrow" w:cs="Tahoma"/>
                <w:i/>
                <w:iCs/>
                <w:sz w:val="20"/>
              </w:rPr>
            </w:pPr>
            <w:r w:rsidRPr="00ED5F15">
              <w:rPr>
                <w:rFonts w:ascii="Arial Narrow" w:hAnsi="Arial Narrow" w:cs="Tahoma"/>
                <w:i/>
                <w:iCs/>
                <w:sz w:val="20"/>
              </w:rPr>
              <w:t>New permanent pacemaker implants</w:t>
            </w:r>
          </w:p>
        </w:tc>
        <w:tc>
          <w:tcPr>
            <w:tcW w:w="1701" w:type="dxa"/>
            <w:vAlign w:val="center"/>
          </w:tcPr>
          <w:p w14:paraId="45CE8D35" w14:textId="77777777" w:rsidR="00FB44D6" w:rsidRPr="00524471" w:rsidRDefault="00FB44D6" w:rsidP="00FB44D6">
            <w:pPr>
              <w:spacing w:after="0"/>
              <w:ind w:left="22"/>
              <w:jc w:val="center"/>
              <w:rPr>
                <w:rFonts w:ascii="Arial Narrow" w:hAnsi="Arial Narrow" w:cs="Tahoma"/>
                <w:i/>
                <w:iCs/>
                <w:sz w:val="20"/>
              </w:rPr>
            </w:pPr>
            <w:r w:rsidRPr="00524471">
              <w:rPr>
                <w:rFonts w:ascii="Arial Narrow" w:hAnsi="Arial Narrow" w:cs="Tahoma"/>
                <w:i/>
                <w:iCs/>
                <w:sz w:val="20"/>
              </w:rPr>
              <w:t>NR</w:t>
            </w:r>
          </w:p>
        </w:tc>
        <w:tc>
          <w:tcPr>
            <w:tcW w:w="1559" w:type="dxa"/>
            <w:vAlign w:val="center"/>
          </w:tcPr>
          <w:p w14:paraId="200BF868" w14:textId="77777777" w:rsidR="00FB44D6" w:rsidRPr="00524471" w:rsidRDefault="00FB44D6" w:rsidP="00FB44D6">
            <w:pPr>
              <w:spacing w:after="0"/>
              <w:ind w:left="22"/>
              <w:jc w:val="center"/>
              <w:rPr>
                <w:rFonts w:ascii="Arial Narrow" w:hAnsi="Arial Narrow" w:cs="Tahoma"/>
                <w:i/>
                <w:iCs/>
                <w:sz w:val="20"/>
              </w:rPr>
            </w:pPr>
            <w:r w:rsidRPr="00524471">
              <w:rPr>
                <w:rFonts w:ascii="Arial Narrow" w:hAnsi="Arial Narrow" w:cs="Tahoma"/>
                <w:i/>
                <w:iCs/>
                <w:sz w:val="20"/>
              </w:rPr>
              <w:t>NR</w:t>
            </w:r>
          </w:p>
        </w:tc>
        <w:tc>
          <w:tcPr>
            <w:tcW w:w="2268" w:type="dxa"/>
            <w:vAlign w:val="center"/>
          </w:tcPr>
          <w:p w14:paraId="06457292" w14:textId="77777777" w:rsidR="00FB44D6" w:rsidRPr="00524471" w:rsidRDefault="00FB44D6" w:rsidP="00FB44D6">
            <w:pPr>
              <w:keepNext/>
              <w:keepLines/>
              <w:spacing w:after="0"/>
              <w:ind w:left="22"/>
              <w:jc w:val="center"/>
              <w:rPr>
                <w:rFonts w:ascii="Arial Narrow" w:hAnsi="Arial Narrow" w:cs="Tahoma"/>
                <w:i/>
                <w:iCs/>
                <w:sz w:val="20"/>
              </w:rPr>
            </w:pPr>
            <w:r w:rsidRPr="00524471">
              <w:rPr>
                <w:rFonts w:ascii="Arial Narrow" w:hAnsi="Arial Narrow" w:cs="Tahoma"/>
                <w:i/>
                <w:iCs/>
                <w:sz w:val="20"/>
              </w:rPr>
              <w:t>NR</w:t>
            </w:r>
          </w:p>
        </w:tc>
        <w:tc>
          <w:tcPr>
            <w:tcW w:w="1560" w:type="dxa"/>
            <w:vAlign w:val="center"/>
          </w:tcPr>
          <w:p w14:paraId="3148F4C6" w14:textId="77777777" w:rsidR="00FB44D6" w:rsidRPr="005C4204" w:rsidRDefault="00FB44D6" w:rsidP="00FB44D6">
            <w:pPr>
              <w:keepNext/>
              <w:keepLines/>
              <w:spacing w:after="0"/>
              <w:ind w:left="22"/>
              <w:jc w:val="center"/>
              <w:rPr>
                <w:rFonts w:ascii="Arial Narrow" w:hAnsi="Arial Narrow" w:cs="Tahoma"/>
                <w:i/>
                <w:iCs/>
                <w:sz w:val="20"/>
              </w:rPr>
            </w:pPr>
            <w:r w:rsidRPr="005C4204">
              <w:rPr>
                <w:rFonts w:ascii="Arial Narrow" w:hAnsi="Arial Narrow" w:cs="Tahoma"/>
                <w:i/>
                <w:iCs/>
                <w:sz w:val="20"/>
              </w:rPr>
              <w:t>127/783 (16.2%)</w:t>
            </w:r>
          </w:p>
        </w:tc>
        <w:tc>
          <w:tcPr>
            <w:tcW w:w="1559" w:type="dxa"/>
            <w:vAlign w:val="center"/>
          </w:tcPr>
          <w:p w14:paraId="56E33070" w14:textId="77777777" w:rsidR="00FB44D6" w:rsidRPr="005C4204" w:rsidRDefault="00FB44D6" w:rsidP="00FB44D6">
            <w:pPr>
              <w:keepNext/>
              <w:keepLines/>
              <w:spacing w:after="0"/>
              <w:ind w:left="22"/>
              <w:jc w:val="center"/>
              <w:rPr>
                <w:rFonts w:ascii="Arial Narrow" w:hAnsi="Arial Narrow" w:cs="Tahoma"/>
                <w:i/>
                <w:iCs/>
                <w:sz w:val="20"/>
              </w:rPr>
            </w:pPr>
            <w:r w:rsidRPr="005C4204">
              <w:rPr>
                <w:rFonts w:ascii="Arial Narrow" w:hAnsi="Arial Narrow" w:cs="Tahoma"/>
                <w:i/>
                <w:iCs/>
                <w:sz w:val="20"/>
              </w:rPr>
              <w:t>92/783 (11.7%)</w:t>
            </w:r>
          </w:p>
        </w:tc>
        <w:tc>
          <w:tcPr>
            <w:tcW w:w="2268" w:type="dxa"/>
            <w:vAlign w:val="center"/>
          </w:tcPr>
          <w:p w14:paraId="64C610BA" w14:textId="77777777" w:rsidR="00FB44D6" w:rsidRPr="005C4204" w:rsidRDefault="00FB44D6" w:rsidP="00FB44D6">
            <w:pPr>
              <w:keepNext/>
              <w:keepLines/>
              <w:spacing w:after="0"/>
              <w:ind w:left="22"/>
              <w:jc w:val="center"/>
              <w:rPr>
                <w:rFonts w:ascii="Arial Narrow" w:hAnsi="Arial Narrow" w:cs="Tahoma"/>
                <w:b/>
                <w:bCs/>
                <w:i/>
                <w:iCs/>
                <w:sz w:val="20"/>
              </w:rPr>
            </w:pPr>
            <w:r w:rsidRPr="005C4204">
              <w:rPr>
                <w:rFonts w:ascii="Arial Narrow" w:hAnsi="Arial Narrow" w:cs="Tahoma"/>
                <w:b/>
                <w:bCs/>
                <w:i/>
                <w:iCs/>
                <w:sz w:val="20"/>
              </w:rPr>
              <w:t>0.69 (0.52, 0.92)</w:t>
            </w:r>
          </w:p>
        </w:tc>
      </w:tr>
      <w:tr w:rsidR="00FB44D6" w:rsidRPr="00FB44D6" w14:paraId="61475D2F" w14:textId="77777777" w:rsidTr="0017291F">
        <w:trPr>
          <w:trHeight w:val="20"/>
        </w:trPr>
        <w:tc>
          <w:tcPr>
            <w:tcW w:w="2977" w:type="dxa"/>
          </w:tcPr>
          <w:p w14:paraId="5025D67E" w14:textId="77777777" w:rsidR="00FB44D6" w:rsidRPr="00ED5F15" w:rsidRDefault="00FB44D6" w:rsidP="00FB44D6">
            <w:pPr>
              <w:spacing w:after="0"/>
              <w:ind w:left="22"/>
              <w:rPr>
                <w:rFonts w:ascii="Arial Narrow" w:hAnsi="Arial Narrow" w:cs="Tahoma"/>
                <w:i/>
                <w:iCs/>
                <w:sz w:val="20"/>
              </w:rPr>
            </w:pPr>
            <w:r w:rsidRPr="00ED5F15">
              <w:rPr>
                <w:rFonts w:ascii="Arial Narrow" w:hAnsi="Arial Narrow" w:cs="Tahoma"/>
                <w:i/>
                <w:iCs/>
                <w:sz w:val="20"/>
              </w:rPr>
              <w:t>Aortic valve reintervention</w:t>
            </w:r>
          </w:p>
        </w:tc>
        <w:tc>
          <w:tcPr>
            <w:tcW w:w="1701" w:type="dxa"/>
            <w:vAlign w:val="center"/>
          </w:tcPr>
          <w:p w14:paraId="56A28B5F" w14:textId="77777777" w:rsidR="00FB44D6" w:rsidRPr="00524471" w:rsidRDefault="00FB44D6" w:rsidP="00FB44D6">
            <w:pPr>
              <w:spacing w:after="0"/>
              <w:ind w:left="22"/>
              <w:jc w:val="center"/>
              <w:rPr>
                <w:rFonts w:ascii="Arial Narrow" w:hAnsi="Arial Narrow" w:cs="Tahoma"/>
                <w:i/>
                <w:iCs/>
                <w:sz w:val="20"/>
              </w:rPr>
            </w:pPr>
            <w:r w:rsidRPr="00524471">
              <w:rPr>
                <w:rFonts w:ascii="Arial Narrow" w:hAnsi="Arial Narrow" w:cs="Tahoma"/>
                <w:i/>
                <w:iCs/>
                <w:sz w:val="20"/>
              </w:rPr>
              <w:t>NR</w:t>
            </w:r>
          </w:p>
        </w:tc>
        <w:tc>
          <w:tcPr>
            <w:tcW w:w="1559" w:type="dxa"/>
            <w:vAlign w:val="center"/>
          </w:tcPr>
          <w:p w14:paraId="34C98F0F" w14:textId="77777777" w:rsidR="00FB44D6" w:rsidRPr="00524471" w:rsidRDefault="00FB44D6" w:rsidP="00FB44D6">
            <w:pPr>
              <w:spacing w:after="0"/>
              <w:ind w:left="22"/>
              <w:jc w:val="center"/>
              <w:rPr>
                <w:rFonts w:ascii="Arial Narrow" w:hAnsi="Arial Narrow" w:cs="Tahoma"/>
                <w:i/>
                <w:iCs/>
                <w:sz w:val="20"/>
              </w:rPr>
            </w:pPr>
            <w:r w:rsidRPr="00524471">
              <w:rPr>
                <w:rFonts w:ascii="Arial Narrow" w:hAnsi="Arial Narrow" w:cs="Tahoma"/>
                <w:i/>
                <w:iCs/>
                <w:sz w:val="20"/>
              </w:rPr>
              <w:t>NR</w:t>
            </w:r>
          </w:p>
        </w:tc>
        <w:tc>
          <w:tcPr>
            <w:tcW w:w="2268" w:type="dxa"/>
            <w:vAlign w:val="center"/>
          </w:tcPr>
          <w:p w14:paraId="3381FA3B" w14:textId="77777777" w:rsidR="00FB44D6" w:rsidRPr="00524471" w:rsidRDefault="00FB44D6" w:rsidP="00FB44D6">
            <w:pPr>
              <w:keepNext/>
              <w:keepLines/>
              <w:spacing w:after="0"/>
              <w:ind w:left="22"/>
              <w:jc w:val="center"/>
              <w:rPr>
                <w:rFonts w:ascii="Arial Narrow" w:hAnsi="Arial Narrow" w:cs="Tahoma"/>
                <w:i/>
                <w:iCs/>
                <w:sz w:val="20"/>
              </w:rPr>
            </w:pPr>
            <w:r w:rsidRPr="00524471">
              <w:rPr>
                <w:rFonts w:ascii="Arial Narrow" w:hAnsi="Arial Narrow" w:cs="Tahoma"/>
                <w:i/>
                <w:iCs/>
                <w:sz w:val="20"/>
              </w:rPr>
              <w:t>NR</w:t>
            </w:r>
          </w:p>
        </w:tc>
        <w:tc>
          <w:tcPr>
            <w:tcW w:w="1560" w:type="dxa"/>
            <w:vAlign w:val="center"/>
          </w:tcPr>
          <w:p w14:paraId="1C6983BA" w14:textId="77777777" w:rsidR="00FB44D6" w:rsidRPr="005C4204" w:rsidRDefault="00FB44D6" w:rsidP="00FB44D6">
            <w:pPr>
              <w:keepNext/>
              <w:keepLines/>
              <w:spacing w:after="0"/>
              <w:ind w:left="22"/>
              <w:jc w:val="center"/>
              <w:rPr>
                <w:rFonts w:ascii="Arial Narrow" w:hAnsi="Arial Narrow" w:cs="Tahoma"/>
                <w:i/>
                <w:iCs/>
                <w:sz w:val="20"/>
              </w:rPr>
            </w:pPr>
            <w:r w:rsidRPr="005C4204">
              <w:rPr>
                <w:rFonts w:ascii="Arial Narrow" w:hAnsi="Arial Narrow" w:cs="Tahoma"/>
                <w:i/>
                <w:iCs/>
                <w:sz w:val="20"/>
              </w:rPr>
              <w:t>10/783 (1.3%)</w:t>
            </w:r>
          </w:p>
        </w:tc>
        <w:tc>
          <w:tcPr>
            <w:tcW w:w="1559" w:type="dxa"/>
            <w:vAlign w:val="center"/>
          </w:tcPr>
          <w:p w14:paraId="16EF2554" w14:textId="77777777" w:rsidR="00FB44D6" w:rsidRPr="005C4204" w:rsidRDefault="00FB44D6" w:rsidP="00FB44D6">
            <w:pPr>
              <w:keepNext/>
              <w:keepLines/>
              <w:spacing w:after="0"/>
              <w:ind w:left="22"/>
              <w:jc w:val="center"/>
              <w:rPr>
                <w:rFonts w:ascii="Arial Narrow" w:hAnsi="Arial Narrow" w:cs="Tahoma"/>
                <w:i/>
                <w:iCs/>
                <w:sz w:val="20"/>
              </w:rPr>
            </w:pPr>
            <w:r w:rsidRPr="005C4204">
              <w:rPr>
                <w:rFonts w:ascii="Arial Narrow" w:hAnsi="Arial Narrow" w:cs="Tahoma"/>
                <w:i/>
                <w:iCs/>
                <w:sz w:val="20"/>
              </w:rPr>
              <w:t>6/783 (0.8%)</w:t>
            </w:r>
          </w:p>
        </w:tc>
        <w:tc>
          <w:tcPr>
            <w:tcW w:w="2268" w:type="dxa"/>
            <w:vAlign w:val="center"/>
          </w:tcPr>
          <w:p w14:paraId="6F77C82D" w14:textId="77777777" w:rsidR="00FB44D6" w:rsidRPr="005C4204" w:rsidRDefault="00FB44D6" w:rsidP="00FB44D6">
            <w:pPr>
              <w:keepNext/>
              <w:keepLines/>
              <w:spacing w:after="0"/>
              <w:ind w:left="22"/>
              <w:jc w:val="center"/>
              <w:rPr>
                <w:rFonts w:ascii="Arial Narrow" w:hAnsi="Arial Narrow" w:cs="Tahoma"/>
                <w:i/>
                <w:iCs/>
                <w:sz w:val="20"/>
              </w:rPr>
            </w:pPr>
            <w:r w:rsidRPr="005C4204">
              <w:rPr>
                <w:rFonts w:ascii="Arial Narrow" w:hAnsi="Arial Narrow" w:cs="Tahoma"/>
                <w:i/>
                <w:iCs/>
                <w:sz w:val="20"/>
              </w:rPr>
              <w:t>0.60 (0.22, 1.65)</w:t>
            </w:r>
          </w:p>
        </w:tc>
      </w:tr>
    </w:tbl>
    <w:p w14:paraId="09CEB137" w14:textId="77777777" w:rsidR="00FB44D6" w:rsidRPr="00FB44D6" w:rsidRDefault="00FB44D6" w:rsidP="00FB44D6">
      <w:pPr>
        <w:widowControl w:val="0"/>
        <w:spacing w:after="240"/>
        <w:contextualSpacing/>
        <w:rPr>
          <w:rFonts w:ascii="Arial Narrow" w:hAnsi="Arial Narrow" w:cs="Arial"/>
          <w:snapToGrid w:val="0"/>
          <w:sz w:val="18"/>
          <w:lang w:eastAsia="en-US"/>
        </w:rPr>
      </w:pPr>
      <w:r w:rsidRPr="00FB44D6">
        <w:rPr>
          <w:rFonts w:ascii="Arial Narrow" w:hAnsi="Arial Narrow" w:cs="Arial"/>
          <w:snapToGrid w:val="0"/>
          <w:sz w:val="18"/>
          <w:lang w:eastAsia="en-US"/>
        </w:rPr>
        <w:t xml:space="preserve">CI = confidence interval, NR = not reported; TAVI-BEV = transcatheter aortic valve implantation with a balloon-expandable valve, SAVR = surgical aortic valve replacement, </w:t>
      </w:r>
    </w:p>
    <w:p w14:paraId="597135FD" w14:textId="77777777" w:rsidR="00FB44D6" w:rsidRPr="00FB44D6" w:rsidRDefault="00FB44D6" w:rsidP="00FB44D6">
      <w:pPr>
        <w:widowControl w:val="0"/>
        <w:spacing w:after="240"/>
        <w:contextualSpacing/>
        <w:rPr>
          <w:rFonts w:ascii="Arial Narrow" w:hAnsi="Arial Narrow" w:cs="Arial"/>
          <w:snapToGrid w:val="0"/>
          <w:sz w:val="18"/>
          <w:lang w:eastAsia="en-US"/>
        </w:rPr>
      </w:pPr>
      <w:r w:rsidRPr="00FB44D6">
        <w:rPr>
          <w:rFonts w:ascii="Arial Narrow" w:hAnsi="Arial Narrow" w:cs="Arial"/>
          <w:b/>
          <w:snapToGrid w:val="0"/>
          <w:sz w:val="18"/>
          <w:lang w:eastAsia="en-US"/>
        </w:rPr>
        <w:t xml:space="preserve">Bold </w:t>
      </w:r>
      <w:r w:rsidRPr="00FB44D6">
        <w:rPr>
          <w:rFonts w:ascii="Arial Narrow" w:hAnsi="Arial Narrow" w:cs="Arial"/>
          <w:snapToGrid w:val="0"/>
          <w:sz w:val="18"/>
          <w:lang w:eastAsia="en-US"/>
        </w:rPr>
        <w:t>= statistically significant at p-value&lt; 0.05</w:t>
      </w:r>
    </w:p>
    <w:p w14:paraId="67310ECA" w14:textId="77777777" w:rsidR="00FB44D6" w:rsidRPr="00FB44D6" w:rsidRDefault="00FB44D6" w:rsidP="00FB44D6">
      <w:pPr>
        <w:widowControl w:val="0"/>
        <w:spacing w:after="240"/>
        <w:contextualSpacing/>
        <w:rPr>
          <w:rFonts w:ascii="Arial Narrow" w:hAnsi="Arial Narrow" w:cs="Arial"/>
          <w:snapToGrid w:val="0"/>
          <w:sz w:val="18"/>
          <w:lang w:eastAsia="en-US"/>
        </w:rPr>
      </w:pPr>
      <w:r w:rsidRPr="00FB44D6">
        <w:rPr>
          <w:rFonts w:ascii="Arial Narrow" w:hAnsi="Arial Narrow" w:cs="Arial"/>
          <w:snapToGrid w:val="0"/>
          <w:sz w:val="18"/>
          <w:vertAlign w:val="superscript"/>
          <w:lang w:eastAsia="en-US"/>
        </w:rPr>
        <w:t>a</w:t>
      </w:r>
      <w:r w:rsidRPr="00FB44D6">
        <w:rPr>
          <w:rFonts w:ascii="Arial Narrow" w:hAnsi="Arial Narrow" w:cs="Arial"/>
          <w:snapToGrid w:val="0"/>
          <w:sz w:val="18"/>
          <w:lang w:eastAsia="en-US"/>
        </w:rPr>
        <w:t xml:space="preserve"> Results at five-year are reported using a propensity score-matched cohort comparison</w:t>
      </w:r>
    </w:p>
    <w:p w14:paraId="0FEE74FA" w14:textId="530BC873" w:rsidR="003915B9" w:rsidRDefault="00FB44D6" w:rsidP="00FB44D6">
      <w:pPr>
        <w:widowControl w:val="0"/>
        <w:spacing w:after="240"/>
        <w:contextualSpacing/>
        <w:rPr>
          <w:rFonts w:ascii="Arial Narrow" w:hAnsi="Arial Narrow" w:cs="Arial"/>
          <w:snapToGrid w:val="0"/>
          <w:sz w:val="18"/>
          <w:lang w:eastAsia="en-US"/>
        </w:rPr>
      </w:pPr>
      <w:r w:rsidRPr="00FB44D6">
        <w:rPr>
          <w:rFonts w:ascii="Arial Narrow" w:hAnsi="Arial Narrow" w:cs="Arial"/>
          <w:snapToGrid w:val="0"/>
          <w:sz w:val="18"/>
          <w:lang w:eastAsia="en-US"/>
        </w:rPr>
        <w:t>Source: Constructed during evaluation from Section B of this commentary (1635), Section B of the 1603 commentary for TAVI-BEV i</w:t>
      </w:r>
      <w:r w:rsidR="00644391">
        <w:rPr>
          <w:rFonts w:ascii="Arial Narrow" w:hAnsi="Arial Narrow" w:cs="Arial"/>
          <w:snapToGrid w:val="0"/>
          <w:sz w:val="18"/>
          <w:lang w:eastAsia="en-US"/>
        </w:rPr>
        <w:t>n intermediate-risk patients, p</w:t>
      </w:r>
      <w:r w:rsidRPr="00FB44D6">
        <w:rPr>
          <w:rFonts w:ascii="Arial Narrow" w:hAnsi="Arial Narrow" w:cs="Arial"/>
          <w:snapToGrid w:val="0"/>
          <w:sz w:val="18"/>
          <w:lang w:eastAsia="en-US"/>
        </w:rPr>
        <w:t>7 of the pre-MSAC response for 1603</w:t>
      </w:r>
      <w:r w:rsidRPr="00FB44D6">
        <w:rPr>
          <w:rFonts w:ascii="Arial Narrow" w:hAnsi="Arial Narrow" w:cs="Arial"/>
          <w:snapToGrid w:val="0"/>
          <w:color w:val="1F497D"/>
          <w:sz w:val="22"/>
          <w:lang w:eastAsia="en-US"/>
        </w:rPr>
        <w:t>,</w:t>
      </w:r>
      <w:r w:rsidRPr="00FB44D6">
        <w:rPr>
          <w:rFonts w:ascii="Arial Narrow" w:hAnsi="Arial Narrow" w:cs="Arial"/>
          <w:snapToGrid w:val="0"/>
          <w:sz w:val="18"/>
          <w:lang w:eastAsia="en-US"/>
        </w:rPr>
        <w:t xml:space="preserve"> and Table 2, p9 of the 1603 ESC report</w:t>
      </w:r>
    </w:p>
    <w:p w14:paraId="4A0A4E85" w14:textId="77777777" w:rsidR="003915B9" w:rsidRPr="00FB44D6" w:rsidRDefault="003915B9" w:rsidP="00FB44D6">
      <w:pPr>
        <w:widowControl w:val="0"/>
        <w:spacing w:after="240"/>
        <w:contextualSpacing/>
        <w:rPr>
          <w:rFonts w:ascii="Arial Narrow" w:hAnsi="Arial Narrow" w:cs="Arial"/>
          <w:snapToGrid w:val="0"/>
          <w:sz w:val="18"/>
          <w:lang w:eastAsia="en-US"/>
        </w:rPr>
        <w:sectPr w:rsidR="003915B9" w:rsidRPr="00FB44D6" w:rsidSect="00320217">
          <w:pgSz w:w="16838" w:h="11906" w:orient="landscape"/>
          <w:pgMar w:top="1440" w:right="1440" w:bottom="1440" w:left="1440" w:header="720" w:footer="720" w:gutter="0"/>
          <w:cols w:space="720"/>
          <w:docGrid w:linePitch="299"/>
        </w:sectPr>
      </w:pPr>
    </w:p>
    <w:p w14:paraId="08732AE6" w14:textId="1201D7D0" w:rsidR="008C522C" w:rsidRPr="008C522C" w:rsidRDefault="008C522C" w:rsidP="008C522C">
      <w:pPr>
        <w:keepNext/>
        <w:spacing w:after="40"/>
        <w:jc w:val="both"/>
        <w:outlineLvl w:val="4"/>
        <w:rPr>
          <w:rFonts w:ascii="Arial Narrow" w:hAnsi="Arial Narrow" w:cs="Arial"/>
          <w:b/>
          <w:bCs/>
          <w:iCs/>
          <w:sz w:val="20"/>
          <w:lang w:eastAsia="en-US"/>
        </w:rPr>
      </w:pPr>
      <w:bookmarkStart w:id="3" w:name="_Ref66272816"/>
      <w:r w:rsidRPr="008C522C">
        <w:rPr>
          <w:rFonts w:ascii="Arial Narrow" w:hAnsi="Arial Narrow" w:cs="Arial"/>
          <w:b/>
          <w:bCs/>
          <w:iCs/>
          <w:sz w:val="20"/>
          <w:lang w:eastAsia="en-US"/>
        </w:rPr>
        <w:lastRenderedPageBreak/>
        <w:t xml:space="preserve">Table </w:t>
      </w:r>
      <w:r w:rsidRPr="008C522C">
        <w:rPr>
          <w:rFonts w:ascii="Arial Narrow" w:hAnsi="Arial Narrow" w:cs="Arial"/>
          <w:b/>
          <w:bCs/>
          <w:iCs/>
          <w:sz w:val="20"/>
          <w:lang w:eastAsia="en-US"/>
        </w:rPr>
        <w:fldChar w:fldCharType="begin"/>
      </w:r>
      <w:r w:rsidRPr="008C522C">
        <w:rPr>
          <w:rFonts w:ascii="Arial Narrow" w:hAnsi="Arial Narrow" w:cs="Arial"/>
          <w:b/>
          <w:bCs/>
          <w:iCs/>
          <w:sz w:val="20"/>
          <w:lang w:eastAsia="en-US"/>
        </w:rPr>
        <w:instrText xml:space="preserve"> SEQ Table \* ARABIC </w:instrText>
      </w:r>
      <w:r w:rsidRPr="008C522C">
        <w:rPr>
          <w:rFonts w:ascii="Arial Narrow" w:hAnsi="Arial Narrow" w:cs="Arial"/>
          <w:b/>
          <w:bCs/>
          <w:iCs/>
          <w:sz w:val="20"/>
          <w:lang w:eastAsia="en-US"/>
        </w:rPr>
        <w:fldChar w:fldCharType="separate"/>
      </w:r>
      <w:r w:rsidR="003D2F4E">
        <w:rPr>
          <w:rFonts w:ascii="Arial Narrow" w:hAnsi="Arial Narrow" w:cs="Arial"/>
          <w:b/>
          <w:bCs/>
          <w:iCs/>
          <w:noProof/>
          <w:sz w:val="20"/>
          <w:lang w:eastAsia="en-US"/>
        </w:rPr>
        <w:t>2</w:t>
      </w:r>
      <w:r w:rsidRPr="008C522C">
        <w:rPr>
          <w:rFonts w:ascii="Arial Narrow" w:hAnsi="Arial Narrow" w:cs="Arial"/>
          <w:b/>
          <w:bCs/>
          <w:iCs/>
          <w:noProof/>
          <w:sz w:val="20"/>
          <w:lang w:eastAsia="en-US"/>
        </w:rPr>
        <w:fldChar w:fldCharType="end"/>
      </w:r>
      <w:bookmarkEnd w:id="3"/>
      <w:r w:rsidRPr="008C522C">
        <w:rPr>
          <w:rFonts w:ascii="Arial Narrow" w:hAnsi="Arial Narrow" w:cs="Tahoma"/>
          <w:iCs/>
          <w:sz w:val="20"/>
          <w:szCs w:val="22"/>
          <w:lang w:eastAsia="en-US"/>
        </w:rPr>
        <w:tab/>
      </w:r>
      <w:r w:rsidRPr="008C522C">
        <w:rPr>
          <w:rFonts w:ascii="Arial Narrow" w:hAnsi="Arial Narrow" w:cs="Arial"/>
          <w:b/>
          <w:bCs/>
          <w:iCs/>
          <w:sz w:val="20"/>
          <w:lang w:eastAsia="en-US"/>
        </w:rPr>
        <w:t>Comparison of economic evaluations between TAVI-BEV for low-risk patients (MSAC 1635), TAVI-BEV for intermediate-risk patients (MSAC 1603) and TAVI for high-risk patients (MSAC 1361 and resubmission 1361.2)</w:t>
      </w:r>
    </w:p>
    <w:tbl>
      <w:tblPr>
        <w:tblStyle w:val="HealthConsult4"/>
        <w:tblW w:w="5000" w:type="pct"/>
        <w:tblCellMar>
          <w:left w:w="28" w:type="dxa"/>
          <w:right w:w="28" w:type="dxa"/>
        </w:tblCellMar>
        <w:tblLook w:val="04A0" w:firstRow="1" w:lastRow="0" w:firstColumn="1" w:lastColumn="0" w:noHBand="0" w:noVBand="1"/>
        <w:tblDescription w:val="Comparison of economic evaluations between TAVI-BEV for low-risk patients (MSAC 1635), TAVI-BEV for intermediate-risk patients (MSAC 1603) and TAVI for high-risk patients (MSAC 1361 and resubmission 1361.2)"/>
      </w:tblPr>
      <w:tblGrid>
        <w:gridCol w:w="1879"/>
        <w:gridCol w:w="4125"/>
        <w:gridCol w:w="4125"/>
        <w:gridCol w:w="4125"/>
      </w:tblGrid>
      <w:tr w:rsidR="008C522C" w:rsidRPr="008C522C" w14:paraId="75326DDF" w14:textId="77777777" w:rsidTr="003915B9">
        <w:trPr>
          <w:trHeight w:val="18"/>
          <w:tblHeader/>
        </w:trPr>
        <w:tc>
          <w:tcPr>
            <w:tcW w:w="659" w:type="pct"/>
          </w:tcPr>
          <w:p w14:paraId="45416038" w14:textId="77777777" w:rsidR="008C522C" w:rsidRPr="008C522C" w:rsidRDefault="008C522C" w:rsidP="003915B9">
            <w:pPr>
              <w:widowControl w:val="0"/>
              <w:spacing w:after="0"/>
              <w:ind w:left="-30"/>
              <w:rPr>
                <w:rFonts w:ascii="Arial Narrow" w:hAnsi="Arial Narrow" w:cs="Tahoma"/>
                <w:b/>
                <w:bCs/>
                <w:sz w:val="20"/>
              </w:rPr>
            </w:pPr>
            <w:r w:rsidRPr="008C522C">
              <w:rPr>
                <w:rFonts w:ascii="Arial Narrow" w:hAnsi="Arial Narrow" w:cs="Tahoma"/>
                <w:b/>
                <w:bCs/>
                <w:sz w:val="20"/>
              </w:rPr>
              <w:t>Application</w:t>
            </w:r>
          </w:p>
        </w:tc>
        <w:tc>
          <w:tcPr>
            <w:tcW w:w="1447" w:type="pct"/>
          </w:tcPr>
          <w:p w14:paraId="781513B1" w14:textId="77777777" w:rsidR="008C522C" w:rsidRPr="008C522C" w:rsidRDefault="008C522C" w:rsidP="003915B9">
            <w:pPr>
              <w:widowControl w:val="0"/>
              <w:spacing w:after="0"/>
              <w:ind w:left="38" w:firstLine="3"/>
              <w:rPr>
                <w:rFonts w:ascii="Arial Narrow" w:hAnsi="Arial Narrow" w:cs="Tahoma"/>
                <w:b/>
                <w:bCs/>
                <w:sz w:val="20"/>
              </w:rPr>
            </w:pPr>
            <w:r w:rsidRPr="008C522C">
              <w:rPr>
                <w:rFonts w:ascii="Arial Narrow" w:hAnsi="Arial Narrow" w:cs="Tahoma"/>
                <w:b/>
                <w:bCs/>
                <w:sz w:val="20"/>
              </w:rPr>
              <w:t>MSAC 1635 (Current)</w:t>
            </w:r>
          </w:p>
        </w:tc>
        <w:tc>
          <w:tcPr>
            <w:tcW w:w="1447" w:type="pct"/>
          </w:tcPr>
          <w:p w14:paraId="5BA154DA" w14:textId="77777777" w:rsidR="008C522C" w:rsidRPr="008C522C" w:rsidRDefault="008C522C" w:rsidP="003915B9">
            <w:pPr>
              <w:widowControl w:val="0"/>
              <w:spacing w:after="0"/>
              <w:ind w:left="38" w:firstLine="3"/>
              <w:rPr>
                <w:rFonts w:ascii="Arial Narrow" w:hAnsi="Arial Narrow" w:cs="Tahoma"/>
                <w:b/>
                <w:bCs/>
                <w:sz w:val="20"/>
              </w:rPr>
            </w:pPr>
            <w:r w:rsidRPr="008C522C">
              <w:rPr>
                <w:rFonts w:ascii="Arial Narrow" w:hAnsi="Arial Narrow" w:cs="Tahoma"/>
                <w:b/>
                <w:bCs/>
                <w:sz w:val="20"/>
              </w:rPr>
              <w:t>MSAC1603 (November 2020)</w:t>
            </w:r>
          </w:p>
        </w:tc>
        <w:tc>
          <w:tcPr>
            <w:tcW w:w="1447" w:type="pct"/>
          </w:tcPr>
          <w:p w14:paraId="57410A3B" w14:textId="77777777" w:rsidR="008C522C" w:rsidRPr="008C522C" w:rsidRDefault="008C522C" w:rsidP="003915B9">
            <w:pPr>
              <w:widowControl w:val="0"/>
              <w:spacing w:after="0"/>
              <w:ind w:left="38" w:firstLine="3"/>
              <w:rPr>
                <w:rFonts w:ascii="Arial Narrow" w:hAnsi="Arial Narrow" w:cs="Tahoma"/>
                <w:b/>
                <w:bCs/>
                <w:sz w:val="20"/>
              </w:rPr>
            </w:pPr>
            <w:r w:rsidRPr="008C522C">
              <w:rPr>
                <w:rFonts w:ascii="Arial Narrow" w:hAnsi="Arial Narrow" w:cs="Tahoma"/>
                <w:b/>
                <w:bCs/>
                <w:sz w:val="20"/>
              </w:rPr>
              <w:t>MSAC 1361.2 (March 2016)</w:t>
            </w:r>
          </w:p>
        </w:tc>
      </w:tr>
      <w:tr w:rsidR="008C522C" w:rsidRPr="008C522C" w14:paraId="1AC98CE0" w14:textId="77777777" w:rsidTr="003915B9">
        <w:trPr>
          <w:trHeight w:val="18"/>
        </w:trPr>
        <w:tc>
          <w:tcPr>
            <w:tcW w:w="659" w:type="pct"/>
          </w:tcPr>
          <w:p w14:paraId="2AADE831" w14:textId="77777777" w:rsidR="008C522C" w:rsidRPr="00524471" w:rsidRDefault="008C522C" w:rsidP="003915B9">
            <w:pPr>
              <w:widowControl w:val="0"/>
              <w:spacing w:after="0"/>
              <w:ind w:left="-30"/>
              <w:rPr>
                <w:rFonts w:ascii="Arial Narrow" w:hAnsi="Arial Narrow" w:cs="Tahoma"/>
                <w:sz w:val="20"/>
              </w:rPr>
            </w:pPr>
            <w:r w:rsidRPr="00524471">
              <w:rPr>
                <w:rFonts w:ascii="Arial Narrow" w:hAnsi="Arial Narrow" w:cs="Tahoma"/>
                <w:sz w:val="20"/>
              </w:rPr>
              <w:t>Intervention</w:t>
            </w:r>
          </w:p>
        </w:tc>
        <w:tc>
          <w:tcPr>
            <w:tcW w:w="1447" w:type="pct"/>
          </w:tcPr>
          <w:p w14:paraId="6CB17418"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TAVI-BEV</w:t>
            </w:r>
          </w:p>
        </w:tc>
        <w:tc>
          <w:tcPr>
            <w:tcW w:w="1447" w:type="pct"/>
          </w:tcPr>
          <w:p w14:paraId="6EBFA3D1"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TAVI-BEV</w:t>
            </w:r>
          </w:p>
        </w:tc>
        <w:tc>
          <w:tcPr>
            <w:tcW w:w="1447" w:type="pct"/>
          </w:tcPr>
          <w:p w14:paraId="48FC86BB"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TAVI-BEV-and TAVI-SEV</w:t>
            </w:r>
          </w:p>
        </w:tc>
      </w:tr>
      <w:tr w:rsidR="008C522C" w:rsidRPr="008C522C" w14:paraId="6BDA7A6E" w14:textId="77777777" w:rsidTr="003915B9">
        <w:trPr>
          <w:trHeight w:val="18"/>
        </w:trPr>
        <w:tc>
          <w:tcPr>
            <w:tcW w:w="659" w:type="pct"/>
          </w:tcPr>
          <w:p w14:paraId="412E3827" w14:textId="77777777" w:rsidR="008C522C" w:rsidRPr="00524471" w:rsidRDefault="008C522C" w:rsidP="003915B9">
            <w:pPr>
              <w:widowControl w:val="0"/>
              <w:spacing w:after="0"/>
              <w:ind w:left="-30"/>
              <w:rPr>
                <w:rFonts w:ascii="Arial Narrow" w:hAnsi="Arial Narrow" w:cs="Tahoma"/>
                <w:sz w:val="20"/>
              </w:rPr>
            </w:pPr>
            <w:r w:rsidRPr="00524471">
              <w:rPr>
                <w:rFonts w:ascii="Arial Narrow" w:hAnsi="Arial Narrow" w:cs="Tahoma"/>
                <w:sz w:val="20"/>
              </w:rPr>
              <w:t>Patient population</w:t>
            </w:r>
          </w:p>
        </w:tc>
        <w:tc>
          <w:tcPr>
            <w:tcW w:w="1447" w:type="pct"/>
          </w:tcPr>
          <w:p w14:paraId="252D14A6" w14:textId="411EB281"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Low-risk patients as determined by Heart Team</w:t>
            </w:r>
          </w:p>
        </w:tc>
        <w:tc>
          <w:tcPr>
            <w:tcW w:w="1447" w:type="pct"/>
          </w:tcPr>
          <w:p w14:paraId="4D7DEE09" w14:textId="4EC36BE1" w:rsidR="008C522C" w:rsidRPr="00524471" w:rsidRDefault="008C522C" w:rsidP="00B31CC9">
            <w:pPr>
              <w:widowControl w:val="0"/>
              <w:spacing w:after="0"/>
              <w:ind w:left="38" w:firstLine="3"/>
              <w:rPr>
                <w:rFonts w:ascii="Arial Narrow" w:hAnsi="Arial Narrow" w:cs="Tahoma"/>
                <w:sz w:val="20"/>
              </w:rPr>
            </w:pPr>
            <w:r w:rsidRPr="00524471">
              <w:rPr>
                <w:rFonts w:ascii="Arial Narrow" w:hAnsi="Arial Narrow" w:cs="Tahoma"/>
                <w:sz w:val="20"/>
              </w:rPr>
              <w:t xml:space="preserve">Intermediate risk patients as determined by Heart Team </w:t>
            </w:r>
          </w:p>
        </w:tc>
        <w:tc>
          <w:tcPr>
            <w:tcW w:w="1447" w:type="pct"/>
          </w:tcPr>
          <w:p w14:paraId="73219EEA"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 xml:space="preserve">High-risk and inoperable patients (not described) </w:t>
            </w:r>
          </w:p>
        </w:tc>
      </w:tr>
      <w:tr w:rsidR="008C522C" w:rsidRPr="008C522C" w14:paraId="1C9735EB" w14:textId="77777777" w:rsidTr="003915B9">
        <w:trPr>
          <w:trHeight w:val="18"/>
        </w:trPr>
        <w:tc>
          <w:tcPr>
            <w:tcW w:w="659" w:type="pct"/>
          </w:tcPr>
          <w:p w14:paraId="3797BEE1" w14:textId="77777777" w:rsidR="008C522C" w:rsidRPr="00524471" w:rsidRDefault="008C522C" w:rsidP="003915B9">
            <w:pPr>
              <w:widowControl w:val="0"/>
              <w:spacing w:after="0"/>
              <w:ind w:left="-30"/>
              <w:rPr>
                <w:rFonts w:ascii="Arial Narrow" w:hAnsi="Arial Narrow" w:cs="Tahoma"/>
                <w:sz w:val="20"/>
              </w:rPr>
            </w:pPr>
            <w:r w:rsidRPr="00524471">
              <w:rPr>
                <w:rFonts w:ascii="Arial Narrow" w:hAnsi="Arial Narrow" w:cs="Tahoma"/>
                <w:sz w:val="20"/>
              </w:rPr>
              <w:t xml:space="preserve">Comparator </w:t>
            </w:r>
          </w:p>
        </w:tc>
        <w:tc>
          <w:tcPr>
            <w:tcW w:w="1447" w:type="pct"/>
          </w:tcPr>
          <w:p w14:paraId="53828D63"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SAVR and TAVI-SEV</w:t>
            </w:r>
          </w:p>
        </w:tc>
        <w:tc>
          <w:tcPr>
            <w:tcW w:w="1447" w:type="pct"/>
          </w:tcPr>
          <w:p w14:paraId="5276EC06"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SAVR and TAVI-SEV</w:t>
            </w:r>
          </w:p>
        </w:tc>
        <w:tc>
          <w:tcPr>
            <w:tcW w:w="1447" w:type="pct"/>
          </w:tcPr>
          <w:p w14:paraId="374992F3"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 xml:space="preserve">SAVR and medical management </w:t>
            </w:r>
          </w:p>
        </w:tc>
      </w:tr>
      <w:tr w:rsidR="008C522C" w:rsidRPr="008C522C" w14:paraId="2CB7B7C8" w14:textId="77777777" w:rsidTr="003915B9">
        <w:trPr>
          <w:trHeight w:val="722"/>
        </w:trPr>
        <w:tc>
          <w:tcPr>
            <w:tcW w:w="659" w:type="pct"/>
          </w:tcPr>
          <w:p w14:paraId="6FFC3057" w14:textId="77777777" w:rsidR="008C522C" w:rsidRPr="00524471" w:rsidRDefault="008C522C" w:rsidP="003915B9">
            <w:pPr>
              <w:widowControl w:val="0"/>
              <w:spacing w:after="0"/>
              <w:ind w:left="-30"/>
              <w:rPr>
                <w:rFonts w:ascii="Arial Narrow" w:hAnsi="Arial Narrow" w:cs="Tahoma"/>
                <w:sz w:val="20"/>
              </w:rPr>
            </w:pPr>
            <w:r w:rsidRPr="00524471">
              <w:rPr>
                <w:rFonts w:ascii="Arial Narrow" w:hAnsi="Arial Narrow" w:cs="Tahoma"/>
                <w:sz w:val="20"/>
              </w:rPr>
              <w:t>Clinical evidence used for the economic model</w:t>
            </w:r>
          </w:p>
        </w:tc>
        <w:tc>
          <w:tcPr>
            <w:tcW w:w="1447" w:type="pct"/>
          </w:tcPr>
          <w:p w14:paraId="38D76DBF" w14:textId="51F8BFDD" w:rsidR="008C522C" w:rsidRPr="000D0E9A" w:rsidRDefault="0007101C" w:rsidP="00E90A7C">
            <w:pPr>
              <w:widowControl w:val="0"/>
              <w:spacing w:after="0"/>
              <w:ind w:left="38" w:firstLine="3"/>
              <w:rPr>
                <w:rFonts w:ascii="Arial Narrow" w:hAnsi="Arial Narrow" w:cs="Tahoma"/>
                <w:sz w:val="20"/>
                <w:highlight w:val="yellow"/>
              </w:rPr>
            </w:pPr>
            <w:r w:rsidRPr="001E7A3D">
              <w:rPr>
                <w:rFonts w:ascii="Arial Narrow" w:hAnsi="Arial Narrow" w:cs="Tahoma"/>
                <w:b/>
                <w:sz w:val="20"/>
              </w:rPr>
              <w:t>R</w:t>
            </w:r>
            <w:r w:rsidR="0003374F" w:rsidRPr="001E7A3D">
              <w:rPr>
                <w:rFonts w:ascii="Arial Narrow" w:hAnsi="Arial Narrow" w:cs="Tahoma"/>
                <w:b/>
                <w:sz w:val="20"/>
              </w:rPr>
              <w:t>edacted</w:t>
            </w:r>
          </w:p>
        </w:tc>
        <w:tc>
          <w:tcPr>
            <w:tcW w:w="1447" w:type="pct"/>
          </w:tcPr>
          <w:p w14:paraId="3B9A00D8"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1-year outcomes from PARTNER 3Si</w:t>
            </w:r>
          </w:p>
        </w:tc>
        <w:tc>
          <w:tcPr>
            <w:tcW w:w="1447" w:type="pct"/>
          </w:tcPr>
          <w:p w14:paraId="1E1F2AC0"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5-year data from the PARTNER trial. The numerically different overall survival estimates following TAVI and SAVR were not statistically significantly</w:t>
            </w:r>
          </w:p>
        </w:tc>
      </w:tr>
      <w:tr w:rsidR="008C522C" w:rsidRPr="008C522C" w14:paraId="21F85CB4" w14:textId="77777777" w:rsidTr="003915B9">
        <w:trPr>
          <w:trHeight w:val="18"/>
        </w:trPr>
        <w:tc>
          <w:tcPr>
            <w:tcW w:w="659" w:type="pct"/>
          </w:tcPr>
          <w:p w14:paraId="1F1237B2" w14:textId="77777777" w:rsidR="008C522C" w:rsidRPr="00524471" w:rsidRDefault="008C522C" w:rsidP="003915B9">
            <w:pPr>
              <w:widowControl w:val="0"/>
              <w:spacing w:after="0"/>
              <w:ind w:left="-30"/>
              <w:rPr>
                <w:rFonts w:ascii="Arial Narrow" w:hAnsi="Arial Narrow" w:cs="Tahoma"/>
                <w:sz w:val="20"/>
              </w:rPr>
            </w:pPr>
            <w:r w:rsidRPr="00524471">
              <w:rPr>
                <w:rFonts w:ascii="Arial Narrow" w:hAnsi="Arial Narrow" w:cs="Tahoma"/>
                <w:sz w:val="20"/>
              </w:rPr>
              <w:t>Clinical claim</w:t>
            </w:r>
          </w:p>
        </w:tc>
        <w:tc>
          <w:tcPr>
            <w:tcW w:w="1447" w:type="pct"/>
          </w:tcPr>
          <w:p w14:paraId="18EF5872" w14:textId="77777777" w:rsidR="008C522C" w:rsidRPr="00CF5548" w:rsidRDefault="008C522C" w:rsidP="003915B9">
            <w:pPr>
              <w:widowControl w:val="0"/>
              <w:spacing w:after="0"/>
              <w:ind w:left="38" w:firstLine="3"/>
              <w:rPr>
                <w:rFonts w:ascii="Arial Narrow" w:hAnsi="Arial Narrow" w:cs="Tahoma"/>
                <w:sz w:val="20"/>
              </w:rPr>
            </w:pPr>
            <w:r w:rsidRPr="00CF5548">
              <w:rPr>
                <w:rFonts w:ascii="Arial Narrow" w:hAnsi="Arial Narrow" w:cs="Tahoma"/>
                <w:sz w:val="20"/>
              </w:rPr>
              <w:t xml:space="preserve">Superior effectiveness </w:t>
            </w:r>
            <w:r w:rsidRPr="00CF5548">
              <w:rPr>
                <w:rFonts w:ascii="Arial Narrow" w:hAnsi="Arial Narrow" w:cs="Tahoma"/>
                <w:i/>
                <w:sz w:val="20"/>
              </w:rPr>
              <w:t>vs.</w:t>
            </w:r>
            <w:r w:rsidRPr="00CF5548">
              <w:rPr>
                <w:rFonts w:ascii="Arial Narrow" w:hAnsi="Arial Narrow" w:cs="Tahoma"/>
                <w:sz w:val="20"/>
              </w:rPr>
              <w:t xml:space="preserve"> SAVR (composite outcome: death, stroke, rehospitalisation at 1-year)</w:t>
            </w:r>
          </w:p>
          <w:p w14:paraId="3120CA68" w14:textId="77777777" w:rsidR="008C522C" w:rsidRPr="00CF5548" w:rsidRDefault="008C522C" w:rsidP="003915B9">
            <w:pPr>
              <w:widowControl w:val="0"/>
              <w:spacing w:after="0"/>
              <w:ind w:left="38" w:firstLine="3"/>
              <w:rPr>
                <w:rFonts w:ascii="Arial Narrow" w:hAnsi="Arial Narrow" w:cs="Tahoma"/>
                <w:sz w:val="20"/>
              </w:rPr>
            </w:pPr>
            <w:r w:rsidRPr="00CF5548">
              <w:rPr>
                <w:rFonts w:ascii="Arial Narrow" w:hAnsi="Arial Narrow" w:cs="Tahoma"/>
                <w:sz w:val="20"/>
              </w:rPr>
              <w:t xml:space="preserve">No claim </w:t>
            </w:r>
            <w:r w:rsidRPr="00CF5548">
              <w:rPr>
                <w:rFonts w:ascii="Arial Narrow" w:hAnsi="Arial Narrow" w:cs="Tahoma"/>
                <w:i/>
                <w:sz w:val="20"/>
              </w:rPr>
              <w:t>vs.</w:t>
            </w:r>
            <w:r w:rsidRPr="00CF5548">
              <w:rPr>
                <w:rFonts w:ascii="Arial Narrow" w:hAnsi="Arial Narrow" w:cs="Tahoma"/>
                <w:sz w:val="20"/>
              </w:rPr>
              <w:t xml:space="preserve"> TAVI-SEV</w:t>
            </w:r>
          </w:p>
        </w:tc>
        <w:tc>
          <w:tcPr>
            <w:tcW w:w="1447" w:type="pct"/>
          </w:tcPr>
          <w:p w14:paraId="5201CC13"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 xml:space="preserve">Superior effectiveness </w:t>
            </w:r>
            <w:r w:rsidRPr="00524471">
              <w:rPr>
                <w:rFonts w:ascii="Arial Narrow" w:hAnsi="Arial Narrow" w:cs="Tahoma"/>
                <w:i/>
                <w:sz w:val="20"/>
              </w:rPr>
              <w:t>vs</w:t>
            </w:r>
            <w:r w:rsidRPr="00524471">
              <w:rPr>
                <w:rFonts w:ascii="Arial Narrow" w:hAnsi="Arial Narrow" w:cs="Tahoma"/>
                <w:sz w:val="20"/>
              </w:rPr>
              <w:t xml:space="preserve">. SAVR (composite outcome: death, </w:t>
            </w:r>
            <w:r w:rsidRPr="00524471">
              <w:rPr>
                <w:rFonts w:ascii="Arial Narrow" w:hAnsi="Arial Narrow" w:cs="Tahoma"/>
                <w:sz w:val="20"/>
                <w:u w:val="single"/>
              </w:rPr>
              <w:t>disablin</w:t>
            </w:r>
            <w:r w:rsidRPr="00524471">
              <w:rPr>
                <w:rFonts w:ascii="Arial Narrow" w:hAnsi="Arial Narrow" w:cs="Tahoma"/>
                <w:sz w:val="20"/>
              </w:rPr>
              <w:t>g stroke, aortic regurgitation)</w:t>
            </w:r>
          </w:p>
          <w:p w14:paraId="29FEDC01"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 xml:space="preserve">No claim </w:t>
            </w:r>
            <w:r w:rsidRPr="00524471">
              <w:rPr>
                <w:rFonts w:ascii="Arial Narrow" w:hAnsi="Arial Narrow" w:cs="Tahoma"/>
                <w:i/>
                <w:sz w:val="20"/>
              </w:rPr>
              <w:t>vs.</w:t>
            </w:r>
            <w:r w:rsidRPr="00524471">
              <w:rPr>
                <w:rFonts w:ascii="Arial Narrow" w:hAnsi="Arial Narrow" w:cs="Tahoma"/>
                <w:sz w:val="20"/>
              </w:rPr>
              <w:t xml:space="preserve"> TAVI-SEV</w:t>
            </w:r>
          </w:p>
        </w:tc>
        <w:tc>
          <w:tcPr>
            <w:tcW w:w="1447" w:type="pct"/>
          </w:tcPr>
          <w:p w14:paraId="314AE9CE"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Superior safety and clinical effectiveness for TAVI versus SAVR</w:t>
            </w:r>
          </w:p>
        </w:tc>
      </w:tr>
      <w:tr w:rsidR="008C522C" w:rsidRPr="008C522C" w14:paraId="73E113CF" w14:textId="77777777" w:rsidTr="003915B9">
        <w:trPr>
          <w:trHeight w:val="1692"/>
        </w:trPr>
        <w:tc>
          <w:tcPr>
            <w:tcW w:w="659" w:type="pct"/>
          </w:tcPr>
          <w:p w14:paraId="50092933" w14:textId="77777777" w:rsidR="008C522C" w:rsidRPr="00524471" w:rsidRDefault="008C522C" w:rsidP="003915B9">
            <w:pPr>
              <w:widowControl w:val="0"/>
              <w:spacing w:after="0"/>
              <w:ind w:left="-30"/>
              <w:rPr>
                <w:rFonts w:ascii="Arial Narrow" w:hAnsi="Arial Narrow" w:cs="Tahoma"/>
                <w:sz w:val="20"/>
              </w:rPr>
            </w:pPr>
            <w:r w:rsidRPr="00524471">
              <w:rPr>
                <w:rFonts w:ascii="Arial Narrow" w:hAnsi="Arial Narrow" w:cs="Tahoma"/>
                <w:sz w:val="20"/>
              </w:rPr>
              <w:t>Health states</w:t>
            </w:r>
          </w:p>
        </w:tc>
        <w:tc>
          <w:tcPr>
            <w:tcW w:w="1447" w:type="pct"/>
          </w:tcPr>
          <w:p w14:paraId="1003FC23" w14:textId="53761B4F" w:rsidR="008C522C" w:rsidRPr="00D20EA6" w:rsidRDefault="0026456D" w:rsidP="00E90A7C">
            <w:pPr>
              <w:widowControl w:val="0"/>
              <w:spacing w:after="0"/>
              <w:ind w:left="38" w:firstLine="3"/>
              <w:rPr>
                <w:rFonts w:ascii="Arial Narrow" w:hAnsi="Arial Narrow" w:cs="Tahoma"/>
                <w:sz w:val="20"/>
              </w:rPr>
            </w:pPr>
            <w:r w:rsidRPr="00D20EA6">
              <w:rPr>
                <w:rFonts w:ascii="Arial Narrow" w:hAnsi="Arial Narrow" w:cs="Tahoma"/>
                <w:b/>
                <w:sz w:val="20"/>
              </w:rPr>
              <w:t>redacted</w:t>
            </w:r>
            <w:r w:rsidR="008C522C" w:rsidRPr="00D20EA6">
              <w:rPr>
                <w:rFonts w:ascii="Arial Narrow" w:hAnsi="Arial Narrow" w:cs="Tahoma"/>
                <w:sz w:val="20"/>
              </w:rPr>
              <w:t xml:space="preserve"> </w:t>
            </w:r>
          </w:p>
        </w:tc>
        <w:tc>
          <w:tcPr>
            <w:tcW w:w="1447" w:type="pct"/>
          </w:tcPr>
          <w:p w14:paraId="03EC779A"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3 states</w:t>
            </w:r>
          </w:p>
          <w:p w14:paraId="21B4FADB" w14:textId="77777777" w:rsidR="008C522C" w:rsidRPr="00524471" w:rsidRDefault="008C522C" w:rsidP="003915B9">
            <w:pPr>
              <w:widowControl w:val="0"/>
              <w:numPr>
                <w:ilvl w:val="0"/>
                <w:numId w:val="29"/>
              </w:numPr>
              <w:spacing w:after="0"/>
              <w:contextualSpacing/>
              <w:rPr>
                <w:rFonts w:ascii="Arial Narrow" w:hAnsi="Arial Narrow" w:cs="Tahoma"/>
                <w:sz w:val="20"/>
              </w:rPr>
            </w:pPr>
            <w:r w:rsidRPr="00524471">
              <w:rPr>
                <w:rFonts w:ascii="Arial Narrow" w:hAnsi="Arial Narrow" w:cs="Tahoma"/>
                <w:sz w:val="20"/>
              </w:rPr>
              <w:t>Alive, no disabling stroke</w:t>
            </w:r>
          </w:p>
          <w:p w14:paraId="370867F8" w14:textId="77777777" w:rsidR="008C522C" w:rsidRPr="00524471" w:rsidRDefault="008C522C" w:rsidP="003915B9">
            <w:pPr>
              <w:widowControl w:val="0"/>
              <w:numPr>
                <w:ilvl w:val="0"/>
                <w:numId w:val="29"/>
              </w:numPr>
              <w:spacing w:after="0"/>
              <w:contextualSpacing/>
              <w:rPr>
                <w:rFonts w:ascii="Arial Narrow" w:hAnsi="Arial Narrow" w:cs="Tahoma"/>
                <w:sz w:val="20"/>
              </w:rPr>
            </w:pPr>
            <w:r w:rsidRPr="00524471">
              <w:rPr>
                <w:rFonts w:ascii="Arial Narrow" w:hAnsi="Arial Narrow" w:cs="Tahoma"/>
                <w:sz w:val="20"/>
              </w:rPr>
              <w:t>Alive, disabling stroke</w:t>
            </w:r>
          </w:p>
          <w:p w14:paraId="588968B6" w14:textId="77777777" w:rsidR="008C522C" w:rsidRPr="00524471" w:rsidRDefault="008C522C" w:rsidP="003915B9">
            <w:pPr>
              <w:widowControl w:val="0"/>
              <w:numPr>
                <w:ilvl w:val="0"/>
                <w:numId w:val="29"/>
              </w:numPr>
              <w:spacing w:after="0"/>
              <w:contextualSpacing/>
              <w:rPr>
                <w:rFonts w:ascii="Arial Narrow" w:hAnsi="Arial Narrow" w:cs="Tahoma"/>
                <w:sz w:val="20"/>
              </w:rPr>
            </w:pPr>
            <w:r w:rsidRPr="00524471">
              <w:rPr>
                <w:rFonts w:ascii="Arial Narrow" w:hAnsi="Arial Narrow" w:cs="Tahoma"/>
                <w:sz w:val="20"/>
              </w:rPr>
              <w:t>Dead</w:t>
            </w:r>
          </w:p>
          <w:p w14:paraId="2A83033B"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 xml:space="preserve">The model adjusted for baseline cerebrovascular disease (9.4%) to account for the likelihood that patients have had a prior stroke. </w:t>
            </w:r>
          </w:p>
        </w:tc>
        <w:tc>
          <w:tcPr>
            <w:tcW w:w="1447" w:type="pct"/>
          </w:tcPr>
          <w:p w14:paraId="7F1FC499"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3 states:</w:t>
            </w:r>
          </w:p>
          <w:p w14:paraId="00C61D71" w14:textId="77777777" w:rsidR="008C522C" w:rsidRPr="00524471" w:rsidRDefault="008C522C" w:rsidP="003915B9">
            <w:pPr>
              <w:widowControl w:val="0"/>
              <w:numPr>
                <w:ilvl w:val="0"/>
                <w:numId w:val="30"/>
              </w:numPr>
              <w:spacing w:after="0"/>
              <w:contextualSpacing/>
              <w:rPr>
                <w:rFonts w:ascii="Arial Narrow" w:hAnsi="Arial Narrow" w:cs="Tahoma"/>
                <w:sz w:val="20"/>
              </w:rPr>
            </w:pPr>
            <w:r w:rsidRPr="00524471">
              <w:rPr>
                <w:rFonts w:ascii="Arial Narrow" w:hAnsi="Arial Narrow" w:cs="Tahoma"/>
                <w:sz w:val="20"/>
              </w:rPr>
              <w:t>Alive, no disabling stroke</w:t>
            </w:r>
          </w:p>
          <w:p w14:paraId="4B643544" w14:textId="77777777" w:rsidR="008C522C" w:rsidRPr="00524471" w:rsidRDefault="008C522C" w:rsidP="003915B9">
            <w:pPr>
              <w:widowControl w:val="0"/>
              <w:numPr>
                <w:ilvl w:val="0"/>
                <w:numId w:val="30"/>
              </w:numPr>
              <w:spacing w:after="0"/>
              <w:contextualSpacing/>
              <w:rPr>
                <w:rFonts w:ascii="Arial Narrow" w:hAnsi="Arial Narrow" w:cs="Tahoma"/>
                <w:sz w:val="20"/>
              </w:rPr>
            </w:pPr>
            <w:r w:rsidRPr="00524471">
              <w:rPr>
                <w:rFonts w:ascii="Arial Narrow" w:hAnsi="Arial Narrow" w:cs="Tahoma"/>
                <w:sz w:val="20"/>
              </w:rPr>
              <w:t xml:space="preserve">Alive, with </w:t>
            </w:r>
            <w:r w:rsidRPr="00524471">
              <w:rPr>
                <w:rFonts w:ascii="Arial Narrow" w:hAnsi="Arial Narrow" w:cs="Tahoma"/>
                <w:sz w:val="20"/>
                <w:u w:val="single"/>
              </w:rPr>
              <w:t>major</w:t>
            </w:r>
            <w:r w:rsidRPr="00524471">
              <w:rPr>
                <w:rFonts w:ascii="Arial Narrow" w:hAnsi="Arial Narrow" w:cs="Tahoma"/>
                <w:sz w:val="20"/>
              </w:rPr>
              <w:t xml:space="preserve"> stroke</w:t>
            </w:r>
          </w:p>
          <w:p w14:paraId="5E5C5AE7" w14:textId="77777777" w:rsidR="008C522C" w:rsidRPr="00524471" w:rsidRDefault="008C522C" w:rsidP="003915B9">
            <w:pPr>
              <w:widowControl w:val="0"/>
              <w:numPr>
                <w:ilvl w:val="0"/>
                <w:numId w:val="30"/>
              </w:numPr>
              <w:spacing w:after="0"/>
              <w:contextualSpacing/>
              <w:rPr>
                <w:rFonts w:ascii="Arial Narrow" w:hAnsi="Arial Narrow" w:cs="Tahoma"/>
                <w:sz w:val="20"/>
              </w:rPr>
            </w:pPr>
            <w:r w:rsidRPr="00524471">
              <w:rPr>
                <w:rFonts w:ascii="Arial Narrow" w:hAnsi="Arial Narrow" w:cs="Tahoma"/>
                <w:sz w:val="20"/>
              </w:rPr>
              <w:t>Dead</w:t>
            </w:r>
          </w:p>
          <w:p w14:paraId="1818361F"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 xml:space="preserve">No adjustment for pre-existing complications was made. </w:t>
            </w:r>
          </w:p>
        </w:tc>
      </w:tr>
      <w:tr w:rsidR="008C522C" w:rsidRPr="008C522C" w14:paraId="4CDF3615" w14:textId="77777777" w:rsidTr="003915B9">
        <w:trPr>
          <w:trHeight w:val="18"/>
        </w:trPr>
        <w:tc>
          <w:tcPr>
            <w:tcW w:w="659" w:type="pct"/>
          </w:tcPr>
          <w:p w14:paraId="1CC1D028" w14:textId="77777777" w:rsidR="008C522C" w:rsidRPr="00524471" w:rsidRDefault="008C522C" w:rsidP="003915B9">
            <w:pPr>
              <w:widowControl w:val="0"/>
              <w:spacing w:after="0"/>
              <w:ind w:left="-30"/>
              <w:rPr>
                <w:rFonts w:ascii="Arial Narrow" w:hAnsi="Arial Narrow" w:cs="Tahoma"/>
                <w:sz w:val="20"/>
              </w:rPr>
            </w:pPr>
            <w:r w:rsidRPr="00524471">
              <w:rPr>
                <w:rFonts w:ascii="Arial Narrow" w:hAnsi="Arial Narrow" w:cs="Tahoma"/>
                <w:sz w:val="20"/>
              </w:rPr>
              <w:t>Time horizon</w:t>
            </w:r>
          </w:p>
        </w:tc>
        <w:tc>
          <w:tcPr>
            <w:tcW w:w="1447" w:type="pct"/>
          </w:tcPr>
          <w:p w14:paraId="525B4DFF" w14:textId="4C8721B4" w:rsidR="008C522C" w:rsidRPr="00D20EA6" w:rsidRDefault="0026456D" w:rsidP="00D20EA6">
            <w:pPr>
              <w:widowControl w:val="0"/>
              <w:spacing w:after="0"/>
              <w:ind w:left="38" w:firstLine="3"/>
              <w:rPr>
                <w:rFonts w:ascii="Arial Narrow" w:hAnsi="Arial Narrow" w:cs="Tahoma"/>
                <w:sz w:val="20"/>
              </w:rPr>
            </w:pPr>
            <w:r w:rsidRPr="00D20EA6">
              <w:rPr>
                <w:rFonts w:ascii="Arial Narrow" w:hAnsi="Arial Narrow" w:cs="Tahoma"/>
                <w:b/>
                <w:sz w:val="20"/>
              </w:rPr>
              <w:t>redacted</w:t>
            </w:r>
            <w:r w:rsidR="008C522C" w:rsidRPr="00D20EA6">
              <w:rPr>
                <w:rFonts w:ascii="Arial Narrow" w:hAnsi="Arial Narrow" w:cs="Tahoma"/>
                <w:sz w:val="20"/>
              </w:rPr>
              <w:t xml:space="preserve"> years (base-case). </w:t>
            </w:r>
            <w:r w:rsidRPr="00D20EA6">
              <w:rPr>
                <w:rFonts w:ascii="Arial Narrow" w:hAnsi="Arial Narrow" w:cs="Tahoma"/>
                <w:b/>
                <w:sz w:val="20"/>
              </w:rPr>
              <w:t>redacted</w:t>
            </w:r>
            <w:r w:rsidR="008C522C" w:rsidRPr="00D20EA6">
              <w:rPr>
                <w:rFonts w:ascii="Arial Narrow" w:hAnsi="Arial Narrow" w:cs="Tahoma"/>
                <w:sz w:val="20"/>
              </w:rPr>
              <w:t xml:space="preserve"> and </w:t>
            </w:r>
            <w:r w:rsidRPr="00D20EA6">
              <w:rPr>
                <w:rFonts w:ascii="Arial Narrow" w:hAnsi="Arial Narrow" w:cs="Tahoma"/>
                <w:b/>
                <w:sz w:val="20"/>
              </w:rPr>
              <w:t>redacted</w:t>
            </w:r>
            <w:r w:rsidR="00D20EA6" w:rsidRPr="00D20EA6">
              <w:rPr>
                <w:rFonts w:ascii="Arial Narrow" w:hAnsi="Arial Narrow" w:cs="Tahoma"/>
                <w:sz w:val="20"/>
              </w:rPr>
              <w:noBreakHyphen/>
            </w:r>
            <w:r w:rsidR="008C522C" w:rsidRPr="00D20EA6">
              <w:rPr>
                <w:rFonts w:ascii="Arial Narrow" w:hAnsi="Arial Narrow" w:cs="Tahoma"/>
                <w:sz w:val="20"/>
              </w:rPr>
              <w:t>year time horizon presented in sensitivity analyses</w:t>
            </w:r>
          </w:p>
        </w:tc>
        <w:tc>
          <w:tcPr>
            <w:tcW w:w="1447" w:type="pct"/>
          </w:tcPr>
          <w:p w14:paraId="13CC03B6"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10 years (base-case). 5 and 20-year time horizon presented in sensitivity analyses</w:t>
            </w:r>
          </w:p>
        </w:tc>
        <w:tc>
          <w:tcPr>
            <w:tcW w:w="1447" w:type="pct"/>
          </w:tcPr>
          <w:p w14:paraId="14B708F4"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 xml:space="preserve">5-years presented in the base-case and 10-years was presented in sensitivity analyses </w:t>
            </w:r>
          </w:p>
        </w:tc>
      </w:tr>
      <w:tr w:rsidR="008C522C" w:rsidRPr="008C522C" w14:paraId="23E29756" w14:textId="77777777" w:rsidTr="003915B9">
        <w:trPr>
          <w:trHeight w:val="18"/>
        </w:trPr>
        <w:tc>
          <w:tcPr>
            <w:tcW w:w="659" w:type="pct"/>
          </w:tcPr>
          <w:p w14:paraId="2A2A9B5F" w14:textId="77777777" w:rsidR="008C522C" w:rsidRPr="00524471" w:rsidRDefault="008C522C" w:rsidP="003915B9">
            <w:pPr>
              <w:widowControl w:val="0"/>
              <w:spacing w:after="0"/>
              <w:ind w:left="-30"/>
              <w:rPr>
                <w:rFonts w:ascii="Arial Narrow" w:hAnsi="Arial Narrow" w:cs="Tahoma"/>
                <w:sz w:val="20"/>
              </w:rPr>
            </w:pPr>
            <w:r w:rsidRPr="00524471">
              <w:rPr>
                <w:rFonts w:ascii="Arial Narrow" w:hAnsi="Arial Narrow" w:cs="Tahoma"/>
                <w:sz w:val="20"/>
              </w:rPr>
              <w:t>Prostheses cost of TAVI-BEV</w:t>
            </w:r>
          </w:p>
        </w:tc>
        <w:tc>
          <w:tcPr>
            <w:tcW w:w="1447" w:type="pct"/>
          </w:tcPr>
          <w:p w14:paraId="3F9759E3" w14:textId="508984ED" w:rsidR="008C522C" w:rsidRPr="00D20EA6" w:rsidRDefault="0007101C" w:rsidP="003915B9">
            <w:pPr>
              <w:widowControl w:val="0"/>
              <w:spacing w:after="0"/>
              <w:ind w:left="38" w:firstLine="3"/>
              <w:rPr>
                <w:rFonts w:ascii="Arial Narrow" w:hAnsi="Arial Narrow" w:cs="Tahoma"/>
                <w:sz w:val="20"/>
              </w:rPr>
            </w:pPr>
            <w:r w:rsidRPr="00D20EA6">
              <w:rPr>
                <w:rFonts w:ascii="Arial Narrow" w:hAnsi="Arial Narrow" w:cs="Tahoma"/>
                <w:b/>
                <w:sz w:val="20"/>
              </w:rPr>
              <w:t>R</w:t>
            </w:r>
            <w:r w:rsidR="0026456D" w:rsidRPr="00D20EA6">
              <w:rPr>
                <w:rFonts w:ascii="Arial Narrow" w:hAnsi="Arial Narrow" w:cs="Tahoma"/>
                <w:b/>
                <w:sz w:val="20"/>
              </w:rPr>
              <w:t>edacted</w:t>
            </w:r>
          </w:p>
        </w:tc>
        <w:tc>
          <w:tcPr>
            <w:tcW w:w="1447" w:type="pct"/>
          </w:tcPr>
          <w:p w14:paraId="2C603328"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ADAR included prosthesis costs for public patients only</w:t>
            </w:r>
          </w:p>
        </w:tc>
        <w:tc>
          <w:tcPr>
            <w:tcW w:w="1447" w:type="pct"/>
          </w:tcPr>
          <w:p w14:paraId="01974945"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 xml:space="preserve">ADAR included prosthesis costs for all patients </w:t>
            </w:r>
          </w:p>
        </w:tc>
      </w:tr>
      <w:tr w:rsidR="008C522C" w:rsidRPr="008C522C" w14:paraId="3BD906FB" w14:textId="77777777" w:rsidTr="003915B9">
        <w:trPr>
          <w:trHeight w:val="18"/>
        </w:trPr>
        <w:tc>
          <w:tcPr>
            <w:tcW w:w="659" w:type="pct"/>
          </w:tcPr>
          <w:p w14:paraId="46D48BB8" w14:textId="77777777" w:rsidR="008C522C" w:rsidRPr="00524471" w:rsidRDefault="008C522C" w:rsidP="003915B9">
            <w:pPr>
              <w:widowControl w:val="0"/>
              <w:spacing w:after="0"/>
              <w:ind w:left="-30"/>
              <w:rPr>
                <w:rFonts w:ascii="Arial Narrow" w:hAnsi="Arial Narrow" w:cs="Tahoma"/>
                <w:sz w:val="20"/>
              </w:rPr>
            </w:pPr>
            <w:r w:rsidRPr="00524471">
              <w:rPr>
                <w:rFonts w:ascii="Arial Narrow" w:hAnsi="Arial Narrow" w:cs="Tahoma"/>
                <w:sz w:val="20"/>
              </w:rPr>
              <w:t>Prosthesis cost</w:t>
            </w:r>
          </w:p>
        </w:tc>
        <w:tc>
          <w:tcPr>
            <w:tcW w:w="1447" w:type="pct"/>
          </w:tcPr>
          <w:p w14:paraId="6300F024" w14:textId="178BEAA4" w:rsidR="008C522C" w:rsidRPr="00D20EA6" w:rsidRDefault="008C522C" w:rsidP="003915B9">
            <w:pPr>
              <w:widowControl w:val="0"/>
              <w:spacing w:after="0"/>
              <w:ind w:left="38" w:firstLine="3"/>
              <w:rPr>
                <w:rFonts w:ascii="Arial Narrow" w:hAnsi="Arial Narrow" w:cs="Tahoma"/>
                <w:sz w:val="20"/>
              </w:rPr>
            </w:pPr>
            <w:r w:rsidRPr="00D20EA6">
              <w:rPr>
                <w:rFonts w:ascii="Arial Narrow" w:hAnsi="Arial Narrow" w:cs="Tahoma"/>
                <w:sz w:val="20"/>
              </w:rPr>
              <w:t xml:space="preserve">TAVI BEV: </w:t>
            </w:r>
            <w:r w:rsidRPr="00D20EA6">
              <w:rPr>
                <w:rFonts w:ascii="Arial Narrow" w:hAnsi="Arial Narrow" w:cs="Tahoma"/>
                <w:b/>
                <w:sz w:val="20"/>
              </w:rPr>
              <w:t>$</w:t>
            </w:r>
            <w:r w:rsidR="00524471" w:rsidRPr="00D20EA6">
              <w:rPr>
                <w:rFonts w:ascii="Arial Narrow" w:hAnsi="Arial Narrow" w:cs="Tahoma"/>
                <w:b/>
                <w:sz w:val="20"/>
              </w:rPr>
              <w:t>redacted</w:t>
            </w:r>
          </w:p>
          <w:p w14:paraId="36097297" w14:textId="3A67D47B" w:rsidR="008C522C" w:rsidRPr="00D20EA6" w:rsidRDefault="008C522C" w:rsidP="003915B9">
            <w:pPr>
              <w:widowControl w:val="0"/>
              <w:spacing w:after="0"/>
              <w:ind w:left="38" w:firstLine="3"/>
              <w:rPr>
                <w:rFonts w:ascii="Arial Narrow" w:hAnsi="Arial Narrow" w:cs="Tahoma"/>
                <w:sz w:val="20"/>
              </w:rPr>
            </w:pPr>
            <w:r w:rsidRPr="00D20EA6">
              <w:rPr>
                <w:rFonts w:ascii="Arial Narrow" w:hAnsi="Arial Narrow" w:cs="Tahoma"/>
                <w:sz w:val="20"/>
              </w:rPr>
              <w:t xml:space="preserve">SAVR: </w:t>
            </w:r>
            <w:r w:rsidR="0026456D" w:rsidRPr="00D20EA6">
              <w:rPr>
                <w:rFonts w:ascii="Arial Narrow" w:hAnsi="Arial Narrow" w:cs="Tahoma"/>
                <w:b/>
                <w:sz w:val="20"/>
              </w:rPr>
              <w:t>$redacted</w:t>
            </w:r>
          </w:p>
        </w:tc>
        <w:tc>
          <w:tcPr>
            <w:tcW w:w="1447" w:type="pct"/>
          </w:tcPr>
          <w:p w14:paraId="237DD8B5" w14:textId="2B0DF138" w:rsidR="008C522C" w:rsidRPr="00FF57EF" w:rsidRDefault="008C522C" w:rsidP="003915B9">
            <w:pPr>
              <w:widowControl w:val="0"/>
              <w:spacing w:after="0"/>
              <w:ind w:left="38" w:firstLine="3"/>
              <w:rPr>
                <w:rFonts w:ascii="Arial Narrow" w:hAnsi="Arial Narrow" w:cs="Tahoma"/>
                <w:sz w:val="20"/>
              </w:rPr>
            </w:pPr>
            <w:r w:rsidRPr="00FF57EF">
              <w:rPr>
                <w:rFonts w:ascii="Arial Narrow" w:hAnsi="Arial Narrow" w:cs="Tahoma"/>
                <w:sz w:val="20"/>
              </w:rPr>
              <w:t xml:space="preserve">TAVI BEV: </w:t>
            </w:r>
            <w:r w:rsidRPr="00FF57EF">
              <w:rPr>
                <w:rFonts w:ascii="Arial Narrow" w:hAnsi="Arial Narrow" w:cs="Tahoma"/>
                <w:b/>
                <w:sz w:val="20"/>
              </w:rPr>
              <w:t>$</w:t>
            </w:r>
            <w:r w:rsidR="00524471" w:rsidRPr="00FF57EF">
              <w:rPr>
                <w:rFonts w:ascii="Arial Narrow" w:hAnsi="Arial Narrow" w:cs="Tahoma"/>
                <w:b/>
                <w:sz w:val="20"/>
              </w:rPr>
              <w:t>redacted</w:t>
            </w:r>
          </w:p>
          <w:p w14:paraId="2DEF6708" w14:textId="77777777" w:rsidR="008C522C" w:rsidRPr="00FF57EF" w:rsidRDefault="008C522C" w:rsidP="003915B9">
            <w:pPr>
              <w:widowControl w:val="0"/>
              <w:spacing w:after="0"/>
              <w:ind w:left="38" w:firstLine="3"/>
              <w:rPr>
                <w:rFonts w:ascii="Arial Narrow" w:hAnsi="Arial Narrow" w:cs="Tahoma"/>
                <w:sz w:val="20"/>
              </w:rPr>
            </w:pPr>
            <w:r w:rsidRPr="00FF57EF">
              <w:rPr>
                <w:rFonts w:ascii="Arial Narrow" w:hAnsi="Arial Narrow" w:cs="Tahoma"/>
                <w:sz w:val="20"/>
              </w:rPr>
              <w:t xml:space="preserve">SAVR: $9,079 </w:t>
            </w:r>
          </w:p>
        </w:tc>
        <w:tc>
          <w:tcPr>
            <w:tcW w:w="1447" w:type="pct"/>
          </w:tcPr>
          <w:p w14:paraId="54505820" w14:textId="77777777" w:rsidR="008C522C" w:rsidRPr="00FF57EF" w:rsidRDefault="008C522C" w:rsidP="003915B9">
            <w:pPr>
              <w:widowControl w:val="0"/>
              <w:spacing w:after="0"/>
              <w:ind w:left="38" w:firstLine="3"/>
              <w:rPr>
                <w:rFonts w:ascii="Arial Narrow" w:hAnsi="Arial Narrow" w:cs="Tahoma"/>
                <w:sz w:val="20"/>
              </w:rPr>
            </w:pPr>
            <w:r w:rsidRPr="00FF57EF">
              <w:rPr>
                <w:rFonts w:ascii="Arial Narrow" w:hAnsi="Arial Narrow" w:cs="Tahoma"/>
                <w:sz w:val="20"/>
              </w:rPr>
              <w:t>TAVI: $33,348</w:t>
            </w:r>
          </w:p>
          <w:p w14:paraId="2951A2A3" w14:textId="77777777" w:rsidR="008C522C" w:rsidRPr="00FF57EF" w:rsidRDefault="008C522C" w:rsidP="003915B9">
            <w:pPr>
              <w:widowControl w:val="0"/>
              <w:spacing w:after="0"/>
              <w:ind w:left="38" w:firstLine="3"/>
              <w:rPr>
                <w:rFonts w:ascii="Arial Narrow" w:hAnsi="Arial Narrow" w:cs="Tahoma"/>
                <w:sz w:val="20"/>
              </w:rPr>
            </w:pPr>
            <w:r w:rsidRPr="00FF57EF">
              <w:rPr>
                <w:rFonts w:ascii="Arial Narrow" w:hAnsi="Arial Narrow" w:cs="Tahoma"/>
                <w:sz w:val="20"/>
              </w:rPr>
              <w:t>SAVR: $6,738</w:t>
            </w:r>
          </w:p>
        </w:tc>
      </w:tr>
      <w:tr w:rsidR="008C522C" w:rsidRPr="008C522C" w14:paraId="6EA3F544" w14:textId="77777777" w:rsidTr="003915B9">
        <w:trPr>
          <w:trHeight w:val="18"/>
        </w:trPr>
        <w:tc>
          <w:tcPr>
            <w:tcW w:w="659" w:type="pct"/>
          </w:tcPr>
          <w:p w14:paraId="0FED94C4" w14:textId="77777777" w:rsidR="008C522C" w:rsidRPr="00524471" w:rsidRDefault="008C522C" w:rsidP="003915B9">
            <w:pPr>
              <w:widowControl w:val="0"/>
              <w:spacing w:after="0"/>
              <w:ind w:left="-30"/>
              <w:rPr>
                <w:rFonts w:ascii="Arial Narrow" w:hAnsi="Arial Narrow" w:cs="Tahoma"/>
                <w:sz w:val="20"/>
              </w:rPr>
            </w:pPr>
            <w:r w:rsidRPr="00524471">
              <w:rPr>
                <w:rFonts w:ascii="Arial Narrow" w:hAnsi="Arial Narrow" w:cs="Tahoma"/>
                <w:sz w:val="20"/>
              </w:rPr>
              <w:t>Length of stay</w:t>
            </w:r>
          </w:p>
        </w:tc>
        <w:tc>
          <w:tcPr>
            <w:tcW w:w="1447" w:type="pct"/>
          </w:tcPr>
          <w:tbl>
            <w:tblPr>
              <w:tblStyle w:val="HealthConsult4"/>
              <w:tblW w:w="5000" w:type="pct"/>
              <w:tblCellMar>
                <w:left w:w="28" w:type="dxa"/>
                <w:right w:w="28" w:type="dxa"/>
              </w:tblCellMar>
              <w:tblLook w:val="04A0" w:firstRow="1" w:lastRow="0" w:firstColumn="1" w:lastColumn="0" w:noHBand="0" w:noVBand="1"/>
              <w:tblDescription w:val="Length of stay - application 1635"/>
            </w:tblPr>
            <w:tblGrid>
              <w:gridCol w:w="1081"/>
              <w:gridCol w:w="982"/>
              <w:gridCol w:w="1111"/>
              <w:gridCol w:w="885"/>
            </w:tblGrid>
            <w:tr w:rsidR="008C522C" w:rsidRPr="000D0E9A" w14:paraId="72F36CDC" w14:textId="77777777" w:rsidTr="003915B9">
              <w:trPr>
                <w:cantSplit/>
                <w:trHeight w:val="380"/>
                <w:tblHeader/>
              </w:trPr>
              <w:tc>
                <w:tcPr>
                  <w:tcW w:w="1331" w:type="pct"/>
                </w:tcPr>
                <w:p w14:paraId="2870E4EB" w14:textId="77777777" w:rsidR="008C522C" w:rsidRPr="00CF5548" w:rsidRDefault="008C522C" w:rsidP="003915B9">
                  <w:pPr>
                    <w:widowControl w:val="0"/>
                    <w:spacing w:after="0"/>
                    <w:ind w:left="38" w:firstLine="3"/>
                    <w:rPr>
                      <w:rFonts w:ascii="Arial Narrow" w:hAnsi="Arial Narrow" w:cs="Tahoma"/>
                      <w:sz w:val="18"/>
                      <w:szCs w:val="18"/>
                      <w:lang w:eastAsia="en-US"/>
                    </w:rPr>
                  </w:pPr>
                  <w:r w:rsidRPr="00CF5548">
                    <w:rPr>
                      <w:rFonts w:ascii="Arial Narrow" w:hAnsi="Arial Narrow" w:cs="Tahoma"/>
                      <w:sz w:val="18"/>
                      <w:szCs w:val="18"/>
                      <w:lang w:eastAsia="en-US"/>
                    </w:rPr>
                    <w:t>Source</w:t>
                  </w:r>
                </w:p>
              </w:tc>
              <w:tc>
                <w:tcPr>
                  <w:tcW w:w="1210" w:type="pct"/>
                </w:tcPr>
                <w:p w14:paraId="0E0ACA50" w14:textId="77777777" w:rsidR="008C522C" w:rsidRPr="00CF5548" w:rsidRDefault="008C522C" w:rsidP="003915B9">
                  <w:pPr>
                    <w:widowControl w:val="0"/>
                    <w:spacing w:after="0"/>
                    <w:ind w:left="38" w:firstLine="3"/>
                    <w:rPr>
                      <w:rFonts w:ascii="Arial Narrow" w:hAnsi="Arial Narrow" w:cs="Tahoma"/>
                      <w:sz w:val="18"/>
                      <w:szCs w:val="18"/>
                      <w:lang w:eastAsia="en-US"/>
                    </w:rPr>
                  </w:pPr>
                  <w:r w:rsidRPr="00CF5548">
                    <w:rPr>
                      <w:rFonts w:ascii="Arial Narrow" w:hAnsi="Arial Narrow" w:cs="Tahoma"/>
                      <w:sz w:val="18"/>
                      <w:szCs w:val="18"/>
                      <w:lang w:eastAsia="en-US"/>
                    </w:rPr>
                    <w:t>TAVI</w:t>
                  </w:r>
                </w:p>
              </w:tc>
              <w:tc>
                <w:tcPr>
                  <w:tcW w:w="1369" w:type="pct"/>
                </w:tcPr>
                <w:p w14:paraId="4F0028B7" w14:textId="77777777" w:rsidR="008C522C" w:rsidRPr="00CF5548" w:rsidRDefault="008C522C" w:rsidP="003915B9">
                  <w:pPr>
                    <w:widowControl w:val="0"/>
                    <w:spacing w:after="0"/>
                    <w:ind w:left="38" w:firstLine="3"/>
                    <w:rPr>
                      <w:rFonts w:ascii="Arial Narrow" w:hAnsi="Arial Narrow" w:cs="Tahoma"/>
                      <w:sz w:val="18"/>
                      <w:szCs w:val="18"/>
                      <w:lang w:eastAsia="en-US"/>
                    </w:rPr>
                  </w:pPr>
                  <w:r w:rsidRPr="00CF5548">
                    <w:rPr>
                      <w:rFonts w:ascii="Arial Narrow" w:hAnsi="Arial Narrow" w:cs="Tahoma"/>
                      <w:sz w:val="18"/>
                      <w:szCs w:val="18"/>
                      <w:lang w:eastAsia="en-US"/>
                    </w:rPr>
                    <w:t>SAVR</w:t>
                  </w:r>
                </w:p>
              </w:tc>
              <w:tc>
                <w:tcPr>
                  <w:tcW w:w="1090" w:type="pct"/>
                </w:tcPr>
                <w:p w14:paraId="5426E386" w14:textId="77777777" w:rsidR="008C522C" w:rsidRPr="00CF5548" w:rsidRDefault="008C522C" w:rsidP="003915B9">
                  <w:pPr>
                    <w:widowControl w:val="0"/>
                    <w:spacing w:after="0"/>
                    <w:ind w:left="38" w:firstLine="3"/>
                    <w:rPr>
                      <w:rFonts w:ascii="Arial Narrow" w:hAnsi="Arial Narrow" w:cs="Tahoma"/>
                      <w:sz w:val="18"/>
                      <w:szCs w:val="18"/>
                      <w:lang w:eastAsia="en-US"/>
                    </w:rPr>
                  </w:pPr>
                  <w:r w:rsidRPr="00CF5548">
                    <w:rPr>
                      <w:rFonts w:ascii="Arial Narrow" w:hAnsi="Arial Narrow" w:cs="Tahoma"/>
                      <w:sz w:val="18"/>
                      <w:szCs w:val="18"/>
                      <w:lang w:eastAsia="en-US"/>
                    </w:rPr>
                    <w:t>Diff. /Ratio</w:t>
                  </w:r>
                </w:p>
              </w:tc>
            </w:tr>
            <w:tr w:rsidR="008C522C" w:rsidRPr="000D0E9A" w14:paraId="036AE194" w14:textId="77777777" w:rsidTr="00750CDD">
              <w:trPr>
                <w:cantSplit/>
                <w:trHeight w:val="878"/>
              </w:trPr>
              <w:tc>
                <w:tcPr>
                  <w:tcW w:w="1331" w:type="pct"/>
                </w:tcPr>
                <w:p w14:paraId="7FA42450" w14:textId="77777777" w:rsidR="008C522C" w:rsidRPr="00CF5548" w:rsidRDefault="008C522C" w:rsidP="003915B9">
                  <w:pPr>
                    <w:widowControl w:val="0"/>
                    <w:spacing w:after="0"/>
                    <w:ind w:left="38" w:firstLine="3"/>
                    <w:rPr>
                      <w:rFonts w:ascii="Arial Narrow" w:hAnsi="Arial Narrow" w:cs="Tahoma"/>
                      <w:sz w:val="18"/>
                      <w:szCs w:val="18"/>
                      <w:lang w:eastAsia="en-US"/>
                    </w:rPr>
                  </w:pPr>
                  <w:r w:rsidRPr="00CF5548">
                    <w:rPr>
                      <w:rFonts w:ascii="Arial Narrow" w:hAnsi="Arial Narrow" w:cs="Tahoma"/>
                      <w:sz w:val="18"/>
                      <w:szCs w:val="18"/>
                      <w:lang w:eastAsia="en-US"/>
                    </w:rPr>
                    <w:t>TAVI-BEV: Partner 3</w:t>
                  </w:r>
                </w:p>
              </w:tc>
              <w:tc>
                <w:tcPr>
                  <w:tcW w:w="1210" w:type="pct"/>
                </w:tcPr>
                <w:p w14:paraId="5711FC95" w14:textId="77777777" w:rsidR="008C522C" w:rsidRPr="00CF5548" w:rsidRDefault="008C522C" w:rsidP="003915B9">
                  <w:pPr>
                    <w:widowControl w:val="0"/>
                    <w:spacing w:after="0"/>
                    <w:ind w:left="38" w:firstLine="3"/>
                    <w:rPr>
                      <w:rFonts w:ascii="Arial Narrow" w:hAnsi="Arial Narrow" w:cs="Tahoma"/>
                      <w:sz w:val="18"/>
                      <w:szCs w:val="18"/>
                      <w:lang w:eastAsia="en-US"/>
                    </w:rPr>
                  </w:pPr>
                  <w:r w:rsidRPr="00CF5548">
                    <w:rPr>
                      <w:rFonts w:ascii="Arial Narrow" w:hAnsi="Arial Narrow" w:cs="Tahoma"/>
                      <w:sz w:val="18"/>
                      <w:szCs w:val="18"/>
                      <w:lang w:eastAsia="en-US"/>
                    </w:rPr>
                    <w:t>Median: 3 days</w:t>
                  </w:r>
                </w:p>
              </w:tc>
              <w:tc>
                <w:tcPr>
                  <w:tcW w:w="1369" w:type="pct"/>
                </w:tcPr>
                <w:p w14:paraId="6813D324" w14:textId="77777777" w:rsidR="008C522C" w:rsidRPr="00CF5548" w:rsidRDefault="008C522C" w:rsidP="003915B9">
                  <w:pPr>
                    <w:widowControl w:val="0"/>
                    <w:spacing w:after="0"/>
                    <w:ind w:left="38" w:firstLine="3"/>
                    <w:rPr>
                      <w:rFonts w:ascii="Arial Narrow" w:hAnsi="Arial Narrow" w:cs="Tahoma"/>
                      <w:sz w:val="18"/>
                      <w:szCs w:val="18"/>
                      <w:lang w:eastAsia="en-US"/>
                    </w:rPr>
                  </w:pPr>
                  <w:r w:rsidRPr="00CF5548">
                    <w:rPr>
                      <w:rFonts w:ascii="Arial Narrow" w:hAnsi="Arial Narrow" w:cs="Tahoma"/>
                      <w:sz w:val="18"/>
                      <w:szCs w:val="18"/>
                      <w:lang w:eastAsia="en-US"/>
                    </w:rPr>
                    <w:t>Median:7 days</w:t>
                  </w:r>
                </w:p>
              </w:tc>
              <w:tc>
                <w:tcPr>
                  <w:tcW w:w="1090" w:type="pct"/>
                </w:tcPr>
                <w:p w14:paraId="5B980550" w14:textId="77777777" w:rsidR="008C522C" w:rsidRPr="00CF5548" w:rsidRDefault="008C522C" w:rsidP="003915B9">
                  <w:pPr>
                    <w:widowControl w:val="0"/>
                    <w:spacing w:after="0"/>
                    <w:ind w:left="38" w:firstLine="3"/>
                    <w:rPr>
                      <w:rFonts w:ascii="Arial Narrow" w:hAnsi="Arial Narrow" w:cs="Tahoma"/>
                      <w:sz w:val="18"/>
                      <w:szCs w:val="18"/>
                      <w:lang w:eastAsia="en-US"/>
                    </w:rPr>
                  </w:pPr>
                  <w:r w:rsidRPr="00CF5548">
                    <w:rPr>
                      <w:rFonts w:ascii="Arial Narrow" w:hAnsi="Arial Narrow" w:cs="Tahoma"/>
                      <w:sz w:val="18"/>
                      <w:szCs w:val="18"/>
                      <w:lang w:eastAsia="en-US"/>
                    </w:rPr>
                    <w:t>4 days</w:t>
                  </w:r>
                </w:p>
                <w:p w14:paraId="7210A3DA" w14:textId="77777777" w:rsidR="008C522C" w:rsidRPr="00CF5548" w:rsidRDefault="008C522C" w:rsidP="003915B9">
                  <w:pPr>
                    <w:widowControl w:val="0"/>
                    <w:spacing w:after="0"/>
                    <w:ind w:left="38" w:firstLine="3"/>
                    <w:rPr>
                      <w:rFonts w:ascii="Arial Narrow" w:hAnsi="Arial Narrow" w:cs="Tahoma"/>
                      <w:sz w:val="18"/>
                      <w:szCs w:val="18"/>
                      <w:lang w:eastAsia="en-US"/>
                    </w:rPr>
                  </w:pPr>
                  <w:r w:rsidRPr="00CF5548">
                    <w:rPr>
                      <w:rFonts w:ascii="Arial Narrow" w:hAnsi="Arial Narrow" w:cs="Tahoma"/>
                      <w:sz w:val="18"/>
                      <w:szCs w:val="18"/>
                      <w:lang w:eastAsia="en-US"/>
                    </w:rPr>
                    <w:t>1: 2.33</w:t>
                  </w:r>
                </w:p>
              </w:tc>
            </w:tr>
            <w:tr w:rsidR="008C522C" w:rsidRPr="000D0E9A" w14:paraId="6CE5CB9E" w14:textId="77777777" w:rsidTr="003915B9">
              <w:trPr>
                <w:cantSplit/>
                <w:trHeight w:val="764"/>
              </w:trPr>
              <w:tc>
                <w:tcPr>
                  <w:tcW w:w="1331" w:type="pct"/>
                </w:tcPr>
                <w:p w14:paraId="365C9626" w14:textId="77777777" w:rsidR="008C522C" w:rsidRPr="00CF5548" w:rsidRDefault="008C522C" w:rsidP="003915B9">
                  <w:pPr>
                    <w:widowControl w:val="0"/>
                    <w:spacing w:after="0"/>
                    <w:ind w:left="38" w:firstLine="3"/>
                    <w:rPr>
                      <w:rFonts w:ascii="Arial Narrow" w:hAnsi="Arial Narrow" w:cs="Tahoma"/>
                      <w:sz w:val="18"/>
                      <w:szCs w:val="18"/>
                      <w:lang w:eastAsia="en-US"/>
                    </w:rPr>
                  </w:pPr>
                  <w:r w:rsidRPr="00CF5548">
                    <w:rPr>
                      <w:rFonts w:ascii="Arial Narrow" w:hAnsi="Arial Narrow" w:cs="Tahoma"/>
                      <w:sz w:val="18"/>
                      <w:szCs w:val="18"/>
                      <w:lang w:eastAsia="en-US"/>
                    </w:rPr>
                    <w:t>TAVI-SEV: EVOLUT</w:t>
                  </w:r>
                </w:p>
              </w:tc>
              <w:tc>
                <w:tcPr>
                  <w:tcW w:w="1210" w:type="pct"/>
                </w:tcPr>
                <w:p w14:paraId="18F9102A" w14:textId="77777777" w:rsidR="008C522C" w:rsidRPr="00CF5548" w:rsidRDefault="008C522C" w:rsidP="003915B9">
                  <w:pPr>
                    <w:widowControl w:val="0"/>
                    <w:spacing w:after="0"/>
                    <w:ind w:left="38" w:firstLine="3"/>
                    <w:rPr>
                      <w:rFonts w:ascii="Arial Narrow" w:hAnsi="Arial Narrow" w:cs="Tahoma"/>
                      <w:sz w:val="18"/>
                      <w:szCs w:val="18"/>
                      <w:lang w:eastAsia="en-US"/>
                    </w:rPr>
                  </w:pPr>
                  <w:r w:rsidRPr="00CF5548">
                    <w:rPr>
                      <w:rFonts w:ascii="Arial Narrow" w:hAnsi="Arial Narrow" w:cs="Tahoma"/>
                      <w:sz w:val="18"/>
                      <w:szCs w:val="18"/>
                      <w:lang w:eastAsia="en-US"/>
                    </w:rPr>
                    <w:t>Mean: 2.6 days ±2.1</w:t>
                  </w:r>
                </w:p>
              </w:tc>
              <w:tc>
                <w:tcPr>
                  <w:tcW w:w="1369" w:type="pct"/>
                </w:tcPr>
                <w:p w14:paraId="25EDE55D" w14:textId="77777777" w:rsidR="008C522C" w:rsidRPr="00CF5548" w:rsidRDefault="008C522C" w:rsidP="003915B9">
                  <w:pPr>
                    <w:widowControl w:val="0"/>
                    <w:spacing w:after="0"/>
                    <w:ind w:left="38" w:firstLine="3"/>
                    <w:rPr>
                      <w:rFonts w:ascii="Arial Narrow" w:hAnsi="Arial Narrow" w:cs="Tahoma"/>
                      <w:sz w:val="18"/>
                      <w:szCs w:val="18"/>
                      <w:lang w:eastAsia="en-US"/>
                    </w:rPr>
                  </w:pPr>
                  <w:r w:rsidRPr="00CF5548">
                    <w:rPr>
                      <w:rFonts w:ascii="Arial Narrow" w:hAnsi="Arial Narrow" w:cs="Tahoma"/>
                      <w:sz w:val="18"/>
                      <w:szCs w:val="18"/>
                      <w:lang w:eastAsia="en-US"/>
                    </w:rPr>
                    <w:t>Mean: 6.2 days</w:t>
                  </w:r>
                </w:p>
                <w:p w14:paraId="3284ECEA" w14:textId="77777777" w:rsidR="008C522C" w:rsidRPr="00CF5548" w:rsidRDefault="008C522C" w:rsidP="003915B9">
                  <w:pPr>
                    <w:widowControl w:val="0"/>
                    <w:spacing w:after="0"/>
                    <w:ind w:left="38" w:firstLine="3"/>
                    <w:rPr>
                      <w:rFonts w:ascii="Arial Narrow" w:hAnsi="Arial Narrow" w:cs="Tahoma"/>
                      <w:sz w:val="18"/>
                      <w:szCs w:val="18"/>
                      <w:lang w:eastAsia="en-US"/>
                    </w:rPr>
                  </w:pPr>
                  <w:r w:rsidRPr="00CF5548">
                    <w:rPr>
                      <w:rFonts w:ascii="Arial Narrow" w:hAnsi="Arial Narrow" w:cs="Tahoma"/>
                      <w:sz w:val="18"/>
                      <w:szCs w:val="18"/>
                      <w:lang w:eastAsia="en-US"/>
                    </w:rPr>
                    <w:t>±3.3</w:t>
                  </w:r>
                </w:p>
              </w:tc>
              <w:tc>
                <w:tcPr>
                  <w:tcW w:w="1090" w:type="pct"/>
                </w:tcPr>
                <w:p w14:paraId="30819577" w14:textId="77777777" w:rsidR="008C522C" w:rsidRPr="00CF5548" w:rsidRDefault="008C522C" w:rsidP="003915B9">
                  <w:pPr>
                    <w:widowControl w:val="0"/>
                    <w:spacing w:after="0"/>
                    <w:ind w:left="38" w:firstLine="3"/>
                    <w:rPr>
                      <w:rFonts w:ascii="Arial Narrow" w:hAnsi="Arial Narrow" w:cs="Tahoma"/>
                      <w:sz w:val="18"/>
                      <w:szCs w:val="18"/>
                      <w:lang w:eastAsia="en-US"/>
                    </w:rPr>
                  </w:pPr>
                  <w:r w:rsidRPr="00CF5548">
                    <w:rPr>
                      <w:rFonts w:ascii="Arial Narrow" w:hAnsi="Arial Narrow" w:cs="Tahoma"/>
                      <w:sz w:val="18"/>
                      <w:szCs w:val="18"/>
                      <w:lang w:eastAsia="en-US"/>
                    </w:rPr>
                    <w:t>4 days</w:t>
                  </w:r>
                </w:p>
                <w:p w14:paraId="764FC281" w14:textId="77777777" w:rsidR="008C522C" w:rsidRPr="00CF5548" w:rsidRDefault="008C522C" w:rsidP="003915B9">
                  <w:pPr>
                    <w:widowControl w:val="0"/>
                    <w:spacing w:after="0"/>
                    <w:ind w:left="38" w:firstLine="3"/>
                    <w:rPr>
                      <w:rFonts w:ascii="Arial Narrow" w:hAnsi="Arial Narrow" w:cs="Tahoma"/>
                      <w:sz w:val="18"/>
                      <w:szCs w:val="18"/>
                      <w:lang w:eastAsia="en-US"/>
                    </w:rPr>
                  </w:pPr>
                  <w:r w:rsidRPr="00CF5548">
                    <w:rPr>
                      <w:rFonts w:ascii="Arial Narrow" w:hAnsi="Arial Narrow" w:cs="Tahoma"/>
                      <w:sz w:val="18"/>
                      <w:szCs w:val="18"/>
                      <w:lang w:eastAsia="en-US"/>
                    </w:rPr>
                    <w:t>1:2.38</w:t>
                  </w:r>
                </w:p>
              </w:tc>
            </w:tr>
          </w:tbl>
          <w:p w14:paraId="46C156DF" w14:textId="77777777" w:rsidR="008C522C" w:rsidRPr="000D0E9A" w:rsidRDefault="008C522C" w:rsidP="003915B9">
            <w:pPr>
              <w:widowControl w:val="0"/>
              <w:spacing w:after="0"/>
              <w:ind w:left="38" w:firstLine="3"/>
              <w:rPr>
                <w:rFonts w:ascii="Arial Narrow" w:hAnsi="Arial Narrow" w:cs="Tahoma"/>
                <w:sz w:val="18"/>
                <w:szCs w:val="18"/>
                <w:highlight w:val="yellow"/>
                <w:lang w:eastAsia="en-US"/>
              </w:rPr>
            </w:pPr>
          </w:p>
        </w:tc>
        <w:tc>
          <w:tcPr>
            <w:tcW w:w="1447" w:type="pct"/>
          </w:tcPr>
          <w:tbl>
            <w:tblPr>
              <w:tblStyle w:val="HealthConsult4"/>
              <w:tblW w:w="5000" w:type="pct"/>
              <w:tblCellMar>
                <w:left w:w="28" w:type="dxa"/>
                <w:right w:w="28" w:type="dxa"/>
              </w:tblCellMar>
              <w:tblLook w:val="04A0" w:firstRow="1" w:lastRow="0" w:firstColumn="1" w:lastColumn="0" w:noHBand="0" w:noVBand="1"/>
              <w:tblDescription w:val="Length of stay - application 1603"/>
            </w:tblPr>
            <w:tblGrid>
              <w:gridCol w:w="1305"/>
              <w:gridCol w:w="949"/>
              <w:gridCol w:w="1074"/>
              <w:gridCol w:w="731"/>
            </w:tblGrid>
            <w:tr w:rsidR="008C522C" w:rsidRPr="00FF57EF" w14:paraId="5B161C5F" w14:textId="77777777" w:rsidTr="003915B9">
              <w:trPr>
                <w:cantSplit/>
                <w:trHeight w:val="380"/>
                <w:tblHeader/>
              </w:trPr>
              <w:tc>
                <w:tcPr>
                  <w:tcW w:w="1608" w:type="pct"/>
                </w:tcPr>
                <w:p w14:paraId="022E8733"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Source</w:t>
                  </w:r>
                </w:p>
              </w:tc>
              <w:tc>
                <w:tcPr>
                  <w:tcW w:w="1169" w:type="pct"/>
                </w:tcPr>
                <w:p w14:paraId="4E056F5E"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TAVI</w:t>
                  </w:r>
                </w:p>
              </w:tc>
              <w:tc>
                <w:tcPr>
                  <w:tcW w:w="1323" w:type="pct"/>
                </w:tcPr>
                <w:p w14:paraId="418E39B3"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SAVR</w:t>
                  </w:r>
                </w:p>
              </w:tc>
              <w:tc>
                <w:tcPr>
                  <w:tcW w:w="901" w:type="pct"/>
                </w:tcPr>
                <w:p w14:paraId="08485CA0"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Diff. /Ratio</w:t>
                  </w:r>
                </w:p>
              </w:tc>
            </w:tr>
            <w:tr w:rsidR="008C522C" w:rsidRPr="00FF57EF" w14:paraId="5B630E67" w14:textId="77777777" w:rsidTr="00750CDD">
              <w:trPr>
                <w:cantSplit/>
                <w:trHeight w:val="836"/>
              </w:trPr>
              <w:tc>
                <w:tcPr>
                  <w:tcW w:w="1608" w:type="pct"/>
                </w:tcPr>
                <w:p w14:paraId="7A4B55D4"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BEV: Partner 3Si naïve comparison</w:t>
                  </w:r>
                </w:p>
              </w:tc>
              <w:tc>
                <w:tcPr>
                  <w:tcW w:w="1169" w:type="pct"/>
                </w:tcPr>
                <w:p w14:paraId="3728A6BE"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Median: 4 days</w:t>
                  </w:r>
                </w:p>
              </w:tc>
              <w:tc>
                <w:tcPr>
                  <w:tcW w:w="1323" w:type="pct"/>
                </w:tcPr>
                <w:p w14:paraId="2D91A343"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Median:9 days</w:t>
                  </w:r>
                </w:p>
              </w:tc>
              <w:tc>
                <w:tcPr>
                  <w:tcW w:w="901" w:type="pct"/>
                </w:tcPr>
                <w:p w14:paraId="47310BD2"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5 days</w:t>
                  </w:r>
                </w:p>
                <w:p w14:paraId="3F9F3FE5"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1: 2.25</w:t>
                  </w:r>
                </w:p>
              </w:tc>
            </w:tr>
            <w:tr w:rsidR="008C522C" w:rsidRPr="00FF57EF" w14:paraId="25A9D33A" w14:textId="77777777" w:rsidTr="003915B9">
              <w:trPr>
                <w:cantSplit/>
                <w:trHeight w:val="764"/>
              </w:trPr>
              <w:tc>
                <w:tcPr>
                  <w:tcW w:w="1608" w:type="pct"/>
                </w:tcPr>
                <w:p w14:paraId="022C79F0"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SEV: SURTAVI RCT</w:t>
                  </w:r>
                </w:p>
              </w:tc>
              <w:tc>
                <w:tcPr>
                  <w:tcW w:w="1169" w:type="pct"/>
                </w:tcPr>
                <w:p w14:paraId="7F4E8A9B"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Mean: 5.75 days ±4.85</w:t>
                  </w:r>
                </w:p>
              </w:tc>
              <w:tc>
                <w:tcPr>
                  <w:tcW w:w="1323" w:type="pct"/>
                </w:tcPr>
                <w:p w14:paraId="032852C7"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Mean: 9.75 days</w:t>
                  </w:r>
                </w:p>
                <w:p w14:paraId="3CFC4714"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±8.03</w:t>
                  </w:r>
                </w:p>
              </w:tc>
              <w:tc>
                <w:tcPr>
                  <w:tcW w:w="901" w:type="pct"/>
                </w:tcPr>
                <w:p w14:paraId="353F993E"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4 days</w:t>
                  </w:r>
                </w:p>
                <w:p w14:paraId="63E6BB3C"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1:1.7</w:t>
                  </w:r>
                </w:p>
              </w:tc>
            </w:tr>
          </w:tbl>
          <w:p w14:paraId="7F191728" w14:textId="77777777" w:rsidR="008C522C" w:rsidRPr="00FF57EF" w:rsidRDefault="008C522C" w:rsidP="003915B9">
            <w:pPr>
              <w:widowControl w:val="0"/>
              <w:spacing w:after="0"/>
              <w:ind w:left="38" w:firstLine="3"/>
              <w:rPr>
                <w:rFonts w:ascii="Arial Narrow" w:hAnsi="Arial Narrow" w:cs="Tahoma"/>
                <w:sz w:val="18"/>
                <w:szCs w:val="18"/>
              </w:rPr>
            </w:pPr>
          </w:p>
        </w:tc>
        <w:tc>
          <w:tcPr>
            <w:tcW w:w="1447" w:type="pct"/>
          </w:tcPr>
          <w:tbl>
            <w:tblPr>
              <w:tblStyle w:val="HealthConsult4"/>
              <w:tblW w:w="5000" w:type="pct"/>
              <w:tblCellMar>
                <w:left w:w="28" w:type="dxa"/>
                <w:right w:w="28" w:type="dxa"/>
              </w:tblCellMar>
              <w:tblLook w:val="04A0" w:firstRow="1" w:lastRow="0" w:firstColumn="1" w:lastColumn="0" w:noHBand="0" w:noVBand="1"/>
              <w:tblDescription w:val="Length of stay - application 1361.2"/>
            </w:tblPr>
            <w:tblGrid>
              <w:gridCol w:w="1259"/>
              <w:gridCol w:w="820"/>
              <w:gridCol w:w="810"/>
              <w:gridCol w:w="1170"/>
            </w:tblGrid>
            <w:tr w:rsidR="008C522C" w:rsidRPr="00FF57EF" w14:paraId="2C1D1488" w14:textId="77777777" w:rsidTr="00D80FEF">
              <w:trPr>
                <w:trHeight w:val="403"/>
                <w:tblHeader/>
              </w:trPr>
              <w:tc>
                <w:tcPr>
                  <w:tcW w:w="1551" w:type="pct"/>
                </w:tcPr>
                <w:p w14:paraId="009A577D"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Source</w:t>
                  </w:r>
                </w:p>
              </w:tc>
              <w:tc>
                <w:tcPr>
                  <w:tcW w:w="1010" w:type="pct"/>
                </w:tcPr>
                <w:p w14:paraId="3C1B16ED"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TAVI</w:t>
                  </w:r>
                </w:p>
              </w:tc>
              <w:tc>
                <w:tcPr>
                  <w:tcW w:w="998" w:type="pct"/>
                </w:tcPr>
                <w:p w14:paraId="764B44A2"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SAVR</w:t>
                  </w:r>
                </w:p>
              </w:tc>
              <w:tc>
                <w:tcPr>
                  <w:tcW w:w="1441" w:type="pct"/>
                </w:tcPr>
                <w:p w14:paraId="4094EB8B"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Diff./Ratio</w:t>
                  </w:r>
                </w:p>
              </w:tc>
            </w:tr>
            <w:tr w:rsidR="008C522C" w:rsidRPr="00FF57EF" w14:paraId="364194AD" w14:textId="77777777" w:rsidTr="003915B9">
              <w:trPr>
                <w:trHeight w:val="413"/>
              </w:trPr>
              <w:tc>
                <w:tcPr>
                  <w:tcW w:w="1551" w:type="pct"/>
                </w:tcPr>
                <w:p w14:paraId="72A9617F"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 xml:space="preserve">Yong 2012 </w:t>
                  </w:r>
                </w:p>
              </w:tc>
              <w:tc>
                <w:tcPr>
                  <w:tcW w:w="1010" w:type="pct"/>
                </w:tcPr>
                <w:p w14:paraId="670E38E6"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6.2 days</w:t>
                  </w:r>
                </w:p>
              </w:tc>
              <w:tc>
                <w:tcPr>
                  <w:tcW w:w="998" w:type="pct"/>
                </w:tcPr>
                <w:p w14:paraId="27A9C1D2"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12 days</w:t>
                  </w:r>
                </w:p>
              </w:tc>
              <w:tc>
                <w:tcPr>
                  <w:tcW w:w="1441" w:type="pct"/>
                </w:tcPr>
                <w:p w14:paraId="367D6F34"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5.8 days</w:t>
                  </w:r>
                </w:p>
                <w:p w14:paraId="051FF689"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1: 2.0</w:t>
                  </w:r>
                </w:p>
              </w:tc>
            </w:tr>
            <w:tr w:rsidR="008C522C" w:rsidRPr="00FF57EF" w14:paraId="4287660D" w14:textId="77777777" w:rsidTr="003915B9">
              <w:trPr>
                <w:trHeight w:val="403"/>
              </w:trPr>
              <w:tc>
                <w:tcPr>
                  <w:tcW w:w="1551" w:type="pct"/>
                </w:tcPr>
                <w:p w14:paraId="0CF17F73"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PARTNER trial</w:t>
                  </w:r>
                </w:p>
              </w:tc>
              <w:tc>
                <w:tcPr>
                  <w:tcW w:w="1010" w:type="pct"/>
                </w:tcPr>
                <w:p w14:paraId="27B32703"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8 days</w:t>
                  </w:r>
                </w:p>
              </w:tc>
              <w:tc>
                <w:tcPr>
                  <w:tcW w:w="998" w:type="pct"/>
                </w:tcPr>
                <w:p w14:paraId="1EEC5577"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12 days</w:t>
                  </w:r>
                </w:p>
              </w:tc>
              <w:tc>
                <w:tcPr>
                  <w:tcW w:w="1441" w:type="pct"/>
                </w:tcPr>
                <w:p w14:paraId="6B97729F"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4 days</w:t>
                  </w:r>
                </w:p>
                <w:p w14:paraId="2C15270A" w14:textId="77777777" w:rsidR="008C522C" w:rsidRPr="00FF57EF" w:rsidRDefault="008C522C" w:rsidP="003915B9">
                  <w:pPr>
                    <w:widowControl w:val="0"/>
                    <w:spacing w:after="0"/>
                    <w:ind w:left="38" w:firstLine="3"/>
                    <w:rPr>
                      <w:rFonts w:ascii="Arial Narrow" w:hAnsi="Arial Narrow" w:cs="Tahoma"/>
                      <w:sz w:val="18"/>
                      <w:szCs w:val="18"/>
                      <w:lang w:eastAsia="en-US"/>
                    </w:rPr>
                  </w:pPr>
                  <w:r w:rsidRPr="00FF57EF">
                    <w:rPr>
                      <w:rFonts w:ascii="Arial Narrow" w:hAnsi="Arial Narrow" w:cs="Tahoma"/>
                      <w:sz w:val="18"/>
                      <w:szCs w:val="18"/>
                      <w:lang w:eastAsia="en-US"/>
                    </w:rPr>
                    <w:t>1:1.5</w:t>
                  </w:r>
                </w:p>
              </w:tc>
            </w:tr>
          </w:tbl>
          <w:p w14:paraId="5F62DC22" w14:textId="77777777" w:rsidR="008C522C" w:rsidRPr="00FF57EF" w:rsidRDefault="008C522C" w:rsidP="003915B9">
            <w:pPr>
              <w:widowControl w:val="0"/>
              <w:spacing w:after="0"/>
              <w:ind w:left="38" w:firstLine="3"/>
              <w:rPr>
                <w:rFonts w:ascii="Arial Narrow" w:hAnsi="Arial Narrow" w:cs="Tahoma"/>
                <w:sz w:val="18"/>
                <w:szCs w:val="18"/>
              </w:rPr>
            </w:pPr>
            <w:r w:rsidRPr="00FF57EF">
              <w:rPr>
                <w:rFonts w:ascii="Arial Narrow" w:hAnsi="Arial Narrow" w:cs="Tahoma"/>
                <w:sz w:val="18"/>
                <w:szCs w:val="18"/>
              </w:rPr>
              <w:t xml:space="preserve">MSAC accepted estimate from PARTNER trial (Smith 2011). </w:t>
            </w:r>
          </w:p>
        </w:tc>
      </w:tr>
      <w:tr w:rsidR="008C522C" w:rsidRPr="008C522C" w14:paraId="3DD6237C" w14:textId="77777777" w:rsidTr="003915B9">
        <w:trPr>
          <w:trHeight w:val="18"/>
        </w:trPr>
        <w:tc>
          <w:tcPr>
            <w:tcW w:w="659" w:type="pct"/>
          </w:tcPr>
          <w:p w14:paraId="230527A4" w14:textId="77777777" w:rsidR="008C522C" w:rsidRPr="00524471" w:rsidRDefault="008C522C" w:rsidP="003915B9">
            <w:pPr>
              <w:widowControl w:val="0"/>
              <w:spacing w:after="0"/>
              <w:ind w:left="-30"/>
              <w:rPr>
                <w:rFonts w:ascii="Arial Narrow" w:hAnsi="Arial Narrow" w:cs="Tahoma"/>
                <w:sz w:val="20"/>
              </w:rPr>
            </w:pPr>
            <w:r w:rsidRPr="00524471">
              <w:rPr>
                <w:rFonts w:ascii="Arial Narrow" w:hAnsi="Arial Narrow" w:cs="Tahoma"/>
                <w:sz w:val="20"/>
              </w:rPr>
              <w:t>Hospitalisation cost</w:t>
            </w:r>
          </w:p>
        </w:tc>
        <w:tc>
          <w:tcPr>
            <w:tcW w:w="1447" w:type="pct"/>
          </w:tcPr>
          <w:p w14:paraId="17CE94D3" w14:textId="1A33EBA1" w:rsidR="008C522C" w:rsidRPr="00D20EA6" w:rsidRDefault="008C522C" w:rsidP="003915B9">
            <w:pPr>
              <w:widowControl w:val="0"/>
              <w:spacing w:after="0"/>
              <w:ind w:left="38" w:firstLine="3"/>
              <w:rPr>
                <w:rFonts w:ascii="Arial Narrow" w:hAnsi="Arial Narrow" w:cs="Tahoma"/>
                <w:sz w:val="20"/>
                <w:lang w:eastAsia="en-US"/>
              </w:rPr>
            </w:pPr>
            <w:r w:rsidRPr="00D20EA6">
              <w:rPr>
                <w:rFonts w:ascii="Arial Narrow" w:hAnsi="Arial Narrow" w:cs="Tahoma"/>
                <w:sz w:val="20"/>
                <w:lang w:eastAsia="en-US"/>
              </w:rPr>
              <w:t xml:space="preserve">TAVI: </w:t>
            </w:r>
            <w:r w:rsidR="0026456D" w:rsidRPr="00D20EA6">
              <w:rPr>
                <w:rFonts w:ascii="Arial Narrow" w:hAnsi="Arial Narrow" w:cs="Tahoma"/>
                <w:b/>
                <w:sz w:val="20"/>
              </w:rPr>
              <w:t>$redacted</w:t>
            </w:r>
          </w:p>
          <w:p w14:paraId="6B3018C0" w14:textId="54E33D27" w:rsidR="008C522C" w:rsidRPr="00D20EA6" w:rsidRDefault="008C522C" w:rsidP="003915B9">
            <w:pPr>
              <w:widowControl w:val="0"/>
              <w:spacing w:after="0"/>
              <w:ind w:left="38" w:firstLine="3"/>
              <w:rPr>
                <w:rFonts w:ascii="Arial Narrow" w:hAnsi="Arial Narrow" w:cs="Tahoma"/>
                <w:sz w:val="20"/>
                <w:lang w:eastAsia="en-US"/>
              </w:rPr>
            </w:pPr>
            <w:r w:rsidRPr="00D20EA6">
              <w:rPr>
                <w:rFonts w:ascii="Arial Narrow" w:hAnsi="Arial Narrow" w:cs="Tahoma"/>
                <w:sz w:val="20"/>
                <w:szCs w:val="24"/>
                <w:lang w:eastAsia="en-US"/>
              </w:rPr>
              <w:t xml:space="preserve">SAVR: </w:t>
            </w:r>
            <w:r w:rsidR="0026456D" w:rsidRPr="00D20EA6">
              <w:rPr>
                <w:rFonts w:ascii="Arial Narrow" w:hAnsi="Arial Narrow" w:cs="Tahoma"/>
                <w:b/>
                <w:sz w:val="20"/>
              </w:rPr>
              <w:t>$redacted</w:t>
            </w:r>
          </w:p>
        </w:tc>
        <w:tc>
          <w:tcPr>
            <w:tcW w:w="1447" w:type="pct"/>
          </w:tcPr>
          <w:p w14:paraId="2F325D23" w14:textId="77777777" w:rsidR="008C522C" w:rsidRPr="00FF57EF" w:rsidRDefault="008C522C" w:rsidP="003915B9">
            <w:pPr>
              <w:widowControl w:val="0"/>
              <w:spacing w:after="0"/>
              <w:ind w:left="38" w:firstLine="3"/>
              <w:rPr>
                <w:rFonts w:ascii="Arial Narrow" w:hAnsi="Arial Narrow" w:cs="Tahoma"/>
                <w:sz w:val="20"/>
                <w:lang w:eastAsia="en-US"/>
              </w:rPr>
            </w:pPr>
            <w:r w:rsidRPr="00FF57EF">
              <w:rPr>
                <w:rFonts w:ascii="Arial Narrow" w:hAnsi="Arial Narrow" w:cs="Tahoma"/>
                <w:sz w:val="20"/>
                <w:lang w:eastAsia="en-US"/>
              </w:rPr>
              <w:t xml:space="preserve">TAVI: $21,944 </w:t>
            </w:r>
          </w:p>
          <w:p w14:paraId="3A2BC408" w14:textId="77777777" w:rsidR="008C522C" w:rsidRPr="00FF57EF" w:rsidRDefault="008C522C" w:rsidP="003915B9">
            <w:pPr>
              <w:widowControl w:val="0"/>
              <w:spacing w:after="0"/>
              <w:ind w:left="38" w:firstLine="3"/>
              <w:rPr>
                <w:rFonts w:ascii="Arial Narrow" w:hAnsi="Arial Narrow" w:cs="Tahoma"/>
                <w:sz w:val="20"/>
              </w:rPr>
            </w:pPr>
            <w:r w:rsidRPr="00FF57EF">
              <w:rPr>
                <w:rFonts w:ascii="Arial Narrow" w:hAnsi="Arial Narrow" w:cs="Tahoma"/>
                <w:sz w:val="20"/>
              </w:rPr>
              <w:t xml:space="preserve">SAVR: $49,375 </w:t>
            </w:r>
          </w:p>
        </w:tc>
        <w:tc>
          <w:tcPr>
            <w:tcW w:w="1447" w:type="pct"/>
          </w:tcPr>
          <w:p w14:paraId="3C0C4936" w14:textId="77777777" w:rsidR="008C522C" w:rsidRPr="00FF57EF" w:rsidRDefault="008C522C" w:rsidP="003915B9">
            <w:pPr>
              <w:widowControl w:val="0"/>
              <w:spacing w:after="0"/>
              <w:ind w:left="38" w:firstLine="3"/>
              <w:rPr>
                <w:rFonts w:ascii="Arial Narrow" w:hAnsi="Arial Narrow" w:cs="Tahoma"/>
                <w:sz w:val="20"/>
                <w:lang w:eastAsia="en-US"/>
              </w:rPr>
            </w:pPr>
            <w:r w:rsidRPr="00FF57EF">
              <w:rPr>
                <w:rFonts w:ascii="Arial Narrow" w:hAnsi="Arial Narrow" w:cs="Tahoma"/>
                <w:sz w:val="20"/>
                <w:lang w:eastAsia="en-US"/>
              </w:rPr>
              <w:t>TAVI: $24,328</w:t>
            </w:r>
          </w:p>
          <w:p w14:paraId="3E618272" w14:textId="414CB647" w:rsidR="008C522C" w:rsidRPr="00FF57EF" w:rsidRDefault="008C522C" w:rsidP="00B31CC9">
            <w:pPr>
              <w:widowControl w:val="0"/>
              <w:spacing w:after="0"/>
              <w:ind w:left="38" w:firstLine="3"/>
              <w:rPr>
                <w:rFonts w:ascii="Arial Narrow" w:hAnsi="Arial Narrow" w:cs="Tahoma"/>
                <w:sz w:val="20"/>
              </w:rPr>
            </w:pPr>
            <w:r w:rsidRPr="00FF57EF">
              <w:rPr>
                <w:rFonts w:ascii="Arial Narrow" w:hAnsi="Arial Narrow" w:cs="Tahoma"/>
                <w:sz w:val="20"/>
              </w:rPr>
              <w:t xml:space="preserve">SAVR: $48,655 </w:t>
            </w:r>
          </w:p>
        </w:tc>
      </w:tr>
      <w:tr w:rsidR="008C522C" w:rsidRPr="008C522C" w14:paraId="2757C263" w14:textId="77777777" w:rsidTr="003915B9">
        <w:trPr>
          <w:trHeight w:val="18"/>
        </w:trPr>
        <w:tc>
          <w:tcPr>
            <w:tcW w:w="659" w:type="pct"/>
          </w:tcPr>
          <w:p w14:paraId="5B1C1E3E" w14:textId="1FCF1807" w:rsidR="008C522C" w:rsidRPr="00524471" w:rsidRDefault="008C522C" w:rsidP="003915B9">
            <w:pPr>
              <w:widowControl w:val="0"/>
              <w:spacing w:after="0"/>
              <w:ind w:left="-30"/>
              <w:rPr>
                <w:rFonts w:ascii="Arial Narrow" w:hAnsi="Arial Narrow" w:cs="Tahoma"/>
                <w:sz w:val="20"/>
              </w:rPr>
            </w:pPr>
            <w:r w:rsidRPr="00524471">
              <w:rPr>
                <w:rFonts w:ascii="Arial Narrow" w:hAnsi="Arial Narrow" w:cs="Tahoma"/>
                <w:sz w:val="20"/>
              </w:rPr>
              <w:lastRenderedPageBreak/>
              <w:t xml:space="preserve">Hospital costs (used in the model) </w:t>
            </w:r>
          </w:p>
        </w:tc>
        <w:tc>
          <w:tcPr>
            <w:tcW w:w="1447" w:type="pct"/>
          </w:tcPr>
          <w:p w14:paraId="60C11454" w14:textId="71F3FE36" w:rsidR="008C522C" w:rsidRPr="00D20EA6" w:rsidRDefault="0026456D" w:rsidP="003915B9">
            <w:pPr>
              <w:widowControl w:val="0"/>
              <w:spacing w:after="0"/>
              <w:ind w:left="38" w:firstLine="3"/>
              <w:rPr>
                <w:rFonts w:ascii="Arial Narrow" w:hAnsi="Arial Narrow" w:cs="Tahoma"/>
                <w:sz w:val="20"/>
              </w:rPr>
            </w:pPr>
            <w:r w:rsidRPr="00D20EA6">
              <w:rPr>
                <w:rFonts w:ascii="Arial Narrow" w:hAnsi="Arial Narrow" w:cs="Tahoma"/>
                <w:b/>
                <w:sz w:val="20"/>
              </w:rPr>
              <w:t>$redacted</w:t>
            </w:r>
          </w:p>
        </w:tc>
        <w:tc>
          <w:tcPr>
            <w:tcW w:w="1447" w:type="pct"/>
          </w:tcPr>
          <w:p w14:paraId="6A35B241"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ADAR included hospital costs for public patients using AR-DRG codes. MBS costs were applied to private patients.</w:t>
            </w:r>
          </w:p>
        </w:tc>
        <w:tc>
          <w:tcPr>
            <w:tcW w:w="1447" w:type="pct"/>
          </w:tcPr>
          <w:p w14:paraId="29045C5A"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Hospital costs (derived from AR-DRG codes) and MBS costs were applied to all patients</w:t>
            </w:r>
          </w:p>
        </w:tc>
      </w:tr>
      <w:tr w:rsidR="008C522C" w:rsidRPr="008C522C" w14:paraId="1C126DCA" w14:textId="77777777" w:rsidTr="003915B9">
        <w:trPr>
          <w:trHeight w:val="18"/>
        </w:trPr>
        <w:tc>
          <w:tcPr>
            <w:tcW w:w="659" w:type="pct"/>
          </w:tcPr>
          <w:p w14:paraId="6CC913B3" w14:textId="77777777" w:rsidR="008C522C" w:rsidRPr="00524471" w:rsidRDefault="008C522C" w:rsidP="003915B9">
            <w:pPr>
              <w:widowControl w:val="0"/>
              <w:spacing w:after="0"/>
              <w:ind w:left="-30"/>
              <w:rPr>
                <w:rFonts w:ascii="Arial Narrow" w:hAnsi="Arial Narrow" w:cs="Tahoma"/>
                <w:sz w:val="20"/>
              </w:rPr>
            </w:pPr>
            <w:r w:rsidRPr="00524471">
              <w:rPr>
                <w:rFonts w:ascii="Arial Narrow" w:hAnsi="Arial Narrow" w:cs="Tahoma"/>
                <w:sz w:val="20"/>
              </w:rPr>
              <w:t xml:space="preserve">Hospital costs for TAVI-BEV </w:t>
            </w:r>
          </w:p>
        </w:tc>
        <w:tc>
          <w:tcPr>
            <w:tcW w:w="1447" w:type="pct"/>
          </w:tcPr>
          <w:p w14:paraId="79059BA8" w14:textId="6BD58815" w:rsidR="008C522C" w:rsidRPr="00D20EA6" w:rsidRDefault="0026456D" w:rsidP="003915B9">
            <w:pPr>
              <w:widowControl w:val="0"/>
              <w:spacing w:after="0"/>
              <w:ind w:left="38" w:firstLine="3"/>
              <w:rPr>
                <w:rFonts w:ascii="Arial Narrow" w:hAnsi="Arial Narrow" w:cs="Tahoma"/>
                <w:sz w:val="20"/>
              </w:rPr>
            </w:pPr>
            <w:r w:rsidRPr="00D20EA6">
              <w:rPr>
                <w:rFonts w:ascii="Arial Narrow" w:hAnsi="Arial Narrow" w:cs="Tahoma"/>
                <w:b/>
                <w:sz w:val="20"/>
              </w:rPr>
              <w:t>$redacted</w:t>
            </w:r>
          </w:p>
        </w:tc>
        <w:tc>
          <w:tcPr>
            <w:tcW w:w="1447" w:type="pct"/>
          </w:tcPr>
          <w:p w14:paraId="67316FF1"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 xml:space="preserve">44% of the costs of SAVR. Based on the median length of hospital stay for TAVI-BEV (4-days) </w:t>
            </w:r>
            <w:r w:rsidRPr="00524471">
              <w:rPr>
                <w:rFonts w:ascii="Arial Narrow" w:hAnsi="Arial Narrow" w:cs="Tahoma"/>
                <w:i/>
                <w:sz w:val="20"/>
              </w:rPr>
              <w:t>vs</w:t>
            </w:r>
            <w:r w:rsidRPr="00524471">
              <w:rPr>
                <w:rFonts w:ascii="Arial Narrow" w:hAnsi="Arial Narrow" w:cs="Tahoma"/>
                <w:sz w:val="20"/>
              </w:rPr>
              <w:t>. SAVR patients (9-days) from PARTNER S3i</w:t>
            </w:r>
          </w:p>
        </w:tc>
        <w:tc>
          <w:tcPr>
            <w:tcW w:w="1447" w:type="pct"/>
          </w:tcPr>
          <w:p w14:paraId="6EA070C0"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 xml:space="preserve">No change in hospital costs from 1361. The commentary noted that the model was most sensitive to hospitalisation costs for TAVI-BEV. </w:t>
            </w:r>
          </w:p>
        </w:tc>
      </w:tr>
      <w:tr w:rsidR="008C522C" w:rsidRPr="008C522C" w14:paraId="0A8B54B9" w14:textId="77777777" w:rsidTr="003915B9">
        <w:trPr>
          <w:trHeight w:val="18"/>
        </w:trPr>
        <w:tc>
          <w:tcPr>
            <w:tcW w:w="659" w:type="pct"/>
          </w:tcPr>
          <w:p w14:paraId="0A0A9190" w14:textId="77777777" w:rsidR="008C522C" w:rsidRPr="00524471" w:rsidRDefault="008C522C" w:rsidP="003915B9">
            <w:pPr>
              <w:widowControl w:val="0"/>
              <w:spacing w:after="0"/>
              <w:ind w:left="-30"/>
              <w:rPr>
                <w:rFonts w:ascii="Arial Narrow" w:hAnsi="Arial Narrow" w:cs="Tahoma"/>
                <w:sz w:val="20"/>
              </w:rPr>
            </w:pPr>
            <w:r w:rsidRPr="00524471">
              <w:rPr>
                <w:rFonts w:ascii="Arial Narrow" w:hAnsi="Arial Narrow" w:cs="Tahoma"/>
                <w:sz w:val="20"/>
              </w:rPr>
              <w:t>Utility</w:t>
            </w:r>
          </w:p>
        </w:tc>
        <w:tc>
          <w:tcPr>
            <w:tcW w:w="1447" w:type="pct"/>
          </w:tcPr>
          <w:tbl>
            <w:tblPr>
              <w:tblStyle w:val="HealthConsult4"/>
              <w:tblW w:w="5000" w:type="pct"/>
              <w:tblCellMar>
                <w:left w:w="28" w:type="dxa"/>
                <w:right w:w="28" w:type="dxa"/>
              </w:tblCellMar>
              <w:tblLook w:val="04A0" w:firstRow="1" w:lastRow="0" w:firstColumn="1" w:lastColumn="0" w:noHBand="0" w:noVBand="1"/>
              <w:tblDescription w:val="Utility - application 1635"/>
            </w:tblPr>
            <w:tblGrid>
              <w:gridCol w:w="1588"/>
              <w:gridCol w:w="1236"/>
              <w:gridCol w:w="1235"/>
            </w:tblGrid>
            <w:tr w:rsidR="008C522C" w:rsidRPr="00D20EA6" w14:paraId="42A189D5" w14:textId="77777777" w:rsidTr="0026456D">
              <w:trPr>
                <w:trHeight w:val="274"/>
                <w:tblHeader/>
              </w:trPr>
              <w:tc>
                <w:tcPr>
                  <w:tcW w:w="1957" w:type="pct"/>
                </w:tcPr>
                <w:p w14:paraId="527EF71C" w14:textId="77777777" w:rsidR="008C522C" w:rsidRPr="00D20EA6" w:rsidRDefault="008C522C" w:rsidP="003915B9">
                  <w:pPr>
                    <w:widowControl w:val="0"/>
                    <w:spacing w:after="0"/>
                    <w:ind w:left="38" w:firstLine="3"/>
                    <w:rPr>
                      <w:rFonts w:ascii="Arial Narrow" w:hAnsi="Arial Narrow" w:cs="Tahoma"/>
                      <w:sz w:val="20"/>
                    </w:rPr>
                  </w:pPr>
                  <w:r w:rsidRPr="00D20EA6">
                    <w:rPr>
                      <w:rFonts w:ascii="Arial Narrow" w:hAnsi="Arial Narrow" w:cs="Tahoma"/>
                      <w:sz w:val="20"/>
                    </w:rPr>
                    <w:t>Utility values</w:t>
                  </w:r>
                </w:p>
              </w:tc>
              <w:tc>
                <w:tcPr>
                  <w:tcW w:w="1522" w:type="pct"/>
                </w:tcPr>
                <w:p w14:paraId="6BDAD70B" w14:textId="77777777" w:rsidR="008C522C" w:rsidRPr="00D20EA6" w:rsidRDefault="008C522C" w:rsidP="003915B9">
                  <w:pPr>
                    <w:widowControl w:val="0"/>
                    <w:spacing w:after="0"/>
                    <w:ind w:left="38" w:firstLine="3"/>
                    <w:rPr>
                      <w:rFonts w:ascii="Arial Narrow" w:hAnsi="Arial Narrow" w:cs="Tahoma"/>
                      <w:sz w:val="20"/>
                    </w:rPr>
                  </w:pPr>
                  <w:r w:rsidRPr="00D20EA6">
                    <w:rPr>
                      <w:rFonts w:ascii="Arial Narrow" w:hAnsi="Arial Narrow" w:cs="Tahoma"/>
                      <w:sz w:val="20"/>
                    </w:rPr>
                    <w:t>TAVI-BEV</w:t>
                  </w:r>
                </w:p>
              </w:tc>
              <w:tc>
                <w:tcPr>
                  <w:tcW w:w="1522" w:type="pct"/>
                </w:tcPr>
                <w:p w14:paraId="4578B416" w14:textId="77777777" w:rsidR="008C522C" w:rsidRPr="00D20EA6" w:rsidRDefault="008C522C" w:rsidP="003915B9">
                  <w:pPr>
                    <w:widowControl w:val="0"/>
                    <w:spacing w:after="0"/>
                    <w:ind w:left="38" w:firstLine="3"/>
                    <w:rPr>
                      <w:rFonts w:ascii="Arial Narrow" w:hAnsi="Arial Narrow" w:cs="Tahoma"/>
                      <w:sz w:val="20"/>
                    </w:rPr>
                  </w:pPr>
                  <w:r w:rsidRPr="00D20EA6">
                    <w:rPr>
                      <w:rFonts w:ascii="Arial Narrow" w:hAnsi="Arial Narrow" w:cs="Tahoma"/>
                      <w:sz w:val="20"/>
                    </w:rPr>
                    <w:t>SAVR</w:t>
                  </w:r>
                </w:p>
              </w:tc>
            </w:tr>
            <w:tr w:rsidR="0026456D" w:rsidRPr="00D20EA6" w14:paraId="21CA8898" w14:textId="77777777" w:rsidTr="0026456D">
              <w:trPr>
                <w:trHeight w:val="539"/>
              </w:trPr>
              <w:tc>
                <w:tcPr>
                  <w:tcW w:w="1957" w:type="pct"/>
                </w:tcPr>
                <w:p w14:paraId="4A31820D" w14:textId="6736DEC8" w:rsidR="0026456D" w:rsidRPr="00D20EA6" w:rsidRDefault="0007101C" w:rsidP="0026456D">
                  <w:pPr>
                    <w:widowControl w:val="0"/>
                    <w:spacing w:after="0"/>
                    <w:ind w:left="38" w:firstLine="3"/>
                    <w:rPr>
                      <w:rFonts w:ascii="Arial Narrow" w:hAnsi="Arial Narrow" w:cs="Tahoma"/>
                      <w:sz w:val="20"/>
                    </w:rPr>
                  </w:pPr>
                  <w:r w:rsidRPr="00D20EA6">
                    <w:rPr>
                      <w:rFonts w:ascii="Arial Narrow" w:hAnsi="Arial Narrow" w:cs="Tahoma"/>
                      <w:b/>
                      <w:sz w:val="20"/>
                    </w:rPr>
                    <w:t>R</w:t>
                  </w:r>
                  <w:r w:rsidR="0026456D" w:rsidRPr="00D20EA6">
                    <w:rPr>
                      <w:rFonts w:ascii="Arial Narrow" w:hAnsi="Arial Narrow" w:cs="Tahoma"/>
                      <w:b/>
                      <w:sz w:val="20"/>
                    </w:rPr>
                    <w:t>edacted</w:t>
                  </w:r>
                </w:p>
              </w:tc>
              <w:tc>
                <w:tcPr>
                  <w:tcW w:w="1522" w:type="pct"/>
                </w:tcPr>
                <w:p w14:paraId="6857061C" w14:textId="3FA417B1" w:rsidR="0026456D" w:rsidRPr="00D20EA6" w:rsidRDefault="0026456D" w:rsidP="0026456D">
                  <w:pPr>
                    <w:widowControl w:val="0"/>
                    <w:spacing w:after="0"/>
                    <w:ind w:left="38" w:firstLine="3"/>
                    <w:rPr>
                      <w:rFonts w:ascii="Arial Narrow" w:hAnsi="Arial Narrow" w:cs="Tahoma"/>
                      <w:sz w:val="20"/>
                    </w:rPr>
                  </w:pPr>
                  <w:r w:rsidRPr="00D20EA6">
                    <w:rPr>
                      <w:rFonts w:ascii="Arial Narrow" w:hAnsi="Arial Narrow" w:cs="Tahoma"/>
                      <w:b/>
                      <w:sz w:val="20"/>
                    </w:rPr>
                    <w:t>$redacted</w:t>
                  </w:r>
                </w:p>
              </w:tc>
              <w:tc>
                <w:tcPr>
                  <w:tcW w:w="1522" w:type="pct"/>
                </w:tcPr>
                <w:p w14:paraId="6D9254C2" w14:textId="5E07A385" w:rsidR="0026456D" w:rsidRPr="00D20EA6" w:rsidRDefault="0026456D" w:rsidP="0026456D">
                  <w:pPr>
                    <w:widowControl w:val="0"/>
                    <w:spacing w:after="0"/>
                    <w:ind w:left="38" w:firstLine="3"/>
                    <w:rPr>
                      <w:rFonts w:ascii="Arial Narrow" w:hAnsi="Arial Narrow" w:cs="Tahoma"/>
                      <w:sz w:val="20"/>
                    </w:rPr>
                  </w:pPr>
                  <w:r w:rsidRPr="00D20EA6">
                    <w:rPr>
                      <w:rFonts w:ascii="Arial Narrow" w:hAnsi="Arial Narrow" w:cs="Tahoma"/>
                      <w:b/>
                      <w:sz w:val="20"/>
                    </w:rPr>
                    <w:t>$redacted</w:t>
                  </w:r>
                </w:p>
              </w:tc>
            </w:tr>
            <w:tr w:rsidR="0026456D" w:rsidRPr="00D20EA6" w14:paraId="5B4D3B53" w14:textId="77777777" w:rsidTr="0026456D">
              <w:trPr>
                <w:trHeight w:val="274"/>
              </w:trPr>
              <w:tc>
                <w:tcPr>
                  <w:tcW w:w="1957" w:type="pct"/>
                </w:tcPr>
                <w:p w14:paraId="71E6FB45" w14:textId="0521B74D" w:rsidR="0026456D" w:rsidRPr="00D20EA6" w:rsidRDefault="0007101C" w:rsidP="0026456D">
                  <w:pPr>
                    <w:widowControl w:val="0"/>
                    <w:spacing w:after="0"/>
                    <w:ind w:left="38" w:firstLine="3"/>
                    <w:rPr>
                      <w:rFonts w:ascii="Arial Narrow" w:hAnsi="Arial Narrow" w:cs="Tahoma"/>
                      <w:sz w:val="20"/>
                    </w:rPr>
                  </w:pPr>
                  <w:r w:rsidRPr="00D20EA6">
                    <w:rPr>
                      <w:rFonts w:ascii="Arial Narrow" w:hAnsi="Arial Narrow" w:cs="Tahoma"/>
                      <w:b/>
                      <w:sz w:val="20"/>
                    </w:rPr>
                    <w:t>R</w:t>
                  </w:r>
                  <w:r w:rsidR="0026456D" w:rsidRPr="00D20EA6">
                    <w:rPr>
                      <w:rFonts w:ascii="Arial Narrow" w:hAnsi="Arial Narrow" w:cs="Tahoma"/>
                      <w:b/>
                      <w:sz w:val="20"/>
                    </w:rPr>
                    <w:t>edacted</w:t>
                  </w:r>
                </w:p>
              </w:tc>
              <w:tc>
                <w:tcPr>
                  <w:tcW w:w="1522" w:type="pct"/>
                </w:tcPr>
                <w:p w14:paraId="45426DEB" w14:textId="6D647BDD" w:rsidR="0026456D" w:rsidRPr="00D20EA6" w:rsidRDefault="0026456D" w:rsidP="0026456D">
                  <w:pPr>
                    <w:widowControl w:val="0"/>
                    <w:spacing w:after="0"/>
                    <w:ind w:left="38" w:firstLine="3"/>
                    <w:rPr>
                      <w:rFonts w:ascii="Arial Narrow" w:hAnsi="Arial Narrow" w:cs="Tahoma"/>
                      <w:sz w:val="20"/>
                    </w:rPr>
                  </w:pPr>
                  <w:r w:rsidRPr="00D20EA6">
                    <w:rPr>
                      <w:rFonts w:ascii="Arial Narrow" w:hAnsi="Arial Narrow" w:cs="Tahoma"/>
                      <w:b/>
                      <w:sz w:val="20"/>
                    </w:rPr>
                    <w:t>$redacted</w:t>
                  </w:r>
                </w:p>
              </w:tc>
              <w:tc>
                <w:tcPr>
                  <w:tcW w:w="1522" w:type="pct"/>
                </w:tcPr>
                <w:p w14:paraId="207FA0EC" w14:textId="6C71A30F" w:rsidR="0026456D" w:rsidRPr="00D20EA6" w:rsidRDefault="0026456D" w:rsidP="0026456D">
                  <w:pPr>
                    <w:widowControl w:val="0"/>
                    <w:spacing w:after="0"/>
                    <w:ind w:left="38" w:firstLine="3"/>
                    <w:rPr>
                      <w:rFonts w:ascii="Arial Narrow" w:hAnsi="Arial Narrow" w:cs="Tahoma"/>
                      <w:sz w:val="20"/>
                    </w:rPr>
                  </w:pPr>
                  <w:r w:rsidRPr="00D20EA6">
                    <w:rPr>
                      <w:rFonts w:ascii="Arial Narrow" w:hAnsi="Arial Narrow" w:cs="Tahoma"/>
                      <w:b/>
                      <w:sz w:val="20"/>
                    </w:rPr>
                    <w:t>$redacted</w:t>
                  </w:r>
                </w:p>
              </w:tc>
            </w:tr>
            <w:tr w:rsidR="0026456D" w:rsidRPr="00D20EA6" w14:paraId="09B7C8AD" w14:textId="77777777" w:rsidTr="0026456D">
              <w:trPr>
                <w:trHeight w:val="552"/>
              </w:trPr>
              <w:tc>
                <w:tcPr>
                  <w:tcW w:w="1957" w:type="pct"/>
                </w:tcPr>
                <w:p w14:paraId="3CE9C4D5" w14:textId="005D07A7" w:rsidR="0026456D" w:rsidRPr="00D20EA6" w:rsidRDefault="0007101C" w:rsidP="0026456D">
                  <w:pPr>
                    <w:widowControl w:val="0"/>
                    <w:spacing w:after="0"/>
                    <w:ind w:left="38" w:firstLine="3"/>
                    <w:rPr>
                      <w:rFonts w:ascii="Arial Narrow" w:hAnsi="Arial Narrow" w:cs="Tahoma"/>
                      <w:sz w:val="20"/>
                    </w:rPr>
                  </w:pPr>
                  <w:r w:rsidRPr="00D20EA6">
                    <w:rPr>
                      <w:rFonts w:ascii="Arial Narrow" w:hAnsi="Arial Narrow" w:cs="Tahoma"/>
                      <w:b/>
                      <w:sz w:val="20"/>
                    </w:rPr>
                    <w:t>R</w:t>
                  </w:r>
                  <w:r w:rsidR="0026456D" w:rsidRPr="00D20EA6">
                    <w:rPr>
                      <w:rFonts w:ascii="Arial Narrow" w:hAnsi="Arial Narrow" w:cs="Tahoma"/>
                      <w:b/>
                      <w:sz w:val="20"/>
                    </w:rPr>
                    <w:t>edacted</w:t>
                  </w:r>
                </w:p>
              </w:tc>
              <w:tc>
                <w:tcPr>
                  <w:tcW w:w="1522" w:type="pct"/>
                </w:tcPr>
                <w:p w14:paraId="6F30E582" w14:textId="07B694B4" w:rsidR="0026456D" w:rsidRPr="00D20EA6" w:rsidRDefault="0026456D" w:rsidP="0026456D">
                  <w:pPr>
                    <w:widowControl w:val="0"/>
                    <w:spacing w:after="0"/>
                    <w:ind w:left="38" w:firstLine="3"/>
                    <w:rPr>
                      <w:rFonts w:ascii="Arial Narrow" w:hAnsi="Arial Narrow" w:cs="Tahoma"/>
                      <w:sz w:val="20"/>
                    </w:rPr>
                  </w:pPr>
                  <w:r w:rsidRPr="00D20EA6">
                    <w:rPr>
                      <w:rFonts w:ascii="Arial Narrow" w:hAnsi="Arial Narrow" w:cs="Tahoma"/>
                      <w:b/>
                      <w:sz w:val="20"/>
                    </w:rPr>
                    <w:t>$redacted</w:t>
                  </w:r>
                </w:p>
              </w:tc>
              <w:tc>
                <w:tcPr>
                  <w:tcW w:w="1522" w:type="pct"/>
                </w:tcPr>
                <w:p w14:paraId="41E1AD07" w14:textId="46A699A9" w:rsidR="0026456D" w:rsidRPr="00D20EA6" w:rsidRDefault="0026456D" w:rsidP="0026456D">
                  <w:pPr>
                    <w:widowControl w:val="0"/>
                    <w:spacing w:after="0"/>
                    <w:ind w:left="38" w:firstLine="3"/>
                    <w:rPr>
                      <w:rFonts w:ascii="Arial Narrow" w:hAnsi="Arial Narrow" w:cs="Tahoma"/>
                      <w:sz w:val="20"/>
                    </w:rPr>
                  </w:pPr>
                  <w:r w:rsidRPr="00D20EA6">
                    <w:rPr>
                      <w:rFonts w:ascii="Arial Narrow" w:hAnsi="Arial Narrow" w:cs="Tahoma"/>
                      <w:b/>
                      <w:sz w:val="20"/>
                    </w:rPr>
                    <w:t>$redacted</w:t>
                  </w:r>
                </w:p>
              </w:tc>
            </w:tr>
          </w:tbl>
          <w:p w14:paraId="6A9A543C" w14:textId="77777777" w:rsidR="008C522C" w:rsidRPr="00D20EA6" w:rsidRDefault="008C522C" w:rsidP="003915B9">
            <w:pPr>
              <w:widowControl w:val="0"/>
              <w:spacing w:after="0"/>
              <w:ind w:left="38" w:firstLine="3"/>
              <w:rPr>
                <w:rFonts w:ascii="Arial Narrow" w:hAnsi="Arial Narrow" w:cs="Tahoma"/>
                <w:sz w:val="20"/>
              </w:rPr>
            </w:pPr>
          </w:p>
        </w:tc>
        <w:tc>
          <w:tcPr>
            <w:tcW w:w="1447" w:type="pct"/>
          </w:tcPr>
          <w:tbl>
            <w:tblPr>
              <w:tblStyle w:val="HealthConsult4"/>
              <w:tblW w:w="5000" w:type="pct"/>
              <w:tblCellMar>
                <w:left w:w="28" w:type="dxa"/>
                <w:right w:w="28" w:type="dxa"/>
              </w:tblCellMar>
              <w:tblLook w:val="04A0" w:firstRow="1" w:lastRow="0" w:firstColumn="1" w:lastColumn="0" w:noHBand="0" w:noVBand="1"/>
              <w:tblDescription w:val="Utility - application 1603"/>
            </w:tblPr>
            <w:tblGrid>
              <w:gridCol w:w="1589"/>
              <w:gridCol w:w="1235"/>
              <w:gridCol w:w="1235"/>
            </w:tblGrid>
            <w:tr w:rsidR="008C522C" w:rsidRPr="00524471" w14:paraId="55288322" w14:textId="77777777" w:rsidTr="00D80FEF">
              <w:trPr>
                <w:trHeight w:val="274"/>
                <w:tblHeader/>
              </w:trPr>
              <w:tc>
                <w:tcPr>
                  <w:tcW w:w="1958" w:type="pct"/>
                </w:tcPr>
                <w:p w14:paraId="3D9E7543"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Utility values</w:t>
                  </w:r>
                </w:p>
              </w:tc>
              <w:tc>
                <w:tcPr>
                  <w:tcW w:w="1521" w:type="pct"/>
                </w:tcPr>
                <w:p w14:paraId="030561A9"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TAVI-BEV</w:t>
                  </w:r>
                </w:p>
              </w:tc>
              <w:tc>
                <w:tcPr>
                  <w:tcW w:w="1521" w:type="pct"/>
                </w:tcPr>
                <w:p w14:paraId="00804D77"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SAVR</w:t>
                  </w:r>
                </w:p>
              </w:tc>
            </w:tr>
            <w:tr w:rsidR="008C522C" w:rsidRPr="00524471" w14:paraId="1E80BDDB" w14:textId="77777777" w:rsidTr="003915B9">
              <w:trPr>
                <w:trHeight w:val="539"/>
              </w:trPr>
              <w:tc>
                <w:tcPr>
                  <w:tcW w:w="1958" w:type="pct"/>
                </w:tcPr>
                <w:p w14:paraId="0E3B82F8"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Alive, no disabling stroke</w:t>
                  </w:r>
                </w:p>
              </w:tc>
              <w:tc>
                <w:tcPr>
                  <w:tcW w:w="1521" w:type="pct"/>
                </w:tcPr>
                <w:p w14:paraId="1C1C1FBD"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Pop norms (73-81)</w:t>
                  </w:r>
                </w:p>
              </w:tc>
              <w:tc>
                <w:tcPr>
                  <w:tcW w:w="1521" w:type="pct"/>
                </w:tcPr>
                <w:p w14:paraId="7DFA5F9C"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Pop</w:t>
                  </w:r>
                </w:p>
                <w:p w14:paraId="0932EE98"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Norms</w:t>
                  </w:r>
                </w:p>
                <w:p w14:paraId="01F7E7B5"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(73-81)</w:t>
                  </w:r>
                </w:p>
              </w:tc>
            </w:tr>
            <w:tr w:rsidR="008C522C" w:rsidRPr="00524471" w14:paraId="5E262174" w14:textId="77777777" w:rsidTr="003915B9">
              <w:trPr>
                <w:trHeight w:val="274"/>
              </w:trPr>
              <w:tc>
                <w:tcPr>
                  <w:tcW w:w="1958" w:type="pct"/>
                </w:tcPr>
                <w:p w14:paraId="4C004FC1"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Alive, disabling stroke</w:t>
                  </w:r>
                </w:p>
              </w:tc>
              <w:tc>
                <w:tcPr>
                  <w:tcW w:w="1521" w:type="pct"/>
                </w:tcPr>
                <w:p w14:paraId="43007DBF"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0.60</w:t>
                  </w:r>
                </w:p>
              </w:tc>
              <w:tc>
                <w:tcPr>
                  <w:tcW w:w="1521" w:type="pct"/>
                </w:tcPr>
                <w:p w14:paraId="04E4F20A"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0.60</w:t>
                  </w:r>
                </w:p>
              </w:tc>
            </w:tr>
            <w:tr w:rsidR="008C522C" w:rsidRPr="00524471" w14:paraId="251C01D5" w14:textId="77777777" w:rsidTr="003915B9">
              <w:trPr>
                <w:trHeight w:val="552"/>
              </w:trPr>
              <w:tc>
                <w:tcPr>
                  <w:tcW w:w="1958" w:type="pct"/>
                </w:tcPr>
                <w:p w14:paraId="77DE4557"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Disutility major event (once off)</w:t>
                  </w:r>
                </w:p>
              </w:tc>
              <w:tc>
                <w:tcPr>
                  <w:tcW w:w="1521" w:type="pct"/>
                </w:tcPr>
                <w:p w14:paraId="25171185"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0</w:t>
                  </w:r>
                </w:p>
              </w:tc>
              <w:tc>
                <w:tcPr>
                  <w:tcW w:w="1521" w:type="pct"/>
                </w:tcPr>
                <w:p w14:paraId="0107D8FD"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0</w:t>
                  </w:r>
                </w:p>
              </w:tc>
            </w:tr>
          </w:tbl>
          <w:p w14:paraId="3E7F0A64" w14:textId="77777777" w:rsidR="008C522C" w:rsidRPr="00524471" w:rsidRDefault="008C522C" w:rsidP="003915B9">
            <w:pPr>
              <w:widowControl w:val="0"/>
              <w:spacing w:after="0"/>
              <w:ind w:left="38" w:firstLine="3"/>
              <w:rPr>
                <w:rFonts w:ascii="Arial Narrow" w:hAnsi="Arial Narrow" w:cs="Tahoma"/>
                <w:sz w:val="20"/>
              </w:rPr>
            </w:pPr>
          </w:p>
        </w:tc>
        <w:tc>
          <w:tcPr>
            <w:tcW w:w="1447" w:type="pct"/>
          </w:tcPr>
          <w:tbl>
            <w:tblPr>
              <w:tblStyle w:val="HealthConsult4"/>
              <w:tblW w:w="5000" w:type="pct"/>
              <w:tblCellMar>
                <w:left w:w="28" w:type="dxa"/>
                <w:right w:w="28" w:type="dxa"/>
              </w:tblCellMar>
              <w:tblLook w:val="04A0" w:firstRow="1" w:lastRow="0" w:firstColumn="1" w:lastColumn="0" w:noHBand="0" w:noVBand="1"/>
              <w:tblDescription w:val="Utility - application 1361.2"/>
            </w:tblPr>
            <w:tblGrid>
              <w:gridCol w:w="2031"/>
              <w:gridCol w:w="1014"/>
              <w:gridCol w:w="1014"/>
            </w:tblGrid>
            <w:tr w:rsidR="008C522C" w:rsidRPr="00524471" w14:paraId="37372142" w14:textId="77777777" w:rsidTr="00D80FEF">
              <w:trPr>
                <w:trHeight w:val="266"/>
                <w:tblHeader/>
              </w:trPr>
              <w:tc>
                <w:tcPr>
                  <w:tcW w:w="2502" w:type="pct"/>
                </w:tcPr>
                <w:p w14:paraId="2ABE84A5"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Utility values</w:t>
                  </w:r>
                </w:p>
              </w:tc>
              <w:tc>
                <w:tcPr>
                  <w:tcW w:w="1249" w:type="pct"/>
                </w:tcPr>
                <w:p w14:paraId="69F375B8"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TAVI</w:t>
                  </w:r>
                </w:p>
              </w:tc>
              <w:tc>
                <w:tcPr>
                  <w:tcW w:w="1249" w:type="pct"/>
                </w:tcPr>
                <w:p w14:paraId="3BF8147F"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SAVR</w:t>
                  </w:r>
                </w:p>
              </w:tc>
            </w:tr>
            <w:tr w:rsidR="008C522C" w:rsidRPr="00524471" w14:paraId="6F4CE5A0" w14:textId="77777777" w:rsidTr="003915B9">
              <w:trPr>
                <w:trHeight w:val="266"/>
              </w:trPr>
              <w:tc>
                <w:tcPr>
                  <w:tcW w:w="2502" w:type="pct"/>
                </w:tcPr>
                <w:p w14:paraId="5903A1A3"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Baseline (trial data)</w:t>
                  </w:r>
                </w:p>
              </w:tc>
              <w:tc>
                <w:tcPr>
                  <w:tcW w:w="1249" w:type="pct"/>
                </w:tcPr>
                <w:p w14:paraId="7B5CE10C"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0.66</w:t>
                  </w:r>
                </w:p>
              </w:tc>
              <w:tc>
                <w:tcPr>
                  <w:tcW w:w="1249" w:type="pct"/>
                </w:tcPr>
                <w:p w14:paraId="35328CB6"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0.66</w:t>
                  </w:r>
                </w:p>
              </w:tc>
            </w:tr>
            <w:tr w:rsidR="008C522C" w:rsidRPr="00524471" w14:paraId="3175C0B4" w14:textId="77777777" w:rsidTr="003915B9">
              <w:trPr>
                <w:trHeight w:val="251"/>
              </w:trPr>
              <w:tc>
                <w:tcPr>
                  <w:tcW w:w="2502" w:type="pct"/>
                </w:tcPr>
                <w:p w14:paraId="74121E36"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No-complication (trial data)</w:t>
                  </w:r>
                </w:p>
              </w:tc>
              <w:tc>
                <w:tcPr>
                  <w:tcW w:w="1249" w:type="pct"/>
                </w:tcPr>
                <w:p w14:paraId="761DFDD1"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0.75</w:t>
                  </w:r>
                </w:p>
              </w:tc>
              <w:tc>
                <w:tcPr>
                  <w:tcW w:w="1249" w:type="pct"/>
                </w:tcPr>
                <w:p w14:paraId="779F3308"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0.74</w:t>
                  </w:r>
                </w:p>
              </w:tc>
            </w:tr>
            <w:tr w:rsidR="008C522C" w:rsidRPr="00524471" w14:paraId="1B68DC3C" w14:textId="77777777" w:rsidTr="003915B9">
              <w:trPr>
                <w:trHeight w:val="535"/>
              </w:trPr>
              <w:tc>
                <w:tcPr>
                  <w:tcW w:w="2502" w:type="pct"/>
                </w:tcPr>
                <w:p w14:paraId="0D6E8A8B"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Disutility major event (once off)</w:t>
                  </w:r>
                </w:p>
              </w:tc>
              <w:tc>
                <w:tcPr>
                  <w:tcW w:w="1249" w:type="pct"/>
                </w:tcPr>
                <w:p w14:paraId="64C59F1B"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-0.10</w:t>
                  </w:r>
                </w:p>
              </w:tc>
              <w:tc>
                <w:tcPr>
                  <w:tcW w:w="1249" w:type="pct"/>
                </w:tcPr>
                <w:p w14:paraId="0C75B9E2"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-0.10</w:t>
                  </w:r>
                </w:p>
              </w:tc>
            </w:tr>
            <w:tr w:rsidR="008C522C" w:rsidRPr="00524471" w14:paraId="20D71B2B" w14:textId="77777777" w:rsidTr="003915B9">
              <w:trPr>
                <w:trHeight w:val="122"/>
              </w:trPr>
              <w:tc>
                <w:tcPr>
                  <w:tcW w:w="2502" w:type="pct"/>
                </w:tcPr>
                <w:p w14:paraId="20D5A811"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Alive, with major stroke</w:t>
                  </w:r>
                </w:p>
              </w:tc>
              <w:tc>
                <w:tcPr>
                  <w:tcW w:w="1249" w:type="pct"/>
                </w:tcPr>
                <w:p w14:paraId="3F9D457B"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0.65</w:t>
                  </w:r>
                </w:p>
              </w:tc>
              <w:tc>
                <w:tcPr>
                  <w:tcW w:w="1249" w:type="pct"/>
                </w:tcPr>
                <w:p w14:paraId="0F7F4718"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0.65</w:t>
                  </w:r>
                </w:p>
              </w:tc>
            </w:tr>
            <w:tr w:rsidR="008C522C" w:rsidRPr="00524471" w14:paraId="08D5B2D2" w14:textId="77777777" w:rsidTr="003915B9">
              <w:trPr>
                <w:trHeight w:val="266"/>
              </w:trPr>
              <w:tc>
                <w:tcPr>
                  <w:tcW w:w="2502" w:type="pct"/>
                </w:tcPr>
                <w:p w14:paraId="773A03FB"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Alive, with heart failure</w:t>
                  </w:r>
                </w:p>
              </w:tc>
              <w:tc>
                <w:tcPr>
                  <w:tcW w:w="1249" w:type="pct"/>
                </w:tcPr>
                <w:p w14:paraId="07B79957"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0.636</w:t>
                  </w:r>
                </w:p>
              </w:tc>
              <w:tc>
                <w:tcPr>
                  <w:tcW w:w="1249" w:type="pct"/>
                </w:tcPr>
                <w:p w14:paraId="29825A7A"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0.636</w:t>
                  </w:r>
                </w:p>
              </w:tc>
            </w:tr>
          </w:tbl>
          <w:p w14:paraId="0939D41F" w14:textId="77777777" w:rsidR="008C522C" w:rsidRPr="00524471" w:rsidRDefault="008C522C" w:rsidP="003915B9">
            <w:pPr>
              <w:widowControl w:val="0"/>
              <w:spacing w:after="0"/>
              <w:ind w:left="38" w:firstLine="3"/>
              <w:rPr>
                <w:rFonts w:ascii="Arial Narrow" w:hAnsi="Arial Narrow" w:cs="Tahoma"/>
                <w:sz w:val="20"/>
              </w:rPr>
            </w:pPr>
          </w:p>
        </w:tc>
      </w:tr>
      <w:tr w:rsidR="008C522C" w:rsidRPr="008C522C" w14:paraId="3B33A4FD" w14:textId="77777777" w:rsidTr="003915B9">
        <w:trPr>
          <w:trHeight w:val="18"/>
        </w:trPr>
        <w:tc>
          <w:tcPr>
            <w:tcW w:w="659" w:type="pct"/>
            <w:tcBorders>
              <w:bottom w:val="single" w:sz="4" w:space="0" w:color="auto"/>
            </w:tcBorders>
          </w:tcPr>
          <w:p w14:paraId="1E3DFE2C" w14:textId="77777777" w:rsidR="008C522C" w:rsidRPr="00524471" w:rsidRDefault="008C522C" w:rsidP="003915B9">
            <w:pPr>
              <w:widowControl w:val="0"/>
              <w:spacing w:after="0"/>
              <w:ind w:left="-30"/>
              <w:rPr>
                <w:rFonts w:ascii="Arial Narrow" w:hAnsi="Arial Narrow" w:cs="Tahoma"/>
                <w:sz w:val="20"/>
              </w:rPr>
            </w:pPr>
            <w:r w:rsidRPr="00524471">
              <w:rPr>
                <w:rFonts w:ascii="Arial Narrow" w:hAnsi="Arial Narrow" w:cs="Tahoma"/>
                <w:sz w:val="20"/>
              </w:rPr>
              <w:t xml:space="preserve">Transition probabilities </w:t>
            </w:r>
          </w:p>
        </w:tc>
        <w:tc>
          <w:tcPr>
            <w:tcW w:w="1447" w:type="pct"/>
            <w:tcBorders>
              <w:bottom w:val="single" w:sz="4" w:space="0" w:color="auto"/>
            </w:tcBorders>
          </w:tcPr>
          <w:p w14:paraId="4B4CA3F8" w14:textId="29A92558" w:rsidR="008C522C" w:rsidRPr="00D20EA6" w:rsidRDefault="0026456D" w:rsidP="003915B9">
            <w:pPr>
              <w:widowControl w:val="0"/>
              <w:spacing w:after="0"/>
              <w:ind w:left="38" w:firstLine="3"/>
              <w:rPr>
                <w:rFonts w:ascii="Arial Narrow" w:hAnsi="Arial Narrow" w:cs="Tahoma"/>
                <w:sz w:val="20"/>
              </w:rPr>
            </w:pPr>
            <w:r w:rsidRPr="00D20EA6">
              <w:rPr>
                <w:rFonts w:ascii="Arial Narrow" w:hAnsi="Arial Narrow" w:cs="Tahoma"/>
                <w:b/>
                <w:sz w:val="20"/>
              </w:rPr>
              <w:t>$redacted</w:t>
            </w:r>
          </w:p>
        </w:tc>
        <w:tc>
          <w:tcPr>
            <w:tcW w:w="1447" w:type="pct"/>
            <w:tcBorders>
              <w:bottom w:val="single" w:sz="4" w:space="0" w:color="auto"/>
            </w:tcBorders>
          </w:tcPr>
          <w:p w14:paraId="563B2D98" w14:textId="77777777" w:rsidR="008C522C" w:rsidRPr="00524471" w:rsidRDefault="008C522C" w:rsidP="003915B9">
            <w:pPr>
              <w:widowControl w:val="0"/>
              <w:spacing w:after="0"/>
              <w:ind w:left="38" w:firstLine="3"/>
              <w:rPr>
                <w:rFonts w:ascii="Arial Narrow" w:hAnsi="Arial Narrow" w:cs="Tahoma"/>
                <w:sz w:val="20"/>
              </w:rPr>
            </w:pPr>
            <w:r w:rsidRPr="00524471">
              <w:rPr>
                <w:rFonts w:ascii="Arial Narrow" w:hAnsi="Arial Narrow" w:cs="Tahoma"/>
                <w:sz w:val="20"/>
              </w:rPr>
              <w:t xml:space="preserve">Transition probabilities were calculated from trial data assuming a constant rate of treatment effectiveness between TAVI-BEV and SAVR for 1-year. After this, no treatment benefit was assumed. </w:t>
            </w:r>
          </w:p>
        </w:tc>
        <w:tc>
          <w:tcPr>
            <w:tcW w:w="1447" w:type="pct"/>
            <w:tcBorders>
              <w:bottom w:val="single" w:sz="4" w:space="0" w:color="auto"/>
            </w:tcBorders>
          </w:tcPr>
          <w:p w14:paraId="37510B84" w14:textId="77777777" w:rsidR="008C522C" w:rsidRPr="00524471" w:rsidRDefault="008C522C" w:rsidP="003915B9">
            <w:pPr>
              <w:widowControl w:val="0"/>
              <w:spacing w:after="0"/>
              <w:ind w:left="38" w:firstLine="3"/>
              <w:rPr>
                <w:rFonts w:ascii="Arial Narrow" w:hAnsi="Arial Narrow" w:cs="Tahoma"/>
                <w:b/>
                <w:bCs/>
                <w:sz w:val="20"/>
              </w:rPr>
            </w:pPr>
            <w:r w:rsidRPr="00524471">
              <w:rPr>
                <w:rFonts w:ascii="Arial Narrow" w:hAnsi="Arial Narrow" w:cs="Tahoma"/>
                <w:sz w:val="20"/>
              </w:rPr>
              <w:t xml:space="preserve">The revised economic model used overall survival transition probabilities from the Kaplan Meier curves published in the key clinical trials. Point estimates were retrieved by digitalizing the curves, running a regression analysis for point </w:t>
            </w:r>
            <w:proofErr w:type="gramStart"/>
            <w:r w:rsidRPr="00524471">
              <w:rPr>
                <w:rFonts w:ascii="Arial Narrow" w:hAnsi="Arial Narrow" w:cs="Tahoma"/>
                <w:sz w:val="20"/>
              </w:rPr>
              <w:t>estimates</w:t>
            </w:r>
            <w:proofErr w:type="gramEnd"/>
            <w:r w:rsidRPr="00524471">
              <w:rPr>
                <w:rFonts w:ascii="Arial Narrow" w:hAnsi="Arial Narrow" w:cs="Tahoma"/>
                <w:sz w:val="20"/>
              </w:rPr>
              <w:t xml:space="preserve"> and deriving probabilities by calculating the ratio of the point estimate at t with t+1. </w:t>
            </w:r>
          </w:p>
        </w:tc>
      </w:tr>
    </w:tbl>
    <w:p w14:paraId="474D562D" w14:textId="77777777" w:rsidR="008C522C" w:rsidRPr="00CF5548" w:rsidRDefault="008C522C" w:rsidP="008C522C">
      <w:pPr>
        <w:widowControl w:val="0"/>
        <w:snapToGrid w:val="0"/>
        <w:jc w:val="both"/>
        <w:rPr>
          <w:rFonts w:ascii="Arial Narrow" w:hAnsi="Arial Narrow" w:cs="Arial"/>
          <w:sz w:val="18"/>
          <w:szCs w:val="22"/>
          <w:lang w:eastAsia="en-US"/>
        </w:rPr>
      </w:pPr>
      <w:r w:rsidRPr="00CF5548">
        <w:rPr>
          <w:rFonts w:ascii="Arial Narrow" w:hAnsi="Arial Narrow" w:cs="Arial"/>
          <w:sz w:val="18"/>
          <w:szCs w:val="22"/>
          <w:lang w:eastAsia="en-US"/>
        </w:rPr>
        <w:t xml:space="preserve">Abbreviations: MBS = Medicare Benefits Schedule; MSAC = Medical Services Advisory Committee; SAVR = surgical aortic valve replacement; TAVI-BEV = transcatheter aortic valve implantation – balloon-expandable valve system; TAVI-SEV = transcatheter aortic valve implantation – self-expandable valve system. </w:t>
      </w:r>
    </w:p>
    <w:p w14:paraId="7CEFD522" w14:textId="77777777" w:rsidR="00FB44D6" w:rsidRDefault="008C522C" w:rsidP="008C522C">
      <w:pPr>
        <w:widowControl w:val="0"/>
        <w:snapToGrid w:val="0"/>
        <w:jc w:val="both"/>
        <w:rPr>
          <w:rFonts w:ascii="Arial Narrow" w:hAnsi="Arial Narrow" w:cs="Arial"/>
          <w:sz w:val="18"/>
          <w:szCs w:val="22"/>
          <w:lang w:eastAsia="en-US"/>
        </w:rPr>
      </w:pPr>
      <w:r w:rsidRPr="00CF5548">
        <w:rPr>
          <w:rFonts w:ascii="Arial Narrow" w:hAnsi="Arial Narrow" w:cs="Arial"/>
          <w:sz w:val="18"/>
          <w:szCs w:val="22"/>
          <w:lang w:eastAsia="en-US"/>
        </w:rPr>
        <w:t>Source: Constructed during evaluation using Section D of the ADAR and Table 2, p9 of the 1603 ESC report</w:t>
      </w:r>
    </w:p>
    <w:p w14:paraId="17D082EC" w14:textId="77777777" w:rsidR="003915B9" w:rsidRDefault="003915B9" w:rsidP="008C522C">
      <w:pPr>
        <w:widowControl w:val="0"/>
        <w:snapToGrid w:val="0"/>
        <w:jc w:val="both"/>
        <w:rPr>
          <w:rFonts w:ascii="Arial Narrow" w:hAnsi="Arial Narrow" w:cs="Arial"/>
          <w:sz w:val="18"/>
          <w:szCs w:val="22"/>
          <w:lang w:eastAsia="en-US"/>
        </w:rPr>
        <w:sectPr w:rsidR="003915B9" w:rsidSect="003915B9">
          <w:pgSz w:w="16838" w:h="11906" w:orient="landscape"/>
          <w:pgMar w:top="1440" w:right="1440" w:bottom="1440" w:left="1134" w:header="708" w:footer="708" w:gutter="0"/>
          <w:cols w:space="708"/>
          <w:docGrid w:linePitch="360"/>
        </w:sectPr>
      </w:pPr>
    </w:p>
    <w:p w14:paraId="419587B3" w14:textId="77777777" w:rsidR="00BC1364" w:rsidRPr="00F715D1" w:rsidRDefault="00BC1364" w:rsidP="00F715D1">
      <w:pPr>
        <w:pStyle w:val="Heading1"/>
      </w:pPr>
      <w:r w:rsidRPr="00F715D1">
        <w:lastRenderedPageBreak/>
        <w:t>Prerequisites to implementation of any funding advice</w:t>
      </w:r>
    </w:p>
    <w:p w14:paraId="2083B4B9" w14:textId="5D1A3CDB" w:rsidR="00BC1364" w:rsidRPr="008C522C" w:rsidRDefault="008C522C" w:rsidP="008C522C">
      <w:r w:rsidRPr="001B1E48">
        <w:t>The SAPIEN 3 Transcatheter Heart Valve System is indicated for relief of aortic stenosis in patients with symptomatic heart disease due to severe native calcific aortic stenosis who are judged by a Heart Team, including a cardiac surgeon, to be appropriate for the transcatheter heart valve replacement therapy.</w:t>
      </w:r>
      <w:r>
        <w:t xml:space="preserve"> </w:t>
      </w:r>
      <w:r w:rsidRPr="001B1E48">
        <w:t>The ADAR state</w:t>
      </w:r>
      <w:r>
        <w:t>d</w:t>
      </w:r>
      <w:r w:rsidRPr="001B1E48">
        <w:t xml:space="preserve"> that SAPIEN 3 is currently the only TAVI-BEV system available in Australia.</w:t>
      </w:r>
      <w:r>
        <w:t xml:space="preserve"> The commentary noted that o</w:t>
      </w:r>
      <w:r w:rsidRPr="001B1E48">
        <w:t xml:space="preserve">ther ARTG </w:t>
      </w:r>
      <w:r w:rsidR="00A80410">
        <w:t>included</w:t>
      </w:r>
      <w:r w:rsidR="00A80410" w:rsidRPr="001B1E48">
        <w:t xml:space="preserve"> </w:t>
      </w:r>
      <w:r w:rsidRPr="001B1E48">
        <w:t xml:space="preserve">TAVI devices (i.e. Medtronic </w:t>
      </w:r>
      <w:proofErr w:type="spellStart"/>
      <w:r w:rsidRPr="001B1E48">
        <w:t>CoreValve</w:t>
      </w:r>
      <w:proofErr w:type="spellEnd"/>
      <w:r w:rsidRPr="001B1E48">
        <w:t>, and Medt</w:t>
      </w:r>
      <w:r>
        <w:t xml:space="preserve">ronic </w:t>
      </w:r>
      <w:proofErr w:type="spellStart"/>
      <w:r>
        <w:t>CoreValve</w:t>
      </w:r>
      <w:proofErr w:type="spellEnd"/>
      <w:r>
        <w:t xml:space="preserve"> </w:t>
      </w:r>
      <w:proofErr w:type="spellStart"/>
      <w:r>
        <w:t>Evolut</w:t>
      </w:r>
      <w:proofErr w:type="spellEnd"/>
      <w:r>
        <w:t xml:space="preserve"> R System</w:t>
      </w:r>
      <w:r w:rsidRPr="001B1E48">
        <w:t xml:space="preserve"> use self-expanding valves (i.e. TAVI-SEV)</w:t>
      </w:r>
      <w:r>
        <w:t xml:space="preserve"> and</w:t>
      </w:r>
      <w:r w:rsidRPr="001B1E48">
        <w:t xml:space="preserve"> are also indicated for use in all patients with severe, symptomatic AS regardless of surgical risk-status</w:t>
      </w:r>
      <w:r>
        <w:t>.</w:t>
      </w:r>
    </w:p>
    <w:p w14:paraId="77B8D6C0" w14:textId="77777777" w:rsidR="00BC1364" w:rsidRPr="00F715D1" w:rsidRDefault="00BC1364" w:rsidP="00F715D1">
      <w:pPr>
        <w:pStyle w:val="Heading1"/>
      </w:pPr>
      <w:r w:rsidRPr="00F715D1">
        <w:t>Proposal for public funding</w:t>
      </w:r>
    </w:p>
    <w:p w14:paraId="091370C6" w14:textId="267D8336" w:rsidR="008C522C" w:rsidRDefault="008C522C" w:rsidP="008C522C">
      <w:r w:rsidRPr="009B45CE">
        <w:t>The proposed MBS item descriptors are summarise</w:t>
      </w:r>
      <w:r>
        <w:t>d</w:t>
      </w:r>
      <w:r w:rsidRPr="009B45CE">
        <w:t xml:space="preserve"> in</w:t>
      </w:r>
      <w:r>
        <w:t xml:space="preserve"> </w:t>
      </w:r>
      <w:r>
        <w:fldChar w:fldCharType="begin"/>
      </w:r>
      <w:r>
        <w:instrText xml:space="preserve"> REF _Ref61960204 \h </w:instrText>
      </w:r>
      <w:r>
        <w:fldChar w:fldCharType="separate"/>
      </w:r>
      <w:r w:rsidR="003D2F4E">
        <w:t xml:space="preserve">Table </w:t>
      </w:r>
      <w:r w:rsidR="003D2F4E">
        <w:rPr>
          <w:noProof/>
        </w:rPr>
        <w:t>3</w:t>
      </w:r>
      <w:r>
        <w:fldChar w:fldCharType="end"/>
      </w:r>
      <w:r>
        <w:t>.</w:t>
      </w:r>
    </w:p>
    <w:p w14:paraId="4F374750" w14:textId="60CAF931" w:rsidR="008C522C" w:rsidRDefault="008C522C" w:rsidP="0085555A">
      <w:pPr>
        <w:pStyle w:val="Caption"/>
        <w:spacing w:before="240"/>
      </w:pPr>
      <w:bookmarkStart w:id="4" w:name="_Ref61960204"/>
      <w:r>
        <w:t xml:space="preserve">Table </w:t>
      </w:r>
      <w:fldSimple w:instr=" SEQ Table \* ARABIC ">
        <w:r w:rsidR="003D2F4E">
          <w:rPr>
            <w:noProof/>
          </w:rPr>
          <w:t>3</w:t>
        </w:r>
      </w:fldSimple>
      <w:bookmarkEnd w:id="4"/>
      <w:r w:rsidRPr="00C51B82">
        <w:rPr>
          <w:rFonts w:cs="Tahoma"/>
          <w:b w:val="0"/>
          <w:bCs w:val="0"/>
          <w:szCs w:val="22"/>
        </w:rPr>
        <w:tab/>
      </w:r>
      <w:r w:rsidRPr="009B45CE">
        <w:t>Proposed MBS item descriptor</w:t>
      </w:r>
    </w:p>
    <w:tbl>
      <w:tblPr>
        <w:tblStyle w:val="TableGrid21"/>
        <w:tblW w:w="5000" w:type="pct"/>
        <w:tblLook w:val="04A0" w:firstRow="1" w:lastRow="0" w:firstColumn="1" w:lastColumn="0" w:noHBand="0" w:noVBand="1"/>
        <w:tblDescription w:val="Proposed MBS item descriptor"/>
      </w:tblPr>
      <w:tblGrid>
        <w:gridCol w:w="9016"/>
      </w:tblGrid>
      <w:tr w:rsidR="008C522C" w:rsidRPr="009B45CE" w14:paraId="1E4F26A5" w14:textId="77777777" w:rsidTr="00D80FEF">
        <w:trPr>
          <w:cnfStyle w:val="100000000000" w:firstRow="1" w:lastRow="0" w:firstColumn="0" w:lastColumn="0" w:oddVBand="0" w:evenVBand="0" w:oddHBand="0" w:evenHBand="0" w:firstRowFirstColumn="0" w:firstRowLastColumn="0" w:lastRowFirstColumn="0" w:lastRowLastColumn="0"/>
          <w:tblHeader/>
        </w:trPr>
        <w:tc>
          <w:tcPr>
            <w:tcW w:w="5000" w:type="pct"/>
          </w:tcPr>
          <w:p w14:paraId="16B7A55A" w14:textId="77777777" w:rsidR="008C522C" w:rsidRPr="009B45CE" w:rsidRDefault="008C522C" w:rsidP="008C522C">
            <w:pPr>
              <w:keepNext/>
              <w:jc w:val="right"/>
              <w:rPr>
                <w:rFonts w:ascii="Arial Narrow" w:hAnsi="Arial Narrow" w:cs="Arial"/>
                <w:lang w:eastAsia="en-US"/>
              </w:rPr>
            </w:pPr>
            <w:r w:rsidRPr="009B45CE">
              <w:rPr>
                <w:rFonts w:ascii="Arial Narrow" w:hAnsi="Arial Narrow" w:cs="Arial"/>
                <w:sz w:val="20"/>
                <w:lang w:eastAsia="en-US"/>
              </w:rPr>
              <w:t>Category X – XXXXX</w:t>
            </w:r>
          </w:p>
        </w:tc>
      </w:tr>
      <w:tr w:rsidR="008C522C" w:rsidRPr="009B45CE" w14:paraId="74A4818E" w14:textId="77777777" w:rsidTr="00D80FEF">
        <w:tc>
          <w:tcPr>
            <w:tcW w:w="5000" w:type="pct"/>
          </w:tcPr>
          <w:p w14:paraId="5D8A3D37" w14:textId="77777777" w:rsidR="008C522C" w:rsidRPr="009B45CE" w:rsidRDefault="008C522C" w:rsidP="008C522C">
            <w:pPr>
              <w:keepNext/>
              <w:rPr>
                <w:rFonts w:cs="Tahoma"/>
                <w:sz w:val="20"/>
                <w:u w:color="FF0000"/>
              </w:rPr>
            </w:pPr>
            <w:r w:rsidRPr="009B45CE">
              <w:rPr>
                <w:rFonts w:cs="Tahoma"/>
                <w:sz w:val="20"/>
                <w:u w:color="FF0000"/>
              </w:rPr>
              <w:t>TAVI, using a balloon-expandable system, for treatment of symptomatic severe aortic stenosis, performed via transfemoral delivery, unless transfemoral delivery is contraindicated or not feasible, in a TAVI Hospital on a TAVI Patient by a TAVI Practitioner – includes all intraoperative diagnostic imaging that the TAVI Practitioner performs upon the TAVI Patient.</w:t>
            </w:r>
          </w:p>
          <w:p w14:paraId="17AA2044" w14:textId="508353C9" w:rsidR="008C522C" w:rsidRPr="009B45CE" w:rsidRDefault="008C522C" w:rsidP="0085555A">
            <w:pPr>
              <w:keepNext/>
              <w:spacing w:before="240"/>
              <w:rPr>
                <w:rFonts w:cs="Tahoma"/>
                <w:sz w:val="20"/>
                <w:u w:color="FF0000"/>
              </w:rPr>
            </w:pPr>
            <w:r w:rsidRPr="009B45CE">
              <w:rPr>
                <w:rFonts w:cs="Tahoma"/>
                <w:sz w:val="20"/>
                <w:u w:color="FF0000"/>
              </w:rPr>
              <w:t>(Not payable more than once per patient in a five-year period.)</w:t>
            </w:r>
          </w:p>
        </w:tc>
      </w:tr>
      <w:tr w:rsidR="008C522C" w:rsidRPr="009B45CE" w14:paraId="45680A96" w14:textId="77777777" w:rsidTr="00D80FEF">
        <w:trPr>
          <w:trHeight w:val="841"/>
        </w:trPr>
        <w:tc>
          <w:tcPr>
            <w:tcW w:w="5000" w:type="pct"/>
          </w:tcPr>
          <w:p w14:paraId="660B0EE8" w14:textId="4FFAF57D" w:rsidR="008C522C" w:rsidRPr="009B45CE" w:rsidRDefault="008C522C" w:rsidP="008C522C">
            <w:pPr>
              <w:keepNext/>
              <w:rPr>
                <w:rFonts w:cs="Tahoma"/>
                <w:i/>
                <w:iCs/>
                <w:sz w:val="20"/>
                <w:u w:color="FF0000"/>
              </w:rPr>
            </w:pPr>
            <w:r w:rsidRPr="009B45CE">
              <w:rPr>
                <w:rFonts w:cs="Tahoma"/>
                <w:i/>
                <w:iCs/>
                <w:sz w:val="20"/>
                <w:u w:color="FF0000"/>
              </w:rPr>
              <w:t xml:space="preserve">Notes: The Health Insurance (Section 3C General Medical Services – Transcatheter Aortic Valve Implantation) Determination </w:t>
            </w:r>
            <w:r w:rsidR="004A7008" w:rsidRPr="009B45CE">
              <w:rPr>
                <w:rFonts w:cs="Tahoma"/>
                <w:i/>
                <w:iCs/>
                <w:sz w:val="20"/>
                <w:u w:color="FF0000"/>
              </w:rPr>
              <w:t>201</w:t>
            </w:r>
            <w:r w:rsidR="004A7008">
              <w:rPr>
                <w:rFonts w:cs="Tahoma"/>
                <w:i/>
                <w:iCs/>
                <w:sz w:val="20"/>
                <w:u w:color="FF0000"/>
              </w:rPr>
              <w:t>8</w:t>
            </w:r>
            <w:r w:rsidRPr="009B45CE">
              <w:rPr>
                <w:rFonts w:cs="Tahoma"/>
                <w:i/>
                <w:iCs/>
                <w:sz w:val="20"/>
                <w:u w:color="FF0000"/>
              </w:rPr>
              <w:t>(</w:t>
            </w:r>
            <w:proofErr w:type="spellStart"/>
            <w:r w:rsidRPr="009B45CE">
              <w:rPr>
                <w:rFonts w:cs="Tahoma"/>
                <w:i/>
                <w:iCs/>
                <w:sz w:val="20"/>
                <w:u w:color="FF0000"/>
              </w:rPr>
              <w:t>Cth</w:t>
            </w:r>
            <w:proofErr w:type="spellEnd"/>
            <w:r w:rsidRPr="009B45CE">
              <w:rPr>
                <w:rFonts w:cs="Tahoma"/>
                <w:i/>
                <w:iCs/>
                <w:sz w:val="20"/>
                <w:u w:color="FF0000"/>
              </w:rPr>
              <w:t xml:space="preserve">) (Department of Health </w:t>
            </w:r>
            <w:r w:rsidR="004A7008" w:rsidRPr="009B45CE">
              <w:rPr>
                <w:rFonts w:cs="Tahoma"/>
                <w:i/>
                <w:iCs/>
                <w:sz w:val="20"/>
                <w:u w:color="FF0000"/>
              </w:rPr>
              <w:t>201</w:t>
            </w:r>
            <w:r w:rsidR="004A7008">
              <w:rPr>
                <w:rFonts w:cs="Tahoma"/>
                <w:i/>
                <w:iCs/>
                <w:sz w:val="20"/>
                <w:u w:color="FF0000"/>
              </w:rPr>
              <w:t>8</w:t>
            </w:r>
            <w:r w:rsidRPr="009B45CE">
              <w:rPr>
                <w:rFonts w:cs="Tahoma"/>
                <w:i/>
                <w:iCs/>
                <w:sz w:val="20"/>
                <w:u w:color="FF0000"/>
              </w:rPr>
              <w:t>) outlines the definitions of a TAVI Patient, TAVI Hospital and TAVI Practitioner.</w:t>
            </w:r>
          </w:p>
          <w:p w14:paraId="4B25A946" w14:textId="3C41ABEC" w:rsidR="008C522C" w:rsidRPr="009B45CE" w:rsidRDefault="008C522C" w:rsidP="0085555A">
            <w:pPr>
              <w:keepNext/>
              <w:spacing w:before="240"/>
              <w:rPr>
                <w:rFonts w:cs="Tahoma"/>
                <w:sz w:val="20"/>
                <w:u w:color="FF0000"/>
              </w:rPr>
            </w:pPr>
            <w:r w:rsidRPr="009B45CE">
              <w:rPr>
                <w:rFonts w:cs="Tahoma"/>
                <w:sz w:val="20"/>
                <w:u w:color="FF0000"/>
              </w:rPr>
              <w:t xml:space="preserve">TAVI Patient is a patient who, </w:t>
            </w:r>
            <w:proofErr w:type="gramStart"/>
            <w:r w:rsidRPr="009B45CE">
              <w:rPr>
                <w:rFonts w:cs="Tahoma"/>
                <w:sz w:val="20"/>
                <w:u w:color="FF0000"/>
              </w:rPr>
              <w:t>as a result of</w:t>
            </w:r>
            <w:proofErr w:type="gramEnd"/>
            <w:r w:rsidRPr="009B45CE">
              <w:rPr>
                <w:rFonts w:cs="Tahoma"/>
                <w:sz w:val="20"/>
                <w:u w:color="FF0000"/>
              </w:rPr>
              <w:t xml:space="preserve"> a TAVI Case Conference, has been assessed as having a low risk for surgical aortic valve replacement and is recommended as being suitable to receive the service described in Item XXXXX. </w:t>
            </w:r>
          </w:p>
          <w:p w14:paraId="4D514611" w14:textId="76975496" w:rsidR="008C522C" w:rsidRPr="009B45CE" w:rsidRDefault="008C522C" w:rsidP="0085555A">
            <w:pPr>
              <w:keepNext/>
              <w:spacing w:before="240"/>
              <w:rPr>
                <w:rFonts w:cs="Tahoma"/>
                <w:sz w:val="20"/>
                <w:u w:color="FF0000"/>
              </w:rPr>
            </w:pPr>
            <w:r w:rsidRPr="009B45CE">
              <w:rPr>
                <w:rFonts w:cs="Tahoma"/>
                <w:sz w:val="20"/>
                <w:u w:color="FF0000"/>
              </w:rPr>
              <w:t>TAVI Hospital means a hospital, as defined by subsection 121-5(5) of the Private Health Insurance Act 2007, that is clinically accepted as being a suitable hospital in which the service described in Item XXXXX may be performed.</w:t>
            </w:r>
          </w:p>
          <w:p w14:paraId="2A7AD5C7" w14:textId="54D1B66E" w:rsidR="008C522C" w:rsidRPr="009B45CE" w:rsidRDefault="008C522C" w:rsidP="0085555A">
            <w:pPr>
              <w:keepNext/>
              <w:spacing w:before="240"/>
              <w:rPr>
                <w:rFonts w:cs="Tahoma"/>
                <w:sz w:val="20"/>
                <w:u w:color="FF0000"/>
              </w:rPr>
            </w:pPr>
            <w:r w:rsidRPr="009B45CE">
              <w:rPr>
                <w:rFonts w:cs="Tahoma"/>
                <w:sz w:val="20"/>
                <w:u w:color="FF0000"/>
              </w:rPr>
              <w:t>TAVI Practitioner is either a cardiothoracic surgeon or interventional cardiologist who is accredited by the Cardiac Accreditation Services Limited.</w:t>
            </w:r>
          </w:p>
        </w:tc>
      </w:tr>
      <w:tr w:rsidR="008C522C" w:rsidRPr="009B45CE" w14:paraId="773CE649" w14:textId="77777777" w:rsidTr="00D80FEF">
        <w:trPr>
          <w:trHeight w:val="77"/>
        </w:trPr>
        <w:tc>
          <w:tcPr>
            <w:tcW w:w="5000" w:type="pct"/>
          </w:tcPr>
          <w:p w14:paraId="436AE76C" w14:textId="0ACD76AE" w:rsidR="008C522C" w:rsidRPr="00DE3355" w:rsidRDefault="008C522C" w:rsidP="008C522C">
            <w:pPr>
              <w:keepNext/>
              <w:rPr>
                <w:rFonts w:cs="Tahoma"/>
                <w:sz w:val="20"/>
                <w:highlight w:val="yellow"/>
                <w:u w:color="FF0000"/>
              </w:rPr>
            </w:pPr>
            <w:r w:rsidRPr="00D20EA6">
              <w:rPr>
                <w:rFonts w:cs="Tahoma"/>
                <w:sz w:val="20"/>
                <w:u w:color="FF0000"/>
              </w:rPr>
              <w:t>Fee:  $</w:t>
            </w:r>
            <w:proofErr w:type="gramStart"/>
            <w:r w:rsidRPr="00D20EA6">
              <w:rPr>
                <w:rFonts w:cs="Tahoma"/>
                <w:sz w:val="20"/>
                <w:u w:color="FF0000"/>
              </w:rPr>
              <w:t>1,476.95  Benefit</w:t>
            </w:r>
            <w:proofErr w:type="gramEnd"/>
            <w:r w:rsidRPr="00D20EA6">
              <w:rPr>
                <w:rFonts w:cs="Tahoma"/>
                <w:sz w:val="20"/>
                <w:u w:color="FF0000"/>
              </w:rPr>
              <w:t>: 75% = $1,107.75</w:t>
            </w:r>
            <w:r w:rsidRPr="00D20EA6">
              <w:rPr>
                <w:rFonts w:cs="Tahoma"/>
                <w:sz w:val="20"/>
                <w:u w:color="FF0000"/>
              </w:rPr>
              <w:tab/>
              <w:t>85% = $1,392.25</w:t>
            </w:r>
          </w:p>
        </w:tc>
      </w:tr>
    </w:tbl>
    <w:p w14:paraId="765B665E" w14:textId="77777777" w:rsidR="008C522C" w:rsidRPr="009B45CE" w:rsidRDefault="008C522C" w:rsidP="008C522C">
      <w:pPr>
        <w:keepNext/>
        <w:jc w:val="both"/>
        <w:rPr>
          <w:rFonts w:ascii="Arial Narrow" w:hAnsi="Arial Narrow" w:cs="Arial"/>
          <w:sz w:val="18"/>
          <w:szCs w:val="18"/>
          <w:lang w:eastAsia="en-US"/>
        </w:rPr>
      </w:pPr>
      <w:r w:rsidRPr="009B45CE">
        <w:rPr>
          <w:rFonts w:ascii="Arial Narrow" w:hAnsi="Arial Narrow" w:cs="Arial"/>
          <w:sz w:val="18"/>
          <w:szCs w:val="18"/>
          <w:lang w:eastAsia="en-US"/>
        </w:rPr>
        <w:t>Source: Table A-3, p 6 of the ADAR</w:t>
      </w:r>
    </w:p>
    <w:p w14:paraId="79E1F27A" w14:textId="7013BA43" w:rsidR="008C522C" w:rsidRPr="004D0E21" w:rsidRDefault="008C522C" w:rsidP="0085555A">
      <w:pPr>
        <w:spacing w:before="240"/>
      </w:pPr>
      <w:r w:rsidRPr="009B45CE">
        <w:t xml:space="preserve">The </w:t>
      </w:r>
      <w:r>
        <w:t xml:space="preserve">commentary noted that </w:t>
      </w:r>
      <w:r w:rsidRPr="009B45CE">
        <w:t xml:space="preserve">the proposed MBS item does not specify that patients have no significant frailty (as defined by the Heart Team) and no procedure-specific impediments. The proposed MBS item also does not provide a clear and concise definition of a patient who ’has been assessed as having low risk for surgical aortic valve replacement’. </w:t>
      </w:r>
      <w:r w:rsidRPr="004D0E21">
        <w:t>Further, the proposed MBS item descriptor does not specify that patients have calcific valvular aortic stenosis.</w:t>
      </w:r>
    </w:p>
    <w:p w14:paraId="2750D242" w14:textId="6AD28108" w:rsidR="008C522C" w:rsidRDefault="008C522C" w:rsidP="0085555A">
      <w:pPr>
        <w:spacing w:before="240"/>
      </w:pPr>
      <w:r>
        <w:t xml:space="preserve">The commentary </w:t>
      </w:r>
      <w:r w:rsidRPr="009B45CE">
        <w:t>also be noted that the proposed MBS item descriptor specifies that access should be achieved via transfemoral delivery, unless transfemoral delivery is contraindicated or not feasible. However, the primary clinical evidence presented by the ADAR, PARTNER 3, excluded patients if treatment with TAVI-BEV via the transfemoral access route could not be achieved (i.e. patient had high-risk anatomy).</w:t>
      </w:r>
    </w:p>
    <w:p w14:paraId="067AD6F3" w14:textId="2AC654B4" w:rsidR="008C522C" w:rsidRPr="009B45CE" w:rsidRDefault="008C522C" w:rsidP="0085555A">
      <w:pPr>
        <w:spacing w:before="240"/>
      </w:pPr>
      <w:r w:rsidRPr="00FB26E6">
        <w:lastRenderedPageBreak/>
        <w:t xml:space="preserve">The current application </w:t>
      </w:r>
      <w:r>
        <w:t xml:space="preserve">sought </w:t>
      </w:r>
      <w:r w:rsidRPr="00FB26E6">
        <w:t xml:space="preserve">to have the ‘accompanying’ MBS items for coordination (item 6080) of the TAVI case conference and participation in </w:t>
      </w:r>
      <w:r>
        <w:t>the TAVI case conference (6081)</w:t>
      </w:r>
      <w:r w:rsidRPr="00FB26E6">
        <w:t xml:space="preserve"> available for the proposed new MBS TAVI item.</w:t>
      </w:r>
    </w:p>
    <w:p w14:paraId="3194EF16" w14:textId="77777777" w:rsidR="008C522C" w:rsidRPr="00883AA2" w:rsidRDefault="00BC1364" w:rsidP="00883AA2">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709BC1EC" w14:textId="77777777" w:rsidR="005568A8" w:rsidRDefault="005568A8" w:rsidP="00571DB8">
      <w:pPr>
        <w:spacing w:after="240"/>
        <w:rPr>
          <w:szCs w:val="24"/>
        </w:rPr>
      </w:pPr>
      <w:r w:rsidRPr="0094217F">
        <w:rPr>
          <w:szCs w:val="24"/>
        </w:rPr>
        <w:t>Following the deferral of MSAC application 1635(</w:t>
      </w:r>
      <w:hyperlink r:id="rId26" w:history="1">
        <w:r w:rsidRPr="0094217F">
          <w:rPr>
            <w:rStyle w:val="Hyperlink"/>
            <w:szCs w:val="24"/>
          </w:rPr>
          <w:t>Application 1635 PSD</w:t>
        </w:r>
      </w:hyperlink>
      <w:r w:rsidRPr="0094217F">
        <w:rPr>
          <w:szCs w:val="24"/>
        </w:rPr>
        <w:t>, p1), the MSAC commenced targeted consultation, requesting feedback from several medical and consumer organisations to help optimise the use of TAVI to treat severe, symptomatic aortic stenosis in patients with low surgical mortality risk.</w:t>
      </w:r>
      <w:r>
        <w:rPr>
          <w:szCs w:val="24"/>
        </w:rPr>
        <w:t xml:space="preserve"> An item descriptor and </w:t>
      </w:r>
      <w:r>
        <w:t xml:space="preserve">explanatory notes for low surgical risk patients was drafted outlining (preliminary) factors that may favour TAVI or SAVR based on the 2020 ACC/AHA guidelines. </w:t>
      </w:r>
      <w:r w:rsidRPr="0094217F">
        <w:rPr>
          <w:szCs w:val="24"/>
        </w:rPr>
        <w:t>Feedback was received from the following organisations:</w:t>
      </w:r>
    </w:p>
    <w:p w14:paraId="0BF70D60" w14:textId="77777777" w:rsidR="005568A8" w:rsidRPr="007F1EAC" w:rsidRDefault="005568A8" w:rsidP="005568A8">
      <w:pPr>
        <w:pStyle w:val="ListParagraph"/>
        <w:numPr>
          <w:ilvl w:val="0"/>
          <w:numId w:val="42"/>
        </w:numPr>
        <w:rPr>
          <w:szCs w:val="24"/>
        </w:rPr>
      </w:pPr>
      <w:r w:rsidRPr="00F374A6">
        <w:rPr>
          <w:szCs w:val="24"/>
        </w:rPr>
        <w:t>The Australian and New Zealand Society of Cardiac and Thoracic Surgeons (ANZSCTS)</w:t>
      </w:r>
    </w:p>
    <w:p w14:paraId="1FC8D1D3" w14:textId="77777777" w:rsidR="005568A8" w:rsidRPr="00264F1F" w:rsidRDefault="005568A8" w:rsidP="005568A8">
      <w:pPr>
        <w:numPr>
          <w:ilvl w:val="0"/>
          <w:numId w:val="42"/>
        </w:numPr>
        <w:rPr>
          <w:szCs w:val="24"/>
        </w:rPr>
      </w:pPr>
      <w:r w:rsidRPr="00264F1F">
        <w:rPr>
          <w:szCs w:val="24"/>
        </w:rPr>
        <w:t>The Cardiac Society of Australia and New Zealand (CSANZ)</w:t>
      </w:r>
      <w:r>
        <w:rPr>
          <w:szCs w:val="24"/>
        </w:rPr>
        <w:t xml:space="preserve">, </w:t>
      </w:r>
    </w:p>
    <w:p w14:paraId="76265D19" w14:textId="77777777" w:rsidR="005568A8" w:rsidRPr="00264F1F" w:rsidRDefault="005568A8" w:rsidP="005568A8">
      <w:pPr>
        <w:numPr>
          <w:ilvl w:val="0"/>
          <w:numId w:val="42"/>
        </w:numPr>
        <w:rPr>
          <w:szCs w:val="24"/>
        </w:rPr>
      </w:pPr>
      <w:r w:rsidRPr="00264F1F">
        <w:rPr>
          <w:szCs w:val="24"/>
        </w:rPr>
        <w:t>The Australian Society of Anaesthetists (ASA)</w:t>
      </w:r>
      <w:r>
        <w:rPr>
          <w:szCs w:val="24"/>
        </w:rPr>
        <w:t xml:space="preserve">, and </w:t>
      </w:r>
    </w:p>
    <w:p w14:paraId="38CE72EE" w14:textId="77777777" w:rsidR="005568A8" w:rsidRDefault="005568A8" w:rsidP="005568A8">
      <w:pPr>
        <w:numPr>
          <w:ilvl w:val="0"/>
          <w:numId w:val="42"/>
        </w:numPr>
        <w:rPr>
          <w:szCs w:val="24"/>
        </w:rPr>
      </w:pPr>
      <w:r w:rsidRPr="00264F1F">
        <w:rPr>
          <w:szCs w:val="24"/>
        </w:rPr>
        <w:t>Hearts4heart</w:t>
      </w:r>
      <w:r>
        <w:rPr>
          <w:szCs w:val="24"/>
        </w:rPr>
        <w:t>.</w:t>
      </w:r>
      <w:r w:rsidRPr="00264F1F">
        <w:rPr>
          <w:szCs w:val="24"/>
        </w:rPr>
        <w:t xml:space="preserve"> </w:t>
      </w:r>
    </w:p>
    <w:p w14:paraId="41B45018" w14:textId="77777777" w:rsidR="005568A8" w:rsidRDefault="005568A8" w:rsidP="005568A8">
      <w:pPr>
        <w:pStyle w:val="Heading2"/>
      </w:pPr>
      <w:r>
        <w:t>Item descriptor</w:t>
      </w:r>
    </w:p>
    <w:p w14:paraId="3D717705" w14:textId="77777777" w:rsidR="005568A8" w:rsidRDefault="005568A8" w:rsidP="005568A8">
      <w:r>
        <w:t xml:space="preserve">ANZSCTS supported the subsidy of TAVI as a standalone procedure without reference to surgical risk. CSANZ supported a device agnostic TAVI item descriptor. Hearts4heart considered that the concept of low, </w:t>
      </w:r>
      <w:proofErr w:type="gramStart"/>
      <w:r>
        <w:t>intermediate</w:t>
      </w:r>
      <w:proofErr w:type="gramEnd"/>
      <w:r>
        <w:t xml:space="preserve"> and high risk is misleading and not patient centred. Feedback from the ASA and Hearts4heart were supportive of the subsidy of TAVI.</w:t>
      </w:r>
    </w:p>
    <w:p w14:paraId="44EFCD8A" w14:textId="77777777" w:rsidR="005568A8" w:rsidRDefault="005568A8" w:rsidP="005568A8">
      <w:pPr>
        <w:keepNext/>
        <w:keepLines/>
        <w:spacing w:before="200"/>
        <w:outlineLvl w:val="1"/>
        <w:rPr>
          <w:bCs/>
          <w:i/>
          <w:szCs w:val="26"/>
        </w:rPr>
      </w:pPr>
      <w:r>
        <w:rPr>
          <w:bCs/>
          <w:i/>
          <w:szCs w:val="26"/>
        </w:rPr>
        <w:t xml:space="preserve">Role of the Heart Team and defining the appropriate population </w:t>
      </w:r>
    </w:p>
    <w:p w14:paraId="3EACEEFD" w14:textId="77777777" w:rsidR="005568A8" w:rsidRDefault="005568A8" w:rsidP="005568A8">
      <w:pPr>
        <w:rPr>
          <w:szCs w:val="24"/>
        </w:rPr>
      </w:pPr>
      <w:r w:rsidRPr="007F55AB">
        <w:rPr>
          <w:szCs w:val="24"/>
        </w:rPr>
        <w:t xml:space="preserve">Hearts4heart did not support restrictions in place for heart valve patients to have access to TAVI. CSANZ were also not supportive of a </w:t>
      </w:r>
      <w:r>
        <w:rPr>
          <w:szCs w:val="24"/>
        </w:rPr>
        <w:t>defined</w:t>
      </w:r>
      <w:r w:rsidRPr="007F55AB">
        <w:rPr>
          <w:szCs w:val="24"/>
        </w:rPr>
        <w:t xml:space="preserve"> list of factors favouring TAVI or SAVR. CSANZ considered that patient selection for TAVI should be made by a multidisciplinary Heart Team as the clinical considerations are complex and consider multiple permutations of patient, anatomic and procedural factors</w:t>
      </w:r>
      <w:r>
        <w:rPr>
          <w:szCs w:val="24"/>
        </w:rPr>
        <w:t xml:space="preserve">. </w:t>
      </w:r>
      <w:r w:rsidRPr="007F55AB">
        <w:rPr>
          <w:szCs w:val="24"/>
        </w:rPr>
        <w:t xml:space="preserve">ANZSCTS was supportive specifying factors defining the appropriate population for TAVI. ANZSCTS considered patients aged under 70 years would be more suitable for SAVR. </w:t>
      </w:r>
    </w:p>
    <w:p w14:paraId="7A25DF9E" w14:textId="77777777" w:rsidR="005568A8" w:rsidRDefault="005568A8" w:rsidP="00571DB8">
      <w:pPr>
        <w:spacing w:before="240"/>
        <w:rPr>
          <w:szCs w:val="24"/>
        </w:rPr>
      </w:pPr>
      <w:r w:rsidRPr="00ED1713">
        <w:rPr>
          <w:szCs w:val="24"/>
        </w:rPr>
        <w:t>ANZSCSTS considered that there was considerable variation in Heart Team decision-making across Australia. This variation included appropriateness of decision-making, surgeon engagement and patients being offered TAVI. ANZSCTS considered the decision making of Heart Teams should be audited.</w:t>
      </w:r>
    </w:p>
    <w:p w14:paraId="1A0097CD" w14:textId="77777777" w:rsidR="005568A8" w:rsidRDefault="005568A8" w:rsidP="005568A8">
      <w:pPr>
        <w:keepNext/>
        <w:keepLines/>
        <w:spacing w:before="200"/>
        <w:jc w:val="both"/>
        <w:outlineLvl w:val="1"/>
        <w:rPr>
          <w:bCs/>
          <w:i/>
          <w:szCs w:val="26"/>
        </w:rPr>
      </w:pPr>
      <w:bookmarkStart w:id="5" w:name="_Hlk79761070"/>
      <w:r>
        <w:rPr>
          <w:bCs/>
          <w:i/>
          <w:szCs w:val="26"/>
        </w:rPr>
        <w:t>Shared decision making</w:t>
      </w:r>
    </w:p>
    <w:bookmarkEnd w:id="5"/>
    <w:p w14:paraId="23CC606D" w14:textId="77777777" w:rsidR="005568A8" w:rsidRDefault="005568A8" w:rsidP="005568A8">
      <w:r w:rsidRPr="00521320">
        <w:t xml:space="preserve">The Hearts4heart response highlighted the importance of patient choice and patient inclusion in decision-making. CSANZ recommended that </w:t>
      </w:r>
      <w:bookmarkStart w:id="6" w:name="_Hlk80028614"/>
      <w:r w:rsidRPr="00521320">
        <w:t>high quality patient information be provided explaining the progressive evolution of TAVI.</w:t>
      </w:r>
    </w:p>
    <w:bookmarkEnd w:id="6"/>
    <w:p w14:paraId="729BFDFA" w14:textId="77777777" w:rsidR="005568A8" w:rsidRDefault="005568A8" w:rsidP="005568A8">
      <w:pPr>
        <w:keepNext/>
        <w:keepLines/>
        <w:spacing w:before="200"/>
        <w:jc w:val="both"/>
        <w:outlineLvl w:val="1"/>
        <w:rPr>
          <w:bCs/>
          <w:i/>
          <w:szCs w:val="26"/>
        </w:rPr>
      </w:pPr>
      <w:r>
        <w:rPr>
          <w:bCs/>
          <w:i/>
          <w:szCs w:val="26"/>
        </w:rPr>
        <w:t xml:space="preserve">Surgical involvement in TAVI </w:t>
      </w:r>
    </w:p>
    <w:p w14:paraId="656B4B7E" w14:textId="77777777" w:rsidR="005568A8" w:rsidRDefault="005568A8" w:rsidP="005568A8">
      <w:r w:rsidRPr="00793EBE">
        <w:t xml:space="preserve">ANZSCTS proposed two models with greater surgeon involvement: one where an independent surgeon would assess patients as being more appropriate for TAVI and another where there would be surgeon involvement all TAVI procedures. </w:t>
      </w:r>
    </w:p>
    <w:p w14:paraId="603BFB5C" w14:textId="77777777" w:rsidR="005568A8" w:rsidRDefault="005568A8" w:rsidP="005568A8">
      <w:pPr>
        <w:keepNext/>
        <w:keepLines/>
        <w:spacing w:before="200"/>
        <w:jc w:val="both"/>
        <w:outlineLvl w:val="1"/>
        <w:rPr>
          <w:bCs/>
          <w:i/>
          <w:szCs w:val="26"/>
        </w:rPr>
      </w:pPr>
      <w:r>
        <w:rPr>
          <w:bCs/>
          <w:i/>
          <w:szCs w:val="26"/>
        </w:rPr>
        <w:lastRenderedPageBreak/>
        <w:t xml:space="preserve">Procedural anaesthesia </w:t>
      </w:r>
    </w:p>
    <w:p w14:paraId="7826E969" w14:textId="77777777" w:rsidR="005568A8" w:rsidRDefault="005568A8" w:rsidP="005568A8">
      <w:pPr>
        <w:rPr>
          <w:szCs w:val="24"/>
        </w:rPr>
      </w:pPr>
      <w:r>
        <w:rPr>
          <w:szCs w:val="24"/>
        </w:rPr>
        <w:t xml:space="preserve">The ASA advised that </w:t>
      </w:r>
      <w:r w:rsidRPr="00172D98">
        <w:rPr>
          <w:szCs w:val="24"/>
        </w:rPr>
        <w:t>the anaesthesia technique required for TAVI results in better patient outcomes</w:t>
      </w:r>
      <w:r>
        <w:rPr>
          <w:szCs w:val="24"/>
        </w:rPr>
        <w:t xml:space="preserve"> and that a</w:t>
      </w:r>
      <w:r w:rsidRPr="00172D98">
        <w:rPr>
          <w:szCs w:val="24"/>
        </w:rPr>
        <w:t>naesthesia for open heart surgery is in and of itself, a major intervention, with a higher risk to patients</w:t>
      </w:r>
      <w:r>
        <w:rPr>
          <w:szCs w:val="24"/>
        </w:rPr>
        <w:t xml:space="preserve">. </w:t>
      </w:r>
    </w:p>
    <w:p w14:paraId="07D55E0E" w14:textId="77777777" w:rsidR="005568A8" w:rsidRDefault="005568A8" w:rsidP="005568A8">
      <w:pPr>
        <w:keepNext/>
        <w:keepLines/>
        <w:spacing w:before="200"/>
        <w:jc w:val="both"/>
        <w:outlineLvl w:val="1"/>
        <w:rPr>
          <w:bCs/>
          <w:i/>
          <w:szCs w:val="26"/>
        </w:rPr>
      </w:pPr>
      <w:r>
        <w:rPr>
          <w:bCs/>
          <w:i/>
          <w:szCs w:val="26"/>
        </w:rPr>
        <w:t xml:space="preserve">Clinical evidence </w:t>
      </w:r>
    </w:p>
    <w:p w14:paraId="1F85EAC5" w14:textId="77777777" w:rsidR="005568A8" w:rsidRPr="003160E0" w:rsidRDefault="005568A8" w:rsidP="005568A8">
      <w:r w:rsidRPr="00793EBE">
        <w:rPr>
          <w:szCs w:val="24"/>
        </w:rPr>
        <w:t>ANZSCTS was critical of the trial data and considered that patients were highly select</w:t>
      </w:r>
      <w:r>
        <w:rPr>
          <w:szCs w:val="24"/>
        </w:rPr>
        <w:t>ed</w:t>
      </w:r>
      <w:r w:rsidRPr="00793EBE">
        <w:rPr>
          <w:szCs w:val="24"/>
        </w:rPr>
        <w:t xml:space="preserve"> and reported inconsistent endpoints. </w:t>
      </w:r>
      <w:r w:rsidRPr="003160E0">
        <w:t>The ANZSCTS feedback presented data from the 2019 Annual Report of the ANZSCTS National Cardiac Surgery Registry Data.</w:t>
      </w:r>
      <w:r w:rsidRPr="003160E0">
        <w:rPr>
          <w:vertAlign w:val="superscript"/>
        </w:rPr>
        <w:footnoteReference w:id="7"/>
      </w:r>
    </w:p>
    <w:p w14:paraId="6F8C5D6F" w14:textId="77777777" w:rsidR="005568A8" w:rsidRPr="003160E0" w:rsidRDefault="005568A8" w:rsidP="005568A8">
      <w:pPr>
        <w:rPr>
          <w:szCs w:val="24"/>
        </w:rPr>
      </w:pPr>
      <w:r w:rsidRPr="003160E0">
        <w:t>The ANZSCTS response highlighted that observed 30-day mortality for isolated SAVR was 1.8% in the 10 years from 2010 to 2019 in an unselected, all-comers population. In 2019, observed 30-day mortality was lower at 1.4%. For patients undergoing elective SAVR, observed 30-day mortality was 1.1%.</w:t>
      </w:r>
    </w:p>
    <w:p w14:paraId="76E94B4E" w14:textId="77777777" w:rsidR="005568A8" w:rsidRDefault="005568A8" w:rsidP="005568A8">
      <w:pPr>
        <w:keepNext/>
        <w:keepLines/>
        <w:spacing w:before="200"/>
        <w:jc w:val="both"/>
        <w:outlineLvl w:val="1"/>
        <w:rPr>
          <w:bCs/>
          <w:i/>
          <w:szCs w:val="26"/>
        </w:rPr>
      </w:pPr>
      <w:r>
        <w:rPr>
          <w:bCs/>
          <w:i/>
          <w:szCs w:val="26"/>
        </w:rPr>
        <w:t xml:space="preserve">Long term outcomes </w:t>
      </w:r>
    </w:p>
    <w:p w14:paraId="6EFAE366" w14:textId="77777777" w:rsidR="005568A8" w:rsidRDefault="005568A8" w:rsidP="005568A8">
      <w:pPr>
        <w:rPr>
          <w:szCs w:val="24"/>
        </w:rPr>
      </w:pPr>
      <w:r>
        <w:rPr>
          <w:szCs w:val="24"/>
        </w:rPr>
        <w:t xml:space="preserve">ANZSCTS raised concerns relating to the need for permanent pacemaker implantation and the occurrence of left bundle branch block and paravalvular leakage.  </w:t>
      </w:r>
    </w:p>
    <w:p w14:paraId="5D1D5FE2" w14:textId="5E7D9991" w:rsidR="005568A8" w:rsidRPr="007A26FE" w:rsidRDefault="005568A8" w:rsidP="00571DB8">
      <w:pPr>
        <w:spacing w:before="240"/>
      </w:pPr>
      <w:r w:rsidRPr="007A26FE">
        <w:t>CSANZ presented findings from cohort studies on the long</w:t>
      </w:r>
      <w:r>
        <w:noBreakHyphen/>
      </w:r>
      <w:r w:rsidRPr="007A26FE">
        <w:t xml:space="preserve">term durability of TAVI valves that reported on SVD and bioprosthetic valve failure (BVF). Hearts4heart also referred to registry data reporting on structural valve deterioration (SVD) and bioprosthetic valve failure (BVF). The results of these studies are presented in </w:t>
      </w:r>
      <w:r w:rsidRPr="00571DB8">
        <w:rPr>
          <w:szCs w:val="24"/>
        </w:rPr>
        <w:fldChar w:fldCharType="begin"/>
      </w:r>
      <w:r w:rsidRPr="00571DB8">
        <w:rPr>
          <w:szCs w:val="24"/>
        </w:rPr>
        <w:instrText xml:space="preserve"> REF _Ref76821656 \h </w:instrText>
      </w:r>
      <w:r w:rsidR="00571DB8" w:rsidRPr="00571DB8">
        <w:rPr>
          <w:szCs w:val="24"/>
        </w:rPr>
        <w:instrText xml:space="preserve"> \* MERGEFORMAT </w:instrText>
      </w:r>
      <w:r w:rsidRPr="00571DB8">
        <w:rPr>
          <w:szCs w:val="24"/>
        </w:rPr>
      </w:r>
      <w:r w:rsidRPr="00571DB8">
        <w:rPr>
          <w:szCs w:val="24"/>
        </w:rPr>
        <w:fldChar w:fldCharType="separate"/>
      </w:r>
      <w:r w:rsidR="003D2F4E" w:rsidRPr="00571DB8">
        <w:rPr>
          <w:iCs/>
          <w:szCs w:val="24"/>
          <w:lang w:eastAsia="en-US"/>
        </w:rPr>
        <w:t xml:space="preserve">Table </w:t>
      </w:r>
      <w:r w:rsidR="003D2F4E" w:rsidRPr="00571DB8">
        <w:rPr>
          <w:iCs/>
          <w:noProof/>
          <w:szCs w:val="24"/>
          <w:lang w:eastAsia="en-US"/>
        </w:rPr>
        <w:t>4</w:t>
      </w:r>
      <w:r w:rsidRPr="00571DB8">
        <w:rPr>
          <w:szCs w:val="24"/>
        </w:rPr>
        <w:fldChar w:fldCharType="end"/>
      </w:r>
      <w:r w:rsidRPr="007A26FE">
        <w:t>.</w:t>
      </w:r>
    </w:p>
    <w:p w14:paraId="179CD4AE" w14:textId="07E7DB75" w:rsidR="005568A8" w:rsidRPr="007A26FE" w:rsidRDefault="005568A8" w:rsidP="00571DB8">
      <w:pPr>
        <w:keepNext/>
        <w:spacing w:before="240" w:after="40"/>
        <w:jc w:val="both"/>
        <w:outlineLvl w:val="4"/>
        <w:rPr>
          <w:rFonts w:ascii="Arial Narrow" w:hAnsi="Arial Narrow" w:cs="Arial"/>
          <w:b/>
          <w:bCs/>
          <w:iCs/>
          <w:sz w:val="20"/>
          <w:lang w:eastAsia="en-US"/>
        </w:rPr>
      </w:pPr>
      <w:bookmarkStart w:id="7" w:name="_Ref76821656"/>
      <w:r w:rsidRPr="007A26FE">
        <w:rPr>
          <w:rFonts w:ascii="Arial Narrow" w:hAnsi="Arial Narrow" w:cs="Arial"/>
          <w:b/>
          <w:bCs/>
          <w:iCs/>
          <w:sz w:val="20"/>
          <w:lang w:eastAsia="en-US"/>
        </w:rPr>
        <w:t xml:space="preserve">Table </w:t>
      </w:r>
      <w:r w:rsidRPr="007A26FE">
        <w:rPr>
          <w:rFonts w:ascii="Arial Narrow" w:hAnsi="Arial Narrow" w:cs="Arial"/>
          <w:b/>
          <w:bCs/>
          <w:iCs/>
          <w:sz w:val="20"/>
          <w:lang w:eastAsia="en-US"/>
        </w:rPr>
        <w:fldChar w:fldCharType="begin"/>
      </w:r>
      <w:r w:rsidRPr="007A26FE">
        <w:rPr>
          <w:rFonts w:ascii="Arial Narrow" w:hAnsi="Arial Narrow" w:cs="Arial"/>
          <w:b/>
          <w:bCs/>
          <w:iCs/>
          <w:sz w:val="20"/>
          <w:lang w:eastAsia="en-US"/>
        </w:rPr>
        <w:instrText xml:space="preserve"> SEQ Table \* ARABIC </w:instrText>
      </w:r>
      <w:r w:rsidRPr="007A26FE">
        <w:rPr>
          <w:rFonts w:ascii="Arial Narrow" w:hAnsi="Arial Narrow" w:cs="Arial"/>
          <w:b/>
          <w:bCs/>
          <w:iCs/>
          <w:sz w:val="20"/>
          <w:lang w:eastAsia="en-US"/>
        </w:rPr>
        <w:fldChar w:fldCharType="separate"/>
      </w:r>
      <w:r w:rsidR="003D2F4E">
        <w:rPr>
          <w:rFonts w:ascii="Arial Narrow" w:hAnsi="Arial Narrow" w:cs="Arial"/>
          <w:b/>
          <w:bCs/>
          <w:iCs/>
          <w:noProof/>
          <w:sz w:val="20"/>
          <w:lang w:eastAsia="en-US"/>
        </w:rPr>
        <w:t>4</w:t>
      </w:r>
      <w:r w:rsidRPr="007A26FE">
        <w:rPr>
          <w:rFonts w:ascii="Arial Narrow" w:hAnsi="Arial Narrow" w:cs="Arial"/>
          <w:b/>
          <w:bCs/>
          <w:iCs/>
          <w:noProof/>
          <w:sz w:val="20"/>
          <w:lang w:eastAsia="en-US"/>
        </w:rPr>
        <w:fldChar w:fldCharType="end"/>
      </w:r>
      <w:bookmarkEnd w:id="7"/>
      <w:r w:rsidRPr="007A26FE">
        <w:rPr>
          <w:rFonts w:ascii="Arial Narrow" w:hAnsi="Arial Narrow" w:cs="Arial"/>
          <w:b/>
          <w:bCs/>
          <w:iCs/>
          <w:noProof/>
          <w:sz w:val="20"/>
          <w:lang w:eastAsia="en-US"/>
        </w:rPr>
        <w:t xml:space="preserve">: </w:t>
      </w:r>
      <w:r w:rsidRPr="007A26FE">
        <w:rPr>
          <w:rFonts w:ascii="Arial Narrow" w:hAnsi="Arial Narrow" w:cs="Arial"/>
          <w:b/>
          <w:bCs/>
          <w:iCs/>
          <w:sz w:val="20"/>
          <w:lang w:eastAsia="en-US"/>
        </w:rPr>
        <w:t>Long term durability after TAVI presented in the consultation feedback from Costa (2019)</w:t>
      </w:r>
      <w:r w:rsidRPr="007A26FE">
        <w:rPr>
          <w:i/>
          <w:vertAlign w:val="superscript"/>
        </w:rPr>
        <w:t xml:space="preserve"> </w:t>
      </w:r>
      <w:r w:rsidRPr="007A26FE">
        <w:rPr>
          <w:rFonts w:ascii="Arial Narrow" w:hAnsi="Arial Narrow"/>
          <w:b/>
          <w:sz w:val="20"/>
          <w:vertAlign w:val="superscript"/>
        </w:rPr>
        <w:footnoteReference w:id="8"/>
      </w:r>
      <w:r w:rsidRPr="007A26FE">
        <w:rPr>
          <w:rFonts w:ascii="Arial Narrow" w:hAnsi="Arial Narrow"/>
          <w:b/>
          <w:sz w:val="20"/>
          <w:vertAlign w:val="superscript"/>
        </w:rPr>
        <w:t xml:space="preserve"> </w:t>
      </w:r>
      <w:r w:rsidRPr="007A26FE">
        <w:rPr>
          <w:rFonts w:ascii="Arial Narrow" w:hAnsi="Arial Narrow" w:cs="Arial"/>
          <w:b/>
          <w:bCs/>
          <w:iCs/>
          <w:sz w:val="20"/>
          <w:lang w:eastAsia="en-US"/>
        </w:rPr>
        <w:t xml:space="preserve"> and other studies referred in consultation feedback</w:t>
      </w:r>
    </w:p>
    <w:tbl>
      <w:tblPr>
        <w:tblStyle w:val="TableGrid11"/>
        <w:tblW w:w="0" w:type="auto"/>
        <w:tblLayout w:type="fixed"/>
        <w:tblLook w:val="04A0" w:firstRow="1" w:lastRow="0" w:firstColumn="1" w:lastColumn="0" w:noHBand="0" w:noVBand="1"/>
      </w:tblPr>
      <w:tblGrid>
        <w:gridCol w:w="1271"/>
        <w:gridCol w:w="567"/>
        <w:gridCol w:w="709"/>
        <w:gridCol w:w="992"/>
        <w:gridCol w:w="1134"/>
        <w:gridCol w:w="2268"/>
        <w:gridCol w:w="2075"/>
      </w:tblGrid>
      <w:tr w:rsidR="005568A8" w:rsidRPr="007A26FE" w14:paraId="0F27F160" w14:textId="77777777" w:rsidTr="000C4DD3">
        <w:trPr>
          <w:cantSplit/>
          <w:trHeight w:val="291"/>
          <w:tblHeader/>
        </w:trPr>
        <w:tc>
          <w:tcPr>
            <w:tcW w:w="1271" w:type="dxa"/>
            <w:tcMar>
              <w:left w:w="57" w:type="dxa"/>
              <w:right w:w="57" w:type="dxa"/>
            </w:tcMar>
          </w:tcPr>
          <w:p w14:paraId="7697E07D" w14:textId="77777777" w:rsidR="005568A8" w:rsidRPr="007A26FE" w:rsidRDefault="005568A8" w:rsidP="000C4DD3">
            <w:pPr>
              <w:keepNext/>
              <w:spacing w:before="40" w:after="40"/>
              <w:ind w:left="1134" w:hanging="1134"/>
              <w:jc w:val="both"/>
              <w:rPr>
                <w:rFonts w:ascii="Arial Narrow" w:hAnsi="Arial Narrow" w:cs="Tahoma"/>
                <w:b/>
                <w:noProof/>
                <w:sz w:val="20"/>
              </w:rPr>
            </w:pPr>
            <w:r w:rsidRPr="007A26FE">
              <w:rPr>
                <w:rFonts w:ascii="Arial Narrow" w:hAnsi="Arial Narrow" w:cs="Tahoma"/>
                <w:b/>
                <w:noProof/>
                <w:sz w:val="20"/>
              </w:rPr>
              <w:t>Author</w:t>
            </w:r>
          </w:p>
        </w:tc>
        <w:tc>
          <w:tcPr>
            <w:tcW w:w="567" w:type="dxa"/>
            <w:tcMar>
              <w:left w:w="57" w:type="dxa"/>
              <w:right w:w="57" w:type="dxa"/>
            </w:tcMar>
          </w:tcPr>
          <w:p w14:paraId="3B8C0DFA" w14:textId="77777777" w:rsidR="005568A8" w:rsidRPr="007A26FE" w:rsidRDefault="005568A8" w:rsidP="000C4DD3">
            <w:pPr>
              <w:keepNext/>
              <w:spacing w:before="40" w:after="40"/>
              <w:ind w:left="1134" w:hanging="1134"/>
              <w:jc w:val="both"/>
              <w:rPr>
                <w:rFonts w:ascii="Arial Narrow" w:hAnsi="Arial Narrow" w:cs="Tahoma"/>
                <w:b/>
                <w:noProof/>
                <w:sz w:val="20"/>
              </w:rPr>
            </w:pPr>
            <w:r w:rsidRPr="007A26FE">
              <w:rPr>
                <w:rFonts w:ascii="Arial Narrow" w:hAnsi="Arial Narrow" w:cs="Tahoma"/>
                <w:b/>
                <w:noProof/>
                <w:sz w:val="20"/>
              </w:rPr>
              <w:t>N</w:t>
            </w:r>
          </w:p>
        </w:tc>
        <w:tc>
          <w:tcPr>
            <w:tcW w:w="709" w:type="dxa"/>
            <w:tcMar>
              <w:left w:w="57" w:type="dxa"/>
              <w:right w:w="57" w:type="dxa"/>
            </w:tcMar>
          </w:tcPr>
          <w:p w14:paraId="0700FF53" w14:textId="77777777" w:rsidR="005568A8" w:rsidRPr="007A26FE" w:rsidRDefault="005568A8" w:rsidP="000C4DD3">
            <w:pPr>
              <w:keepNext/>
              <w:spacing w:before="40" w:after="40"/>
              <w:ind w:left="1134" w:hanging="1134"/>
              <w:jc w:val="both"/>
              <w:rPr>
                <w:rFonts w:ascii="Arial Narrow" w:hAnsi="Arial Narrow" w:cs="Tahoma"/>
                <w:b/>
                <w:i/>
                <w:noProof/>
                <w:sz w:val="20"/>
              </w:rPr>
            </w:pPr>
            <w:r w:rsidRPr="007A26FE">
              <w:rPr>
                <w:rFonts w:ascii="Arial Narrow" w:hAnsi="Arial Narrow" w:cs="Tahoma"/>
                <w:b/>
                <w:i/>
                <w:noProof/>
                <w:sz w:val="20"/>
              </w:rPr>
              <w:t>Age</w:t>
            </w:r>
          </w:p>
        </w:tc>
        <w:tc>
          <w:tcPr>
            <w:tcW w:w="992" w:type="dxa"/>
            <w:tcMar>
              <w:left w:w="57" w:type="dxa"/>
              <w:right w:w="57" w:type="dxa"/>
            </w:tcMar>
          </w:tcPr>
          <w:p w14:paraId="4C4FBBEA" w14:textId="77777777" w:rsidR="005568A8" w:rsidRPr="007A26FE" w:rsidRDefault="005568A8" w:rsidP="000C4DD3">
            <w:pPr>
              <w:keepNext/>
              <w:spacing w:before="40" w:after="40"/>
              <w:ind w:left="1134" w:hanging="1134"/>
              <w:jc w:val="both"/>
              <w:rPr>
                <w:rFonts w:ascii="Arial Narrow" w:hAnsi="Arial Narrow" w:cs="Tahoma"/>
                <w:b/>
                <w:noProof/>
                <w:sz w:val="20"/>
              </w:rPr>
            </w:pPr>
            <w:r w:rsidRPr="007A26FE">
              <w:rPr>
                <w:rFonts w:ascii="Arial Narrow" w:hAnsi="Arial Narrow" w:cs="Tahoma"/>
                <w:b/>
                <w:noProof/>
                <w:sz w:val="20"/>
              </w:rPr>
              <w:t>Follow-up</w:t>
            </w:r>
          </w:p>
        </w:tc>
        <w:tc>
          <w:tcPr>
            <w:tcW w:w="1134" w:type="dxa"/>
            <w:tcMar>
              <w:left w:w="57" w:type="dxa"/>
              <w:right w:w="57" w:type="dxa"/>
            </w:tcMar>
          </w:tcPr>
          <w:p w14:paraId="29E8D2A8" w14:textId="77777777" w:rsidR="005568A8" w:rsidRPr="007A26FE" w:rsidRDefault="005568A8" w:rsidP="000C4DD3">
            <w:pPr>
              <w:keepNext/>
              <w:spacing w:before="40" w:after="40"/>
              <w:ind w:left="1134" w:hanging="1134"/>
              <w:jc w:val="both"/>
              <w:rPr>
                <w:rFonts w:ascii="Arial Narrow" w:hAnsi="Arial Narrow" w:cs="Tahoma"/>
                <w:b/>
                <w:i/>
                <w:noProof/>
                <w:sz w:val="20"/>
              </w:rPr>
            </w:pPr>
            <w:r w:rsidRPr="007A26FE">
              <w:rPr>
                <w:rFonts w:ascii="Arial Narrow" w:hAnsi="Arial Narrow" w:cs="Tahoma"/>
                <w:b/>
                <w:i/>
                <w:noProof/>
                <w:sz w:val="20"/>
              </w:rPr>
              <w:t>Survival</w:t>
            </w:r>
          </w:p>
        </w:tc>
        <w:tc>
          <w:tcPr>
            <w:tcW w:w="2268" w:type="dxa"/>
            <w:tcMar>
              <w:left w:w="57" w:type="dxa"/>
              <w:right w:w="57" w:type="dxa"/>
            </w:tcMar>
          </w:tcPr>
          <w:p w14:paraId="63E637EB" w14:textId="77777777" w:rsidR="005568A8" w:rsidRPr="007A26FE" w:rsidRDefault="005568A8" w:rsidP="000C4DD3">
            <w:pPr>
              <w:keepNext/>
              <w:spacing w:before="40" w:after="40"/>
              <w:ind w:left="1134" w:hanging="1134"/>
              <w:jc w:val="both"/>
              <w:rPr>
                <w:rFonts w:ascii="Arial Narrow" w:hAnsi="Arial Narrow" w:cs="Tahoma"/>
                <w:b/>
                <w:i/>
                <w:noProof/>
                <w:sz w:val="20"/>
              </w:rPr>
            </w:pPr>
            <w:r w:rsidRPr="007A26FE">
              <w:rPr>
                <w:rFonts w:ascii="Arial Narrow" w:hAnsi="Arial Narrow" w:cs="Tahoma"/>
                <w:b/>
                <w:i/>
                <w:noProof/>
                <w:sz w:val="20"/>
              </w:rPr>
              <w:t xml:space="preserve">SVD </w:t>
            </w:r>
          </w:p>
        </w:tc>
        <w:tc>
          <w:tcPr>
            <w:tcW w:w="2075" w:type="dxa"/>
            <w:tcMar>
              <w:left w:w="57" w:type="dxa"/>
              <w:right w:w="57" w:type="dxa"/>
            </w:tcMar>
          </w:tcPr>
          <w:p w14:paraId="11FC17C1" w14:textId="77777777" w:rsidR="005568A8" w:rsidRPr="007A26FE" w:rsidRDefault="005568A8" w:rsidP="000C4DD3">
            <w:pPr>
              <w:keepNext/>
              <w:spacing w:before="40" w:after="40"/>
              <w:ind w:left="1134" w:hanging="1134"/>
              <w:jc w:val="both"/>
              <w:rPr>
                <w:rFonts w:ascii="Arial Narrow" w:hAnsi="Arial Narrow" w:cs="Tahoma"/>
                <w:b/>
                <w:i/>
                <w:noProof/>
                <w:sz w:val="20"/>
              </w:rPr>
            </w:pPr>
            <w:r w:rsidRPr="007A26FE">
              <w:rPr>
                <w:rFonts w:ascii="Arial Narrow" w:hAnsi="Arial Narrow" w:cs="Tahoma"/>
                <w:b/>
                <w:i/>
                <w:noProof/>
                <w:sz w:val="20"/>
              </w:rPr>
              <w:t xml:space="preserve">BVF </w:t>
            </w:r>
          </w:p>
        </w:tc>
      </w:tr>
      <w:tr w:rsidR="005568A8" w:rsidRPr="007A26FE" w14:paraId="50BAA983" w14:textId="77777777" w:rsidTr="000C4DD3">
        <w:trPr>
          <w:cantSplit/>
        </w:trPr>
        <w:tc>
          <w:tcPr>
            <w:tcW w:w="1271" w:type="dxa"/>
            <w:tcMar>
              <w:left w:w="57" w:type="dxa"/>
              <w:right w:w="57" w:type="dxa"/>
            </w:tcMar>
          </w:tcPr>
          <w:p w14:paraId="0A63B470" w14:textId="77777777" w:rsidR="005568A8" w:rsidRPr="007A26FE" w:rsidRDefault="005568A8" w:rsidP="000C4DD3">
            <w:pPr>
              <w:rPr>
                <w:rFonts w:ascii="Arial Narrow" w:eastAsia="Calibri" w:hAnsi="Arial Narrow"/>
                <w:sz w:val="20"/>
              </w:rPr>
            </w:pPr>
            <w:r w:rsidRPr="007A26FE">
              <w:rPr>
                <w:rFonts w:ascii="Arial Narrow" w:eastAsia="Calibri" w:hAnsi="Arial Narrow"/>
                <w:sz w:val="20"/>
              </w:rPr>
              <w:t xml:space="preserve">Deutsch 2018 </w:t>
            </w:r>
            <w:r w:rsidRPr="007A26FE">
              <w:rPr>
                <w:rFonts w:ascii="Arial Narrow" w:eastAsia="Calibri" w:hAnsi="Arial Narrow"/>
                <w:sz w:val="20"/>
                <w:vertAlign w:val="superscript"/>
              </w:rPr>
              <w:footnoteReference w:id="9"/>
            </w:r>
          </w:p>
        </w:tc>
        <w:tc>
          <w:tcPr>
            <w:tcW w:w="567" w:type="dxa"/>
            <w:tcMar>
              <w:left w:w="57" w:type="dxa"/>
              <w:right w:w="57" w:type="dxa"/>
            </w:tcMar>
          </w:tcPr>
          <w:p w14:paraId="2E0DE7E2" w14:textId="77777777" w:rsidR="005568A8" w:rsidRPr="007A26FE" w:rsidRDefault="005568A8" w:rsidP="000C4DD3">
            <w:pPr>
              <w:rPr>
                <w:rFonts w:ascii="Arial Narrow" w:eastAsia="Calibri" w:hAnsi="Arial Narrow"/>
                <w:sz w:val="20"/>
              </w:rPr>
            </w:pPr>
            <w:r w:rsidRPr="007A26FE">
              <w:rPr>
                <w:rFonts w:ascii="Arial Narrow" w:eastAsia="Calibri" w:hAnsi="Arial Narrow"/>
                <w:sz w:val="20"/>
              </w:rPr>
              <w:t>300</w:t>
            </w:r>
          </w:p>
        </w:tc>
        <w:tc>
          <w:tcPr>
            <w:tcW w:w="709" w:type="dxa"/>
            <w:tcMar>
              <w:left w:w="57" w:type="dxa"/>
              <w:right w:w="57" w:type="dxa"/>
            </w:tcMar>
          </w:tcPr>
          <w:p w14:paraId="66858F9B"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81 </w:t>
            </w:r>
            <w:proofErr w:type="spellStart"/>
            <w:r w:rsidRPr="007A26FE">
              <w:rPr>
                <w:rFonts w:ascii="Arial Narrow" w:eastAsia="Calibri" w:hAnsi="Arial Narrow"/>
                <w:i/>
                <w:sz w:val="20"/>
              </w:rPr>
              <w:t>yrs</w:t>
            </w:r>
            <w:proofErr w:type="spellEnd"/>
          </w:p>
        </w:tc>
        <w:tc>
          <w:tcPr>
            <w:tcW w:w="992" w:type="dxa"/>
            <w:tcMar>
              <w:left w:w="57" w:type="dxa"/>
              <w:right w:w="57" w:type="dxa"/>
            </w:tcMar>
          </w:tcPr>
          <w:p w14:paraId="2CE32A97" w14:textId="77777777" w:rsidR="005568A8" w:rsidRPr="007A26FE" w:rsidRDefault="005568A8" w:rsidP="000C4DD3">
            <w:pPr>
              <w:rPr>
                <w:rFonts w:ascii="Arial Narrow" w:eastAsia="Calibri" w:hAnsi="Arial Narrow"/>
                <w:sz w:val="20"/>
              </w:rPr>
            </w:pPr>
            <w:r w:rsidRPr="007A26FE">
              <w:rPr>
                <w:rFonts w:ascii="Arial Narrow" w:eastAsia="Calibri" w:hAnsi="Arial Narrow"/>
                <w:sz w:val="20"/>
              </w:rPr>
              <w:t xml:space="preserve">7.14 </w:t>
            </w:r>
            <w:proofErr w:type="spellStart"/>
            <w:r w:rsidRPr="007A26FE">
              <w:rPr>
                <w:rFonts w:ascii="Arial Narrow" w:eastAsia="Calibri" w:hAnsi="Arial Narrow"/>
                <w:sz w:val="20"/>
              </w:rPr>
              <w:t>yrs</w:t>
            </w:r>
            <w:proofErr w:type="spellEnd"/>
          </w:p>
        </w:tc>
        <w:tc>
          <w:tcPr>
            <w:tcW w:w="1134" w:type="dxa"/>
            <w:tcMar>
              <w:left w:w="57" w:type="dxa"/>
              <w:right w:w="57" w:type="dxa"/>
            </w:tcMar>
          </w:tcPr>
          <w:p w14:paraId="21E5B14F"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5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xml:space="preserve">: 40.2% </w:t>
            </w:r>
          </w:p>
          <w:p w14:paraId="03CFDDFF"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7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xml:space="preserve">: 23.2% </w:t>
            </w:r>
          </w:p>
        </w:tc>
        <w:tc>
          <w:tcPr>
            <w:tcW w:w="2268" w:type="dxa"/>
            <w:tcMar>
              <w:left w:w="57" w:type="dxa"/>
              <w:right w:w="57" w:type="dxa"/>
            </w:tcMar>
          </w:tcPr>
          <w:p w14:paraId="58843F40"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5 years: 13.3% </w:t>
            </w:r>
          </w:p>
          <w:p w14:paraId="647B5C41"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7 years: 14.9%</w:t>
            </w:r>
          </w:p>
          <w:p w14:paraId="6B8F19EE"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[competing risk adjusted]</w:t>
            </w:r>
          </w:p>
        </w:tc>
        <w:tc>
          <w:tcPr>
            <w:tcW w:w="2075" w:type="dxa"/>
            <w:tcMar>
              <w:left w:w="57" w:type="dxa"/>
              <w:right w:w="57" w:type="dxa"/>
            </w:tcMar>
          </w:tcPr>
          <w:p w14:paraId="6BE2A403"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3.7%: 11 patients  </w:t>
            </w:r>
          </w:p>
          <w:p w14:paraId="70BAFE4C"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4 reinterventions (TAVI)</w:t>
            </w:r>
          </w:p>
        </w:tc>
      </w:tr>
      <w:tr w:rsidR="005568A8" w:rsidRPr="007A26FE" w14:paraId="4BCC91BF" w14:textId="77777777" w:rsidTr="000C4DD3">
        <w:trPr>
          <w:cantSplit/>
        </w:trPr>
        <w:tc>
          <w:tcPr>
            <w:tcW w:w="1271" w:type="dxa"/>
            <w:tcMar>
              <w:left w:w="57" w:type="dxa"/>
              <w:right w:w="57" w:type="dxa"/>
            </w:tcMar>
          </w:tcPr>
          <w:p w14:paraId="2405E2D4" w14:textId="77777777" w:rsidR="005568A8" w:rsidRPr="007A26FE" w:rsidRDefault="005568A8" w:rsidP="000C4DD3">
            <w:pPr>
              <w:rPr>
                <w:rFonts w:ascii="Arial Narrow" w:eastAsia="Calibri" w:hAnsi="Arial Narrow"/>
                <w:sz w:val="20"/>
              </w:rPr>
            </w:pPr>
            <w:proofErr w:type="spellStart"/>
            <w:r w:rsidRPr="007A26FE">
              <w:rPr>
                <w:rFonts w:ascii="Arial Narrow" w:eastAsia="Calibri" w:hAnsi="Arial Narrow"/>
                <w:sz w:val="20"/>
              </w:rPr>
              <w:t>Eltchaninoff</w:t>
            </w:r>
            <w:proofErr w:type="spellEnd"/>
            <w:r w:rsidRPr="007A26FE">
              <w:rPr>
                <w:rFonts w:ascii="Arial Narrow" w:eastAsia="Calibri" w:hAnsi="Arial Narrow"/>
                <w:sz w:val="20"/>
              </w:rPr>
              <w:t xml:space="preserve"> 2018 </w:t>
            </w:r>
            <w:r w:rsidRPr="007A26FE">
              <w:rPr>
                <w:rFonts w:ascii="Arial Narrow" w:eastAsia="Calibri" w:hAnsi="Arial Narrow"/>
                <w:sz w:val="20"/>
                <w:vertAlign w:val="superscript"/>
              </w:rPr>
              <w:footnoteReference w:id="10"/>
            </w:r>
          </w:p>
        </w:tc>
        <w:tc>
          <w:tcPr>
            <w:tcW w:w="567" w:type="dxa"/>
            <w:tcMar>
              <w:left w:w="57" w:type="dxa"/>
              <w:right w:w="57" w:type="dxa"/>
            </w:tcMar>
          </w:tcPr>
          <w:p w14:paraId="10DBA97F" w14:textId="77777777" w:rsidR="005568A8" w:rsidRPr="007A26FE" w:rsidRDefault="005568A8" w:rsidP="000C4DD3">
            <w:pPr>
              <w:rPr>
                <w:rFonts w:ascii="Arial Narrow" w:eastAsia="Calibri" w:hAnsi="Arial Narrow"/>
                <w:sz w:val="20"/>
              </w:rPr>
            </w:pPr>
            <w:r w:rsidRPr="007A26FE">
              <w:rPr>
                <w:rFonts w:ascii="Arial Narrow" w:eastAsia="Calibri" w:hAnsi="Arial Narrow"/>
                <w:sz w:val="20"/>
              </w:rPr>
              <w:t>378</w:t>
            </w:r>
          </w:p>
        </w:tc>
        <w:tc>
          <w:tcPr>
            <w:tcW w:w="709" w:type="dxa"/>
            <w:tcMar>
              <w:left w:w="57" w:type="dxa"/>
              <w:right w:w="57" w:type="dxa"/>
            </w:tcMar>
          </w:tcPr>
          <w:p w14:paraId="560235BE"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83 </w:t>
            </w:r>
            <w:proofErr w:type="spellStart"/>
            <w:r w:rsidRPr="007A26FE">
              <w:rPr>
                <w:rFonts w:ascii="Arial Narrow" w:eastAsia="Calibri" w:hAnsi="Arial Narrow"/>
                <w:i/>
                <w:sz w:val="20"/>
              </w:rPr>
              <w:t>yrs</w:t>
            </w:r>
            <w:proofErr w:type="spellEnd"/>
          </w:p>
        </w:tc>
        <w:tc>
          <w:tcPr>
            <w:tcW w:w="992" w:type="dxa"/>
            <w:tcMar>
              <w:left w:w="57" w:type="dxa"/>
              <w:right w:w="57" w:type="dxa"/>
            </w:tcMar>
          </w:tcPr>
          <w:p w14:paraId="2DD4943D" w14:textId="77777777" w:rsidR="005568A8" w:rsidRPr="007A26FE" w:rsidRDefault="005568A8" w:rsidP="000C4DD3">
            <w:pPr>
              <w:rPr>
                <w:rFonts w:ascii="Arial Narrow" w:eastAsia="Calibri" w:hAnsi="Arial Narrow"/>
                <w:sz w:val="20"/>
              </w:rPr>
            </w:pPr>
            <w:r w:rsidRPr="007A26FE">
              <w:rPr>
                <w:rFonts w:ascii="Arial Narrow" w:eastAsia="Calibri" w:hAnsi="Arial Narrow"/>
                <w:sz w:val="20"/>
              </w:rPr>
              <w:t xml:space="preserve">3.1 </w:t>
            </w:r>
            <w:proofErr w:type="spellStart"/>
            <w:r w:rsidRPr="007A26FE">
              <w:rPr>
                <w:rFonts w:ascii="Arial Narrow" w:eastAsia="Calibri" w:hAnsi="Arial Narrow"/>
                <w:sz w:val="20"/>
              </w:rPr>
              <w:t>yrs</w:t>
            </w:r>
            <w:proofErr w:type="spellEnd"/>
          </w:p>
        </w:tc>
        <w:tc>
          <w:tcPr>
            <w:tcW w:w="1134" w:type="dxa"/>
            <w:tcMar>
              <w:left w:w="57" w:type="dxa"/>
              <w:right w:w="57" w:type="dxa"/>
            </w:tcMar>
          </w:tcPr>
          <w:p w14:paraId="4F47B64F"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5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xml:space="preserve">: 31.7% </w:t>
            </w:r>
          </w:p>
          <w:p w14:paraId="0D29DFDA"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xml:space="preserve">: 9.6% </w:t>
            </w:r>
          </w:p>
          <w:p w14:paraId="1A7D57EF" w14:textId="77777777" w:rsidR="005568A8" w:rsidRPr="007A26FE" w:rsidRDefault="005568A8" w:rsidP="000C4DD3">
            <w:pPr>
              <w:rPr>
                <w:rFonts w:ascii="Arial Narrow" w:eastAsia="Calibri" w:hAnsi="Arial Narrow"/>
                <w:i/>
                <w:sz w:val="20"/>
              </w:rPr>
            </w:pPr>
          </w:p>
        </w:tc>
        <w:tc>
          <w:tcPr>
            <w:tcW w:w="2268" w:type="dxa"/>
            <w:tcMar>
              <w:left w:w="57" w:type="dxa"/>
              <w:right w:w="57" w:type="dxa"/>
            </w:tcMar>
          </w:tcPr>
          <w:p w14:paraId="55A325F8"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3.2% (95 CI: 1.4. 6.1)</w:t>
            </w:r>
          </w:p>
          <w:p w14:paraId="6EF47322"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[competing risk adjusted]</w:t>
            </w:r>
          </w:p>
          <w:p w14:paraId="32F1C99A" w14:textId="77777777" w:rsidR="005568A8" w:rsidRPr="007A26FE" w:rsidRDefault="005568A8" w:rsidP="000C4DD3">
            <w:pPr>
              <w:rPr>
                <w:rFonts w:ascii="Arial Narrow" w:eastAsia="Calibri" w:hAnsi="Arial Narrow"/>
                <w:i/>
                <w:sz w:val="20"/>
              </w:rPr>
            </w:pPr>
          </w:p>
        </w:tc>
        <w:tc>
          <w:tcPr>
            <w:tcW w:w="2075" w:type="dxa"/>
            <w:tcMar>
              <w:left w:w="57" w:type="dxa"/>
              <w:right w:w="57" w:type="dxa"/>
            </w:tcMar>
          </w:tcPr>
          <w:p w14:paraId="00CFE24E"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xml:space="preserve">: 0.58% </w:t>
            </w:r>
            <w:r w:rsidRPr="007A26FE">
              <w:rPr>
                <w:rFonts w:ascii="Arial Narrow" w:eastAsia="Calibri" w:hAnsi="Arial Narrow"/>
                <w:i/>
                <w:sz w:val="20"/>
              </w:rPr>
              <w:br/>
              <w:t>(95% CI: 0.15, 2.75)</w:t>
            </w:r>
          </w:p>
          <w:p w14:paraId="42297725"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n=2 (all reoperated)</w:t>
            </w:r>
          </w:p>
        </w:tc>
      </w:tr>
      <w:tr w:rsidR="005568A8" w:rsidRPr="007A26FE" w14:paraId="5AD887BC" w14:textId="77777777" w:rsidTr="000C4DD3">
        <w:trPr>
          <w:cantSplit/>
        </w:trPr>
        <w:tc>
          <w:tcPr>
            <w:tcW w:w="1271" w:type="dxa"/>
            <w:tcMar>
              <w:left w:w="57" w:type="dxa"/>
              <w:right w:w="57" w:type="dxa"/>
            </w:tcMar>
          </w:tcPr>
          <w:p w14:paraId="02002063" w14:textId="77777777" w:rsidR="005568A8" w:rsidRPr="007A26FE" w:rsidRDefault="005568A8" w:rsidP="000C4DD3">
            <w:pPr>
              <w:rPr>
                <w:rFonts w:ascii="Arial Narrow" w:eastAsia="Calibri" w:hAnsi="Arial Narrow"/>
                <w:sz w:val="20"/>
              </w:rPr>
            </w:pPr>
            <w:proofErr w:type="spellStart"/>
            <w:r w:rsidRPr="007A26FE">
              <w:rPr>
                <w:rFonts w:ascii="Arial Narrow" w:eastAsia="Calibri" w:hAnsi="Arial Narrow"/>
                <w:sz w:val="20"/>
              </w:rPr>
              <w:t>Barbanti</w:t>
            </w:r>
            <w:proofErr w:type="spellEnd"/>
            <w:r w:rsidRPr="007A26FE">
              <w:rPr>
                <w:rFonts w:ascii="Arial Narrow" w:eastAsia="Calibri" w:hAnsi="Arial Narrow"/>
                <w:sz w:val="20"/>
              </w:rPr>
              <w:t xml:space="preserve"> 2018 </w:t>
            </w:r>
            <w:r w:rsidRPr="007A26FE">
              <w:rPr>
                <w:rFonts w:ascii="Arial Narrow" w:eastAsia="Calibri" w:hAnsi="Arial Narrow"/>
                <w:sz w:val="20"/>
                <w:vertAlign w:val="superscript"/>
              </w:rPr>
              <w:footnoteReference w:id="11"/>
            </w:r>
          </w:p>
        </w:tc>
        <w:tc>
          <w:tcPr>
            <w:tcW w:w="567" w:type="dxa"/>
            <w:tcMar>
              <w:left w:w="57" w:type="dxa"/>
              <w:right w:w="57" w:type="dxa"/>
            </w:tcMar>
          </w:tcPr>
          <w:p w14:paraId="59E71AD4" w14:textId="77777777" w:rsidR="005568A8" w:rsidRPr="007A26FE" w:rsidRDefault="005568A8" w:rsidP="000C4DD3">
            <w:pPr>
              <w:rPr>
                <w:rFonts w:ascii="Arial Narrow" w:eastAsia="Calibri" w:hAnsi="Arial Narrow"/>
                <w:sz w:val="20"/>
              </w:rPr>
            </w:pPr>
            <w:r w:rsidRPr="007A26FE">
              <w:rPr>
                <w:rFonts w:ascii="Arial Narrow" w:eastAsia="Calibri" w:hAnsi="Arial Narrow"/>
                <w:sz w:val="20"/>
              </w:rPr>
              <w:t>288</w:t>
            </w:r>
          </w:p>
        </w:tc>
        <w:tc>
          <w:tcPr>
            <w:tcW w:w="709" w:type="dxa"/>
            <w:tcMar>
              <w:left w:w="57" w:type="dxa"/>
              <w:right w:w="57" w:type="dxa"/>
            </w:tcMar>
          </w:tcPr>
          <w:p w14:paraId="11FD1EF2"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81 </w:t>
            </w:r>
            <w:proofErr w:type="spellStart"/>
            <w:r w:rsidRPr="007A26FE">
              <w:rPr>
                <w:rFonts w:ascii="Arial Narrow" w:eastAsia="Calibri" w:hAnsi="Arial Narrow"/>
                <w:i/>
                <w:sz w:val="20"/>
              </w:rPr>
              <w:t>yrs</w:t>
            </w:r>
            <w:proofErr w:type="spellEnd"/>
          </w:p>
        </w:tc>
        <w:tc>
          <w:tcPr>
            <w:tcW w:w="992" w:type="dxa"/>
            <w:tcMar>
              <w:left w:w="57" w:type="dxa"/>
              <w:right w:w="57" w:type="dxa"/>
            </w:tcMar>
          </w:tcPr>
          <w:p w14:paraId="3698F1EC" w14:textId="77777777" w:rsidR="005568A8" w:rsidRPr="007A26FE" w:rsidRDefault="005568A8" w:rsidP="000C4DD3">
            <w:pPr>
              <w:rPr>
                <w:rFonts w:ascii="Arial Narrow" w:eastAsia="Calibri" w:hAnsi="Arial Narrow"/>
                <w:sz w:val="20"/>
              </w:rPr>
            </w:pPr>
            <w:r w:rsidRPr="007A26FE">
              <w:rPr>
                <w:rFonts w:ascii="Arial Narrow" w:eastAsia="Calibri" w:hAnsi="Arial Narrow"/>
                <w:sz w:val="20"/>
              </w:rPr>
              <w:t xml:space="preserve">6.7 </w:t>
            </w:r>
            <w:proofErr w:type="spellStart"/>
            <w:r w:rsidRPr="007A26FE">
              <w:rPr>
                <w:rFonts w:ascii="Arial Narrow" w:eastAsia="Calibri" w:hAnsi="Arial Narrow"/>
                <w:sz w:val="20"/>
              </w:rPr>
              <w:t>yrs</w:t>
            </w:r>
            <w:proofErr w:type="spellEnd"/>
          </w:p>
        </w:tc>
        <w:tc>
          <w:tcPr>
            <w:tcW w:w="1134" w:type="dxa"/>
            <w:tcMar>
              <w:left w:w="57" w:type="dxa"/>
              <w:right w:w="57" w:type="dxa"/>
            </w:tcMar>
          </w:tcPr>
          <w:p w14:paraId="2485B391"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xml:space="preserve">: 29.8% </w:t>
            </w:r>
          </w:p>
        </w:tc>
        <w:tc>
          <w:tcPr>
            <w:tcW w:w="2268" w:type="dxa"/>
            <w:tcMar>
              <w:left w:w="57" w:type="dxa"/>
              <w:right w:w="57" w:type="dxa"/>
            </w:tcMar>
          </w:tcPr>
          <w:p w14:paraId="38468A6F"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 </w:t>
            </w:r>
            <w:proofErr w:type="spellStart"/>
            <w:r w:rsidRPr="007A26FE">
              <w:rPr>
                <w:rFonts w:ascii="Arial Narrow" w:eastAsia="Calibri" w:hAnsi="Arial Narrow"/>
                <w:i/>
                <w:sz w:val="20"/>
              </w:rPr>
              <w:t>yrs</w:t>
            </w:r>
            <w:proofErr w:type="spellEnd"/>
          </w:p>
          <w:p w14:paraId="0539861D"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Severe: 2.4% </w:t>
            </w:r>
          </w:p>
          <w:p w14:paraId="0ADACC72"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(95% CI: 0.8%, 5.7%, n=7)</w:t>
            </w:r>
          </w:p>
          <w:p w14:paraId="06E1F6F4"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Moderate: 5.9% (95% CI, 3.1%, 10.0%, n=13).</w:t>
            </w:r>
          </w:p>
          <w:p w14:paraId="25CB9156"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[competing risk adjusted]</w:t>
            </w:r>
          </w:p>
        </w:tc>
        <w:tc>
          <w:tcPr>
            <w:tcW w:w="2075" w:type="dxa"/>
            <w:tcMar>
              <w:left w:w="57" w:type="dxa"/>
              <w:right w:w="57" w:type="dxa"/>
            </w:tcMar>
          </w:tcPr>
          <w:p w14:paraId="0D93478B"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8yrs: 4.5% </w:t>
            </w:r>
          </w:p>
          <w:p w14:paraId="662C54EB"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(95% CI: 2.0%, 8.8%)</w:t>
            </w:r>
          </w:p>
          <w:p w14:paraId="4DC2A8C4"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n=11 (4 deaths, 2 TAVI, 2 asymptomatic)</w:t>
            </w:r>
          </w:p>
          <w:p w14:paraId="3FD14889" w14:textId="77777777" w:rsidR="005568A8" w:rsidRPr="007A26FE" w:rsidRDefault="005568A8" w:rsidP="000C4DD3">
            <w:pPr>
              <w:rPr>
                <w:rFonts w:ascii="Arial Narrow" w:eastAsia="Calibri" w:hAnsi="Arial Narrow"/>
                <w:i/>
                <w:sz w:val="20"/>
              </w:rPr>
            </w:pPr>
          </w:p>
        </w:tc>
      </w:tr>
      <w:tr w:rsidR="005568A8" w:rsidRPr="007A26FE" w14:paraId="09C3DED3" w14:textId="77777777" w:rsidTr="000C4DD3">
        <w:trPr>
          <w:cantSplit/>
        </w:trPr>
        <w:tc>
          <w:tcPr>
            <w:tcW w:w="1271" w:type="dxa"/>
            <w:tcMar>
              <w:left w:w="57" w:type="dxa"/>
              <w:right w:w="57" w:type="dxa"/>
            </w:tcMar>
          </w:tcPr>
          <w:p w14:paraId="3FDC1A94" w14:textId="77777777" w:rsidR="005568A8" w:rsidRPr="007A26FE" w:rsidRDefault="005568A8" w:rsidP="000C4DD3">
            <w:pPr>
              <w:rPr>
                <w:rFonts w:ascii="Arial Narrow" w:eastAsia="Calibri" w:hAnsi="Arial Narrow"/>
                <w:sz w:val="20"/>
              </w:rPr>
            </w:pPr>
            <w:r w:rsidRPr="007A26FE">
              <w:rPr>
                <w:rFonts w:ascii="Arial Narrow" w:eastAsia="Calibri" w:hAnsi="Arial Narrow"/>
                <w:sz w:val="20"/>
              </w:rPr>
              <w:lastRenderedPageBreak/>
              <w:t xml:space="preserve">Holy 2018 </w:t>
            </w:r>
            <w:r w:rsidRPr="007A26FE">
              <w:rPr>
                <w:rFonts w:ascii="Arial Narrow" w:eastAsia="Calibri" w:hAnsi="Arial Narrow"/>
                <w:sz w:val="20"/>
                <w:vertAlign w:val="superscript"/>
              </w:rPr>
              <w:footnoteReference w:id="12"/>
            </w:r>
          </w:p>
        </w:tc>
        <w:tc>
          <w:tcPr>
            <w:tcW w:w="567" w:type="dxa"/>
            <w:tcMar>
              <w:left w:w="57" w:type="dxa"/>
              <w:right w:w="57" w:type="dxa"/>
            </w:tcMar>
          </w:tcPr>
          <w:p w14:paraId="79F46D17" w14:textId="77777777" w:rsidR="005568A8" w:rsidRPr="007A26FE" w:rsidRDefault="005568A8" w:rsidP="000C4DD3">
            <w:pPr>
              <w:rPr>
                <w:rFonts w:ascii="Arial Narrow" w:eastAsia="Calibri" w:hAnsi="Arial Narrow"/>
                <w:sz w:val="20"/>
              </w:rPr>
            </w:pPr>
            <w:r w:rsidRPr="007A26FE">
              <w:rPr>
                <w:rFonts w:ascii="Arial Narrow" w:eastAsia="Calibri" w:hAnsi="Arial Narrow"/>
                <w:sz w:val="20"/>
              </w:rPr>
              <w:t>152</w:t>
            </w:r>
          </w:p>
        </w:tc>
        <w:tc>
          <w:tcPr>
            <w:tcW w:w="709" w:type="dxa"/>
            <w:tcMar>
              <w:left w:w="57" w:type="dxa"/>
              <w:right w:w="57" w:type="dxa"/>
            </w:tcMar>
          </w:tcPr>
          <w:p w14:paraId="3109F694"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81 </w:t>
            </w:r>
            <w:proofErr w:type="spellStart"/>
            <w:r w:rsidRPr="007A26FE">
              <w:rPr>
                <w:rFonts w:ascii="Arial Narrow" w:eastAsia="Calibri" w:hAnsi="Arial Narrow"/>
                <w:i/>
                <w:sz w:val="20"/>
              </w:rPr>
              <w:t>yrs</w:t>
            </w:r>
            <w:proofErr w:type="spellEnd"/>
          </w:p>
        </w:tc>
        <w:tc>
          <w:tcPr>
            <w:tcW w:w="992" w:type="dxa"/>
            <w:tcMar>
              <w:left w:w="57" w:type="dxa"/>
              <w:right w:w="57" w:type="dxa"/>
            </w:tcMar>
          </w:tcPr>
          <w:p w14:paraId="664562E8" w14:textId="77777777" w:rsidR="005568A8" w:rsidRPr="007A26FE" w:rsidRDefault="005568A8" w:rsidP="000C4DD3">
            <w:pPr>
              <w:rPr>
                <w:rFonts w:ascii="Arial Narrow" w:eastAsia="Calibri" w:hAnsi="Arial Narrow"/>
                <w:sz w:val="20"/>
              </w:rPr>
            </w:pPr>
            <w:r w:rsidRPr="007A26FE">
              <w:rPr>
                <w:rFonts w:ascii="Arial Narrow" w:eastAsia="Calibri" w:hAnsi="Arial Narrow"/>
                <w:sz w:val="20"/>
              </w:rPr>
              <w:t xml:space="preserve">6.3 </w:t>
            </w:r>
            <w:proofErr w:type="spellStart"/>
            <w:r w:rsidRPr="007A26FE">
              <w:rPr>
                <w:rFonts w:ascii="Arial Narrow" w:eastAsia="Calibri" w:hAnsi="Arial Narrow"/>
                <w:sz w:val="20"/>
              </w:rPr>
              <w:t>yrs</w:t>
            </w:r>
            <w:proofErr w:type="spellEnd"/>
          </w:p>
        </w:tc>
        <w:tc>
          <w:tcPr>
            <w:tcW w:w="1134" w:type="dxa"/>
            <w:tcMar>
              <w:left w:w="57" w:type="dxa"/>
              <w:right w:w="57" w:type="dxa"/>
            </w:tcMar>
          </w:tcPr>
          <w:p w14:paraId="0EF041A4"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xml:space="preserve">: 27% </w:t>
            </w:r>
          </w:p>
        </w:tc>
        <w:tc>
          <w:tcPr>
            <w:tcW w:w="2268" w:type="dxa"/>
            <w:tcMar>
              <w:left w:w="57" w:type="dxa"/>
              <w:right w:w="57" w:type="dxa"/>
            </w:tcMar>
          </w:tcPr>
          <w:p w14:paraId="3212DE83"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NR</w:t>
            </w:r>
          </w:p>
        </w:tc>
        <w:tc>
          <w:tcPr>
            <w:tcW w:w="2075" w:type="dxa"/>
            <w:tcMar>
              <w:left w:w="57" w:type="dxa"/>
              <w:right w:w="57" w:type="dxa"/>
            </w:tcMar>
          </w:tcPr>
          <w:p w14:paraId="18EF0855"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8 years: 4.5%</w:t>
            </w:r>
          </w:p>
          <w:p w14:paraId="251F55F5"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[competing risk adjusted]</w:t>
            </w:r>
          </w:p>
          <w:p w14:paraId="3E3170DF"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8 interventions 3 TAVI 1 SAVR</w:t>
            </w:r>
          </w:p>
        </w:tc>
      </w:tr>
      <w:tr w:rsidR="005568A8" w:rsidRPr="007A26FE" w14:paraId="4FB26F0E" w14:textId="77777777" w:rsidTr="000C4DD3">
        <w:trPr>
          <w:cantSplit/>
        </w:trPr>
        <w:tc>
          <w:tcPr>
            <w:tcW w:w="1271" w:type="dxa"/>
            <w:tcMar>
              <w:left w:w="57" w:type="dxa"/>
              <w:right w:w="57" w:type="dxa"/>
            </w:tcMar>
          </w:tcPr>
          <w:p w14:paraId="3A4806E4" w14:textId="77777777" w:rsidR="005568A8" w:rsidRPr="007A26FE" w:rsidRDefault="005568A8" w:rsidP="000C4DD3">
            <w:pPr>
              <w:rPr>
                <w:rFonts w:ascii="Arial Narrow" w:eastAsia="Calibri" w:hAnsi="Arial Narrow"/>
                <w:sz w:val="20"/>
              </w:rPr>
            </w:pPr>
            <w:proofErr w:type="spellStart"/>
            <w:r w:rsidRPr="007A26FE">
              <w:rPr>
                <w:rFonts w:ascii="Arial Narrow" w:eastAsia="Calibri" w:hAnsi="Arial Narrow"/>
                <w:sz w:val="20"/>
              </w:rPr>
              <w:t>Antonazzo</w:t>
            </w:r>
            <w:proofErr w:type="spellEnd"/>
            <w:r w:rsidRPr="007A26FE">
              <w:rPr>
                <w:rFonts w:ascii="Arial Narrow" w:eastAsia="Calibri" w:hAnsi="Arial Narrow"/>
                <w:sz w:val="20"/>
              </w:rPr>
              <w:t xml:space="preserve"> 2018 </w:t>
            </w:r>
            <w:r w:rsidRPr="007A26FE">
              <w:rPr>
                <w:rFonts w:ascii="Arial Narrow" w:eastAsia="Calibri" w:hAnsi="Arial Narrow"/>
                <w:sz w:val="20"/>
                <w:vertAlign w:val="superscript"/>
              </w:rPr>
              <w:footnoteReference w:id="13"/>
            </w:r>
          </w:p>
        </w:tc>
        <w:tc>
          <w:tcPr>
            <w:tcW w:w="567" w:type="dxa"/>
            <w:tcMar>
              <w:left w:w="57" w:type="dxa"/>
              <w:right w:w="57" w:type="dxa"/>
            </w:tcMar>
          </w:tcPr>
          <w:p w14:paraId="783D222E" w14:textId="77777777" w:rsidR="005568A8" w:rsidRPr="007A26FE" w:rsidRDefault="005568A8" w:rsidP="000C4DD3">
            <w:pPr>
              <w:rPr>
                <w:rFonts w:ascii="Arial Narrow" w:eastAsia="Calibri" w:hAnsi="Arial Narrow"/>
                <w:sz w:val="20"/>
              </w:rPr>
            </w:pPr>
            <w:r w:rsidRPr="007A26FE">
              <w:rPr>
                <w:rFonts w:ascii="Arial Narrow" w:eastAsia="Calibri" w:hAnsi="Arial Narrow"/>
                <w:sz w:val="20"/>
              </w:rPr>
              <w:t>278</w:t>
            </w:r>
          </w:p>
        </w:tc>
        <w:tc>
          <w:tcPr>
            <w:tcW w:w="709" w:type="dxa"/>
            <w:tcMar>
              <w:left w:w="57" w:type="dxa"/>
              <w:right w:w="57" w:type="dxa"/>
            </w:tcMar>
          </w:tcPr>
          <w:p w14:paraId="5C55383E"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82 </w:t>
            </w:r>
            <w:proofErr w:type="spellStart"/>
            <w:r w:rsidRPr="007A26FE">
              <w:rPr>
                <w:rFonts w:ascii="Arial Narrow" w:eastAsia="Calibri" w:hAnsi="Arial Narrow"/>
                <w:i/>
                <w:sz w:val="20"/>
              </w:rPr>
              <w:t>yrs</w:t>
            </w:r>
            <w:proofErr w:type="spellEnd"/>
          </w:p>
        </w:tc>
        <w:tc>
          <w:tcPr>
            <w:tcW w:w="992" w:type="dxa"/>
            <w:tcMar>
              <w:left w:w="57" w:type="dxa"/>
              <w:right w:w="57" w:type="dxa"/>
            </w:tcMar>
          </w:tcPr>
          <w:p w14:paraId="4C5B9457" w14:textId="77777777" w:rsidR="005568A8" w:rsidRPr="007A26FE" w:rsidRDefault="005568A8" w:rsidP="000C4DD3">
            <w:pPr>
              <w:rPr>
                <w:rFonts w:ascii="Arial Narrow" w:eastAsia="Calibri" w:hAnsi="Arial Narrow"/>
                <w:sz w:val="20"/>
              </w:rPr>
            </w:pPr>
            <w:r w:rsidRPr="007A26FE">
              <w:rPr>
                <w:rFonts w:ascii="Arial Narrow" w:eastAsia="Calibri" w:hAnsi="Arial Narrow"/>
                <w:sz w:val="20"/>
              </w:rPr>
              <w:t xml:space="preserve">6.8 </w:t>
            </w:r>
            <w:proofErr w:type="spellStart"/>
            <w:r w:rsidRPr="007A26FE">
              <w:rPr>
                <w:rFonts w:ascii="Arial Narrow" w:eastAsia="Calibri" w:hAnsi="Arial Narrow"/>
                <w:sz w:val="20"/>
              </w:rPr>
              <w:t>yrs</w:t>
            </w:r>
            <w:proofErr w:type="spellEnd"/>
          </w:p>
        </w:tc>
        <w:tc>
          <w:tcPr>
            <w:tcW w:w="1134" w:type="dxa"/>
            <w:tcMar>
              <w:left w:w="57" w:type="dxa"/>
              <w:right w:w="57" w:type="dxa"/>
            </w:tcMar>
          </w:tcPr>
          <w:p w14:paraId="7056A412"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NR</w:t>
            </w:r>
          </w:p>
        </w:tc>
        <w:tc>
          <w:tcPr>
            <w:tcW w:w="2268" w:type="dxa"/>
            <w:tcMar>
              <w:left w:w="57" w:type="dxa"/>
              <w:right w:w="57" w:type="dxa"/>
            </w:tcMar>
          </w:tcPr>
          <w:p w14:paraId="46E137E8"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3.6% (n=3)</w:t>
            </w:r>
          </w:p>
          <w:p w14:paraId="492A9260" w14:textId="77777777" w:rsidR="005568A8" w:rsidRPr="007A26FE" w:rsidRDefault="005568A8" w:rsidP="000C4DD3">
            <w:pPr>
              <w:rPr>
                <w:rFonts w:ascii="Arial Narrow" w:eastAsia="Calibri" w:hAnsi="Arial Narrow"/>
                <w:i/>
                <w:sz w:val="20"/>
              </w:rPr>
            </w:pPr>
          </w:p>
        </w:tc>
        <w:tc>
          <w:tcPr>
            <w:tcW w:w="2075" w:type="dxa"/>
            <w:tcMar>
              <w:left w:w="57" w:type="dxa"/>
              <w:right w:w="57" w:type="dxa"/>
            </w:tcMar>
          </w:tcPr>
          <w:p w14:paraId="013E5794"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xml:space="preserve">: 2.5% (n=5 + </w:t>
            </w:r>
            <w:proofErr w:type="gramStart"/>
            <w:r w:rsidRPr="007A26FE">
              <w:rPr>
                <w:rFonts w:ascii="Arial Narrow" w:eastAsia="Calibri" w:hAnsi="Arial Narrow"/>
                <w:i/>
                <w:sz w:val="20"/>
              </w:rPr>
              <w:t>2  probable</w:t>
            </w:r>
            <w:proofErr w:type="gramEnd"/>
            <w:r w:rsidRPr="007A26FE">
              <w:rPr>
                <w:rFonts w:ascii="Arial Narrow" w:eastAsia="Calibri" w:hAnsi="Arial Narrow"/>
                <w:i/>
                <w:sz w:val="20"/>
              </w:rPr>
              <w:t xml:space="preserve"> BVF)</w:t>
            </w:r>
          </w:p>
        </w:tc>
      </w:tr>
      <w:tr w:rsidR="005568A8" w:rsidRPr="007A26FE" w14:paraId="1A759484" w14:textId="77777777" w:rsidTr="000C4DD3">
        <w:trPr>
          <w:cantSplit/>
        </w:trPr>
        <w:tc>
          <w:tcPr>
            <w:tcW w:w="1271" w:type="dxa"/>
            <w:tcMar>
              <w:left w:w="57" w:type="dxa"/>
              <w:right w:w="57" w:type="dxa"/>
            </w:tcMar>
          </w:tcPr>
          <w:p w14:paraId="0B5B3EF6" w14:textId="77777777" w:rsidR="005568A8" w:rsidRPr="007A26FE" w:rsidRDefault="005568A8" w:rsidP="000C4DD3">
            <w:pPr>
              <w:rPr>
                <w:rFonts w:ascii="Arial Narrow" w:eastAsia="Calibri" w:hAnsi="Arial Narrow"/>
                <w:sz w:val="20"/>
              </w:rPr>
            </w:pPr>
            <w:r w:rsidRPr="007A26FE">
              <w:rPr>
                <w:rFonts w:ascii="Arial Narrow" w:eastAsia="Calibri" w:hAnsi="Arial Narrow"/>
                <w:sz w:val="20"/>
              </w:rPr>
              <w:t xml:space="preserve">Didier 2018 </w:t>
            </w:r>
            <w:r w:rsidRPr="007A26FE">
              <w:rPr>
                <w:rFonts w:ascii="Arial Narrow" w:eastAsia="Calibri" w:hAnsi="Arial Narrow"/>
                <w:sz w:val="20"/>
                <w:vertAlign w:val="superscript"/>
              </w:rPr>
              <w:footnoteReference w:id="14"/>
            </w:r>
          </w:p>
        </w:tc>
        <w:tc>
          <w:tcPr>
            <w:tcW w:w="567" w:type="dxa"/>
            <w:tcMar>
              <w:left w:w="57" w:type="dxa"/>
              <w:right w:w="57" w:type="dxa"/>
            </w:tcMar>
          </w:tcPr>
          <w:p w14:paraId="468B1E43" w14:textId="77777777" w:rsidR="005568A8" w:rsidRPr="007A26FE" w:rsidRDefault="005568A8" w:rsidP="000C4DD3">
            <w:pPr>
              <w:rPr>
                <w:rFonts w:ascii="Arial Narrow" w:eastAsia="Calibri" w:hAnsi="Arial Narrow"/>
                <w:sz w:val="20"/>
              </w:rPr>
            </w:pPr>
            <w:r w:rsidRPr="007A26FE">
              <w:rPr>
                <w:rFonts w:ascii="Arial Narrow" w:eastAsia="Calibri" w:hAnsi="Arial Narrow"/>
                <w:sz w:val="20"/>
              </w:rPr>
              <w:t>4,201</w:t>
            </w:r>
          </w:p>
        </w:tc>
        <w:tc>
          <w:tcPr>
            <w:tcW w:w="709" w:type="dxa"/>
            <w:tcMar>
              <w:left w:w="57" w:type="dxa"/>
              <w:right w:w="57" w:type="dxa"/>
            </w:tcMar>
          </w:tcPr>
          <w:p w14:paraId="6214C156"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83 </w:t>
            </w:r>
            <w:proofErr w:type="spellStart"/>
            <w:r w:rsidRPr="007A26FE">
              <w:rPr>
                <w:rFonts w:ascii="Arial Narrow" w:eastAsia="Calibri" w:hAnsi="Arial Narrow"/>
                <w:i/>
                <w:sz w:val="20"/>
              </w:rPr>
              <w:t>yrs</w:t>
            </w:r>
            <w:proofErr w:type="spellEnd"/>
          </w:p>
        </w:tc>
        <w:tc>
          <w:tcPr>
            <w:tcW w:w="992" w:type="dxa"/>
            <w:tcMar>
              <w:left w:w="57" w:type="dxa"/>
              <w:right w:w="57" w:type="dxa"/>
            </w:tcMar>
          </w:tcPr>
          <w:p w14:paraId="5149E7A4" w14:textId="77777777" w:rsidR="005568A8" w:rsidRPr="007A26FE" w:rsidRDefault="005568A8" w:rsidP="000C4DD3">
            <w:pPr>
              <w:rPr>
                <w:rFonts w:ascii="Arial Narrow" w:eastAsia="Calibri" w:hAnsi="Arial Narrow"/>
                <w:sz w:val="20"/>
              </w:rPr>
            </w:pPr>
            <w:r w:rsidRPr="007A26FE">
              <w:rPr>
                <w:rFonts w:ascii="Arial Narrow" w:eastAsia="Calibri" w:hAnsi="Arial Narrow"/>
                <w:sz w:val="20"/>
              </w:rPr>
              <w:t xml:space="preserve">5 </w:t>
            </w:r>
            <w:proofErr w:type="spellStart"/>
            <w:r w:rsidRPr="007A26FE">
              <w:rPr>
                <w:rFonts w:ascii="Arial Narrow" w:eastAsia="Calibri" w:hAnsi="Arial Narrow"/>
                <w:sz w:val="20"/>
              </w:rPr>
              <w:t>yrs</w:t>
            </w:r>
            <w:proofErr w:type="spellEnd"/>
          </w:p>
        </w:tc>
        <w:tc>
          <w:tcPr>
            <w:tcW w:w="1134" w:type="dxa"/>
            <w:tcMar>
              <w:left w:w="57" w:type="dxa"/>
              <w:right w:w="57" w:type="dxa"/>
            </w:tcMar>
          </w:tcPr>
          <w:p w14:paraId="1B4871E5"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5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39.2%</w:t>
            </w:r>
          </w:p>
        </w:tc>
        <w:tc>
          <w:tcPr>
            <w:tcW w:w="2268" w:type="dxa"/>
            <w:tcMar>
              <w:left w:w="57" w:type="dxa"/>
              <w:right w:w="57" w:type="dxa"/>
            </w:tcMar>
          </w:tcPr>
          <w:p w14:paraId="45462692"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5 yrs:13.3%</w:t>
            </w:r>
          </w:p>
          <w:p w14:paraId="2F429AB6"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(2.5% severe)</w:t>
            </w:r>
          </w:p>
        </w:tc>
        <w:tc>
          <w:tcPr>
            <w:tcW w:w="2075" w:type="dxa"/>
            <w:tcMar>
              <w:left w:w="57" w:type="dxa"/>
              <w:right w:w="57" w:type="dxa"/>
            </w:tcMar>
          </w:tcPr>
          <w:p w14:paraId="293612A2" w14:textId="77777777" w:rsidR="005568A8" w:rsidRPr="007A26FE" w:rsidRDefault="005568A8" w:rsidP="000C4DD3">
            <w:pPr>
              <w:keepLines/>
              <w:spacing w:before="40" w:after="40"/>
              <w:rPr>
                <w:rFonts w:ascii="Arial Narrow" w:hAnsi="Arial Narrow" w:cs="Tahoma"/>
                <w:i/>
                <w:sz w:val="20"/>
              </w:rPr>
            </w:pPr>
            <w:r w:rsidRPr="007A26FE">
              <w:rPr>
                <w:rFonts w:ascii="Arial Narrow" w:hAnsi="Arial Narrow" w:cs="Tahoma"/>
                <w:i/>
                <w:sz w:val="20"/>
              </w:rPr>
              <w:t>NR</w:t>
            </w:r>
          </w:p>
        </w:tc>
      </w:tr>
      <w:tr w:rsidR="005568A8" w:rsidRPr="007A26FE" w14:paraId="0DCB1676" w14:textId="77777777" w:rsidTr="000C4DD3">
        <w:trPr>
          <w:cantSplit/>
        </w:trPr>
        <w:tc>
          <w:tcPr>
            <w:tcW w:w="1271" w:type="dxa"/>
            <w:tcMar>
              <w:left w:w="57" w:type="dxa"/>
              <w:right w:w="57" w:type="dxa"/>
            </w:tcMar>
          </w:tcPr>
          <w:p w14:paraId="2BCF4041" w14:textId="77777777" w:rsidR="005568A8" w:rsidRPr="007A26FE" w:rsidRDefault="005568A8" w:rsidP="000C4DD3">
            <w:pPr>
              <w:rPr>
                <w:rFonts w:ascii="Arial Narrow" w:eastAsia="Calibri" w:hAnsi="Arial Narrow"/>
                <w:sz w:val="20"/>
              </w:rPr>
            </w:pPr>
            <w:proofErr w:type="spellStart"/>
            <w:r w:rsidRPr="007A26FE">
              <w:rPr>
                <w:rFonts w:ascii="Arial Narrow" w:eastAsia="Calibri" w:hAnsi="Arial Narrow"/>
                <w:sz w:val="20"/>
              </w:rPr>
              <w:t>Sathananthan</w:t>
            </w:r>
            <w:proofErr w:type="spellEnd"/>
            <w:r w:rsidRPr="007A26FE">
              <w:rPr>
                <w:rFonts w:ascii="Arial Narrow" w:eastAsia="Calibri" w:hAnsi="Arial Narrow"/>
                <w:sz w:val="20"/>
              </w:rPr>
              <w:t xml:space="preserve"> 2021 </w:t>
            </w:r>
            <w:r w:rsidRPr="007A26FE">
              <w:rPr>
                <w:rFonts w:ascii="Arial Narrow" w:eastAsia="Calibri" w:hAnsi="Arial Narrow"/>
                <w:sz w:val="20"/>
                <w:vertAlign w:val="superscript"/>
              </w:rPr>
              <w:footnoteReference w:id="15"/>
            </w:r>
          </w:p>
        </w:tc>
        <w:tc>
          <w:tcPr>
            <w:tcW w:w="567" w:type="dxa"/>
            <w:tcMar>
              <w:left w:w="57" w:type="dxa"/>
              <w:right w:w="57" w:type="dxa"/>
            </w:tcMar>
          </w:tcPr>
          <w:p w14:paraId="48E0CF36" w14:textId="77777777" w:rsidR="005568A8" w:rsidRPr="007A26FE" w:rsidRDefault="005568A8" w:rsidP="000C4DD3">
            <w:pPr>
              <w:rPr>
                <w:rFonts w:ascii="Arial Narrow" w:eastAsia="Calibri" w:hAnsi="Arial Narrow"/>
                <w:sz w:val="20"/>
              </w:rPr>
            </w:pPr>
            <w:r w:rsidRPr="007A26FE">
              <w:rPr>
                <w:rFonts w:ascii="Arial Narrow" w:eastAsia="Calibri" w:hAnsi="Arial Narrow"/>
                <w:sz w:val="20"/>
              </w:rPr>
              <w:t>235</w:t>
            </w:r>
          </w:p>
        </w:tc>
        <w:tc>
          <w:tcPr>
            <w:tcW w:w="709" w:type="dxa"/>
            <w:tcMar>
              <w:left w:w="57" w:type="dxa"/>
              <w:right w:w="57" w:type="dxa"/>
            </w:tcMar>
          </w:tcPr>
          <w:p w14:paraId="737A1D09"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82 </w:t>
            </w:r>
            <w:proofErr w:type="spellStart"/>
            <w:r w:rsidRPr="007A26FE">
              <w:rPr>
                <w:rFonts w:ascii="Arial Narrow" w:eastAsia="Calibri" w:hAnsi="Arial Narrow"/>
                <w:i/>
                <w:sz w:val="20"/>
              </w:rPr>
              <w:t>yrs</w:t>
            </w:r>
            <w:proofErr w:type="spellEnd"/>
          </w:p>
        </w:tc>
        <w:tc>
          <w:tcPr>
            <w:tcW w:w="992" w:type="dxa"/>
            <w:tcMar>
              <w:left w:w="57" w:type="dxa"/>
              <w:right w:w="57" w:type="dxa"/>
            </w:tcMar>
          </w:tcPr>
          <w:p w14:paraId="2EB8DAFB" w14:textId="77777777" w:rsidR="005568A8" w:rsidRPr="007A26FE" w:rsidRDefault="005568A8" w:rsidP="000C4DD3">
            <w:pPr>
              <w:rPr>
                <w:rFonts w:ascii="Arial Narrow" w:eastAsia="Calibri" w:hAnsi="Arial Narrow"/>
                <w:sz w:val="20"/>
              </w:rPr>
            </w:pPr>
            <w:r w:rsidRPr="007A26FE">
              <w:rPr>
                <w:rFonts w:ascii="Arial Narrow" w:eastAsia="Calibri" w:hAnsi="Arial Narrow"/>
                <w:sz w:val="20"/>
              </w:rPr>
              <w:t>NR</w:t>
            </w:r>
          </w:p>
        </w:tc>
        <w:tc>
          <w:tcPr>
            <w:tcW w:w="1134" w:type="dxa"/>
            <w:tcMar>
              <w:left w:w="57" w:type="dxa"/>
              <w:right w:w="57" w:type="dxa"/>
            </w:tcMar>
          </w:tcPr>
          <w:p w14:paraId="04B59AA4"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6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28.1%</w:t>
            </w:r>
          </w:p>
          <w:p w14:paraId="45FA35AF"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13.6%</w:t>
            </w:r>
          </w:p>
          <w:p w14:paraId="2AEA4594"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10yrs: 8.4%</w:t>
            </w:r>
          </w:p>
        </w:tc>
        <w:tc>
          <w:tcPr>
            <w:tcW w:w="2268" w:type="dxa"/>
            <w:tcMar>
              <w:left w:w="57" w:type="dxa"/>
              <w:right w:w="57" w:type="dxa"/>
            </w:tcMar>
          </w:tcPr>
          <w:p w14:paraId="787C11C8"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SVD/BVF</w:t>
            </w:r>
          </w:p>
          <w:p w14:paraId="4AC32FC0"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6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1.7%</w:t>
            </w:r>
          </w:p>
          <w:p w14:paraId="3D0BA999"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4.7%</w:t>
            </w:r>
          </w:p>
          <w:p w14:paraId="03762C0D"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10yrs: 6.5%</w:t>
            </w:r>
          </w:p>
          <w:p w14:paraId="67849D8D"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(n=9 moderate, n=6 severe)</w:t>
            </w:r>
          </w:p>
          <w:p w14:paraId="659D1837"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[competing risk adjusted]</w:t>
            </w:r>
          </w:p>
        </w:tc>
        <w:tc>
          <w:tcPr>
            <w:tcW w:w="2075" w:type="dxa"/>
            <w:tcMar>
              <w:left w:w="57" w:type="dxa"/>
              <w:right w:w="57" w:type="dxa"/>
            </w:tcMar>
          </w:tcPr>
          <w:p w14:paraId="56B6E8B2" w14:textId="77777777" w:rsidR="005568A8" w:rsidRPr="007A26FE" w:rsidRDefault="005568A8" w:rsidP="000C4DD3">
            <w:pPr>
              <w:keepLines/>
              <w:spacing w:before="40" w:after="40"/>
              <w:rPr>
                <w:rFonts w:ascii="Arial Narrow" w:hAnsi="Arial Narrow" w:cs="Tahoma"/>
                <w:i/>
                <w:sz w:val="20"/>
              </w:rPr>
            </w:pPr>
            <w:r w:rsidRPr="007A26FE">
              <w:rPr>
                <w:rFonts w:ascii="Arial Narrow" w:hAnsi="Arial Narrow" w:cs="Tahoma"/>
                <w:i/>
                <w:sz w:val="20"/>
              </w:rPr>
              <w:t xml:space="preserve">2 reinterventions </w:t>
            </w:r>
          </w:p>
          <w:p w14:paraId="4209D206" w14:textId="77777777" w:rsidR="005568A8" w:rsidRPr="007A26FE" w:rsidRDefault="005568A8" w:rsidP="000C4DD3">
            <w:pPr>
              <w:keepLines/>
              <w:spacing w:before="40" w:after="40"/>
              <w:rPr>
                <w:rFonts w:ascii="Arial Narrow" w:hAnsi="Arial Narrow" w:cs="Tahoma"/>
                <w:i/>
                <w:sz w:val="20"/>
              </w:rPr>
            </w:pPr>
            <w:r w:rsidRPr="007A26FE">
              <w:rPr>
                <w:rFonts w:ascii="Arial Narrow" w:hAnsi="Arial Narrow" w:cs="Tahoma"/>
                <w:i/>
                <w:sz w:val="20"/>
              </w:rPr>
              <w:t>(1 SAVR and death, 1 TAVI)</w:t>
            </w:r>
          </w:p>
        </w:tc>
      </w:tr>
      <w:tr w:rsidR="005568A8" w:rsidRPr="007A26FE" w14:paraId="0D3DB0B1" w14:textId="77777777" w:rsidTr="000C4DD3">
        <w:trPr>
          <w:cantSplit/>
        </w:trPr>
        <w:tc>
          <w:tcPr>
            <w:tcW w:w="1271" w:type="dxa"/>
            <w:tcMar>
              <w:left w:w="57" w:type="dxa"/>
              <w:right w:w="57" w:type="dxa"/>
            </w:tcMar>
          </w:tcPr>
          <w:p w14:paraId="43295E05"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Durand 2019 </w:t>
            </w:r>
            <w:r w:rsidRPr="007A26FE">
              <w:rPr>
                <w:rFonts w:ascii="Arial Narrow" w:eastAsia="Calibri" w:hAnsi="Arial Narrow"/>
                <w:i/>
                <w:sz w:val="20"/>
                <w:vertAlign w:val="superscript"/>
              </w:rPr>
              <w:footnoteReference w:id="16"/>
            </w:r>
          </w:p>
        </w:tc>
        <w:tc>
          <w:tcPr>
            <w:tcW w:w="567" w:type="dxa"/>
            <w:tcMar>
              <w:left w:w="57" w:type="dxa"/>
              <w:right w:w="57" w:type="dxa"/>
            </w:tcMar>
          </w:tcPr>
          <w:p w14:paraId="2508C5A7"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1,304</w:t>
            </w:r>
          </w:p>
        </w:tc>
        <w:tc>
          <w:tcPr>
            <w:tcW w:w="709" w:type="dxa"/>
            <w:tcMar>
              <w:left w:w="57" w:type="dxa"/>
              <w:right w:w="57" w:type="dxa"/>
            </w:tcMar>
          </w:tcPr>
          <w:p w14:paraId="5C93575B"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83 </w:t>
            </w:r>
            <w:proofErr w:type="spellStart"/>
            <w:r w:rsidRPr="007A26FE">
              <w:rPr>
                <w:rFonts w:ascii="Arial Narrow" w:eastAsia="Calibri" w:hAnsi="Arial Narrow"/>
                <w:i/>
                <w:sz w:val="20"/>
              </w:rPr>
              <w:t>yrs</w:t>
            </w:r>
            <w:proofErr w:type="spellEnd"/>
          </w:p>
        </w:tc>
        <w:tc>
          <w:tcPr>
            <w:tcW w:w="992" w:type="dxa"/>
            <w:tcMar>
              <w:left w:w="57" w:type="dxa"/>
              <w:right w:w="57" w:type="dxa"/>
            </w:tcMar>
          </w:tcPr>
          <w:p w14:paraId="1B8B2709"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3.9 </w:t>
            </w:r>
            <w:proofErr w:type="spellStart"/>
            <w:r w:rsidRPr="007A26FE">
              <w:rPr>
                <w:rFonts w:ascii="Arial Narrow" w:eastAsia="Calibri" w:hAnsi="Arial Narrow"/>
                <w:i/>
                <w:sz w:val="20"/>
              </w:rPr>
              <w:t>yrs</w:t>
            </w:r>
            <w:proofErr w:type="spellEnd"/>
          </w:p>
        </w:tc>
        <w:tc>
          <w:tcPr>
            <w:tcW w:w="1134" w:type="dxa"/>
            <w:tcMar>
              <w:left w:w="57" w:type="dxa"/>
              <w:right w:w="57" w:type="dxa"/>
            </w:tcMar>
          </w:tcPr>
          <w:p w14:paraId="44654A1A"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7yrs: 18.6%</w:t>
            </w:r>
          </w:p>
        </w:tc>
        <w:tc>
          <w:tcPr>
            <w:tcW w:w="2268" w:type="dxa"/>
            <w:tcMar>
              <w:left w:w="57" w:type="dxa"/>
              <w:right w:w="57" w:type="dxa"/>
            </w:tcMar>
          </w:tcPr>
          <w:p w14:paraId="7CD8AC5F"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Moderate: 7.0%</w:t>
            </w:r>
          </w:p>
          <w:p w14:paraId="1F59AC0E"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Severe: 4.2%</w:t>
            </w:r>
          </w:p>
        </w:tc>
        <w:tc>
          <w:tcPr>
            <w:tcW w:w="2075" w:type="dxa"/>
            <w:tcMar>
              <w:left w:w="57" w:type="dxa"/>
              <w:right w:w="57" w:type="dxa"/>
            </w:tcMar>
          </w:tcPr>
          <w:p w14:paraId="4E2A4C28" w14:textId="77777777" w:rsidR="005568A8" w:rsidRPr="007A26FE" w:rsidRDefault="005568A8" w:rsidP="000C4DD3">
            <w:pPr>
              <w:keepLines/>
              <w:spacing w:before="40" w:after="40"/>
              <w:rPr>
                <w:rFonts w:ascii="Arial Narrow" w:hAnsi="Arial Narrow" w:cs="Tahoma"/>
                <w:i/>
                <w:sz w:val="20"/>
              </w:rPr>
            </w:pPr>
            <w:r w:rsidRPr="007A26FE">
              <w:rPr>
                <w:rFonts w:ascii="Arial Narrow" w:hAnsi="Arial Narrow" w:cs="Tahoma"/>
                <w:i/>
                <w:sz w:val="20"/>
              </w:rPr>
              <w:t xml:space="preserve">1.9% </w:t>
            </w:r>
          </w:p>
          <w:p w14:paraId="47B887C7" w14:textId="77777777" w:rsidR="005568A8" w:rsidRPr="007A26FE" w:rsidRDefault="005568A8" w:rsidP="000C4DD3">
            <w:pPr>
              <w:keepLines/>
              <w:spacing w:before="40" w:after="40"/>
              <w:rPr>
                <w:rFonts w:ascii="Arial Narrow" w:hAnsi="Arial Narrow" w:cs="Tahoma"/>
                <w:i/>
                <w:sz w:val="20"/>
              </w:rPr>
            </w:pPr>
            <w:r w:rsidRPr="007A26FE">
              <w:rPr>
                <w:rFonts w:ascii="Arial Narrow" w:hAnsi="Arial Narrow" w:cs="Tahoma"/>
                <w:i/>
                <w:sz w:val="20"/>
              </w:rPr>
              <w:t>(5 reinterventions)</w:t>
            </w:r>
          </w:p>
        </w:tc>
      </w:tr>
      <w:tr w:rsidR="005568A8" w:rsidRPr="007A26FE" w14:paraId="1B459B30" w14:textId="77777777" w:rsidTr="000C4DD3">
        <w:trPr>
          <w:cantSplit/>
        </w:trPr>
        <w:tc>
          <w:tcPr>
            <w:tcW w:w="1271" w:type="dxa"/>
            <w:tcMar>
              <w:left w:w="57" w:type="dxa"/>
              <w:right w:w="57" w:type="dxa"/>
            </w:tcMar>
          </w:tcPr>
          <w:p w14:paraId="12B03026" w14:textId="77777777" w:rsidR="005568A8" w:rsidRPr="007A26FE" w:rsidRDefault="005568A8" w:rsidP="000C4DD3">
            <w:pPr>
              <w:rPr>
                <w:rFonts w:ascii="Arial Narrow" w:eastAsia="Calibri" w:hAnsi="Arial Narrow"/>
                <w:i/>
                <w:sz w:val="20"/>
              </w:rPr>
            </w:pPr>
            <w:proofErr w:type="spellStart"/>
            <w:r w:rsidRPr="007A26FE">
              <w:rPr>
                <w:rFonts w:ascii="Arial Narrow" w:eastAsia="Calibri" w:hAnsi="Arial Narrow"/>
                <w:i/>
                <w:sz w:val="20"/>
              </w:rPr>
              <w:t>Vollenbroich</w:t>
            </w:r>
            <w:proofErr w:type="spellEnd"/>
            <w:r w:rsidRPr="007A26FE">
              <w:rPr>
                <w:rFonts w:ascii="Arial Narrow" w:eastAsia="Calibri" w:hAnsi="Arial Narrow"/>
                <w:i/>
                <w:sz w:val="20"/>
              </w:rPr>
              <w:t xml:space="preserve"> 2019 </w:t>
            </w:r>
            <w:r w:rsidRPr="007A26FE">
              <w:rPr>
                <w:rFonts w:ascii="Arial Narrow" w:eastAsia="Calibri" w:hAnsi="Arial Narrow"/>
                <w:i/>
                <w:sz w:val="20"/>
                <w:vertAlign w:val="superscript"/>
              </w:rPr>
              <w:footnoteReference w:id="17"/>
            </w:r>
          </w:p>
        </w:tc>
        <w:tc>
          <w:tcPr>
            <w:tcW w:w="567" w:type="dxa"/>
            <w:tcMar>
              <w:left w:w="57" w:type="dxa"/>
              <w:right w:w="57" w:type="dxa"/>
            </w:tcMar>
          </w:tcPr>
          <w:p w14:paraId="0C33DDFA"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257</w:t>
            </w:r>
          </w:p>
        </w:tc>
        <w:tc>
          <w:tcPr>
            <w:tcW w:w="709" w:type="dxa"/>
            <w:tcMar>
              <w:left w:w="57" w:type="dxa"/>
              <w:right w:w="57" w:type="dxa"/>
            </w:tcMar>
          </w:tcPr>
          <w:p w14:paraId="3CD76DD4"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82 </w:t>
            </w:r>
            <w:proofErr w:type="spellStart"/>
            <w:r w:rsidRPr="007A26FE">
              <w:rPr>
                <w:rFonts w:ascii="Arial Narrow" w:eastAsia="Calibri" w:hAnsi="Arial Narrow"/>
                <w:i/>
                <w:sz w:val="20"/>
              </w:rPr>
              <w:t>yrs</w:t>
            </w:r>
            <w:proofErr w:type="spellEnd"/>
          </w:p>
        </w:tc>
        <w:tc>
          <w:tcPr>
            <w:tcW w:w="992" w:type="dxa"/>
            <w:tcMar>
              <w:left w:w="57" w:type="dxa"/>
              <w:right w:w="57" w:type="dxa"/>
            </w:tcMar>
          </w:tcPr>
          <w:p w14:paraId="2F9D25B9"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7 </w:t>
            </w:r>
            <w:proofErr w:type="spellStart"/>
            <w:r w:rsidRPr="007A26FE">
              <w:rPr>
                <w:rFonts w:ascii="Arial Narrow" w:eastAsia="Calibri" w:hAnsi="Arial Narrow"/>
                <w:i/>
                <w:sz w:val="20"/>
              </w:rPr>
              <w:t>yrs</w:t>
            </w:r>
            <w:proofErr w:type="spellEnd"/>
          </w:p>
        </w:tc>
        <w:tc>
          <w:tcPr>
            <w:tcW w:w="1134" w:type="dxa"/>
            <w:tcMar>
              <w:left w:w="57" w:type="dxa"/>
              <w:right w:w="57" w:type="dxa"/>
            </w:tcMar>
          </w:tcPr>
          <w:p w14:paraId="3ABCFD87"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5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47.3%</w:t>
            </w:r>
          </w:p>
          <w:p w14:paraId="7F56FD47"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7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26.5%</w:t>
            </w:r>
          </w:p>
        </w:tc>
        <w:tc>
          <w:tcPr>
            <w:tcW w:w="2268" w:type="dxa"/>
            <w:tcMar>
              <w:left w:w="57" w:type="dxa"/>
              <w:right w:w="57" w:type="dxa"/>
            </w:tcMar>
          </w:tcPr>
          <w:p w14:paraId="473F99CF"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NR</w:t>
            </w:r>
          </w:p>
        </w:tc>
        <w:tc>
          <w:tcPr>
            <w:tcW w:w="2075" w:type="dxa"/>
            <w:tcMar>
              <w:left w:w="57" w:type="dxa"/>
              <w:right w:w="57" w:type="dxa"/>
            </w:tcMar>
          </w:tcPr>
          <w:p w14:paraId="6DFC6E57" w14:textId="77777777" w:rsidR="005568A8" w:rsidRPr="007A26FE" w:rsidRDefault="005568A8" w:rsidP="000C4DD3">
            <w:pPr>
              <w:keepLines/>
              <w:spacing w:before="40" w:after="40"/>
              <w:rPr>
                <w:rFonts w:ascii="Arial Narrow" w:hAnsi="Arial Narrow" w:cs="Tahoma"/>
                <w:i/>
                <w:sz w:val="20"/>
              </w:rPr>
            </w:pPr>
            <w:r w:rsidRPr="007A26FE">
              <w:rPr>
                <w:rFonts w:ascii="Arial Narrow" w:hAnsi="Arial Narrow" w:cs="Tahoma"/>
                <w:i/>
                <w:sz w:val="20"/>
              </w:rPr>
              <w:t xml:space="preserve">0.4% </w:t>
            </w:r>
          </w:p>
          <w:p w14:paraId="0821FF23" w14:textId="77777777" w:rsidR="005568A8" w:rsidRPr="007A26FE" w:rsidRDefault="005568A8" w:rsidP="000C4DD3">
            <w:pPr>
              <w:keepLines/>
              <w:spacing w:before="40" w:after="40"/>
              <w:rPr>
                <w:rFonts w:ascii="Arial Narrow" w:hAnsi="Arial Narrow" w:cs="Tahoma"/>
                <w:i/>
                <w:sz w:val="20"/>
              </w:rPr>
            </w:pPr>
            <w:r w:rsidRPr="007A26FE">
              <w:rPr>
                <w:rFonts w:ascii="Arial Narrow" w:hAnsi="Arial Narrow" w:cs="Tahoma"/>
                <w:i/>
                <w:sz w:val="20"/>
              </w:rPr>
              <w:t>(1 reintervention)</w:t>
            </w:r>
          </w:p>
        </w:tc>
      </w:tr>
      <w:tr w:rsidR="005568A8" w:rsidRPr="007A26FE" w14:paraId="339F3D5C" w14:textId="77777777" w:rsidTr="000C4DD3">
        <w:trPr>
          <w:cantSplit/>
        </w:trPr>
        <w:tc>
          <w:tcPr>
            <w:tcW w:w="1271" w:type="dxa"/>
            <w:tcMar>
              <w:left w:w="57" w:type="dxa"/>
              <w:right w:w="57" w:type="dxa"/>
            </w:tcMar>
          </w:tcPr>
          <w:p w14:paraId="585F4020"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Testa 2020 </w:t>
            </w:r>
            <w:r w:rsidRPr="007A26FE">
              <w:rPr>
                <w:rFonts w:ascii="Arial Narrow" w:eastAsia="Calibri" w:hAnsi="Arial Narrow"/>
                <w:i/>
                <w:sz w:val="20"/>
                <w:vertAlign w:val="superscript"/>
              </w:rPr>
              <w:footnoteReference w:id="18"/>
            </w:r>
          </w:p>
        </w:tc>
        <w:tc>
          <w:tcPr>
            <w:tcW w:w="567" w:type="dxa"/>
            <w:tcMar>
              <w:left w:w="57" w:type="dxa"/>
              <w:right w:w="57" w:type="dxa"/>
            </w:tcMar>
          </w:tcPr>
          <w:p w14:paraId="592BF499"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999</w:t>
            </w:r>
          </w:p>
        </w:tc>
        <w:tc>
          <w:tcPr>
            <w:tcW w:w="709" w:type="dxa"/>
            <w:tcMar>
              <w:left w:w="57" w:type="dxa"/>
              <w:right w:w="57" w:type="dxa"/>
            </w:tcMar>
          </w:tcPr>
          <w:p w14:paraId="06537DC8"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82 </w:t>
            </w:r>
            <w:proofErr w:type="spellStart"/>
            <w:r w:rsidRPr="007A26FE">
              <w:rPr>
                <w:rFonts w:ascii="Arial Narrow" w:eastAsia="Calibri" w:hAnsi="Arial Narrow"/>
                <w:i/>
                <w:sz w:val="20"/>
              </w:rPr>
              <w:t>yrs</w:t>
            </w:r>
            <w:proofErr w:type="spellEnd"/>
          </w:p>
        </w:tc>
        <w:tc>
          <w:tcPr>
            <w:tcW w:w="992" w:type="dxa"/>
            <w:tcMar>
              <w:left w:w="57" w:type="dxa"/>
              <w:right w:w="57" w:type="dxa"/>
            </w:tcMar>
          </w:tcPr>
          <w:p w14:paraId="4C0D2039"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4.4 </w:t>
            </w:r>
            <w:proofErr w:type="spellStart"/>
            <w:r w:rsidRPr="007A26FE">
              <w:rPr>
                <w:rFonts w:ascii="Arial Narrow" w:eastAsia="Calibri" w:hAnsi="Arial Narrow"/>
                <w:i/>
                <w:sz w:val="20"/>
              </w:rPr>
              <w:t>yrs</w:t>
            </w:r>
            <w:proofErr w:type="spellEnd"/>
          </w:p>
        </w:tc>
        <w:tc>
          <w:tcPr>
            <w:tcW w:w="1134" w:type="dxa"/>
            <w:tcMar>
              <w:left w:w="57" w:type="dxa"/>
              <w:right w:w="57" w:type="dxa"/>
            </w:tcMar>
          </w:tcPr>
          <w:p w14:paraId="2E99F7E2"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26.50%</w:t>
            </w:r>
          </w:p>
        </w:tc>
        <w:tc>
          <w:tcPr>
            <w:tcW w:w="2268" w:type="dxa"/>
            <w:tcMar>
              <w:left w:w="57" w:type="dxa"/>
              <w:right w:w="57" w:type="dxa"/>
            </w:tcMar>
          </w:tcPr>
          <w:p w14:paraId="63C77663"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 xml:space="preserve">8 </w:t>
            </w:r>
            <w:proofErr w:type="spellStart"/>
            <w:r w:rsidRPr="007A26FE">
              <w:rPr>
                <w:rFonts w:ascii="Arial Narrow" w:eastAsia="Calibri" w:hAnsi="Arial Narrow"/>
                <w:i/>
                <w:sz w:val="20"/>
              </w:rPr>
              <w:t>yrs</w:t>
            </w:r>
            <w:proofErr w:type="spellEnd"/>
            <w:r w:rsidRPr="007A26FE">
              <w:rPr>
                <w:rFonts w:ascii="Arial Narrow" w:eastAsia="Calibri" w:hAnsi="Arial Narrow"/>
                <w:i/>
                <w:sz w:val="20"/>
              </w:rPr>
              <w:t xml:space="preserve">: </w:t>
            </w:r>
          </w:p>
          <w:p w14:paraId="76159345"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3.0% (moderate)</w:t>
            </w:r>
          </w:p>
          <w:p w14:paraId="34BFC011"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1.6% (severe)</w:t>
            </w:r>
          </w:p>
          <w:p w14:paraId="3B382BB6" w14:textId="77777777" w:rsidR="005568A8" w:rsidRPr="007A26FE" w:rsidRDefault="005568A8" w:rsidP="000C4DD3">
            <w:pPr>
              <w:rPr>
                <w:rFonts w:ascii="Arial Narrow" w:eastAsia="Calibri" w:hAnsi="Arial Narrow"/>
                <w:i/>
                <w:sz w:val="20"/>
              </w:rPr>
            </w:pPr>
            <w:r w:rsidRPr="007A26FE">
              <w:rPr>
                <w:rFonts w:ascii="Arial Narrow" w:eastAsia="Calibri" w:hAnsi="Arial Narrow"/>
                <w:i/>
                <w:sz w:val="20"/>
              </w:rPr>
              <w:t>[competing risk adjusted]</w:t>
            </w:r>
          </w:p>
        </w:tc>
        <w:tc>
          <w:tcPr>
            <w:tcW w:w="2075" w:type="dxa"/>
            <w:tcMar>
              <w:left w:w="57" w:type="dxa"/>
              <w:right w:w="57" w:type="dxa"/>
            </w:tcMar>
          </w:tcPr>
          <w:p w14:paraId="74F1AF4B" w14:textId="77777777" w:rsidR="005568A8" w:rsidRPr="007A26FE" w:rsidRDefault="005568A8" w:rsidP="000C4DD3">
            <w:pPr>
              <w:keepLines/>
              <w:spacing w:before="40" w:after="40"/>
              <w:rPr>
                <w:rFonts w:ascii="Arial Narrow" w:hAnsi="Arial Narrow" w:cs="Tahoma"/>
                <w:i/>
                <w:sz w:val="20"/>
              </w:rPr>
            </w:pPr>
            <w:r w:rsidRPr="007A26FE">
              <w:rPr>
                <w:rFonts w:ascii="Arial Narrow" w:hAnsi="Arial Narrow" w:cs="Tahoma"/>
                <w:i/>
                <w:sz w:val="20"/>
              </w:rPr>
              <w:t>8 years: 2.5%</w:t>
            </w:r>
          </w:p>
          <w:p w14:paraId="76DEC9B4" w14:textId="77777777" w:rsidR="005568A8" w:rsidRPr="007A26FE" w:rsidRDefault="005568A8" w:rsidP="000C4DD3">
            <w:pPr>
              <w:keepLines/>
              <w:spacing w:before="40" w:after="40"/>
              <w:rPr>
                <w:rFonts w:ascii="Arial Narrow" w:hAnsi="Arial Narrow" w:cs="Tahoma"/>
                <w:i/>
                <w:sz w:val="20"/>
              </w:rPr>
            </w:pPr>
            <w:r w:rsidRPr="007A26FE">
              <w:rPr>
                <w:rFonts w:ascii="Arial Narrow" w:hAnsi="Arial Narrow" w:cs="Tahoma"/>
                <w:i/>
                <w:sz w:val="20"/>
              </w:rPr>
              <w:t>(6 reinterventions, 1 death)</w:t>
            </w:r>
          </w:p>
          <w:p w14:paraId="5BECE929" w14:textId="77777777" w:rsidR="005568A8" w:rsidRPr="007A26FE" w:rsidRDefault="005568A8" w:rsidP="000C4DD3">
            <w:pPr>
              <w:keepLines/>
              <w:spacing w:before="40" w:after="40"/>
              <w:rPr>
                <w:rFonts w:ascii="Arial Narrow" w:hAnsi="Arial Narrow" w:cs="Tahoma"/>
                <w:i/>
                <w:sz w:val="20"/>
              </w:rPr>
            </w:pPr>
            <w:r w:rsidRPr="007A26FE">
              <w:rPr>
                <w:rFonts w:ascii="Arial Narrow" w:eastAsia="Calibri" w:hAnsi="Arial Narrow"/>
                <w:i/>
                <w:sz w:val="20"/>
              </w:rPr>
              <w:t>[competing risk adjusted]</w:t>
            </w:r>
          </w:p>
          <w:p w14:paraId="2AB9C3F4" w14:textId="77777777" w:rsidR="005568A8" w:rsidRPr="007A26FE" w:rsidRDefault="005568A8" w:rsidP="000C4DD3">
            <w:pPr>
              <w:keepLines/>
              <w:spacing w:before="40" w:after="40"/>
              <w:rPr>
                <w:rFonts w:ascii="Arial Narrow" w:hAnsi="Arial Narrow" w:cs="Tahoma"/>
                <w:i/>
                <w:sz w:val="20"/>
              </w:rPr>
            </w:pPr>
          </w:p>
        </w:tc>
      </w:tr>
    </w:tbl>
    <w:p w14:paraId="7F01C477" w14:textId="77777777" w:rsidR="005568A8" w:rsidRPr="007A26FE" w:rsidRDefault="005568A8" w:rsidP="005568A8">
      <w:pPr>
        <w:widowControl w:val="0"/>
        <w:spacing w:after="240"/>
        <w:contextualSpacing/>
        <w:rPr>
          <w:rFonts w:ascii="Arial Narrow" w:hAnsi="Arial Narrow" w:cs="Arial"/>
          <w:i/>
          <w:snapToGrid w:val="0"/>
          <w:sz w:val="18"/>
          <w:lang w:eastAsia="en-US"/>
        </w:rPr>
      </w:pPr>
      <w:r w:rsidRPr="007A26FE">
        <w:rPr>
          <w:rFonts w:ascii="Arial Narrow" w:hAnsi="Arial Narrow" w:cs="Arial"/>
          <w:snapToGrid w:val="0"/>
          <w:sz w:val="18"/>
          <w:lang w:eastAsia="en-US"/>
        </w:rPr>
        <w:t xml:space="preserve">Source: </w:t>
      </w:r>
      <w:r w:rsidRPr="007A26FE">
        <w:rPr>
          <w:rFonts w:ascii="Arial Narrow" w:hAnsi="Arial Narrow" w:cs="Arial"/>
          <w:i/>
          <w:snapToGrid w:val="0"/>
          <w:sz w:val="18"/>
          <w:lang w:eastAsia="en-US"/>
        </w:rPr>
        <w:t xml:space="preserve">Compiled by the Department from p3 of the CSANZ response [Table 4, p11 of Costa (2019)]; Deutsch (2018); </w:t>
      </w:r>
      <w:proofErr w:type="spellStart"/>
      <w:r w:rsidRPr="007A26FE">
        <w:rPr>
          <w:rFonts w:ascii="Arial Narrow" w:hAnsi="Arial Narrow" w:cs="Arial"/>
          <w:i/>
          <w:snapToGrid w:val="0"/>
          <w:sz w:val="18"/>
          <w:lang w:eastAsia="en-US"/>
        </w:rPr>
        <w:t>Eltchaninoff</w:t>
      </w:r>
      <w:proofErr w:type="spellEnd"/>
      <w:r w:rsidRPr="007A26FE">
        <w:rPr>
          <w:rFonts w:ascii="Arial Narrow" w:hAnsi="Arial Narrow" w:cs="Arial"/>
          <w:i/>
          <w:snapToGrid w:val="0"/>
          <w:sz w:val="18"/>
          <w:lang w:eastAsia="en-US"/>
        </w:rPr>
        <w:t xml:space="preserve"> (2018); </w:t>
      </w:r>
      <w:proofErr w:type="spellStart"/>
      <w:r w:rsidRPr="007A26FE">
        <w:rPr>
          <w:rFonts w:ascii="Arial Narrow" w:hAnsi="Arial Narrow" w:cs="Arial"/>
          <w:i/>
          <w:snapToGrid w:val="0"/>
          <w:sz w:val="18"/>
          <w:lang w:eastAsia="en-US"/>
        </w:rPr>
        <w:t>Barbanti</w:t>
      </w:r>
      <w:proofErr w:type="spellEnd"/>
      <w:r w:rsidRPr="007A26FE">
        <w:rPr>
          <w:rFonts w:ascii="Arial Narrow" w:hAnsi="Arial Narrow" w:cs="Arial"/>
          <w:i/>
          <w:snapToGrid w:val="0"/>
          <w:sz w:val="18"/>
          <w:lang w:eastAsia="en-US"/>
        </w:rPr>
        <w:t xml:space="preserve"> (2018); Holy (2018); </w:t>
      </w:r>
      <w:proofErr w:type="spellStart"/>
      <w:r w:rsidRPr="007A26FE">
        <w:rPr>
          <w:rFonts w:ascii="Arial Narrow" w:hAnsi="Arial Narrow" w:cs="Arial"/>
          <w:i/>
          <w:snapToGrid w:val="0"/>
          <w:sz w:val="18"/>
          <w:lang w:eastAsia="en-US"/>
        </w:rPr>
        <w:t>Antonazzo</w:t>
      </w:r>
      <w:proofErr w:type="spellEnd"/>
      <w:r w:rsidRPr="007A26FE">
        <w:rPr>
          <w:rFonts w:ascii="Arial Narrow" w:hAnsi="Arial Narrow" w:cs="Arial"/>
          <w:i/>
          <w:snapToGrid w:val="0"/>
          <w:sz w:val="18"/>
          <w:lang w:eastAsia="en-US"/>
        </w:rPr>
        <w:t xml:space="preserve"> (2018); Didier (2018); </w:t>
      </w:r>
      <w:proofErr w:type="spellStart"/>
      <w:r w:rsidRPr="007A26FE">
        <w:rPr>
          <w:rFonts w:ascii="Arial Narrow" w:hAnsi="Arial Narrow" w:cs="Arial"/>
          <w:i/>
          <w:snapToGrid w:val="0"/>
          <w:sz w:val="18"/>
          <w:lang w:eastAsia="en-US"/>
        </w:rPr>
        <w:t>Sathananthan</w:t>
      </w:r>
      <w:proofErr w:type="spellEnd"/>
      <w:r w:rsidRPr="007A26FE">
        <w:rPr>
          <w:rFonts w:ascii="Arial Narrow" w:hAnsi="Arial Narrow" w:cs="Arial"/>
          <w:i/>
          <w:snapToGrid w:val="0"/>
          <w:sz w:val="18"/>
          <w:lang w:eastAsia="en-US"/>
        </w:rPr>
        <w:t xml:space="preserve"> (2021); Durand (2019); </w:t>
      </w:r>
      <w:proofErr w:type="spellStart"/>
      <w:r w:rsidRPr="007A26FE">
        <w:rPr>
          <w:rFonts w:ascii="Arial Narrow" w:hAnsi="Arial Narrow" w:cs="Arial"/>
          <w:i/>
          <w:snapToGrid w:val="0"/>
          <w:sz w:val="18"/>
          <w:lang w:eastAsia="en-US"/>
        </w:rPr>
        <w:t>Vollenbroich</w:t>
      </w:r>
      <w:proofErr w:type="spellEnd"/>
      <w:r w:rsidRPr="007A26FE">
        <w:rPr>
          <w:rFonts w:ascii="Arial Narrow" w:hAnsi="Arial Narrow" w:cs="Arial"/>
          <w:i/>
          <w:snapToGrid w:val="0"/>
          <w:sz w:val="18"/>
          <w:lang w:eastAsia="en-US"/>
        </w:rPr>
        <w:t xml:space="preserve"> (2019); and Testa (2020)</w:t>
      </w:r>
    </w:p>
    <w:p w14:paraId="01DB0577" w14:textId="77777777" w:rsidR="005568A8" w:rsidRPr="007A26FE" w:rsidRDefault="005568A8" w:rsidP="005568A8">
      <w:pPr>
        <w:widowControl w:val="0"/>
        <w:spacing w:after="240"/>
        <w:contextualSpacing/>
        <w:rPr>
          <w:rFonts w:ascii="Arial Narrow" w:hAnsi="Arial Narrow" w:cs="Arial"/>
          <w:snapToGrid w:val="0"/>
          <w:sz w:val="18"/>
          <w:lang w:eastAsia="en-US"/>
        </w:rPr>
      </w:pPr>
      <w:r w:rsidRPr="007A26FE">
        <w:rPr>
          <w:rFonts w:ascii="Arial Narrow" w:hAnsi="Arial Narrow" w:cs="Arial"/>
          <w:snapToGrid w:val="0"/>
          <w:sz w:val="18"/>
          <w:lang w:eastAsia="en-US"/>
        </w:rPr>
        <w:t xml:space="preserve">Abbreviations: BVF = bioprosthetic valve failure; CI = confidence interval; N = number patients in study; n = number of patients; NR = not reported; SVD = structural valve degeneration; SAVR = surgical aortic valve replacement; TAVI = Transcatheter Aortic Valve Implantation; </w:t>
      </w:r>
      <w:proofErr w:type="spellStart"/>
      <w:r w:rsidRPr="007A26FE">
        <w:rPr>
          <w:rFonts w:ascii="Arial Narrow" w:hAnsi="Arial Narrow" w:cs="Arial"/>
          <w:snapToGrid w:val="0"/>
          <w:sz w:val="18"/>
          <w:lang w:eastAsia="en-US"/>
        </w:rPr>
        <w:t>yr</w:t>
      </w:r>
      <w:proofErr w:type="spellEnd"/>
      <w:r w:rsidRPr="007A26FE">
        <w:rPr>
          <w:rFonts w:ascii="Arial Narrow" w:hAnsi="Arial Narrow" w:cs="Arial"/>
          <w:snapToGrid w:val="0"/>
          <w:sz w:val="18"/>
          <w:lang w:eastAsia="en-US"/>
        </w:rPr>
        <w:t>= years</w:t>
      </w:r>
    </w:p>
    <w:p w14:paraId="14EE3AC2" w14:textId="5A698DF8" w:rsidR="00355FE1" w:rsidRDefault="00355FE1" w:rsidP="005568A8">
      <w:pPr>
        <w:pStyle w:val="Heading2"/>
      </w:pPr>
      <w:r>
        <w:t xml:space="preserve">March-April 2021 meeting </w:t>
      </w:r>
    </w:p>
    <w:p w14:paraId="39A4EB6B" w14:textId="00871F5F" w:rsidR="008C522C" w:rsidRPr="008C522C" w:rsidRDefault="008C522C" w:rsidP="008C522C">
      <w:pPr>
        <w:rPr>
          <w:szCs w:val="24"/>
        </w:rPr>
      </w:pPr>
      <w:r w:rsidRPr="008C522C">
        <w:rPr>
          <w:szCs w:val="24"/>
        </w:rPr>
        <w:t>Four targeted consultation surveys from groups and three consultation surveys (one from a specialist, one from a competitor TAVI manufacturer, and one consumer organisation) were received.</w:t>
      </w:r>
    </w:p>
    <w:p w14:paraId="18C022B0" w14:textId="48CB63B0" w:rsidR="008C522C" w:rsidRPr="008C522C" w:rsidRDefault="008C522C" w:rsidP="0085555A">
      <w:pPr>
        <w:spacing w:before="240"/>
        <w:rPr>
          <w:szCs w:val="28"/>
          <w:lang w:eastAsia="en-US"/>
        </w:rPr>
      </w:pPr>
      <w:r w:rsidRPr="008C522C">
        <w:rPr>
          <w:szCs w:val="28"/>
          <w:lang w:eastAsia="en-US"/>
        </w:rPr>
        <w:t>One consumer organisation (Hearts4Heart), received in support of another TAVI application (MSAC application 1652) was highly supportive of TAVI. The feedback highlighted that:</w:t>
      </w:r>
    </w:p>
    <w:p w14:paraId="1DFF6B78" w14:textId="77777777" w:rsidR="008C522C" w:rsidRPr="008C522C" w:rsidRDefault="008C522C" w:rsidP="008C522C">
      <w:pPr>
        <w:numPr>
          <w:ilvl w:val="0"/>
          <w:numId w:val="32"/>
        </w:numPr>
        <w:contextualSpacing/>
        <w:rPr>
          <w:szCs w:val="28"/>
          <w:lang w:eastAsia="en-US"/>
        </w:rPr>
      </w:pPr>
      <w:r w:rsidRPr="008C522C">
        <w:rPr>
          <w:szCs w:val="28"/>
          <w:lang w:eastAsia="en-US"/>
        </w:rPr>
        <w:t xml:space="preserve">Patients are mobile following TAVI and can be discharged relatively quickly after the procedure. Physical recovery from SAVR is much longer. Faster discharge from hospital and faster recovery are highly valued by </w:t>
      </w:r>
      <w:proofErr w:type="gramStart"/>
      <w:r w:rsidRPr="008C522C">
        <w:rPr>
          <w:szCs w:val="28"/>
          <w:lang w:eastAsia="en-US"/>
        </w:rPr>
        <w:t>patients;</w:t>
      </w:r>
      <w:proofErr w:type="gramEnd"/>
      <w:r w:rsidRPr="008C522C">
        <w:rPr>
          <w:szCs w:val="28"/>
          <w:lang w:eastAsia="en-US"/>
        </w:rPr>
        <w:t xml:space="preserve"> </w:t>
      </w:r>
    </w:p>
    <w:p w14:paraId="6ACA908A" w14:textId="77777777" w:rsidR="008C522C" w:rsidRPr="008C522C" w:rsidRDefault="008C522C" w:rsidP="008C522C">
      <w:pPr>
        <w:numPr>
          <w:ilvl w:val="0"/>
          <w:numId w:val="32"/>
        </w:numPr>
        <w:contextualSpacing/>
        <w:rPr>
          <w:szCs w:val="28"/>
          <w:lang w:eastAsia="en-US"/>
        </w:rPr>
      </w:pPr>
      <w:r w:rsidRPr="008C522C">
        <w:rPr>
          <w:szCs w:val="28"/>
          <w:lang w:eastAsia="en-US"/>
        </w:rPr>
        <w:lastRenderedPageBreak/>
        <w:t xml:space="preserve">There are several randomised controlled trials supporting the use of TAVI patients irrespective of surgical risk. However, TAVI is only subsidised for patients with a higher surgical </w:t>
      </w:r>
      <w:proofErr w:type="gramStart"/>
      <w:r w:rsidRPr="008C522C">
        <w:rPr>
          <w:szCs w:val="28"/>
          <w:lang w:eastAsia="en-US"/>
        </w:rPr>
        <w:t>risk;</w:t>
      </w:r>
      <w:proofErr w:type="gramEnd"/>
    </w:p>
    <w:p w14:paraId="7817F5F1" w14:textId="77777777" w:rsidR="008C522C" w:rsidRPr="008C522C" w:rsidRDefault="008C522C" w:rsidP="008C522C">
      <w:pPr>
        <w:numPr>
          <w:ilvl w:val="0"/>
          <w:numId w:val="32"/>
        </w:numPr>
        <w:contextualSpacing/>
        <w:rPr>
          <w:szCs w:val="28"/>
          <w:lang w:eastAsia="en-US"/>
        </w:rPr>
      </w:pPr>
      <w:r w:rsidRPr="008C522C">
        <w:rPr>
          <w:szCs w:val="28"/>
          <w:lang w:eastAsia="en-US"/>
        </w:rPr>
        <w:t xml:space="preserve">Patients must be assessed by a Heart Team for TAVI. This was considered beneficial for patients, but it was noted that this is not required for </w:t>
      </w:r>
      <w:proofErr w:type="gramStart"/>
      <w:r w:rsidRPr="008C522C">
        <w:rPr>
          <w:szCs w:val="28"/>
          <w:lang w:eastAsia="en-US"/>
        </w:rPr>
        <w:t>SAVR;</w:t>
      </w:r>
      <w:proofErr w:type="gramEnd"/>
    </w:p>
    <w:p w14:paraId="4A430979" w14:textId="77777777" w:rsidR="008C522C" w:rsidRPr="008C522C" w:rsidRDefault="008C522C" w:rsidP="008C522C">
      <w:pPr>
        <w:numPr>
          <w:ilvl w:val="0"/>
          <w:numId w:val="32"/>
        </w:numPr>
        <w:contextualSpacing/>
        <w:rPr>
          <w:szCs w:val="28"/>
          <w:lang w:eastAsia="en-US"/>
        </w:rPr>
      </w:pPr>
      <w:r w:rsidRPr="008C522C">
        <w:rPr>
          <w:szCs w:val="28"/>
          <w:lang w:eastAsia="en-US"/>
        </w:rPr>
        <w:t>TAVI has similar outcomes to SAVR but patients are less likely to develop atrial fibrillation or experience life-threatening or disabling bleeding; and</w:t>
      </w:r>
    </w:p>
    <w:p w14:paraId="08CF4898" w14:textId="77777777" w:rsidR="008C522C" w:rsidRPr="008C522C" w:rsidRDefault="008C522C" w:rsidP="008C522C">
      <w:pPr>
        <w:numPr>
          <w:ilvl w:val="0"/>
          <w:numId w:val="32"/>
        </w:numPr>
        <w:contextualSpacing/>
        <w:rPr>
          <w:szCs w:val="28"/>
          <w:lang w:eastAsia="en-US"/>
        </w:rPr>
      </w:pPr>
      <w:r w:rsidRPr="008C522C">
        <w:rPr>
          <w:szCs w:val="28"/>
          <w:lang w:eastAsia="en-US"/>
        </w:rPr>
        <w:t>TAVI provides an alternative to SAVR that is less invasive and requires less hospital care (operating theatres, intensive care,</w:t>
      </w:r>
      <w:r w:rsidR="00750CDD">
        <w:rPr>
          <w:szCs w:val="28"/>
          <w:lang w:eastAsia="en-US"/>
        </w:rPr>
        <w:t xml:space="preserve"> and longer stay in hospital).</w:t>
      </w:r>
    </w:p>
    <w:p w14:paraId="64340DAC" w14:textId="448BBFA8" w:rsidR="008C522C" w:rsidRPr="008C522C" w:rsidRDefault="008C522C" w:rsidP="0085555A">
      <w:pPr>
        <w:spacing w:before="240"/>
        <w:rPr>
          <w:szCs w:val="28"/>
          <w:lang w:eastAsia="en-US"/>
        </w:rPr>
      </w:pPr>
      <w:r w:rsidRPr="008C522C">
        <w:rPr>
          <w:szCs w:val="28"/>
          <w:lang w:eastAsia="en-US"/>
        </w:rPr>
        <w:t xml:space="preserve">PASC noted the mixed support for the application from consultation feedback (Ratified PICO, p25): </w:t>
      </w:r>
    </w:p>
    <w:p w14:paraId="3BFD74AC" w14:textId="77777777" w:rsidR="008C522C" w:rsidRPr="008C522C" w:rsidRDefault="008C522C" w:rsidP="008C522C">
      <w:pPr>
        <w:numPr>
          <w:ilvl w:val="0"/>
          <w:numId w:val="31"/>
        </w:numPr>
        <w:contextualSpacing/>
        <w:rPr>
          <w:szCs w:val="28"/>
          <w:lang w:eastAsia="en-US"/>
        </w:rPr>
      </w:pPr>
      <w:r w:rsidRPr="008C522C">
        <w:rPr>
          <w:szCs w:val="24"/>
          <w:lang w:eastAsia="en-US"/>
        </w:rPr>
        <w:t>One specialist organisation was highly supportive of the application, noting that TAVI is the standard of care for the treatment of symptomatic severe AS and that the eligibility of “TAVI-able” patient is more pertinent than the categorisation of low-high surgical risk. This feedback also considered that the fee is undervalued for the procedure and should be higher.</w:t>
      </w:r>
    </w:p>
    <w:p w14:paraId="0571C7A0" w14:textId="77777777" w:rsidR="008C522C" w:rsidRPr="008C522C" w:rsidRDefault="008C522C" w:rsidP="008C522C">
      <w:pPr>
        <w:numPr>
          <w:ilvl w:val="0"/>
          <w:numId w:val="31"/>
        </w:numPr>
        <w:contextualSpacing/>
        <w:rPr>
          <w:szCs w:val="28"/>
          <w:lang w:eastAsia="en-US"/>
        </w:rPr>
      </w:pPr>
      <w:r w:rsidRPr="008C522C">
        <w:rPr>
          <w:szCs w:val="24"/>
          <w:lang w:eastAsia="en-US"/>
        </w:rPr>
        <w:t>One specialist organisation was concerned that patient populations in studies of low risk patients for TAVI were highly selected, and excluded patients with bicuspid disease, excluded younger patients; as a consequence the results are not representative of the wider population with severe symptomatic AS (i.e. applicability concerns). This feedback also noted that the descriptor did not match patient selection criteria in the quoted literature and considered that long term results of TAVI in this population are unknown. Thus, this specialist organisation appended their Society position statement on TAVI in low risk patients.</w:t>
      </w:r>
    </w:p>
    <w:p w14:paraId="7903F021" w14:textId="77777777" w:rsidR="008C522C" w:rsidRPr="008C522C" w:rsidRDefault="008C522C" w:rsidP="008C522C">
      <w:pPr>
        <w:numPr>
          <w:ilvl w:val="0"/>
          <w:numId w:val="31"/>
        </w:numPr>
        <w:contextualSpacing/>
        <w:rPr>
          <w:szCs w:val="28"/>
          <w:lang w:eastAsia="en-US"/>
        </w:rPr>
      </w:pPr>
      <w:r w:rsidRPr="008C522C">
        <w:rPr>
          <w:szCs w:val="24"/>
          <w:lang w:eastAsia="en-US"/>
        </w:rPr>
        <w:t>One specialist organisation suggested that the anaesthesia cost estimate for the proposed intervention needed amendment.</w:t>
      </w:r>
    </w:p>
    <w:p w14:paraId="27202C3C" w14:textId="77777777" w:rsidR="008C522C" w:rsidRPr="008C522C" w:rsidRDefault="008C522C" w:rsidP="008C522C">
      <w:pPr>
        <w:numPr>
          <w:ilvl w:val="0"/>
          <w:numId w:val="31"/>
        </w:numPr>
        <w:contextualSpacing/>
        <w:rPr>
          <w:szCs w:val="28"/>
          <w:lang w:eastAsia="en-US"/>
        </w:rPr>
      </w:pPr>
      <w:r w:rsidRPr="008C522C">
        <w:rPr>
          <w:szCs w:val="24"/>
          <w:lang w:eastAsia="en-US"/>
        </w:rPr>
        <w:t>One industry association and individual specialist were highly supportive of the application.</w:t>
      </w:r>
    </w:p>
    <w:p w14:paraId="184DB238" w14:textId="77777777" w:rsidR="00BC1364" w:rsidRPr="008C522C" w:rsidRDefault="008C522C" w:rsidP="008C522C">
      <w:pPr>
        <w:numPr>
          <w:ilvl w:val="0"/>
          <w:numId w:val="31"/>
        </w:numPr>
        <w:contextualSpacing/>
      </w:pPr>
      <w:r w:rsidRPr="008C522C">
        <w:rPr>
          <w:szCs w:val="24"/>
          <w:lang w:eastAsia="en-US"/>
        </w:rPr>
        <w:t>Feedback was also received from a competitor TAVI manufacturer</w:t>
      </w:r>
      <w:r w:rsidRPr="008C522C" w:rsidDel="00771DCC">
        <w:rPr>
          <w:szCs w:val="24"/>
          <w:lang w:eastAsia="en-US"/>
        </w:rPr>
        <w:t xml:space="preserve"> </w:t>
      </w:r>
      <w:r w:rsidRPr="008C522C">
        <w:rPr>
          <w:szCs w:val="24"/>
          <w:lang w:eastAsia="en-US"/>
        </w:rPr>
        <w:t>considering that it was inappropriate for MSAC applications to be limited to one device and that all TAVI valves should be included (balloon, self and mechanically expanding valves). This feedback also considered that comparing device performance is difficult and misleading as noted by Abdel-</w:t>
      </w:r>
      <w:proofErr w:type="spellStart"/>
      <w:r w:rsidRPr="008C522C">
        <w:rPr>
          <w:szCs w:val="24"/>
          <w:lang w:eastAsia="en-US"/>
        </w:rPr>
        <w:t>Waha</w:t>
      </w:r>
      <w:proofErr w:type="spellEnd"/>
      <w:r w:rsidRPr="008C522C">
        <w:rPr>
          <w:szCs w:val="24"/>
          <w:lang w:eastAsia="en-US"/>
        </w:rPr>
        <w:t xml:space="preserve"> &amp; Thiele et al. (2020)</w:t>
      </w:r>
      <w:r w:rsidRPr="008C522C">
        <w:rPr>
          <w:szCs w:val="24"/>
          <w:vertAlign w:val="superscript"/>
          <w:lang w:eastAsia="en-US"/>
        </w:rPr>
        <w:footnoteReference w:id="19"/>
      </w:r>
      <w:r w:rsidRPr="008C522C">
        <w:rPr>
          <w:szCs w:val="24"/>
          <w:lang w:eastAsia="en-US"/>
        </w:rPr>
        <w:t xml:space="preserve">. Further, it was noted that if hospitalisation was added to the primary endpoint of death or stroke in the </w:t>
      </w:r>
      <w:proofErr w:type="spellStart"/>
      <w:r w:rsidRPr="008C522C">
        <w:rPr>
          <w:szCs w:val="24"/>
          <w:lang w:eastAsia="en-US"/>
        </w:rPr>
        <w:t>Evolut</w:t>
      </w:r>
      <w:proofErr w:type="spellEnd"/>
      <w:r w:rsidRPr="008C522C">
        <w:rPr>
          <w:szCs w:val="24"/>
          <w:lang w:eastAsia="en-US"/>
        </w:rPr>
        <w:t xml:space="preserve"> low risk trial, the results would have shown superiority to SAVR. This feedback also highlighted that, compared with SAVR, the use of TAVI enables efficiencies related to hospital resource use.</w:t>
      </w:r>
    </w:p>
    <w:p w14:paraId="77BADF90" w14:textId="77777777" w:rsidR="00BC1364" w:rsidRPr="00F715D1" w:rsidRDefault="00BC1364" w:rsidP="00F715D1">
      <w:pPr>
        <w:pStyle w:val="Heading1"/>
      </w:pPr>
      <w:r w:rsidRPr="00F715D1">
        <w:t>Proposed intervention’s place in clinical management</w:t>
      </w:r>
    </w:p>
    <w:p w14:paraId="571F939E" w14:textId="77777777" w:rsidR="00CF4E81" w:rsidRDefault="00CF4E81" w:rsidP="00F715D1">
      <w:pPr>
        <w:spacing w:after="240"/>
        <w:rPr>
          <w:b/>
          <w:szCs w:val="24"/>
        </w:rPr>
      </w:pPr>
      <w:r w:rsidRPr="00CF4E81">
        <w:rPr>
          <w:b/>
          <w:szCs w:val="24"/>
        </w:rPr>
        <w:t>Description of Proposed Intervention</w:t>
      </w:r>
    </w:p>
    <w:p w14:paraId="716EFB6C" w14:textId="77777777" w:rsidR="008C522C" w:rsidRPr="008C522C" w:rsidRDefault="008C522C" w:rsidP="008C522C">
      <w:pPr>
        <w:rPr>
          <w:iCs/>
          <w:color w:val="000000"/>
          <w:shd w:val="clear" w:color="auto" w:fill="FFFFFF"/>
        </w:rPr>
      </w:pPr>
      <w:r w:rsidRPr="008C522C">
        <w:rPr>
          <w:iCs/>
          <w:color w:val="000000"/>
          <w:shd w:val="clear" w:color="auto" w:fill="FFFFFF"/>
        </w:rPr>
        <w:t xml:space="preserve">Transcatheter aortic valve implantation involving the SAPIEN 3 balloon expandable device involves minimally invasive transfemoral insertion of a prosthetic heart valve that is positioned within the aortic annulus using the SAPIEN 3 system. Once in-situ, the valve is </w:t>
      </w:r>
      <w:r w:rsidRPr="008C522C">
        <w:rPr>
          <w:iCs/>
          <w:color w:val="000000"/>
          <w:shd w:val="clear" w:color="auto" w:fill="FFFFFF"/>
        </w:rPr>
        <w:lastRenderedPageBreak/>
        <w:t>expanded while the heart is rapidly paced. The procedure is performed using fluoroscopic and transoesophageal guidance and under general or local anaesthesia.</w:t>
      </w:r>
    </w:p>
    <w:p w14:paraId="0CBC70AE" w14:textId="40036540" w:rsidR="00CF4E81" w:rsidRDefault="00CF4E81" w:rsidP="0085555A">
      <w:pPr>
        <w:autoSpaceDE w:val="0"/>
        <w:autoSpaceDN w:val="0"/>
        <w:adjustRightInd w:val="0"/>
        <w:spacing w:before="240"/>
        <w:rPr>
          <w:b/>
        </w:rPr>
      </w:pPr>
      <w:r w:rsidRPr="00CF4E81">
        <w:rPr>
          <w:b/>
        </w:rPr>
        <w:t>Description of Medical Condition(s)</w:t>
      </w:r>
    </w:p>
    <w:p w14:paraId="67003E39" w14:textId="1FAB043B" w:rsidR="008C522C" w:rsidRDefault="008C522C" w:rsidP="0085555A">
      <w:pPr>
        <w:spacing w:before="240"/>
      </w:pPr>
      <w:r w:rsidRPr="008C522C">
        <w:t xml:space="preserve">Severe aortic stenosis (AS) is characterised by narrowing of the aortic valve leading to restriction of blood flow. AS is often caused by a build-up of calcium on the valve leaflets, causing them to become stiff and reducing their ability to open and close efficiently. It is associated with high pressure inside the left ventricle and </w:t>
      </w:r>
      <w:proofErr w:type="gramStart"/>
      <w:r w:rsidRPr="008C522C">
        <w:t>as a result of</w:t>
      </w:r>
      <w:proofErr w:type="gramEnd"/>
      <w:r w:rsidRPr="008C522C">
        <w:t xml:space="preserve"> the excessive workload, the left ventricle hypertrophies, which further leads to inefficiency in blood circulation. Symptoms include angina, </w:t>
      </w:r>
      <w:proofErr w:type="gramStart"/>
      <w:r w:rsidRPr="008C522C">
        <w:t>dyspnoea</w:t>
      </w:r>
      <w:proofErr w:type="gramEnd"/>
      <w:r w:rsidRPr="008C522C">
        <w:t xml:space="preserve"> and syncope. Left untreated, heart failure develops, and the risk of death is increased.</w:t>
      </w:r>
    </w:p>
    <w:p w14:paraId="6E70A61F" w14:textId="2D2B6616" w:rsidR="00750CDD" w:rsidRDefault="00750CDD" w:rsidP="0085555A">
      <w:pPr>
        <w:autoSpaceDE w:val="0"/>
        <w:autoSpaceDN w:val="0"/>
        <w:adjustRightInd w:val="0"/>
        <w:spacing w:before="240"/>
        <w:rPr>
          <w:b/>
        </w:rPr>
      </w:pPr>
      <w:r>
        <w:rPr>
          <w:b/>
        </w:rPr>
        <w:t>Clinical place</w:t>
      </w:r>
    </w:p>
    <w:p w14:paraId="4A0E8DAA" w14:textId="7646BD86" w:rsidR="008C522C" w:rsidRDefault="008C522C" w:rsidP="0085555A">
      <w:pPr>
        <w:spacing w:before="240"/>
        <w:sectPr w:rsidR="008C522C" w:rsidSect="008C522C">
          <w:pgSz w:w="11906" w:h="16838"/>
          <w:pgMar w:top="1440" w:right="1440" w:bottom="1134" w:left="1440" w:header="708" w:footer="708" w:gutter="0"/>
          <w:cols w:space="708"/>
          <w:docGrid w:linePitch="360"/>
        </w:sectPr>
      </w:pPr>
      <w:r w:rsidRPr="008C522C">
        <w:t xml:space="preserve">The current and proposed clinical management algorithms, as per the ratified PICO, are presented in </w:t>
      </w:r>
      <w:r w:rsidRPr="008C522C">
        <w:rPr>
          <w:shd w:val="clear" w:color="auto" w:fill="E6E6E6"/>
        </w:rPr>
        <w:fldChar w:fldCharType="begin"/>
      </w:r>
      <w:r w:rsidRPr="008C522C">
        <w:instrText xml:space="preserve"> REF _Ref44674976 \h  \* MERGEFORMAT </w:instrText>
      </w:r>
      <w:r w:rsidRPr="008C522C">
        <w:rPr>
          <w:shd w:val="clear" w:color="auto" w:fill="E6E6E6"/>
        </w:rPr>
      </w:r>
      <w:r w:rsidRPr="008C522C">
        <w:rPr>
          <w:shd w:val="clear" w:color="auto" w:fill="E6E6E6"/>
        </w:rPr>
        <w:fldChar w:fldCharType="separate"/>
      </w:r>
      <w:r w:rsidR="003D2F4E" w:rsidRPr="008C522C">
        <w:t xml:space="preserve">Figure </w:t>
      </w:r>
      <w:r w:rsidR="003D2F4E">
        <w:t>1</w:t>
      </w:r>
      <w:r w:rsidRPr="008C522C">
        <w:rPr>
          <w:shd w:val="clear" w:color="auto" w:fill="E6E6E6"/>
        </w:rPr>
        <w:fldChar w:fldCharType="end"/>
      </w:r>
      <w:r w:rsidRPr="008C522C">
        <w:t xml:space="preserve"> and </w:t>
      </w:r>
      <w:r w:rsidRPr="008C522C">
        <w:rPr>
          <w:shd w:val="clear" w:color="auto" w:fill="E6E6E6"/>
        </w:rPr>
        <w:fldChar w:fldCharType="begin"/>
      </w:r>
      <w:r w:rsidRPr="008C522C">
        <w:instrText xml:space="preserve"> REF _Ref47681890 \h  \* MERGEFORMAT </w:instrText>
      </w:r>
      <w:r w:rsidRPr="008C522C">
        <w:rPr>
          <w:shd w:val="clear" w:color="auto" w:fill="E6E6E6"/>
        </w:rPr>
      </w:r>
      <w:r w:rsidRPr="008C522C">
        <w:rPr>
          <w:shd w:val="clear" w:color="auto" w:fill="E6E6E6"/>
        </w:rPr>
        <w:fldChar w:fldCharType="separate"/>
      </w:r>
      <w:r w:rsidR="003D2F4E" w:rsidRPr="008C522C">
        <w:t xml:space="preserve">Figure </w:t>
      </w:r>
      <w:r w:rsidR="003D2F4E">
        <w:t>2</w:t>
      </w:r>
      <w:r w:rsidRPr="008C522C">
        <w:rPr>
          <w:shd w:val="clear" w:color="auto" w:fill="E6E6E6"/>
        </w:rPr>
        <w:fldChar w:fldCharType="end"/>
      </w:r>
      <w:r w:rsidRPr="008C522C">
        <w:t>. The key difference between the current and proposed clinical management pathway is the addition of TAVI-BEV (and TAVI-SEV) as a treatment option for low-risk patients. The commentary noted that neither the European Society of Cardiology and the European Association for Cardio-Thoracic Surgery (EACTS) Guidelines for Valvular Heart Disease</w:t>
      </w:r>
      <w:bookmarkStart w:id="8" w:name="_Ref62654936"/>
      <w:r w:rsidRPr="008C522C">
        <w:rPr>
          <w:vertAlign w:val="superscript"/>
        </w:rPr>
        <w:footnoteReference w:id="20"/>
      </w:r>
      <w:bookmarkEnd w:id="8"/>
      <w:r w:rsidRPr="008C522C">
        <w:t xml:space="preserve"> nor the American Heart Association/American College of Cardiology (AHA/ACC) Clinical Practice Guidelines for the Management of Patients with Valvular Heart Disease</w:t>
      </w:r>
      <w:r w:rsidRPr="008C522C">
        <w:rPr>
          <w:vertAlign w:val="superscript"/>
        </w:rPr>
        <w:footnoteReference w:id="21"/>
      </w:r>
      <w:r w:rsidRPr="008C522C">
        <w:t xml:space="preserve"> support the use of TAVI devices in low-risk patients or patients under 75 years of age. This is because the long-term durability of TAVI devices is unknown and the impact of device durability on patient outcomes is uncertain </w:t>
      </w:r>
      <w:r w:rsidRPr="008C522C">
        <w:rPr>
          <w:vertAlign w:val="superscript"/>
        </w:rPr>
        <w:fldChar w:fldCharType="begin"/>
      </w:r>
      <w:r w:rsidRPr="008C522C">
        <w:rPr>
          <w:vertAlign w:val="superscript"/>
        </w:rPr>
        <w:instrText xml:space="preserve"> NOTEREF _Ref62654936 \h  \* MERGEFORMAT </w:instrText>
      </w:r>
      <w:r w:rsidRPr="008C522C">
        <w:rPr>
          <w:vertAlign w:val="superscript"/>
        </w:rPr>
      </w:r>
      <w:r w:rsidRPr="008C522C">
        <w:rPr>
          <w:vertAlign w:val="superscript"/>
        </w:rPr>
        <w:fldChar w:fldCharType="separate"/>
      </w:r>
      <w:r w:rsidR="003D2F4E">
        <w:rPr>
          <w:vertAlign w:val="superscript"/>
        </w:rPr>
        <w:t>20</w:t>
      </w:r>
      <w:r w:rsidRPr="008C522C">
        <w:rPr>
          <w:vertAlign w:val="superscript"/>
        </w:rPr>
        <w:fldChar w:fldCharType="end"/>
      </w:r>
      <w:r w:rsidRPr="008C522C">
        <w:rPr>
          <w:vertAlign w:val="superscript"/>
        </w:rPr>
        <w:t>,</w:t>
      </w:r>
      <w:bookmarkStart w:id="9" w:name="_Ref62655015"/>
      <w:r w:rsidRPr="008C522C">
        <w:rPr>
          <w:vertAlign w:val="superscript"/>
        </w:rPr>
        <w:footnoteReference w:id="22"/>
      </w:r>
      <w:bookmarkEnd w:id="9"/>
      <w:r w:rsidRPr="008C522C">
        <w:t>. In comparison, SAVR valves are estimated to last 10 to 15 years</w:t>
      </w:r>
      <w:r w:rsidRPr="008C522C">
        <w:rPr>
          <w:vertAlign w:val="superscript"/>
        </w:rPr>
        <w:footnoteReference w:id="23"/>
      </w:r>
      <w:r w:rsidRPr="008C522C">
        <w:t xml:space="preserve">. Further, TAVI devices are associated with higher rates of paravalvular leaks and left bundle-branch block, which may have a considerable impact on the patient’s long-term survival, the requirement for reintervention and quality of life </w:t>
      </w:r>
      <w:r w:rsidRPr="008C522C">
        <w:rPr>
          <w:vertAlign w:val="superscript"/>
        </w:rPr>
        <w:fldChar w:fldCharType="begin"/>
      </w:r>
      <w:r w:rsidRPr="008C522C">
        <w:rPr>
          <w:vertAlign w:val="superscript"/>
        </w:rPr>
        <w:instrText xml:space="preserve"> NOTEREF _Ref62655015 \h  \* MERGEFORMAT </w:instrText>
      </w:r>
      <w:r w:rsidRPr="008C522C">
        <w:rPr>
          <w:vertAlign w:val="superscript"/>
        </w:rPr>
      </w:r>
      <w:r w:rsidRPr="008C522C">
        <w:rPr>
          <w:vertAlign w:val="superscript"/>
        </w:rPr>
        <w:fldChar w:fldCharType="separate"/>
      </w:r>
      <w:r w:rsidR="003D2F4E">
        <w:rPr>
          <w:vertAlign w:val="superscript"/>
        </w:rPr>
        <w:t>22</w:t>
      </w:r>
      <w:r w:rsidRPr="008C522C">
        <w:rPr>
          <w:vertAlign w:val="superscript"/>
        </w:rPr>
        <w:fldChar w:fldCharType="end"/>
      </w:r>
      <w:r w:rsidRPr="008C522C">
        <w:rPr>
          <w:vertAlign w:val="superscript"/>
        </w:rPr>
        <w:t>,</w:t>
      </w:r>
      <w:r w:rsidRPr="008C522C">
        <w:rPr>
          <w:vertAlign w:val="superscript"/>
        </w:rPr>
        <w:footnoteReference w:id="24"/>
      </w:r>
      <w:r w:rsidRPr="008C522C">
        <w:t xml:space="preserve">. The commentary noted that the results of the key trial PARTNER 3 also demonstrate that SAVR patients have excellent outcomes, with low rates of mortality (2.5%) and disabling stroke (0.9%) at 1-year follow-up. The commentary noted that the proposed clinical management algorithm of the ratified PICO allowed patients who required repeat aortic valve re-intervention to be treated with SAVR, rather than SAVR or TAVI-BEV as proposed by the </w:t>
      </w:r>
      <w:r>
        <w:t>ADAR</w:t>
      </w:r>
    </w:p>
    <w:p w14:paraId="2B5D8DCC" w14:textId="77777777" w:rsidR="008C522C" w:rsidRPr="008C522C" w:rsidRDefault="008C522C" w:rsidP="008C522C">
      <w:pPr>
        <w:keepNext/>
        <w:contextualSpacing/>
        <w:rPr>
          <w:rFonts w:ascii="Calibri" w:hAnsi="Calibri" w:cs="Tahoma"/>
          <w:sz w:val="22"/>
          <w:szCs w:val="22"/>
        </w:rPr>
      </w:pPr>
      <w:r w:rsidRPr="008C522C">
        <w:rPr>
          <w:rFonts w:ascii="Calibri" w:hAnsi="Calibri" w:cs="Tahoma"/>
          <w:noProof/>
          <w:sz w:val="22"/>
          <w:szCs w:val="22"/>
          <w:shd w:val="clear" w:color="auto" w:fill="E6E6E6"/>
        </w:rPr>
        <w:lastRenderedPageBreak/>
        <w:drawing>
          <wp:inline distT="0" distB="0" distL="0" distR="0" wp14:anchorId="4900512A" wp14:editId="2C36A6B4">
            <wp:extent cx="8743950" cy="5126815"/>
            <wp:effectExtent l="19050" t="19050" r="19050" b="17145"/>
            <wp:docPr id="1" name="Picture 1" title="Figure 1 Current clinical management algorithm of patients with symptomatic severe AS categorised as low-risk for SA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taging\MSAC Reform Products\Documents\1. PASC\0. August 2020 PASC\1635 PICO\01 Algorithms\Current algorithm.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8839949" cy="5183102"/>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14:paraId="3F15992F" w14:textId="03AC41E8" w:rsidR="008C522C" w:rsidRPr="008C522C" w:rsidRDefault="008C522C" w:rsidP="00750CDD">
      <w:pPr>
        <w:pStyle w:val="Caption"/>
      </w:pPr>
      <w:bookmarkStart w:id="10" w:name="_Ref44674976"/>
      <w:r w:rsidRPr="008C522C">
        <w:t xml:space="preserve">Figure </w:t>
      </w:r>
      <w:r w:rsidRPr="008C522C">
        <w:rPr>
          <w:shd w:val="clear" w:color="auto" w:fill="E6E6E6"/>
        </w:rPr>
        <w:fldChar w:fldCharType="begin"/>
      </w:r>
      <w:r w:rsidRPr="008C522C">
        <w:instrText>SEQ Figure \* ARABIC</w:instrText>
      </w:r>
      <w:r w:rsidRPr="008C522C">
        <w:rPr>
          <w:shd w:val="clear" w:color="auto" w:fill="E6E6E6"/>
        </w:rPr>
        <w:fldChar w:fldCharType="separate"/>
      </w:r>
      <w:r w:rsidR="003D2F4E">
        <w:rPr>
          <w:noProof/>
        </w:rPr>
        <w:t>1</w:t>
      </w:r>
      <w:r w:rsidRPr="008C522C">
        <w:rPr>
          <w:shd w:val="clear" w:color="auto" w:fill="E6E6E6"/>
        </w:rPr>
        <w:fldChar w:fldCharType="end"/>
      </w:r>
      <w:bookmarkEnd w:id="10"/>
      <w:r w:rsidR="00A502DF">
        <w:tab/>
      </w:r>
      <w:r w:rsidRPr="008C522C">
        <w:t>Current clinical management algorithm for the identified population without listing TAVI-BEV</w:t>
      </w:r>
    </w:p>
    <w:p w14:paraId="3AA28441" w14:textId="77777777" w:rsidR="008C522C" w:rsidRPr="008C522C" w:rsidRDefault="008C522C" w:rsidP="008C522C">
      <w:pPr>
        <w:keepNext/>
        <w:keepLines/>
        <w:jc w:val="both"/>
        <w:rPr>
          <w:rFonts w:ascii="Arial Narrow" w:hAnsi="Arial Narrow"/>
          <w:color w:val="000000"/>
          <w:sz w:val="18"/>
          <w:szCs w:val="18"/>
        </w:rPr>
      </w:pPr>
      <w:r w:rsidRPr="008C522C">
        <w:rPr>
          <w:rFonts w:ascii="Arial Narrow" w:hAnsi="Arial Narrow"/>
          <w:color w:val="000000"/>
          <w:sz w:val="18"/>
          <w:szCs w:val="18"/>
        </w:rPr>
        <w:t>Source: Figure A-1, p 15 of the ADAR</w:t>
      </w:r>
    </w:p>
    <w:p w14:paraId="07B885D6" w14:textId="77777777" w:rsidR="008C522C" w:rsidRPr="008C522C" w:rsidRDefault="008C522C" w:rsidP="008C522C">
      <w:pPr>
        <w:keepNext/>
        <w:keepLines/>
        <w:jc w:val="both"/>
        <w:rPr>
          <w:rFonts w:ascii="Arial Narrow" w:hAnsi="Arial Narrow"/>
          <w:color w:val="000000"/>
          <w:sz w:val="18"/>
          <w:szCs w:val="18"/>
        </w:rPr>
      </w:pPr>
      <w:r w:rsidRPr="008C522C">
        <w:rPr>
          <w:rFonts w:ascii="Arial Narrow" w:hAnsi="Arial Narrow"/>
          <w:color w:val="000000"/>
          <w:sz w:val="18"/>
          <w:szCs w:val="18"/>
        </w:rPr>
        <w:t>ADAR = Applicant Developed Assessment Report; AS = aortic stenosis; AVR = aortic valve replacement; BEV = balloon-expandable valve; Echo = echocardiogram; GP = general practitioner; SAVR = surgical aortic valve replacement</w:t>
      </w:r>
    </w:p>
    <w:p w14:paraId="2599A927" w14:textId="77777777" w:rsidR="008C522C" w:rsidRPr="008C522C" w:rsidRDefault="008C522C" w:rsidP="008C522C">
      <w:pPr>
        <w:keepNext/>
        <w:keepLines/>
        <w:jc w:val="both"/>
        <w:rPr>
          <w:rFonts w:ascii="Arial Narrow" w:hAnsi="Arial Narrow" w:cs="Arial"/>
          <w:sz w:val="20"/>
          <w:lang w:eastAsia="en-US"/>
        </w:rPr>
      </w:pPr>
      <w:r w:rsidRPr="008C522C">
        <w:rPr>
          <w:rFonts w:ascii="Arial Narrow" w:hAnsi="Arial Narrow" w:cs="Arial"/>
          <w:noProof/>
          <w:sz w:val="20"/>
          <w:shd w:val="clear" w:color="auto" w:fill="E6E6E6"/>
        </w:rPr>
        <w:lastRenderedPageBreak/>
        <w:drawing>
          <wp:inline distT="0" distB="0" distL="0" distR="0" wp14:anchorId="47A61730" wp14:editId="49D4776F">
            <wp:extent cx="8181975" cy="4662071"/>
            <wp:effectExtent l="19050" t="19050" r="9525" b="24765"/>
            <wp:docPr id="7" name="Picture 7" title="Figure 2 Proposed clinical management algorithm of patients with symptomatic severe AS categorised as low-risk for SA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taging\MSAC Reform Products\Documents\1. PASC\0. August 2020 PASC\1635 PICO\01 Algorithms\Proposed algorithm.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a:stretch/>
                  </pic:blipFill>
                  <pic:spPr bwMode="auto">
                    <a:xfrm>
                      <a:off x="0" y="0"/>
                      <a:ext cx="8181975" cy="4662071"/>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14:paraId="12FB15A9" w14:textId="5935296F" w:rsidR="008C522C" w:rsidRPr="008C522C" w:rsidRDefault="008C522C" w:rsidP="00750CDD">
      <w:pPr>
        <w:pStyle w:val="Caption"/>
      </w:pPr>
      <w:bookmarkStart w:id="11" w:name="_Ref47681890"/>
      <w:r w:rsidRPr="008C522C">
        <w:t xml:space="preserve">Figure </w:t>
      </w:r>
      <w:r w:rsidRPr="008C522C">
        <w:rPr>
          <w:shd w:val="clear" w:color="auto" w:fill="E6E6E6"/>
        </w:rPr>
        <w:fldChar w:fldCharType="begin"/>
      </w:r>
      <w:r w:rsidRPr="008C522C">
        <w:instrText>SEQ Figure \* ARABIC</w:instrText>
      </w:r>
      <w:r w:rsidRPr="008C522C">
        <w:rPr>
          <w:shd w:val="clear" w:color="auto" w:fill="E6E6E6"/>
        </w:rPr>
        <w:fldChar w:fldCharType="separate"/>
      </w:r>
      <w:r w:rsidR="003D2F4E">
        <w:rPr>
          <w:noProof/>
        </w:rPr>
        <w:t>2</w:t>
      </w:r>
      <w:r w:rsidRPr="008C522C">
        <w:rPr>
          <w:shd w:val="clear" w:color="auto" w:fill="E6E6E6"/>
        </w:rPr>
        <w:fldChar w:fldCharType="end"/>
      </w:r>
      <w:bookmarkEnd w:id="11"/>
      <w:r w:rsidR="00A502DF">
        <w:tab/>
      </w:r>
      <w:r w:rsidRPr="008C522C">
        <w:t>Proposed clinical management algorithm if TAVI-BEV was listed for the identified population</w:t>
      </w:r>
    </w:p>
    <w:p w14:paraId="457ABBBA" w14:textId="77777777" w:rsidR="008C522C" w:rsidRPr="008C522C" w:rsidRDefault="008C522C" w:rsidP="008C522C">
      <w:pPr>
        <w:keepNext/>
        <w:keepLines/>
        <w:jc w:val="both"/>
        <w:rPr>
          <w:rFonts w:ascii="Arial Narrow" w:hAnsi="Arial Narrow"/>
          <w:color w:val="000000"/>
          <w:sz w:val="18"/>
          <w:szCs w:val="18"/>
        </w:rPr>
      </w:pPr>
      <w:r w:rsidRPr="008C522C">
        <w:rPr>
          <w:rFonts w:ascii="Arial Narrow" w:hAnsi="Arial Narrow"/>
          <w:color w:val="000000"/>
          <w:sz w:val="18"/>
          <w:szCs w:val="18"/>
        </w:rPr>
        <w:t>Source: Figure A-2, p 16 of the ADAR</w:t>
      </w:r>
    </w:p>
    <w:p w14:paraId="1080A56A" w14:textId="77777777" w:rsidR="008C522C" w:rsidRPr="008C522C" w:rsidRDefault="008C522C" w:rsidP="008C522C">
      <w:pPr>
        <w:keepNext/>
        <w:keepLines/>
        <w:jc w:val="both"/>
        <w:rPr>
          <w:rFonts w:ascii="Arial Narrow" w:hAnsi="Arial Narrow"/>
          <w:color w:val="000000"/>
          <w:sz w:val="18"/>
          <w:szCs w:val="18"/>
        </w:rPr>
      </w:pPr>
      <w:r w:rsidRPr="008C522C">
        <w:rPr>
          <w:rFonts w:ascii="Arial Narrow" w:hAnsi="Arial Narrow"/>
          <w:color w:val="000000"/>
          <w:sz w:val="18"/>
          <w:szCs w:val="18"/>
        </w:rPr>
        <w:t>ADAR = Applicant Developed Assessment Report; AS = aortic stenosis; AVR = aortic valve replacement; BEV = balloon-expandable valve; Echo = echocardiogram; GP = general practitioner; SAVR = surgical aortic valve replacement</w:t>
      </w:r>
    </w:p>
    <w:p w14:paraId="32569AFE" w14:textId="77777777" w:rsidR="008C522C" w:rsidRPr="008C522C" w:rsidRDefault="008C522C" w:rsidP="008C522C">
      <w:pPr>
        <w:sectPr w:rsidR="008C522C" w:rsidRPr="008C522C" w:rsidSect="008C522C">
          <w:pgSz w:w="16838" w:h="11906" w:orient="landscape"/>
          <w:pgMar w:top="1440" w:right="1440" w:bottom="1440" w:left="1134" w:header="708" w:footer="708" w:gutter="0"/>
          <w:cols w:space="708"/>
          <w:docGrid w:linePitch="360"/>
        </w:sectPr>
      </w:pPr>
    </w:p>
    <w:p w14:paraId="3F84C0B0" w14:textId="77777777" w:rsidR="00BC1364" w:rsidRPr="00F715D1" w:rsidRDefault="00BC1364" w:rsidP="00750CDD">
      <w:pPr>
        <w:pStyle w:val="Heading1"/>
      </w:pPr>
      <w:r w:rsidRPr="00F715D1">
        <w:lastRenderedPageBreak/>
        <w:t xml:space="preserve">Comparator </w:t>
      </w:r>
    </w:p>
    <w:p w14:paraId="62E1058A" w14:textId="77777777" w:rsidR="008C522C" w:rsidRDefault="008C522C" w:rsidP="008C522C">
      <w:r w:rsidRPr="009E7A8B">
        <w:rPr>
          <w:iCs/>
        </w:rPr>
        <w:t>The ADAR appropriately nominated SAVR as the main comparator.</w:t>
      </w:r>
      <w:r w:rsidRPr="009E7A8B">
        <w:rPr>
          <w:i/>
          <w:iCs/>
        </w:rPr>
        <w:t xml:space="preserve"> </w:t>
      </w:r>
      <w:r w:rsidRPr="009E7A8B">
        <w:t>SAVR is an open-heart surgical procedure to repair or remove the narrowed aortic valve and replace it with a bioprosthetic or mechanical aortic valve. The procedure requires general anaesthetic and extracorporeal circulation, with access via a sternotomy or a less invasive transthoracic approach.</w:t>
      </w:r>
    </w:p>
    <w:p w14:paraId="708885F4" w14:textId="196181B0" w:rsidR="008C522C" w:rsidRPr="009E7A8B" w:rsidRDefault="008C522C" w:rsidP="0085555A">
      <w:pPr>
        <w:spacing w:before="240"/>
      </w:pPr>
      <w:r w:rsidRPr="009E7A8B">
        <w:rPr>
          <w:iCs/>
        </w:rPr>
        <w:t>As requested by PASC, the ADAR nominated TAVI-SEV as a secondary comparator</w:t>
      </w:r>
      <w:r w:rsidRPr="009E7A8B">
        <w:rPr>
          <w:i/>
          <w:iCs/>
        </w:rPr>
        <w:t xml:space="preserve">. </w:t>
      </w:r>
      <w:r w:rsidRPr="009E7A8B">
        <w:rPr>
          <w:iCs/>
        </w:rPr>
        <w:t xml:space="preserve">However, the </w:t>
      </w:r>
      <w:r>
        <w:rPr>
          <w:iCs/>
        </w:rPr>
        <w:t>c</w:t>
      </w:r>
      <w:r w:rsidRPr="009E7A8B">
        <w:rPr>
          <w:iCs/>
        </w:rPr>
        <w:t>ommentary highlighted that the ADAR did not make a clinical claim against TAVI-SEV or present any comparative evidence between TAVI-BEV and TAVI-SEV.</w:t>
      </w:r>
      <w:r w:rsidRPr="009E7A8B">
        <w:rPr>
          <w:i/>
        </w:rPr>
        <w:t xml:space="preserve"> </w:t>
      </w:r>
      <w:r w:rsidRPr="009E7A8B">
        <w:t>The key difference between TAVI-BEV and TAVI-SEV are the valves (balloon-expandable versus self-expandable).</w:t>
      </w:r>
    </w:p>
    <w:p w14:paraId="4087C479" w14:textId="77777777" w:rsidR="00BC1364" w:rsidRPr="00F715D1" w:rsidRDefault="00BC1364" w:rsidP="00F715D1">
      <w:pPr>
        <w:pStyle w:val="Heading1"/>
      </w:pPr>
      <w:r w:rsidRPr="00F715D1">
        <w:t>Comparative safety</w:t>
      </w:r>
    </w:p>
    <w:p w14:paraId="33891FEA" w14:textId="05E63E77" w:rsidR="008C522C" w:rsidRPr="008C522C" w:rsidRDefault="008C522C" w:rsidP="008C522C">
      <w:pPr>
        <w:rPr>
          <w:rFonts w:eastAsia="Calibri" w:cs="Calibri"/>
          <w:iCs/>
        </w:rPr>
      </w:pPr>
      <w:r w:rsidRPr="008C522C">
        <w:t>The evidential basis of the ADAR consisted of results from the PARTNER 3 trial, a randomised, multicentre, open-label clinical trial, which compared TAVI-BEV (SAPIEN 3) with SAVR. The trial was powered to demonstrate non-inferiority of TAVI BEV with SAVR with respect to the study’s primary endpoint, all-cause mortality, stroke and rehospitalisation at 1-year.The ADAR only presented the 1-year follow-up data from PARTNER 3</w:t>
      </w:r>
      <w:r w:rsidRPr="008C522C">
        <w:rPr>
          <w:vertAlign w:val="superscript"/>
        </w:rPr>
        <w:footnoteReference w:id="25"/>
      </w:r>
      <w:r w:rsidRPr="008C522C">
        <w:t xml:space="preserve">, however, </w:t>
      </w:r>
      <w:r w:rsidRPr="008C522C">
        <w:rPr>
          <w:iCs/>
        </w:rPr>
        <w:t xml:space="preserve">the commentary identified a conference presentation that provided longer-term data (2 years) from PARTNER 3 </w:t>
      </w:r>
      <w:bookmarkStart w:id="12" w:name="_Ref71020247"/>
      <w:r w:rsidRPr="008C522C">
        <w:rPr>
          <w:iCs/>
          <w:vertAlign w:val="superscript"/>
        </w:rPr>
        <w:footnoteReference w:id="26"/>
      </w:r>
      <w:bookmarkEnd w:id="12"/>
      <w:r w:rsidRPr="008C522C">
        <w:rPr>
          <w:iCs/>
        </w:rPr>
        <w:t xml:space="preserve"> </w:t>
      </w:r>
      <w:r w:rsidRPr="008C522C">
        <w:rPr>
          <w:rFonts w:eastAsia="Calibri" w:cs="Calibri"/>
          <w:iCs/>
        </w:rPr>
        <w:t>and included the results in the commentary the evaluation. The ADAR identified publications reporting the EVOLUT trial, a multicentre, randomised, open-label trial, which compared TAVI SEV (</w:t>
      </w:r>
      <w:proofErr w:type="spellStart"/>
      <w:r w:rsidRPr="008C522C">
        <w:rPr>
          <w:rFonts w:eastAsia="Calibri" w:cs="Calibri"/>
          <w:iCs/>
        </w:rPr>
        <w:t>CoreValve</w:t>
      </w:r>
      <w:proofErr w:type="spellEnd"/>
      <w:r w:rsidRPr="008C522C">
        <w:rPr>
          <w:rFonts w:eastAsia="Calibri" w:cs="Calibri"/>
          <w:iCs/>
        </w:rPr>
        <w:t xml:space="preserve">, </w:t>
      </w:r>
      <w:proofErr w:type="spellStart"/>
      <w:r w:rsidRPr="008C522C">
        <w:rPr>
          <w:rFonts w:eastAsia="Calibri" w:cs="Calibri"/>
          <w:iCs/>
        </w:rPr>
        <w:t>Evolut</w:t>
      </w:r>
      <w:proofErr w:type="spellEnd"/>
      <w:r w:rsidRPr="008C522C">
        <w:rPr>
          <w:rFonts w:eastAsia="Calibri" w:cs="Calibri"/>
          <w:iCs/>
        </w:rPr>
        <w:t xml:space="preserve"> R or </w:t>
      </w:r>
      <w:proofErr w:type="spellStart"/>
      <w:r w:rsidRPr="008C522C">
        <w:rPr>
          <w:rFonts w:eastAsia="Calibri" w:cs="Calibri"/>
          <w:iCs/>
        </w:rPr>
        <w:t>Evolut</w:t>
      </w:r>
      <w:proofErr w:type="spellEnd"/>
      <w:r w:rsidRPr="008C522C">
        <w:rPr>
          <w:rFonts w:eastAsia="Calibri" w:cs="Calibri"/>
          <w:iCs/>
        </w:rPr>
        <w:t xml:space="preserve"> PRO) to SAVR in patients with symptomatic, severe AS at low surgical risk </w:t>
      </w:r>
      <w:r w:rsidRPr="008C522C">
        <w:rPr>
          <w:rFonts w:eastAsia="Calibri" w:cs="Calibri"/>
          <w:iCs/>
          <w:vertAlign w:val="superscript"/>
        </w:rPr>
        <w:footnoteReference w:id="27"/>
      </w:r>
      <w:r w:rsidRPr="008C522C">
        <w:rPr>
          <w:rFonts w:eastAsia="Calibri" w:cs="Calibri"/>
          <w:iCs/>
        </w:rPr>
        <w:t>. The ADAR did not conduct an indirect comparison of the PARTNER 3 and EVOLUT due to differences in outcomes and statistical methodology between the two trials.</w:t>
      </w:r>
      <w:r w:rsidRPr="008C522C">
        <w:t xml:space="preserve"> </w:t>
      </w:r>
      <w:r w:rsidRPr="008C522C">
        <w:rPr>
          <w:rFonts w:eastAsia="Calibri" w:cs="Calibri"/>
          <w:iCs/>
        </w:rPr>
        <w:t>The evaluation considered the trials were otherwise exchangeable</w:t>
      </w:r>
      <w:r w:rsidRPr="008C522C">
        <w:t xml:space="preserve"> and </w:t>
      </w:r>
      <w:r w:rsidRPr="008C522C">
        <w:rPr>
          <w:rFonts w:eastAsia="Calibri" w:cs="Calibri"/>
          <w:iCs/>
        </w:rPr>
        <w:t>conducted an indirect comparison.</w:t>
      </w:r>
    </w:p>
    <w:p w14:paraId="5ED2B218" w14:textId="22655FCB" w:rsidR="00A93D40" w:rsidRDefault="008C522C" w:rsidP="00964AB0">
      <w:pPr>
        <w:spacing w:before="240"/>
        <w:rPr>
          <w:szCs w:val="24"/>
        </w:rPr>
      </w:pPr>
      <w:r w:rsidRPr="008C522C">
        <w:t xml:space="preserve">A summary of the evidence used in the ADAR is provided in </w:t>
      </w:r>
      <w:r w:rsidR="00B50ADA" w:rsidRPr="00B50ADA">
        <w:rPr>
          <w:szCs w:val="24"/>
        </w:rPr>
        <w:fldChar w:fldCharType="begin"/>
      </w:r>
      <w:r w:rsidR="00B50ADA" w:rsidRPr="00B50ADA">
        <w:rPr>
          <w:szCs w:val="24"/>
        </w:rPr>
        <w:instrText xml:space="preserve"> REF _Ref72309673 \h  \* MERGEFORMAT </w:instrText>
      </w:r>
      <w:r w:rsidR="00B50ADA" w:rsidRPr="00B50ADA">
        <w:rPr>
          <w:szCs w:val="24"/>
        </w:rPr>
      </w:r>
      <w:r w:rsidR="00B50ADA" w:rsidRPr="00B50ADA">
        <w:rPr>
          <w:szCs w:val="24"/>
        </w:rPr>
        <w:fldChar w:fldCharType="separate"/>
      </w:r>
      <w:r w:rsidR="003D2F4E" w:rsidRPr="003D2F4E">
        <w:rPr>
          <w:bCs/>
          <w:szCs w:val="24"/>
        </w:rPr>
        <w:t xml:space="preserve">Table </w:t>
      </w:r>
      <w:r w:rsidR="003D2F4E" w:rsidRPr="003D2F4E">
        <w:rPr>
          <w:bCs/>
          <w:noProof/>
          <w:szCs w:val="24"/>
        </w:rPr>
        <w:t>5</w:t>
      </w:r>
      <w:r w:rsidR="00B50ADA" w:rsidRPr="00B50ADA">
        <w:rPr>
          <w:szCs w:val="24"/>
        </w:rPr>
        <w:fldChar w:fldCharType="end"/>
      </w:r>
      <w:r w:rsidR="00B50ADA">
        <w:rPr>
          <w:szCs w:val="24"/>
        </w:rPr>
        <w:t>.</w:t>
      </w:r>
      <w:r w:rsidR="00A93D40">
        <w:rPr>
          <w:szCs w:val="24"/>
        </w:rPr>
        <w:br w:type="page"/>
      </w:r>
    </w:p>
    <w:p w14:paraId="67DD0E04" w14:textId="0CDE30C1" w:rsidR="008C522C" w:rsidRPr="008C522C" w:rsidRDefault="008C522C" w:rsidP="0085555A">
      <w:pPr>
        <w:keepNext/>
        <w:keepLines/>
        <w:spacing w:before="240"/>
        <w:rPr>
          <w:rFonts w:ascii="Arial Narrow" w:hAnsi="Arial Narrow" w:cs="Tahoma"/>
          <w:snapToGrid w:val="0"/>
          <w:sz w:val="20"/>
          <w:lang w:eastAsia="en-US"/>
        </w:rPr>
      </w:pPr>
      <w:bookmarkStart w:id="13" w:name="_Ref60310498"/>
      <w:bookmarkStart w:id="14" w:name="_Ref72309673"/>
      <w:r w:rsidRPr="008C522C">
        <w:rPr>
          <w:rFonts w:ascii="Arial Narrow" w:hAnsi="Arial Narrow" w:cs="Tahoma"/>
          <w:b/>
          <w:bCs/>
          <w:sz w:val="20"/>
        </w:rPr>
        <w:lastRenderedPageBreak/>
        <w:t xml:space="preserve">Table </w:t>
      </w:r>
      <w:r w:rsidRPr="008C522C">
        <w:rPr>
          <w:rFonts w:ascii="Arial Narrow" w:hAnsi="Arial Narrow" w:cs="Tahoma"/>
          <w:b/>
          <w:sz w:val="20"/>
          <w:shd w:val="clear" w:color="auto" w:fill="E6E6E6"/>
        </w:rPr>
        <w:fldChar w:fldCharType="begin"/>
      </w:r>
      <w:r w:rsidRPr="008C522C">
        <w:rPr>
          <w:rFonts w:ascii="Arial Narrow" w:hAnsi="Arial Narrow" w:cs="Tahoma"/>
          <w:b/>
          <w:bCs/>
          <w:sz w:val="20"/>
        </w:rPr>
        <w:instrText xml:space="preserve"> SEQ Table \* ARABIC </w:instrText>
      </w:r>
      <w:r w:rsidRPr="008C522C">
        <w:rPr>
          <w:rFonts w:ascii="Arial Narrow" w:hAnsi="Arial Narrow" w:cs="Tahoma"/>
          <w:b/>
          <w:sz w:val="20"/>
          <w:shd w:val="clear" w:color="auto" w:fill="E6E6E6"/>
        </w:rPr>
        <w:fldChar w:fldCharType="separate"/>
      </w:r>
      <w:r w:rsidR="003D2F4E">
        <w:rPr>
          <w:rFonts w:ascii="Arial Narrow" w:hAnsi="Arial Narrow" w:cs="Tahoma"/>
          <w:b/>
          <w:bCs/>
          <w:noProof/>
          <w:sz w:val="20"/>
        </w:rPr>
        <w:t>5</w:t>
      </w:r>
      <w:r w:rsidRPr="008C522C">
        <w:rPr>
          <w:rFonts w:ascii="Arial Narrow" w:hAnsi="Arial Narrow" w:cs="Tahoma"/>
          <w:b/>
          <w:sz w:val="20"/>
          <w:shd w:val="clear" w:color="auto" w:fill="E6E6E6"/>
        </w:rPr>
        <w:fldChar w:fldCharType="end"/>
      </w:r>
      <w:bookmarkEnd w:id="13"/>
      <w:bookmarkEnd w:id="14"/>
      <w:r w:rsidRPr="008C522C">
        <w:rPr>
          <w:rFonts w:ascii="Arial Narrow" w:hAnsi="Arial Narrow" w:cs="Tahoma"/>
          <w:b/>
          <w:bCs/>
          <w:sz w:val="20"/>
          <w:szCs w:val="22"/>
        </w:rPr>
        <w:tab/>
      </w:r>
      <w:r w:rsidRPr="008C522C">
        <w:rPr>
          <w:rFonts w:ascii="Arial Narrow" w:hAnsi="Arial Narrow" w:cs="Tahoma"/>
          <w:b/>
          <w:bCs/>
          <w:snapToGrid w:val="0"/>
          <w:sz w:val="20"/>
          <w:lang w:eastAsia="en-US"/>
        </w:rPr>
        <w:t xml:space="preserve">Key features of the included evidence </w:t>
      </w:r>
    </w:p>
    <w:tbl>
      <w:tblPr>
        <w:tblStyle w:val="TableGrid21"/>
        <w:tblW w:w="4985" w:type="pct"/>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1064"/>
        <w:gridCol w:w="545"/>
        <w:gridCol w:w="2149"/>
        <w:gridCol w:w="840"/>
        <w:gridCol w:w="1731"/>
        <w:gridCol w:w="1398"/>
        <w:gridCol w:w="1262"/>
      </w:tblGrid>
      <w:tr w:rsidR="008C522C" w:rsidRPr="008C522C" w14:paraId="05D36897" w14:textId="77777777" w:rsidTr="008924F7">
        <w:trPr>
          <w:cnfStyle w:val="100000000000" w:firstRow="1" w:lastRow="0" w:firstColumn="0" w:lastColumn="0" w:oddVBand="0" w:evenVBand="0" w:oddHBand="0" w:evenHBand="0" w:firstRowFirstColumn="0" w:firstRowLastColumn="0" w:lastRowFirstColumn="0" w:lastRowLastColumn="0"/>
          <w:tblHeader/>
        </w:trPr>
        <w:tc>
          <w:tcPr>
            <w:tcW w:w="506" w:type="pct"/>
          </w:tcPr>
          <w:p w14:paraId="266F9CB3" w14:textId="77777777" w:rsidR="008C522C" w:rsidRPr="008C522C" w:rsidRDefault="008C522C" w:rsidP="008C522C">
            <w:pPr>
              <w:keepNext/>
              <w:keepLines/>
              <w:rPr>
                <w:rFonts w:ascii="Arial Narrow" w:hAnsi="Arial Narrow" w:cs="Tahoma"/>
                <w:b/>
                <w:bCs/>
                <w:snapToGrid w:val="0"/>
                <w:sz w:val="20"/>
                <w:lang w:eastAsia="en-US"/>
              </w:rPr>
            </w:pPr>
            <w:r w:rsidRPr="008C522C">
              <w:rPr>
                <w:rFonts w:ascii="Arial Narrow" w:hAnsi="Arial Narrow" w:cs="Tahoma"/>
                <w:b/>
                <w:bCs/>
                <w:snapToGrid w:val="0"/>
                <w:sz w:val="20"/>
                <w:lang w:eastAsia="en-US"/>
              </w:rPr>
              <w:t>Trial/Study</w:t>
            </w:r>
          </w:p>
        </w:tc>
        <w:tc>
          <w:tcPr>
            <w:tcW w:w="349" w:type="pct"/>
          </w:tcPr>
          <w:p w14:paraId="22DB526D" w14:textId="77777777" w:rsidR="008C522C" w:rsidRPr="008C522C" w:rsidRDefault="008C522C" w:rsidP="008C522C">
            <w:pPr>
              <w:keepNext/>
              <w:keepLines/>
              <w:jc w:val="center"/>
              <w:rPr>
                <w:rFonts w:ascii="Arial Narrow" w:hAnsi="Arial Narrow" w:cs="Tahoma"/>
                <w:b/>
                <w:bCs/>
                <w:snapToGrid w:val="0"/>
                <w:sz w:val="20"/>
                <w:lang w:eastAsia="en-US"/>
              </w:rPr>
            </w:pPr>
            <w:r w:rsidRPr="008C522C">
              <w:rPr>
                <w:rFonts w:ascii="Arial Narrow" w:hAnsi="Arial Narrow" w:cs="Tahoma"/>
                <w:b/>
                <w:bCs/>
                <w:snapToGrid w:val="0"/>
                <w:sz w:val="20"/>
                <w:lang w:eastAsia="en-US"/>
              </w:rPr>
              <w:t>N</w:t>
            </w:r>
          </w:p>
        </w:tc>
        <w:tc>
          <w:tcPr>
            <w:tcW w:w="1249" w:type="pct"/>
          </w:tcPr>
          <w:p w14:paraId="52F5D971" w14:textId="77777777" w:rsidR="008C522C" w:rsidRPr="008C522C" w:rsidRDefault="008C522C" w:rsidP="008C522C">
            <w:pPr>
              <w:keepNext/>
              <w:keepLines/>
              <w:jc w:val="center"/>
              <w:rPr>
                <w:rFonts w:ascii="Arial Narrow" w:hAnsi="Arial Narrow" w:cs="Tahoma"/>
                <w:b/>
                <w:bCs/>
                <w:snapToGrid w:val="0"/>
                <w:sz w:val="20"/>
                <w:lang w:eastAsia="en-US"/>
              </w:rPr>
            </w:pPr>
            <w:r w:rsidRPr="008C522C">
              <w:rPr>
                <w:rFonts w:ascii="Arial Narrow" w:hAnsi="Arial Narrow" w:cs="Tahoma"/>
                <w:b/>
                <w:bCs/>
                <w:snapToGrid w:val="0"/>
                <w:sz w:val="20"/>
                <w:lang w:eastAsia="en-US"/>
              </w:rPr>
              <w:t>Design/ duration</w:t>
            </w:r>
          </w:p>
        </w:tc>
        <w:tc>
          <w:tcPr>
            <w:tcW w:w="378" w:type="pct"/>
          </w:tcPr>
          <w:p w14:paraId="3CA3A695" w14:textId="77777777" w:rsidR="008C522C" w:rsidRPr="008C522C" w:rsidRDefault="008C522C" w:rsidP="008C522C">
            <w:pPr>
              <w:keepNext/>
              <w:keepLines/>
              <w:jc w:val="center"/>
              <w:rPr>
                <w:rFonts w:ascii="Arial Narrow" w:hAnsi="Arial Narrow" w:cs="Tahoma"/>
                <w:b/>
                <w:bCs/>
                <w:snapToGrid w:val="0"/>
                <w:sz w:val="20"/>
                <w:lang w:eastAsia="en-US"/>
              </w:rPr>
            </w:pPr>
            <w:r w:rsidRPr="008C522C">
              <w:rPr>
                <w:rFonts w:ascii="Arial Narrow" w:hAnsi="Arial Narrow" w:cs="Tahoma"/>
                <w:b/>
                <w:bCs/>
                <w:snapToGrid w:val="0"/>
                <w:sz w:val="20"/>
                <w:lang w:eastAsia="en-US"/>
              </w:rPr>
              <w:t>Risk of bias</w:t>
            </w:r>
          </w:p>
        </w:tc>
        <w:tc>
          <w:tcPr>
            <w:tcW w:w="1012" w:type="pct"/>
          </w:tcPr>
          <w:p w14:paraId="6D3A767F" w14:textId="77777777" w:rsidR="008C522C" w:rsidRPr="008C522C" w:rsidRDefault="008C522C" w:rsidP="008C522C">
            <w:pPr>
              <w:keepNext/>
              <w:keepLines/>
              <w:jc w:val="center"/>
              <w:rPr>
                <w:rFonts w:ascii="Arial Narrow" w:hAnsi="Arial Narrow" w:cs="Tahoma"/>
                <w:b/>
                <w:bCs/>
                <w:snapToGrid w:val="0"/>
                <w:sz w:val="20"/>
                <w:lang w:eastAsia="en-US"/>
              </w:rPr>
            </w:pPr>
            <w:r w:rsidRPr="008C522C">
              <w:rPr>
                <w:rFonts w:ascii="Arial Narrow" w:hAnsi="Arial Narrow" w:cs="Tahoma"/>
                <w:b/>
                <w:bCs/>
                <w:snapToGrid w:val="0"/>
                <w:sz w:val="20"/>
                <w:lang w:eastAsia="en-US"/>
              </w:rPr>
              <w:t>Patient population</w:t>
            </w:r>
          </w:p>
        </w:tc>
        <w:tc>
          <w:tcPr>
            <w:tcW w:w="755" w:type="pct"/>
          </w:tcPr>
          <w:p w14:paraId="76E0D434" w14:textId="77777777" w:rsidR="008C522C" w:rsidRPr="008C522C" w:rsidRDefault="008C522C" w:rsidP="008C522C">
            <w:pPr>
              <w:keepNext/>
              <w:keepLines/>
              <w:jc w:val="center"/>
              <w:rPr>
                <w:rFonts w:ascii="Arial Narrow" w:hAnsi="Arial Narrow" w:cs="Tahoma"/>
                <w:b/>
                <w:bCs/>
                <w:snapToGrid w:val="0"/>
                <w:sz w:val="20"/>
                <w:lang w:eastAsia="en-US"/>
              </w:rPr>
            </w:pPr>
            <w:r w:rsidRPr="008C522C">
              <w:rPr>
                <w:rFonts w:ascii="Arial Narrow" w:hAnsi="Arial Narrow" w:cs="Tahoma"/>
                <w:b/>
                <w:bCs/>
                <w:snapToGrid w:val="0"/>
                <w:sz w:val="20"/>
                <w:lang w:eastAsia="en-US"/>
              </w:rPr>
              <w:t>Key outcome</w:t>
            </w:r>
          </w:p>
        </w:tc>
        <w:tc>
          <w:tcPr>
            <w:tcW w:w="752" w:type="pct"/>
          </w:tcPr>
          <w:p w14:paraId="2A39C8A7" w14:textId="77777777" w:rsidR="008C522C" w:rsidRPr="008C522C" w:rsidRDefault="008C522C" w:rsidP="008C522C">
            <w:pPr>
              <w:keepNext/>
              <w:keepLines/>
              <w:jc w:val="center"/>
              <w:rPr>
                <w:rFonts w:ascii="Arial Narrow" w:hAnsi="Arial Narrow" w:cs="Tahoma"/>
                <w:b/>
                <w:bCs/>
                <w:snapToGrid w:val="0"/>
                <w:sz w:val="20"/>
                <w:lang w:eastAsia="en-US"/>
              </w:rPr>
            </w:pPr>
            <w:r w:rsidRPr="008C522C">
              <w:rPr>
                <w:rFonts w:ascii="Arial Narrow" w:hAnsi="Arial Narrow" w:cs="Tahoma"/>
                <w:b/>
                <w:bCs/>
                <w:snapToGrid w:val="0"/>
                <w:sz w:val="20"/>
                <w:lang w:eastAsia="en-US"/>
              </w:rPr>
              <w:t>Result used in economic model</w:t>
            </w:r>
          </w:p>
        </w:tc>
      </w:tr>
      <w:tr w:rsidR="008C522C" w:rsidRPr="008C522C" w14:paraId="4E22C096" w14:textId="77777777" w:rsidTr="008924F7">
        <w:trPr>
          <w:trHeight w:val="323"/>
        </w:trPr>
        <w:tc>
          <w:tcPr>
            <w:tcW w:w="506" w:type="pct"/>
          </w:tcPr>
          <w:p w14:paraId="1A602BFE" w14:textId="77777777" w:rsidR="008C522C" w:rsidRPr="008C522C" w:rsidRDefault="008C522C" w:rsidP="008C522C">
            <w:pPr>
              <w:rPr>
                <w:rFonts w:cs="Arial"/>
                <w:snapToGrid w:val="0"/>
                <w:sz w:val="18"/>
                <w:lang w:eastAsia="en-US"/>
              </w:rPr>
            </w:pPr>
            <w:r w:rsidRPr="008C522C">
              <w:rPr>
                <w:rFonts w:cs="Arial"/>
                <w:snapToGrid w:val="0"/>
                <w:sz w:val="18"/>
                <w:lang w:eastAsia="en-US"/>
              </w:rPr>
              <w:t>PARTNER 3</w:t>
            </w:r>
            <w:r w:rsidRPr="008C522C">
              <w:rPr>
                <w:rFonts w:cs="Tahoma"/>
                <w:sz w:val="20"/>
              </w:rPr>
              <w:t xml:space="preserve"> </w:t>
            </w:r>
          </w:p>
        </w:tc>
        <w:tc>
          <w:tcPr>
            <w:tcW w:w="349" w:type="pct"/>
          </w:tcPr>
          <w:p w14:paraId="76847F85" w14:textId="77777777" w:rsidR="008C522C" w:rsidRPr="008C522C" w:rsidRDefault="008C522C" w:rsidP="008C522C">
            <w:pPr>
              <w:jc w:val="center"/>
              <w:rPr>
                <w:rFonts w:cs="Arial"/>
                <w:snapToGrid w:val="0"/>
                <w:sz w:val="18"/>
                <w:lang w:eastAsia="en-US"/>
              </w:rPr>
            </w:pPr>
            <w:r w:rsidRPr="008C522C">
              <w:rPr>
                <w:rFonts w:cs="Arial"/>
                <w:snapToGrid w:val="0"/>
                <w:sz w:val="18"/>
                <w:lang w:eastAsia="en-US"/>
              </w:rPr>
              <w:t>946</w:t>
            </w:r>
          </w:p>
        </w:tc>
        <w:tc>
          <w:tcPr>
            <w:tcW w:w="1249" w:type="pct"/>
          </w:tcPr>
          <w:p w14:paraId="541CFFC3" w14:textId="77777777" w:rsidR="008C522C" w:rsidRPr="008C522C" w:rsidRDefault="008C522C" w:rsidP="008C522C">
            <w:pPr>
              <w:jc w:val="center"/>
              <w:rPr>
                <w:rFonts w:cs="Arial"/>
                <w:snapToGrid w:val="0"/>
                <w:sz w:val="18"/>
                <w:lang w:eastAsia="en-US"/>
              </w:rPr>
            </w:pPr>
            <w:r w:rsidRPr="008C522C">
              <w:rPr>
                <w:rFonts w:cs="Arial"/>
                <w:snapToGrid w:val="0"/>
                <w:sz w:val="18"/>
                <w:lang w:eastAsia="en-US"/>
              </w:rPr>
              <w:t>Design: R, MC, OL, NI and superiority between TAVI-BEV and SAVR.</w:t>
            </w:r>
          </w:p>
          <w:p w14:paraId="778CABC9" w14:textId="77777777" w:rsidR="008C522C" w:rsidRPr="008C522C" w:rsidRDefault="008C522C" w:rsidP="008C522C">
            <w:pPr>
              <w:jc w:val="center"/>
              <w:rPr>
                <w:rFonts w:cs="Arial"/>
                <w:snapToGrid w:val="0"/>
                <w:sz w:val="18"/>
                <w:lang w:eastAsia="en-US"/>
              </w:rPr>
            </w:pPr>
          </w:p>
          <w:p w14:paraId="6AA736F4" w14:textId="77777777" w:rsidR="008C522C" w:rsidRPr="008C522C" w:rsidRDefault="008C522C" w:rsidP="008C522C">
            <w:pPr>
              <w:jc w:val="center"/>
              <w:rPr>
                <w:rFonts w:cs="Arial"/>
                <w:snapToGrid w:val="0"/>
                <w:sz w:val="18"/>
                <w:lang w:eastAsia="en-US"/>
              </w:rPr>
            </w:pPr>
            <w:r w:rsidRPr="008C522C">
              <w:rPr>
                <w:rFonts w:cs="Arial"/>
                <w:snapToGrid w:val="0"/>
                <w:sz w:val="18"/>
                <w:lang w:eastAsia="en-US"/>
              </w:rPr>
              <w:t>Follow-up: 30-days, 1 and 2 years</w:t>
            </w:r>
          </w:p>
        </w:tc>
        <w:tc>
          <w:tcPr>
            <w:tcW w:w="378" w:type="pct"/>
          </w:tcPr>
          <w:p w14:paraId="2BF40F13" w14:textId="77777777" w:rsidR="008C522C" w:rsidRPr="008C522C" w:rsidRDefault="008C522C" w:rsidP="008C522C">
            <w:pPr>
              <w:jc w:val="center"/>
              <w:rPr>
                <w:rFonts w:cs="Arial"/>
                <w:snapToGrid w:val="0"/>
                <w:sz w:val="18"/>
                <w:lang w:eastAsia="en-US"/>
              </w:rPr>
            </w:pPr>
            <w:r w:rsidRPr="008C522C">
              <w:rPr>
                <w:rFonts w:cs="Arial"/>
                <w:snapToGrid w:val="0"/>
                <w:sz w:val="18"/>
                <w:lang w:eastAsia="en-US"/>
              </w:rPr>
              <w:t>Low to moderate</w:t>
            </w:r>
          </w:p>
        </w:tc>
        <w:tc>
          <w:tcPr>
            <w:tcW w:w="1012" w:type="pct"/>
          </w:tcPr>
          <w:p w14:paraId="4CF31CF9" w14:textId="77777777" w:rsidR="008C522C" w:rsidRPr="008C522C" w:rsidRDefault="008C522C" w:rsidP="008C522C">
            <w:pPr>
              <w:jc w:val="center"/>
              <w:rPr>
                <w:rFonts w:cs="Arial"/>
                <w:snapToGrid w:val="0"/>
                <w:sz w:val="18"/>
                <w:lang w:eastAsia="en-US"/>
              </w:rPr>
            </w:pPr>
            <w:r w:rsidRPr="008C522C">
              <w:rPr>
                <w:rFonts w:cs="Arial"/>
                <w:snapToGrid w:val="0"/>
                <w:sz w:val="18"/>
                <w:lang w:eastAsia="en-US"/>
              </w:rPr>
              <w:t>Low-risk patients (STS-PROM score &lt;4%) with severe aortic stenosis</w:t>
            </w:r>
          </w:p>
        </w:tc>
        <w:tc>
          <w:tcPr>
            <w:tcW w:w="755" w:type="pct"/>
          </w:tcPr>
          <w:p w14:paraId="25AB6AD4" w14:textId="77777777" w:rsidR="008C522C" w:rsidRPr="008C522C" w:rsidRDefault="008C522C" w:rsidP="008C522C">
            <w:pPr>
              <w:jc w:val="center"/>
              <w:rPr>
                <w:rFonts w:cs="Arial"/>
                <w:snapToGrid w:val="0"/>
                <w:sz w:val="18"/>
                <w:lang w:eastAsia="en-US"/>
              </w:rPr>
            </w:pPr>
            <w:r w:rsidRPr="008C522C">
              <w:rPr>
                <w:rFonts w:cs="Arial"/>
                <w:snapToGrid w:val="0"/>
                <w:sz w:val="18"/>
                <w:lang w:eastAsia="en-US"/>
              </w:rPr>
              <w:t xml:space="preserve">All-cause mortality, stroke, </w:t>
            </w:r>
            <w:proofErr w:type="spellStart"/>
            <w:r w:rsidRPr="008C522C">
              <w:rPr>
                <w:rFonts w:cs="Arial"/>
                <w:snapToGrid w:val="0"/>
                <w:sz w:val="18"/>
                <w:lang w:eastAsia="en-US"/>
              </w:rPr>
              <w:t>rehospitalisations</w:t>
            </w:r>
            <w:proofErr w:type="spellEnd"/>
            <w:r w:rsidRPr="008C522C">
              <w:rPr>
                <w:rFonts w:cs="Arial"/>
                <w:snapToGrid w:val="0"/>
                <w:sz w:val="18"/>
                <w:lang w:eastAsia="en-US"/>
              </w:rPr>
              <w:t>, LBBB, PVR, PPI, reinterventions</w:t>
            </w:r>
          </w:p>
        </w:tc>
        <w:tc>
          <w:tcPr>
            <w:tcW w:w="752" w:type="pct"/>
          </w:tcPr>
          <w:p w14:paraId="3C2E0FD9" w14:textId="77777777" w:rsidR="008C522C" w:rsidRPr="008C522C" w:rsidRDefault="008C522C" w:rsidP="008C522C">
            <w:pPr>
              <w:jc w:val="center"/>
              <w:rPr>
                <w:rFonts w:cs="Arial"/>
                <w:snapToGrid w:val="0"/>
                <w:sz w:val="18"/>
                <w:lang w:eastAsia="en-US"/>
              </w:rPr>
            </w:pPr>
            <w:r w:rsidRPr="008C522C">
              <w:rPr>
                <w:rFonts w:cs="Arial"/>
                <w:snapToGrid w:val="0"/>
                <w:sz w:val="18"/>
                <w:lang w:eastAsia="en-US"/>
              </w:rPr>
              <w:t>Yes (all key outcomes included in the model)</w:t>
            </w:r>
          </w:p>
        </w:tc>
      </w:tr>
      <w:tr w:rsidR="008C522C" w:rsidRPr="008C522C" w14:paraId="2B004E52" w14:textId="77777777" w:rsidTr="008924F7">
        <w:trPr>
          <w:trHeight w:val="323"/>
        </w:trPr>
        <w:tc>
          <w:tcPr>
            <w:tcW w:w="506" w:type="pct"/>
          </w:tcPr>
          <w:p w14:paraId="264322A5" w14:textId="77777777" w:rsidR="008C522C" w:rsidRPr="008C522C" w:rsidRDefault="008C522C" w:rsidP="008C522C">
            <w:pPr>
              <w:rPr>
                <w:rFonts w:cs="Arial"/>
                <w:snapToGrid w:val="0"/>
                <w:sz w:val="18"/>
                <w:lang w:eastAsia="en-US"/>
              </w:rPr>
            </w:pPr>
            <w:r w:rsidRPr="008C522C">
              <w:rPr>
                <w:rFonts w:cs="Arial"/>
                <w:snapToGrid w:val="0"/>
                <w:sz w:val="18"/>
                <w:lang w:eastAsia="en-US"/>
              </w:rPr>
              <w:t>EVOLUT</w:t>
            </w:r>
            <w:r w:rsidRPr="008C522C">
              <w:rPr>
                <w:rFonts w:cs="Tahoma"/>
                <w:sz w:val="20"/>
              </w:rPr>
              <w:t xml:space="preserve"> </w:t>
            </w:r>
          </w:p>
        </w:tc>
        <w:tc>
          <w:tcPr>
            <w:tcW w:w="349" w:type="pct"/>
          </w:tcPr>
          <w:p w14:paraId="7894D9D9" w14:textId="77777777" w:rsidR="008C522C" w:rsidRPr="008C522C" w:rsidRDefault="008C522C" w:rsidP="008C522C">
            <w:pPr>
              <w:jc w:val="center"/>
              <w:rPr>
                <w:rFonts w:cs="Arial"/>
                <w:snapToGrid w:val="0"/>
                <w:sz w:val="18"/>
                <w:lang w:eastAsia="en-US"/>
              </w:rPr>
            </w:pPr>
            <w:r w:rsidRPr="008C522C">
              <w:rPr>
                <w:rFonts w:cs="Arial"/>
                <w:snapToGrid w:val="0"/>
                <w:sz w:val="18"/>
                <w:lang w:eastAsia="en-US"/>
              </w:rPr>
              <w:t>1403</w:t>
            </w:r>
          </w:p>
        </w:tc>
        <w:tc>
          <w:tcPr>
            <w:tcW w:w="1249" w:type="pct"/>
          </w:tcPr>
          <w:p w14:paraId="017645BC" w14:textId="77777777" w:rsidR="008C522C" w:rsidRPr="008C522C" w:rsidRDefault="008C522C" w:rsidP="008C522C">
            <w:pPr>
              <w:jc w:val="center"/>
              <w:rPr>
                <w:rFonts w:cs="Tahoma"/>
                <w:sz w:val="20"/>
              </w:rPr>
            </w:pPr>
            <w:r w:rsidRPr="008C522C">
              <w:rPr>
                <w:rFonts w:cs="Tahoma"/>
                <w:sz w:val="20"/>
              </w:rPr>
              <w:t xml:space="preserve">Design: </w:t>
            </w:r>
            <w:r w:rsidRPr="008C522C">
              <w:rPr>
                <w:rFonts w:cs="Arial"/>
                <w:snapToGrid w:val="0"/>
                <w:sz w:val="18"/>
                <w:lang w:eastAsia="en-US"/>
              </w:rPr>
              <w:t>R, MC, OL NI and superiority between TAVI-SEV and SAVR</w:t>
            </w:r>
          </w:p>
          <w:p w14:paraId="315DDFFD" w14:textId="77777777" w:rsidR="008C522C" w:rsidRPr="008C522C" w:rsidRDefault="008C522C" w:rsidP="008C522C">
            <w:pPr>
              <w:jc w:val="center"/>
              <w:rPr>
                <w:rFonts w:cs="Tahoma"/>
                <w:sz w:val="20"/>
              </w:rPr>
            </w:pPr>
          </w:p>
          <w:p w14:paraId="7966CA92" w14:textId="77777777" w:rsidR="008C522C" w:rsidRPr="008C522C" w:rsidRDefault="008C522C" w:rsidP="008C522C">
            <w:pPr>
              <w:jc w:val="center"/>
              <w:rPr>
                <w:rFonts w:cs="Arial"/>
                <w:snapToGrid w:val="0"/>
                <w:sz w:val="18"/>
                <w:lang w:eastAsia="en-US"/>
              </w:rPr>
            </w:pPr>
            <w:r w:rsidRPr="008C522C">
              <w:rPr>
                <w:rFonts w:cs="Arial"/>
                <w:snapToGrid w:val="0"/>
                <w:sz w:val="18"/>
                <w:lang w:eastAsia="en-US"/>
              </w:rPr>
              <w:t>Follow-up: 30-days, 1 and 2 years</w:t>
            </w:r>
          </w:p>
        </w:tc>
        <w:tc>
          <w:tcPr>
            <w:tcW w:w="378" w:type="pct"/>
          </w:tcPr>
          <w:p w14:paraId="77762A53" w14:textId="77777777" w:rsidR="008C522C" w:rsidRPr="008C522C" w:rsidRDefault="008C522C" w:rsidP="008C522C">
            <w:pPr>
              <w:jc w:val="center"/>
              <w:rPr>
                <w:rFonts w:cs="Arial"/>
                <w:snapToGrid w:val="0"/>
                <w:sz w:val="18"/>
                <w:lang w:eastAsia="en-US"/>
              </w:rPr>
            </w:pPr>
            <w:r w:rsidRPr="008C522C">
              <w:rPr>
                <w:rFonts w:cs="Arial"/>
                <w:snapToGrid w:val="0"/>
                <w:sz w:val="18"/>
                <w:lang w:eastAsia="en-US"/>
              </w:rPr>
              <w:t>Low to moderate</w:t>
            </w:r>
          </w:p>
        </w:tc>
        <w:tc>
          <w:tcPr>
            <w:tcW w:w="1012" w:type="pct"/>
          </w:tcPr>
          <w:p w14:paraId="0B42AE50" w14:textId="77777777" w:rsidR="008C522C" w:rsidRPr="008C522C" w:rsidRDefault="008C522C" w:rsidP="008C522C">
            <w:pPr>
              <w:jc w:val="center"/>
              <w:rPr>
                <w:rFonts w:cs="Arial"/>
                <w:snapToGrid w:val="0"/>
                <w:sz w:val="18"/>
                <w:lang w:eastAsia="en-US"/>
              </w:rPr>
            </w:pPr>
            <w:r w:rsidRPr="008C522C">
              <w:rPr>
                <w:rFonts w:cs="Arial"/>
                <w:snapToGrid w:val="0"/>
                <w:sz w:val="18"/>
                <w:lang w:eastAsia="en-US"/>
              </w:rPr>
              <w:t>Low-risk patients (STS-PROM score ≤ 3%) with severe aortic stenosis</w:t>
            </w:r>
          </w:p>
        </w:tc>
        <w:tc>
          <w:tcPr>
            <w:tcW w:w="755" w:type="pct"/>
          </w:tcPr>
          <w:p w14:paraId="1825E5CB" w14:textId="77777777" w:rsidR="008C522C" w:rsidRPr="008C522C" w:rsidRDefault="008C522C" w:rsidP="008C522C">
            <w:pPr>
              <w:jc w:val="center"/>
              <w:rPr>
                <w:rFonts w:cs="Arial"/>
                <w:snapToGrid w:val="0"/>
                <w:sz w:val="18"/>
                <w:lang w:eastAsia="en-US"/>
              </w:rPr>
            </w:pPr>
            <w:r w:rsidRPr="008C522C">
              <w:rPr>
                <w:rFonts w:cs="Arial"/>
                <w:snapToGrid w:val="0"/>
                <w:sz w:val="18"/>
                <w:lang w:eastAsia="en-US"/>
              </w:rPr>
              <w:t>All-cause mortality, stroke, LBBB, PVR, PPI, reinterventions</w:t>
            </w:r>
          </w:p>
        </w:tc>
        <w:tc>
          <w:tcPr>
            <w:tcW w:w="752" w:type="pct"/>
          </w:tcPr>
          <w:p w14:paraId="00ED4F1A" w14:textId="77777777" w:rsidR="008C522C" w:rsidRPr="008C522C" w:rsidRDefault="008C522C" w:rsidP="008C522C">
            <w:pPr>
              <w:jc w:val="center"/>
              <w:rPr>
                <w:rFonts w:cs="Arial"/>
                <w:snapToGrid w:val="0"/>
                <w:sz w:val="18"/>
                <w:lang w:eastAsia="en-US"/>
              </w:rPr>
            </w:pPr>
            <w:r w:rsidRPr="008C522C">
              <w:rPr>
                <w:rFonts w:cs="Arial"/>
                <w:snapToGrid w:val="0"/>
                <w:sz w:val="18"/>
                <w:lang w:eastAsia="en-US"/>
              </w:rPr>
              <w:t>No</w:t>
            </w:r>
          </w:p>
        </w:tc>
      </w:tr>
    </w:tbl>
    <w:p w14:paraId="45C96A45" w14:textId="60A83B9F" w:rsidR="008C522C" w:rsidRPr="008C522C" w:rsidRDefault="008C522C" w:rsidP="008C522C">
      <w:pPr>
        <w:widowControl w:val="0"/>
        <w:snapToGrid w:val="0"/>
        <w:jc w:val="both"/>
        <w:rPr>
          <w:rFonts w:ascii="Arial Narrow" w:hAnsi="Arial Narrow" w:cs="Arial"/>
          <w:snapToGrid w:val="0"/>
          <w:sz w:val="18"/>
          <w:szCs w:val="22"/>
          <w:lang w:eastAsia="en-US"/>
        </w:rPr>
      </w:pPr>
      <w:r w:rsidRPr="008C522C">
        <w:rPr>
          <w:rFonts w:ascii="Arial Narrow" w:hAnsi="Arial Narrow" w:cs="Arial"/>
          <w:snapToGrid w:val="0"/>
          <w:sz w:val="18"/>
          <w:szCs w:val="22"/>
          <w:lang w:eastAsia="en-US"/>
        </w:rPr>
        <w:t xml:space="preserve">Abbreviations: </w:t>
      </w:r>
      <w:proofErr w:type="spellStart"/>
      <w:r w:rsidRPr="008C522C">
        <w:rPr>
          <w:rFonts w:ascii="Arial Narrow" w:hAnsi="Arial Narrow" w:cs="Arial"/>
          <w:snapToGrid w:val="0"/>
          <w:sz w:val="18"/>
          <w:szCs w:val="22"/>
          <w:lang w:eastAsia="en-US"/>
        </w:rPr>
        <w:t>HRQoL</w:t>
      </w:r>
      <w:proofErr w:type="spellEnd"/>
      <w:r w:rsidRPr="008C522C">
        <w:rPr>
          <w:rFonts w:ascii="Arial Narrow" w:hAnsi="Arial Narrow" w:cs="Arial"/>
          <w:snapToGrid w:val="0"/>
          <w:sz w:val="18"/>
          <w:szCs w:val="22"/>
          <w:lang w:eastAsia="en-US"/>
        </w:rPr>
        <w:t xml:space="preserve">=health-related quality of life, MC=multi-centre, NI = non-inferiority, LBBB =  left bundle-branch block, OL=open label (unblinded), PPI = permanent pacemaker implanted, PVR = prosthetic valve regurgitation, R=randomised, </w:t>
      </w:r>
      <w:r w:rsidRPr="008C522C">
        <w:rPr>
          <w:rFonts w:ascii="Arial Narrow" w:hAnsi="Arial Narrow" w:cs="Arial"/>
          <w:sz w:val="18"/>
          <w:szCs w:val="18"/>
          <w:lang w:eastAsia="en-US"/>
        </w:rPr>
        <w:t>SAVR = surgical aortic valve replacement,</w:t>
      </w:r>
      <w:r w:rsidRPr="008C522C">
        <w:rPr>
          <w:rFonts w:ascii="Arial Narrow" w:hAnsi="Arial Narrow" w:cs="Arial"/>
          <w:snapToGrid w:val="0"/>
          <w:sz w:val="18"/>
          <w:szCs w:val="22"/>
          <w:lang w:eastAsia="en-US"/>
        </w:rPr>
        <w:t xml:space="preserve"> STS-PROM = Society of Thoracic Surgeons’ Predicted Risk of Mortality , </w:t>
      </w:r>
      <w:r w:rsidRPr="008C522C">
        <w:rPr>
          <w:rFonts w:ascii="Arial Narrow" w:hAnsi="Arial Narrow" w:cs="Arial"/>
          <w:sz w:val="18"/>
          <w:szCs w:val="18"/>
          <w:lang w:eastAsia="en-US"/>
        </w:rPr>
        <w:t xml:space="preserve">TAVI-BEV = transcatheter aortic valve implantation – balloon-expandable valve, TAVI-SEV = transcatheter aortic valve implantation – self-expandable valve </w:t>
      </w:r>
    </w:p>
    <w:p w14:paraId="5AFEAD2C" w14:textId="77777777" w:rsidR="008C522C" w:rsidRPr="008C522C" w:rsidRDefault="008C522C" w:rsidP="0085555A">
      <w:pPr>
        <w:keepNext/>
        <w:keepLines/>
        <w:spacing w:after="240"/>
        <w:jc w:val="both"/>
        <w:rPr>
          <w:rFonts w:ascii="Arial Narrow" w:hAnsi="Arial Narrow"/>
          <w:sz w:val="18"/>
          <w:szCs w:val="18"/>
        </w:rPr>
      </w:pPr>
      <w:r w:rsidRPr="008C522C">
        <w:rPr>
          <w:rFonts w:ascii="Arial Narrow" w:hAnsi="Arial Narrow" w:cs="Arial"/>
          <w:snapToGrid w:val="0"/>
          <w:sz w:val="18"/>
          <w:szCs w:val="18"/>
          <w:lang w:eastAsia="en-US"/>
        </w:rPr>
        <w:t>Source: Constructed during the evaluation</w:t>
      </w:r>
    </w:p>
    <w:p w14:paraId="774659E2" w14:textId="77777777" w:rsidR="008C522C" w:rsidRPr="008C522C" w:rsidRDefault="008C522C" w:rsidP="008C522C">
      <w:pPr>
        <w:keepNext/>
        <w:keepLines/>
        <w:outlineLvl w:val="1"/>
        <w:rPr>
          <w:bCs/>
          <w:i/>
          <w:szCs w:val="26"/>
        </w:rPr>
      </w:pPr>
      <w:r w:rsidRPr="008C522C">
        <w:rPr>
          <w:bCs/>
          <w:i/>
          <w:szCs w:val="26"/>
        </w:rPr>
        <w:t>TAVI-BEV vs. SAVR</w:t>
      </w:r>
    </w:p>
    <w:p w14:paraId="60F31854" w14:textId="77777777" w:rsidR="008C522C" w:rsidRPr="008C522C" w:rsidRDefault="008C522C" w:rsidP="008C522C">
      <w:r w:rsidRPr="008C522C">
        <w:t>The commentary considered that, consistent with the ADAR’s clinical claim, patients treated with TAVI-BEV were significantly more likely to have new left bundle branch block and mild paravalvular leaks than patients treated with SAVR. The commentary considered that such complications, combined with TAVI-BEV’s uncertain device durability, could have significant long-term impacts on the patient’s life expectancy and need for further intervention.</w:t>
      </w:r>
    </w:p>
    <w:p w14:paraId="3BD86259" w14:textId="6DB8D4C6" w:rsidR="008C522C" w:rsidRPr="008C522C" w:rsidRDefault="008C522C" w:rsidP="0085555A">
      <w:pPr>
        <w:spacing w:before="240"/>
      </w:pPr>
      <w:r w:rsidRPr="008C522C">
        <w:t xml:space="preserve">The commentary considered that, also consistent with the ADAR’s clinical claim, patients treated with TAVI-BEV had significantly lower rates of life-threatening or disabling bleeding (2.8% </w:t>
      </w:r>
      <w:r w:rsidRPr="008C522C">
        <w:rPr>
          <w:i/>
        </w:rPr>
        <w:t>vs</w:t>
      </w:r>
      <w:r w:rsidRPr="008C522C">
        <w:t xml:space="preserve">. 12.8%) and fewer incidences of atrial fibrillation (7.0% </w:t>
      </w:r>
      <w:r w:rsidRPr="008C522C">
        <w:rPr>
          <w:i/>
        </w:rPr>
        <w:t>vs.</w:t>
      </w:r>
      <w:r w:rsidRPr="008C522C">
        <w:t xml:space="preserve"> 40.9%) than patients treated with SAVR.</w:t>
      </w:r>
    </w:p>
    <w:p w14:paraId="338DE9BB" w14:textId="0BCD2004" w:rsidR="002831C8" w:rsidRDefault="008C522C" w:rsidP="00964AB0">
      <w:pPr>
        <w:spacing w:before="240"/>
        <w:rPr>
          <w:szCs w:val="24"/>
        </w:rPr>
      </w:pPr>
      <w:r w:rsidRPr="008C522C">
        <w:t xml:space="preserve">A summary of the key safety outcomes from PARTNER 3 is presented in </w:t>
      </w:r>
      <w:r w:rsidR="002831C8" w:rsidRPr="002831C8">
        <w:fldChar w:fldCharType="begin"/>
      </w:r>
      <w:r w:rsidR="002831C8" w:rsidRPr="002831C8">
        <w:instrText xml:space="preserve"> REF _Ref72309759 \h </w:instrText>
      </w:r>
      <w:r w:rsidR="002831C8">
        <w:instrText xml:space="preserve"> \* MERGEFORMAT </w:instrText>
      </w:r>
      <w:r w:rsidR="002831C8" w:rsidRPr="002831C8">
        <w:fldChar w:fldCharType="separate"/>
      </w:r>
      <w:r w:rsidR="003D2F4E" w:rsidRPr="003D2F4E">
        <w:t>Table 6</w:t>
      </w:r>
      <w:r w:rsidR="002831C8" w:rsidRPr="002831C8">
        <w:fldChar w:fldCharType="end"/>
      </w:r>
      <w:r w:rsidR="002831C8">
        <w:t>.</w:t>
      </w:r>
      <w:bookmarkStart w:id="15" w:name="_Ref60310570"/>
      <w:r w:rsidR="002831C8">
        <w:rPr>
          <w:szCs w:val="24"/>
        </w:rPr>
        <w:br w:type="page"/>
      </w:r>
    </w:p>
    <w:p w14:paraId="4000762A" w14:textId="7EF97215" w:rsidR="008C522C" w:rsidRPr="008C522C" w:rsidRDefault="008C522C" w:rsidP="0085555A">
      <w:pPr>
        <w:spacing w:before="240"/>
        <w:rPr>
          <w:rFonts w:ascii="Arial Narrow" w:hAnsi="Arial Narrow" w:cs="Tahoma"/>
          <w:b/>
          <w:bCs/>
          <w:sz w:val="20"/>
        </w:rPr>
      </w:pPr>
      <w:bookmarkStart w:id="16" w:name="_Ref72309759"/>
      <w:r w:rsidRPr="008C522C">
        <w:rPr>
          <w:rFonts w:ascii="Arial Narrow" w:hAnsi="Arial Narrow" w:cs="Tahoma"/>
          <w:b/>
          <w:bCs/>
          <w:sz w:val="20"/>
        </w:rPr>
        <w:lastRenderedPageBreak/>
        <w:t xml:space="preserve">Table </w:t>
      </w:r>
      <w:r w:rsidRPr="008C522C">
        <w:rPr>
          <w:rFonts w:ascii="Arial Narrow" w:hAnsi="Arial Narrow" w:cs="Tahoma"/>
          <w:b/>
          <w:sz w:val="20"/>
          <w:shd w:val="clear" w:color="auto" w:fill="E6E6E6"/>
        </w:rPr>
        <w:fldChar w:fldCharType="begin"/>
      </w:r>
      <w:r w:rsidRPr="008C522C">
        <w:rPr>
          <w:rFonts w:ascii="Arial Narrow" w:hAnsi="Arial Narrow" w:cs="Tahoma"/>
          <w:b/>
          <w:bCs/>
          <w:sz w:val="20"/>
        </w:rPr>
        <w:instrText>SEQ Table \* ARABIC</w:instrText>
      </w:r>
      <w:r w:rsidRPr="008C522C">
        <w:rPr>
          <w:rFonts w:ascii="Arial Narrow" w:hAnsi="Arial Narrow" w:cs="Tahoma"/>
          <w:b/>
          <w:sz w:val="20"/>
          <w:shd w:val="clear" w:color="auto" w:fill="E6E6E6"/>
        </w:rPr>
        <w:fldChar w:fldCharType="separate"/>
      </w:r>
      <w:r w:rsidR="003D2F4E">
        <w:rPr>
          <w:rFonts w:ascii="Arial Narrow" w:hAnsi="Arial Narrow" w:cs="Tahoma"/>
          <w:b/>
          <w:bCs/>
          <w:noProof/>
          <w:sz w:val="20"/>
        </w:rPr>
        <w:t>6</w:t>
      </w:r>
      <w:r w:rsidRPr="008C522C">
        <w:rPr>
          <w:rFonts w:ascii="Arial Narrow" w:hAnsi="Arial Narrow" w:cs="Tahoma"/>
          <w:b/>
          <w:sz w:val="20"/>
          <w:shd w:val="clear" w:color="auto" w:fill="E6E6E6"/>
        </w:rPr>
        <w:fldChar w:fldCharType="end"/>
      </w:r>
      <w:bookmarkEnd w:id="15"/>
      <w:bookmarkEnd w:id="16"/>
      <w:r w:rsidRPr="008C522C">
        <w:rPr>
          <w:rFonts w:ascii="Arial Narrow" w:hAnsi="Arial Narrow" w:cs="Tahoma"/>
          <w:b/>
          <w:bCs/>
          <w:sz w:val="20"/>
          <w:szCs w:val="22"/>
        </w:rPr>
        <w:tab/>
      </w:r>
      <w:r w:rsidRPr="008C522C">
        <w:rPr>
          <w:rFonts w:ascii="Arial Narrow" w:hAnsi="Arial Narrow" w:cs="Tahoma"/>
          <w:b/>
          <w:bCs/>
          <w:sz w:val="20"/>
        </w:rPr>
        <w:t>Summary of key safety outcomes from the PARTNER 3 trial</w:t>
      </w:r>
    </w:p>
    <w:tbl>
      <w:tblPr>
        <w:tblStyle w:val="HealthConsult1"/>
        <w:tblW w:w="8795" w:type="dxa"/>
        <w:tblLook w:val="04A0" w:firstRow="1" w:lastRow="0" w:firstColumn="1" w:lastColumn="0" w:noHBand="0" w:noVBand="1"/>
        <w:tblDescription w:val="Summary of key safety outcomes from the PARTNER 3 trial"/>
      </w:tblPr>
      <w:tblGrid>
        <w:gridCol w:w="2113"/>
        <w:gridCol w:w="2283"/>
        <w:gridCol w:w="1978"/>
        <w:gridCol w:w="2421"/>
      </w:tblGrid>
      <w:tr w:rsidR="008C522C" w:rsidRPr="003B08F2" w14:paraId="2C190649" w14:textId="77777777" w:rsidTr="008C522C">
        <w:trPr>
          <w:trHeight w:val="20"/>
          <w:tblHeader/>
        </w:trPr>
        <w:tc>
          <w:tcPr>
            <w:tcW w:w="2113" w:type="dxa"/>
          </w:tcPr>
          <w:p w14:paraId="6CC208A4" w14:textId="77777777" w:rsidR="008C522C" w:rsidRPr="000C1F45" w:rsidRDefault="008C522C" w:rsidP="00750CDD">
            <w:pPr>
              <w:keepNext/>
              <w:keepLines/>
              <w:spacing w:after="0"/>
              <w:ind w:left="0"/>
              <w:rPr>
                <w:rFonts w:ascii="Arial Narrow" w:hAnsi="Arial Narrow" w:cs="Tahoma"/>
                <w:b/>
                <w:bCs/>
                <w:sz w:val="20"/>
              </w:rPr>
            </w:pPr>
            <w:r w:rsidRPr="000C1F45">
              <w:rPr>
                <w:rFonts w:ascii="Arial Narrow" w:hAnsi="Arial Narrow" w:cs="Tahoma"/>
                <w:b/>
                <w:bCs/>
                <w:sz w:val="20"/>
              </w:rPr>
              <w:t xml:space="preserve">Time since procedure </w:t>
            </w:r>
          </w:p>
        </w:tc>
        <w:tc>
          <w:tcPr>
            <w:tcW w:w="2283" w:type="dxa"/>
            <w:vAlign w:val="center"/>
          </w:tcPr>
          <w:p w14:paraId="6AD25E2E" w14:textId="77777777" w:rsidR="008C522C" w:rsidRPr="000C1F45" w:rsidRDefault="008C522C" w:rsidP="00750CDD">
            <w:pPr>
              <w:keepNext/>
              <w:keepLines/>
              <w:spacing w:after="0"/>
              <w:ind w:left="0"/>
              <w:jc w:val="center"/>
              <w:rPr>
                <w:rFonts w:ascii="Arial Narrow" w:hAnsi="Arial Narrow" w:cs="Tahoma"/>
                <w:b/>
                <w:bCs/>
                <w:sz w:val="20"/>
              </w:rPr>
            </w:pPr>
            <w:r w:rsidRPr="000C1F45">
              <w:rPr>
                <w:rFonts w:ascii="Arial Narrow" w:hAnsi="Arial Narrow" w:cs="Tahoma"/>
                <w:b/>
                <w:bCs/>
                <w:sz w:val="20"/>
              </w:rPr>
              <w:t>TAVI-BEV</w:t>
            </w:r>
          </w:p>
        </w:tc>
        <w:tc>
          <w:tcPr>
            <w:tcW w:w="1978" w:type="dxa"/>
            <w:vAlign w:val="center"/>
          </w:tcPr>
          <w:p w14:paraId="23740C6A" w14:textId="77777777" w:rsidR="008C522C" w:rsidRPr="000C1F45" w:rsidRDefault="008C522C" w:rsidP="00750CDD">
            <w:pPr>
              <w:keepNext/>
              <w:keepLines/>
              <w:spacing w:after="0"/>
              <w:ind w:left="0"/>
              <w:jc w:val="center"/>
              <w:rPr>
                <w:rFonts w:ascii="Arial Narrow" w:hAnsi="Arial Narrow" w:cs="Tahoma"/>
                <w:b/>
                <w:bCs/>
                <w:sz w:val="20"/>
              </w:rPr>
            </w:pPr>
            <w:r w:rsidRPr="000C1F45">
              <w:rPr>
                <w:rFonts w:ascii="Arial Narrow" w:hAnsi="Arial Narrow" w:cs="Tahoma"/>
                <w:b/>
                <w:bCs/>
                <w:sz w:val="20"/>
              </w:rPr>
              <w:t>SAVR</w:t>
            </w:r>
          </w:p>
        </w:tc>
        <w:tc>
          <w:tcPr>
            <w:tcW w:w="2421" w:type="dxa"/>
            <w:vAlign w:val="center"/>
          </w:tcPr>
          <w:p w14:paraId="360D022B" w14:textId="77777777" w:rsidR="008C522C" w:rsidRPr="000C1F45" w:rsidRDefault="008C522C" w:rsidP="00750CDD">
            <w:pPr>
              <w:keepNext/>
              <w:keepLines/>
              <w:spacing w:after="0"/>
              <w:ind w:left="0"/>
              <w:jc w:val="center"/>
              <w:rPr>
                <w:rFonts w:ascii="Arial Narrow" w:hAnsi="Arial Narrow" w:cs="Tahoma"/>
                <w:b/>
                <w:bCs/>
                <w:sz w:val="20"/>
              </w:rPr>
            </w:pPr>
            <w:r w:rsidRPr="000C1F45">
              <w:rPr>
                <w:rFonts w:ascii="Arial Narrow" w:hAnsi="Arial Narrow" w:cs="Tahoma"/>
                <w:b/>
                <w:bCs/>
                <w:sz w:val="20"/>
              </w:rPr>
              <w:t>Treatment effect (95% CI)</w:t>
            </w:r>
          </w:p>
        </w:tc>
      </w:tr>
      <w:tr w:rsidR="008C522C" w:rsidRPr="003B08F2" w14:paraId="0C928153" w14:textId="77777777" w:rsidTr="008C522C">
        <w:trPr>
          <w:trHeight w:val="20"/>
        </w:trPr>
        <w:tc>
          <w:tcPr>
            <w:tcW w:w="8795" w:type="dxa"/>
            <w:gridSpan w:val="4"/>
          </w:tcPr>
          <w:p w14:paraId="5712F01E" w14:textId="77777777" w:rsidR="008C522C" w:rsidRPr="000C1F45" w:rsidRDefault="008C522C" w:rsidP="00750CDD">
            <w:pPr>
              <w:keepNext/>
              <w:keepLines/>
              <w:spacing w:after="0"/>
              <w:ind w:left="0"/>
              <w:rPr>
                <w:rFonts w:ascii="Arial Narrow" w:hAnsi="Arial Narrow" w:cs="Tahoma"/>
                <w:b/>
                <w:bCs/>
                <w:sz w:val="20"/>
              </w:rPr>
            </w:pPr>
            <w:r w:rsidRPr="000C1F45">
              <w:rPr>
                <w:rFonts w:ascii="Arial Narrow" w:hAnsi="Arial Narrow" w:cs="Tahoma"/>
                <w:b/>
                <w:bCs/>
                <w:sz w:val="20"/>
              </w:rPr>
              <w:t>New left bundle branch block</w:t>
            </w:r>
          </w:p>
        </w:tc>
      </w:tr>
      <w:tr w:rsidR="008C522C" w:rsidRPr="003B08F2" w14:paraId="67E92BE4" w14:textId="77777777" w:rsidTr="008C522C">
        <w:trPr>
          <w:trHeight w:val="20"/>
        </w:trPr>
        <w:tc>
          <w:tcPr>
            <w:tcW w:w="2113" w:type="dxa"/>
          </w:tcPr>
          <w:p w14:paraId="6B77F922" w14:textId="77777777" w:rsidR="008C522C" w:rsidRPr="000C1F45" w:rsidRDefault="008C522C" w:rsidP="00750CDD">
            <w:pPr>
              <w:keepNext/>
              <w:keepLines/>
              <w:spacing w:after="0"/>
              <w:ind w:left="0"/>
              <w:rPr>
                <w:rFonts w:ascii="Arial Narrow" w:hAnsi="Arial Narrow" w:cs="Tahoma"/>
                <w:sz w:val="20"/>
              </w:rPr>
            </w:pPr>
            <w:r w:rsidRPr="000C1F45">
              <w:rPr>
                <w:rFonts w:ascii="Arial Narrow" w:hAnsi="Arial Narrow" w:cs="Tahoma"/>
                <w:sz w:val="20"/>
              </w:rPr>
              <w:t xml:space="preserve">30-days </w:t>
            </w:r>
          </w:p>
        </w:tc>
        <w:tc>
          <w:tcPr>
            <w:tcW w:w="2283" w:type="dxa"/>
            <w:vAlign w:val="center"/>
          </w:tcPr>
          <w:p w14:paraId="749D7F17" w14:textId="6BCA9718" w:rsidR="008C522C" w:rsidRPr="0028577D" w:rsidRDefault="008C522C" w:rsidP="00FF6040">
            <w:pPr>
              <w:keepNext/>
              <w:keepLines/>
              <w:spacing w:after="0"/>
              <w:ind w:left="0"/>
              <w:jc w:val="center"/>
              <w:rPr>
                <w:rFonts w:ascii="Arial Narrow" w:hAnsi="Arial Narrow" w:cs="Tahoma"/>
                <w:sz w:val="20"/>
              </w:rPr>
            </w:pPr>
            <w:r w:rsidRPr="0028577D">
              <w:rPr>
                <w:rFonts w:ascii="Arial Narrow" w:hAnsi="Arial Narrow" w:cs="Tahoma"/>
                <w:sz w:val="20"/>
              </w:rPr>
              <w:t>106/</w:t>
            </w:r>
            <w:r w:rsidR="0095131C" w:rsidRPr="0028577D">
              <w:rPr>
                <w:rFonts w:ascii="Arial Narrow" w:hAnsi="Arial Narrow" w:cs="Tahoma"/>
                <w:sz w:val="20"/>
              </w:rPr>
              <w:t>49</w:t>
            </w:r>
            <w:r w:rsidR="0095131C">
              <w:rPr>
                <w:rFonts w:ascii="Arial Narrow" w:hAnsi="Arial Narrow" w:cs="Tahoma"/>
                <w:sz w:val="20"/>
              </w:rPr>
              <w:t>6</w:t>
            </w:r>
            <w:r w:rsidR="0095131C" w:rsidRPr="0028577D">
              <w:rPr>
                <w:rFonts w:ascii="Arial Narrow" w:hAnsi="Arial Narrow" w:cs="Tahoma"/>
                <w:sz w:val="20"/>
              </w:rPr>
              <w:t xml:space="preserve"> </w:t>
            </w:r>
            <w:r w:rsidRPr="0028577D">
              <w:rPr>
                <w:rFonts w:ascii="Arial Narrow" w:hAnsi="Arial Narrow" w:cs="Tahoma"/>
                <w:sz w:val="20"/>
              </w:rPr>
              <w:t>(22.0%)</w:t>
            </w:r>
          </w:p>
        </w:tc>
        <w:tc>
          <w:tcPr>
            <w:tcW w:w="1978" w:type="dxa"/>
            <w:vAlign w:val="center"/>
          </w:tcPr>
          <w:p w14:paraId="59218B5E" w14:textId="77777777" w:rsidR="008C522C" w:rsidRPr="0028577D" w:rsidRDefault="008C522C" w:rsidP="00750CDD">
            <w:pPr>
              <w:keepNext/>
              <w:keepLines/>
              <w:spacing w:after="0"/>
              <w:ind w:left="0"/>
              <w:jc w:val="center"/>
              <w:rPr>
                <w:rFonts w:ascii="Arial Narrow" w:hAnsi="Arial Narrow" w:cs="Tahoma"/>
                <w:sz w:val="20"/>
              </w:rPr>
            </w:pPr>
            <w:r w:rsidRPr="0028577D">
              <w:rPr>
                <w:rFonts w:ascii="Arial Narrow" w:hAnsi="Arial Narrow" w:cs="Tahoma"/>
                <w:sz w:val="20"/>
              </w:rPr>
              <w:t>35/454 (8%)</w:t>
            </w:r>
          </w:p>
        </w:tc>
        <w:tc>
          <w:tcPr>
            <w:tcW w:w="2421" w:type="dxa"/>
            <w:vAlign w:val="center"/>
          </w:tcPr>
          <w:p w14:paraId="76EC7248" w14:textId="77777777" w:rsidR="008C522C" w:rsidRPr="0028577D" w:rsidRDefault="008C522C" w:rsidP="00750CDD">
            <w:pPr>
              <w:keepNext/>
              <w:keepLines/>
              <w:spacing w:after="0"/>
              <w:ind w:left="0"/>
              <w:jc w:val="center"/>
              <w:rPr>
                <w:rFonts w:ascii="Arial Narrow" w:hAnsi="Arial Narrow" w:cs="Tahoma"/>
                <w:b/>
                <w:bCs/>
                <w:sz w:val="20"/>
              </w:rPr>
            </w:pPr>
            <w:r w:rsidRPr="0028577D">
              <w:rPr>
                <w:rFonts w:ascii="Arial Narrow" w:hAnsi="Arial Narrow" w:cs="Tahoma"/>
                <w:b/>
                <w:bCs/>
                <w:sz w:val="20"/>
              </w:rPr>
              <w:t>3.17 (2.13, 4.72)</w:t>
            </w:r>
          </w:p>
        </w:tc>
      </w:tr>
      <w:tr w:rsidR="008C522C" w:rsidRPr="003B08F2" w14:paraId="39E7F86B" w14:textId="77777777" w:rsidTr="008C522C">
        <w:trPr>
          <w:trHeight w:val="20"/>
        </w:trPr>
        <w:tc>
          <w:tcPr>
            <w:tcW w:w="2113" w:type="dxa"/>
          </w:tcPr>
          <w:p w14:paraId="7745ADDB" w14:textId="77777777" w:rsidR="008C522C" w:rsidRPr="000C1F45" w:rsidRDefault="008C522C" w:rsidP="00750CDD">
            <w:pPr>
              <w:keepNext/>
              <w:keepLines/>
              <w:spacing w:after="0"/>
              <w:ind w:left="0"/>
              <w:rPr>
                <w:rFonts w:ascii="Arial Narrow" w:hAnsi="Arial Narrow" w:cs="Tahoma"/>
                <w:sz w:val="20"/>
              </w:rPr>
            </w:pPr>
            <w:r w:rsidRPr="000C1F45">
              <w:rPr>
                <w:rFonts w:ascii="Arial Narrow" w:hAnsi="Arial Narrow" w:cs="Tahoma"/>
                <w:sz w:val="20"/>
              </w:rPr>
              <w:t xml:space="preserve">1-year </w:t>
            </w:r>
          </w:p>
        </w:tc>
        <w:tc>
          <w:tcPr>
            <w:tcW w:w="2283" w:type="dxa"/>
            <w:vAlign w:val="center"/>
          </w:tcPr>
          <w:p w14:paraId="472B9734" w14:textId="35BBED10" w:rsidR="008C522C" w:rsidRPr="0028577D" w:rsidRDefault="008C522C" w:rsidP="00FF6040">
            <w:pPr>
              <w:keepNext/>
              <w:keepLines/>
              <w:spacing w:after="0"/>
              <w:ind w:left="0"/>
              <w:jc w:val="center"/>
              <w:rPr>
                <w:rFonts w:ascii="Arial Narrow" w:hAnsi="Arial Narrow" w:cs="Tahoma"/>
                <w:sz w:val="20"/>
              </w:rPr>
            </w:pPr>
            <w:r w:rsidRPr="0028577D">
              <w:rPr>
                <w:rFonts w:ascii="Arial Narrow" w:hAnsi="Arial Narrow" w:cs="Tahoma"/>
                <w:sz w:val="20"/>
              </w:rPr>
              <w:t>114/</w:t>
            </w:r>
            <w:r w:rsidR="0095131C" w:rsidRPr="0028577D">
              <w:rPr>
                <w:rFonts w:ascii="Arial Narrow" w:hAnsi="Arial Narrow" w:cs="Tahoma"/>
                <w:sz w:val="20"/>
              </w:rPr>
              <w:t>49</w:t>
            </w:r>
            <w:r w:rsidR="0095131C">
              <w:rPr>
                <w:rFonts w:ascii="Arial Narrow" w:hAnsi="Arial Narrow" w:cs="Tahoma"/>
                <w:sz w:val="20"/>
              </w:rPr>
              <w:t>6</w:t>
            </w:r>
            <w:r w:rsidR="0095131C" w:rsidRPr="0028577D">
              <w:rPr>
                <w:rFonts w:ascii="Arial Narrow" w:hAnsi="Arial Narrow" w:cs="Tahoma"/>
                <w:sz w:val="20"/>
              </w:rPr>
              <w:t xml:space="preserve"> </w:t>
            </w:r>
            <w:r w:rsidRPr="0028577D">
              <w:rPr>
                <w:rFonts w:ascii="Arial Narrow" w:hAnsi="Arial Narrow" w:cs="Tahoma"/>
                <w:sz w:val="20"/>
              </w:rPr>
              <w:t>(23.7%)</w:t>
            </w:r>
          </w:p>
        </w:tc>
        <w:tc>
          <w:tcPr>
            <w:tcW w:w="1978" w:type="dxa"/>
            <w:vAlign w:val="center"/>
          </w:tcPr>
          <w:p w14:paraId="6E548E6A" w14:textId="77777777" w:rsidR="008C522C" w:rsidRPr="0028577D" w:rsidRDefault="008C522C" w:rsidP="00750CDD">
            <w:pPr>
              <w:keepNext/>
              <w:keepLines/>
              <w:spacing w:after="0"/>
              <w:ind w:left="0"/>
              <w:jc w:val="center"/>
              <w:rPr>
                <w:rFonts w:ascii="Arial Narrow" w:hAnsi="Arial Narrow" w:cs="Tahoma"/>
                <w:sz w:val="20"/>
              </w:rPr>
            </w:pPr>
            <w:r w:rsidRPr="0028577D">
              <w:rPr>
                <w:rFonts w:ascii="Arial Narrow" w:hAnsi="Arial Narrow" w:cs="Tahoma"/>
                <w:sz w:val="20"/>
              </w:rPr>
              <w:t>35/454 (8.0%)</w:t>
            </w:r>
          </w:p>
        </w:tc>
        <w:tc>
          <w:tcPr>
            <w:tcW w:w="2421" w:type="dxa"/>
            <w:vAlign w:val="center"/>
          </w:tcPr>
          <w:p w14:paraId="3CE86142" w14:textId="77777777" w:rsidR="008C522C" w:rsidRPr="0028577D" w:rsidRDefault="008C522C" w:rsidP="00750CDD">
            <w:pPr>
              <w:keepNext/>
              <w:keepLines/>
              <w:spacing w:after="0"/>
              <w:ind w:left="0"/>
              <w:jc w:val="center"/>
              <w:rPr>
                <w:rFonts w:ascii="Arial Narrow" w:hAnsi="Arial Narrow" w:cs="Tahoma"/>
                <w:sz w:val="20"/>
              </w:rPr>
            </w:pPr>
            <w:r w:rsidRPr="0028577D">
              <w:rPr>
                <w:rFonts w:ascii="Arial Narrow" w:hAnsi="Arial Narrow" w:cs="Tahoma"/>
                <w:b/>
                <w:bCs/>
                <w:sz w:val="20"/>
              </w:rPr>
              <w:t>3.43 (2.32, 5.08)</w:t>
            </w:r>
          </w:p>
        </w:tc>
      </w:tr>
      <w:tr w:rsidR="008C522C" w:rsidRPr="003B08F2" w14:paraId="5396477C" w14:textId="77777777" w:rsidTr="008C522C">
        <w:trPr>
          <w:trHeight w:val="20"/>
        </w:trPr>
        <w:tc>
          <w:tcPr>
            <w:tcW w:w="2113" w:type="dxa"/>
          </w:tcPr>
          <w:p w14:paraId="1331F9BD" w14:textId="77777777" w:rsidR="008C522C" w:rsidRPr="000C1F45" w:rsidRDefault="008C522C" w:rsidP="00750CDD">
            <w:pPr>
              <w:keepNext/>
              <w:keepLines/>
              <w:spacing w:after="0"/>
              <w:ind w:left="0"/>
              <w:rPr>
                <w:rFonts w:ascii="Arial Narrow" w:hAnsi="Arial Narrow" w:cs="Tahoma"/>
                <w:sz w:val="20"/>
              </w:rPr>
            </w:pPr>
            <w:r w:rsidRPr="000C1F45">
              <w:rPr>
                <w:rFonts w:ascii="Arial Narrow" w:hAnsi="Arial Narrow" w:cs="Tahoma"/>
                <w:i/>
                <w:iCs/>
                <w:sz w:val="20"/>
              </w:rPr>
              <w:t xml:space="preserve">2-years </w:t>
            </w:r>
          </w:p>
        </w:tc>
        <w:tc>
          <w:tcPr>
            <w:tcW w:w="2283" w:type="dxa"/>
            <w:vAlign w:val="center"/>
          </w:tcPr>
          <w:p w14:paraId="7F468B77" w14:textId="2AD16C79" w:rsidR="008C522C" w:rsidRPr="00CF5548" w:rsidRDefault="008C522C" w:rsidP="00FF6040">
            <w:pPr>
              <w:keepNext/>
              <w:keepLines/>
              <w:spacing w:after="0"/>
              <w:ind w:left="0"/>
              <w:jc w:val="center"/>
              <w:rPr>
                <w:rFonts w:ascii="Arial Narrow" w:hAnsi="Arial Narrow" w:cs="Tahoma"/>
                <w:sz w:val="20"/>
              </w:rPr>
            </w:pPr>
            <w:r w:rsidRPr="00CF5548">
              <w:rPr>
                <w:rFonts w:ascii="Arial Narrow" w:hAnsi="Arial Narrow" w:cs="Tahoma"/>
                <w:i/>
                <w:iCs/>
                <w:sz w:val="20"/>
              </w:rPr>
              <w:t>117/</w:t>
            </w:r>
            <w:r w:rsidR="0095131C" w:rsidRPr="00CF5548">
              <w:rPr>
                <w:rFonts w:ascii="Arial Narrow" w:hAnsi="Arial Narrow" w:cs="Tahoma"/>
                <w:i/>
                <w:iCs/>
                <w:sz w:val="20"/>
              </w:rPr>
              <w:t>49</w:t>
            </w:r>
            <w:r w:rsidR="0095131C">
              <w:rPr>
                <w:rFonts w:ascii="Arial Narrow" w:hAnsi="Arial Narrow" w:cs="Tahoma"/>
                <w:i/>
                <w:iCs/>
                <w:sz w:val="20"/>
              </w:rPr>
              <w:t>6</w:t>
            </w:r>
            <w:r w:rsidR="0095131C" w:rsidRPr="00CF5548">
              <w:rPr>
                <w:rFonts w:ascii="Arial Narrow" w:hAnsi="Arial Narrow" w:cs="Tahoma"/>
                <w:i/>
                <w:iCs/>
                <w:sz w:val="20"/>
              </w:rPr>
              <w:t xml:space="preserve"> </w:t>
            </w:r>
            <w:r w:rsidRPr="00CF5548">
              <w:rPr>
                <w:rFonts w:ascii="Arial Narrow" w:hAnsi="Arial Narrow" w:cs="Tahoma"/>
                <w:i/>
                <w:iCs/>
                <w:sz w:val="20"/>
              </w:rPr>
              <w:t>(24.4%)</w:t>
            </w:r>
          </w:p>
        </w:tc>
        <w:tc>
          <w:tcPr>
            <w:tcW w:w="1978" w:type="dxa"/>
            <w:vAlign w:val="center"/>
          </w:tcPr>
          <w:p w14:paraId="50616331" w14:textId="77777777" w:rsidR="008C522C" w:rsidRPr="00CF5548" w:rsidRDefault="008C522C" w:rsidP="00750CDD">
            <w:pPr>
              <w:keepNext/>
              <w:keepLines/>
              <w:spacing w:after="0"/>
              <w:ind w:left="0"/>
              <w:jc w:val="center"/>
              <w:rPr>
                <w:rFonts w:ascii="Arial Narrow" w:hAnsi="Arial Narrow" w:cs="Tahoma"/>
                <w:sz w:val="20"/>
              </w:rPr>
            </w:pPr>
            <w:r w:rsidRPr="00CF5548">
              <w:rPr>
                <w:rFonts w:ascii="Arial Narrow" w:hAnsi="Arial Narrow" w:cs="Tahoma"/>
                <w:i/>
                <w:iCs/>
                <w:sz w:val="20"/>
              </w:rPr>
              <w:t>41/454 (9.4%)</w:t>
            </w:r>
          </w:p>
        </w:tc>
        <w:tc>
          <w:tcPr>
            <w:tcW w:w="2421" w:type="dxa"/>
            <w:vAlign w:val="center"/>
          </w:tcPr>
          <w:p w14:paraId="43273E85" w14:textId="37D30FF1" w:rsidR="008C522C" w:rsidRPr="00CF5548" w:rsidRDefault="008C522C" w:rsidP="00FF6040">
            <w:pPr>
              <w:keepNext/>
              <w:keepLines/>
              <w:spacing w:after="0"/>
              <w:ind w:left="0"/>
              <w:jc w:val="center"/>
              <w:rPr>
                <w:rFonts w:ascii="Arial Narrow" w:hAnsi="Arial Narrow" w:cs="Tahoma"/>
                <w:sz w:val="20"/>
              </w:rPr>
            </w:pPr>
            <w:r w:rsidRPr="00CF5548">
              <w:rPr>
                <w:rFonts w:ascii="Arial Narrow" w:hAnsi="Arial Narrow" w:cs="Tahoma"/>
                <w:b/>
                <w:bCs/>
                <w:i/>
                <w:iCs/>
                <w:sz w:val="20"/>
              </w:rPr>
              <w:t>2.</w:t>
            </w:r>
            <w:r w:rsidR="0095131C" w:rsidRPr="00CF5548">
              <w:rPr>
                <w:rFonts w:ascii="Arial Narrow" w:hAnsi="Arial Narrow" w:cs="Tahoma"/>
                <w:b/>
                <w:bCs/>
                <w:i/>
                <w:iCs/>
                <w:sz w:val="20"/>
              </w:rPr>
              <w:t>6</w:t>
            </w:r>
            <w:r w:rsidR="0095131C">
              <w:rPr>
                <w:rFonts w:ascii="Arial Narrow" w:hAnsi="Arial Narrow" w:cs="Tahoma"/>
                <w:b/>
                <w:bCs/>
                <w:i/>
                <w:iCs/>
                <w:sz w:val="20"/>
              </w:rPr>
              <w:t>1</w:t>
            </w:r>
            <w:r w:rsidR="0095131C" w:rsidRPr="00CF5548">
              <w:rPr>
                <w:rFonts w:ascii="Arial Narrow" w:hAnsi="Arial Narrow" w:cs="Tahoma"/>
                <w:b/>
                <w:bCs/>
                <w:i/>
                <w:iCs/>
                <w:sz w:val="20"/>
              </w:rPr>
              <w:t xml:space="preserve"> </w:t>
            </w:r>
            <w:r w:rsidRPr="00CF5548">
              <w:rPr>
                <w:rFonts w:ascii="Arial Narrow" w:hAnsi="Arial Narrow" w:cs="Tahoma"/>
                <w:b/>
                <w:bCs/>
                <w:i/>
                <w:iCs/>
                <w:sz w:val="20"/>
              </w:rPr>
              <w:t>(1.8</w:t>
            </w:r>
            <w:r w:rsidR="00422139">
              <w:rPr>
                <w:rFonts w:ascii="Arial Narrow" w:hAnsi="Arial Narrow" w:cs="Tahoma"/>
                <w:b/>
                <w:bCs/>
                <w:i/>
                <w:iCs/>
                <w:sz w:val="20"/>
              </w:rPr>
              <w:t>7</w:t>
            </w:r>
            <w:r w:rsidRPr="00CF5548">
              <w:rPr>
                <w:rFonts w:ascii="Arial Narrow" w:hAnsi="Arial Narrow" w:cs="Tahoma"/>
                <w:b/>
                <w:bCs/>
                <w:i/>
                <w:iCs/>
                <w:sz w:val="20"/>
              </w:rPr>
              <w:t>, 3.</w:t>
            </w:r>
            <w:r w:rsidR="00422139">
              <w:rPr>
                <w:rFonts w:ascii="Arial Narrow" w:hAnsi="Arial Narrow" w:cs="Tahoma"/>
                <w:b/>
                <w:bCs/>
                <w:i/>
                <w:iCs/>
                <w:sz w:val="20"/>
              </w:rPr>
              <w:t>64</w:t>
            </w:r>
            <w:r w:rsidRPr="00CF5548">
              <w:rPr>
                <w:rFonts w:ascii="Arial Narrow" w:hAnsi="Arial Narrow" w:cs="Tahoma"/>
                <w:b/>
                <w:bCs/>
                <w:i/>
                <w:iCs/>
                <w:sz w:val="20"/>
              </w:rPr>
              <w:t>)</w:t>
            </w:r>
          </w:p>
        </w:tc>
      </w:tr>
      <w:tr w:rsidR="008C522C" w:rsidRPr="003B08F2" w14:paraId="2FE8A203" w14:textId="77777777" w:rsidTr="008C522C">
        <w:trPr>
          <w:trHeight w:val="46"/>
        </w:trPr>
        <w:tc>
          <w:tcPr>
            <w:tcW w:w="8795" w:type="dxa"/>
            <w:gridSpan w:val="4"/>
            <w:vAlign w:val="center"/>
          </w:tcPr>
          <w:p w14:paraId="474151B7" w14:textId="34B1E526" w:rsidR="008C522C" w:rsidRPr="000C1F45" w:rsidRDefault="008C522C" w:rsidP="00750CDD">
            <w:pPr>
              <w:keepNext/>
              <w:keepLines/>
              <w:spacing w:after="0"/>
              <w:ind w:left="0"/>
              <w:rPr>
                <w:rFonts w:ascii="Arial Narrow" w:hAnsi="Arial Narrow" w:cs="Tahoma"/>
                <w:b/>
                <w:bCs/>
                <w:sz w:val="20"/>
              </w:rPr>
            </w:pPr>
            <w:r w:rsidRPr="000C1F45">
              <w:rPr>
                <w:rFonts w:ascii="Arial Narrow" w:hAnsi="Arial Narrow" w:cs="Tahoma"/>
                <w:b/>
                <w:bCs/>
                <w:sz w:val="20"/>
              </w:rPr>
              <w:t>Rate of paravalvular regurgitation</w:t>
            </w:r>
          </w:p>
        </w:tc>
      </w:tr>
      <w:tr w:rsidR="008C522C" w:rsidRPr="003B08F2" w14:paraId="39E60454" w14:textId="77777777" w:rsidTr="008C522C">
        <w:trPr>
          <w:trHeight w:val="51"/>
        </w:trPr>
        <w:tc>
          <w:tcPr>
            <w:tcW w:w="2113" w:type="dxa"/>
          </w:tcPr>
          <w:p w14:paraId="0A9C2057" w14:textId="77777777" w:rsidR="008C522C" w:rsidRPr="000C1F45" w:rsidRDefault="008C522C" w:rsidP="00750CDD">
            <w:pPr>
              <w:spacing w:after="0"/>
              <w:ind w:left="0"/>
              <w:rPr>
                <w:rFonts w:ascii="Arial Narrow" w:hAnsi="Arial Narrow" w:cs="Tahoma"/>
                <w:sz w:val="20"/>
              </w:rPr>
            </w:pPr>
            <w:r w:rsidRPr="000C1F45">
              <w:rPr>
                <w:rFonts w:ascii="Arial Narrow" w:hAnsi="Arial Narrow" w:cs="Tahoma"/>
                <w:sz w:val="20"/>
              </w:rPr>
              <w:t xml:space="preserve">30-days </w:t>
            </w:r>
          </w:p>
          <w:p w14:paraId="22915584" w14:textId="77777777" w:rsidR="008C522C" w:rsidRPr="000C1F45" w:rsidRDefault="008C522C" w:rsidP="00750CDD">
            <w:pPr>
              <w:numPr>
                <w:ilvl w:val="0"/>
                <w:numId w:val="33"/>
              </w:numPr>
              <w:spacing w:after="0"/>
              <w:ind w:left="0" w:hanging="108"/>
              <w:jc w:val="both"/>
              <w:rPr>
                <w:rFonts w:ascii="Arial Narrow" w:hAnsi="Arial Narrow" w:cs="Calibri"/>
                <w:sz w:val="20"/>
              </w:rPr>
            </w:pPr>
            <w:r w:rsidRPr="000C1F45">
              <w:rPr>
                <w:rFonts w:ascii="Arial Narrow" w:hAnsi="Arial Narrow" w:cs="Calibri"/>
                <w:sz w:val="20"/>
              </w:rPr>
              <w:t>None-trace</w:t>
            </w:r>
          </w:p>
          <w:p w14:paraId="3C8A6D5D" w14:textId="77777777" w:rsidR="008C522C" w:rsidRPr="000C1F45" w:rsidRDefault="008C522C" w:rsidP="00750CDD">
            <w:pPr>
              <w:numPr>
                <w:ilvl w:val="0"/>
                <w:numId w:val="33"/>
              </w:numPr>
              <w:spacing w:after="0"/>
              <w:ind w:left="0" w:hanging="108"/>
              <w:jc w:val="both"/>
              <w:rPr>
                <w:rFonts w:ascii="Arial Narrow" w:hAnsi="Arial Narrow" w:cs="Calibri"/>
                <w:sz w:val="20"/>
              </w:rPr>
            </w:pPr>
            <w:r w:rsidRPr="000C1F45">
              <w:rPr>
                <w:rFonts w:ascii="Arial Narrow" w:hAnsi="Arial Narrow" w:cs="Calibri"/>
                <w:sz w:val="20"/>
              </w:rPr>
              <w:t>Mild</w:t>
            </w:r>
          </w:p>
          <w:p w14:paraId="25925C68" w14:textId="77777777" w:rsidR="008C522C" w:rsidRPr="000C1F45" w:rsidRDefault="008C522C" w:rsidP="00750CDD">
            <w:pPr>
              <w:numPr>
                <w:ilvl w:val="0"/>
                <w:numId w:val="33"/>
              </w:numPr>
              <w:spacing w:after="0"/>
              <w:ind w:left="0" w:hanging="108"/>
              <w:jc w:val="both"/>
              <w:rPr>
                <w:rFonts w:ascii="Arial Narrow" w:hAnsi="Arial Narrow" w:cs="Tahoma"/>
                <w:sz w:val="20"/>
              </w:rPr>
            </w:pPr>
            <w:r w:rsidRPr="000C1F45">
              <w:rPr>
                <w:rFonts w:ascii="Arial Narrow" w:hAnsi="Arial Narrow" w:cs="Calibri"/>
                <w:sz w:val="20"/>
              </w:rPr>
              <w:t>≥Moderate</w:t>
            </w:r>
          </w:p>
        </w:tc>
        <w:tc>
          <w:tcPr>
            <w:tcW w:w="2283" w:type="dxa"/>
            <w:vAlign w:val="bottom"/>
          </w:tcPr>
          <w:p w14:paraId="7AEFD087" w14:textId="77777777" w:rsidR="008C522C" w:rsidRPr="000C1F45" w:rsidRDefault="008C522C" w:rsidP="00750CDD">
            <w:pPr>
              <w:spacing w:after="0"/>
              <w:ind w:left="0"/>
              <w:jc w:val="center"/>
              <w:rPr>
                <w:rFonts w:ascii="Arial Narrow" w:hAnsi="Arial Narrow" w:cs="Tahoma"/>
                <w:sz w:val="20"/>
              </w:rPr>
            </w:pPr>
            <w:r w:rsidRPr="000C1F45">
              <w:rPr>
                <w:rFonts w:ascii="Arial Narrow" w:hAnsi="Arial Narrow" w:cs="Tahoma"/>
                <w:sz w:val="20"/>
              </w:rPr>
              <w:t>343/487 (70.4%)</w:t>
            </w:r>
          </w:p>
          <w:p w14:paraId="5D1FC793" w14:textId="77777777" w:rsidR="008C522C" w:rsidRPr="000C1F45" w:rsidRDefault="008C522C" w:rsidP="00750CDD">
            <w:pPr>
              <w:spacing w:after="0"/>
              <w:ind w:left="0"/>
              <w:jc w:val="center"/>
              <w:rPr>
                <w:rFonts w:ascii="Arial Narrow" w:hAnsi="Arial Narrow" w:cs="Tahoma"/>
                <w:sz w:val="20"/>
              </w:rPr>
            </w:pPr>
            <w:r w:rsidRPr="000C1F45">
              <w:rPr>
                <w:rFonts w:ascii="Arial Narrow" w:hAnsi="Arial Narrow" w:cs="Tahoma"/>
                <w:sz w:val="20"/>
              </w:rPr>
              <w:t>140/487 (28.7)</w:t>
            </w:r>
          </w:p>
          <w:p w14:paraId="2738280C" w14:textId="77777777" w:rsidR="008C522C" w:rsidRPr="000C1F45" w:rsidRDefault="008C522C" w:rsidP="00750CDD">
            <w:pPr>
              <w:spacing w:after="0"/>
              <w:ind w:left="0"/>
              <w:jc w:val="center"/>
              <w:rPr>
                <w:rFonts w:ascii="Arial Narrow" w:hAnsi="Arial Narrow" w:cs="Tahoma"/>
                <w:sz w:val="20"/>
              </w:rPr>
            </w:pPr>
            <w:r w:rsidRPr="000C1F45">
              <w:rPr>
                <w:rFonts w:ascii="Arial Narrow" w:hAnsi="Arial Narrow" w:cs="Tahoma"/>
                <w:sz w:val="20"/>
              </w:rPr>
              <w:t>4/487 (0.8%)</w:t>
            </w:r>
          </w:p>
        </w:tc>
        <w:tc>
          <w:tcPr>
            <w:tcW w:w="1978" w:type="dxa"/>
            <w:vAlign w:val="bottom"/>
          </w:tcPr>
          <w:p w14:paraId="30651F70" w14:textId="77777777" w:rsidR="008C522C" w:rsidRPr="000C1F45" w:rsidRDefault="008C522C" w:rsidP="00750CDD">
            <w:pPr>
              <w:spacing w:after="0"/>
              <w:ind w:left="0"/>
              <w:jc w:val="center"/>
              <w:rPr>
                <w:rFonts w:ascii="Arial Narrow" w:hAnsi="Arial Narrow" w:cs="Tahoma"/>
                <w:sz w:val="20"/>
              </w:rPr>
            </w:pPr>
          </w:p>
          <w:p w14:paraId="3273E5AD" w14:textId="77777777" w:rsidR="008C522C" w:rsidRPr="000C1F45" w:rsidRDefault="008C522C" w:rsidP="00750CDD">
            <w:pPr>
              <w:spacing w:after="0"/>
              <w:ind w:left="0"/>
              <w:jc w:val="center"/>
              <w:rPr>
                <w:rFonts w:ascii="Arial Narrow" w:hAnsi="Arial Narrow" w:cs="Tahoma"/>
                <w:sz w:val="20"/>
              </w:rPr>
            </w:pPr>
            <w:r w:rsidRPr="000C1F45">
              <w:rPr>
                <w:rFonts w:ascii="Arial Narrow" w:hAnsi="Arial Narrow" w:cs="Tahoma"/>
                <w:sz w:val="20"/>
              </w:rPr>
              <w:t>409/421 (97.1%)</w:t>
            </w:r>
          </w:p>
          <w:p w14:paraId="233EFD75" w14:textId="77777777" w:rsidR="008C522C" w:rsidRPr="000C1F45" w:rsidRDefault="008C522C" w:rsidP="00750CDD">
            <w:pPr>
              <w:spacing w:after="0"/>
              <w:ind w:left="0"/>
              <w:jc w:val="center"/>
              <w:rPr>
                <w:rFonts w:ascii="Arial Narrow" w:hAnsi="Arial Narrow" w:cs="Tahoma"/>
                <w:sz w:val="20"/>
              </w:rPr>
            </w:pPr>
            <w:r w:rsidRPr="000C1F45">
              <w:rPr>
                <w:rFonts w:ascii="Arial Narrow" w:hAnsi="Arial Narrow" w:cs="Tahoma"/>
                <w:sz w:val="20"/>
              </w:rPr>
              <w:t>12/421 (2.9%)</w:t>
            </w:r>
          </w:p>
          <w:p w14:paraId="428E42A7" w14:textId="77777777" w:rsidR="008C522C" w:rsidRPr="000C1F45" w:rsidRDefault="008C522C" w:rsidP="00750CDD">
            <w:pPr>
              <w:spacing w:after="0"/>
              <w:ind w:left="0"/>
              <w:jc w:val="center"/>
              <w:rPr>
                <w:rFonts w:ascii="Arial Narrow" w:hAnsi="Arial Narrow" w:cs="Tahoma"/>
                <w:sz w:val="20"/>
              </w:rPr>
            </w:pPr>
            <w:r w:rsidRPr="000C1F45">
              <w:rPr>
                <w:rFonts w:ascii="Arial Narrow" w:hAnsi="Arial Narrow" w:cs="Tahoma"/>
                <w:sz w:val="20"/>
              </w:rPr>
              <w:t>0/421 (0%)</w:t>
            </w:r>
          </w:p>
        </w:tc>
        <w:tc>
          <w:tcPr>
            <w:tcW w:w="2421" w:type="dxa"/>
            <w:vAlign w:val="bottom"/>
          </w:tcPr>
          <w:p w14:paraId="669FCFA4" w14:textId="77777777" w:rsidR="008C522C" w:rsidRPr="002800B7" w:rsidRDefault="008C522C" w:rsidP="00750CDD">
            <w:pPr>
              <w:spacing w:after="0"/>
              <w:ind w:left="0"/>
              <w:jc w:val="center"/>
              <w:rPr>
                <w:rFonts w:ascii="Arial Narrow" w:hAnsi="Arial Narrow" w:cs="Calibri"/>
                <w:sz w:val="20"/>
              </w:rPr>
            </w:pPr>
          </w:p>
          <w:p w14:paraId="1BEDB1A7" w14:textId="75383D69" w:rsidR="008C522C" w:rsidRPr="002800B7" w:rsidRDefault="00E75B03" w:rsidP="00750CDD">
            <w:pPr>
              <w:spacing w:after="0"/>
              <w:ind w:left="0"/>
              <w:jc w:val="center"/>
              <w:rPr>
                <w:rFonts w:ascii="Arial Narrow" w:hAnsi="Arial Narrow" w:cs="Calibri"/>
                <w:b/>
                <w:bCs/>
                <w:sz w:val="20"/>
              </w:rPr>
            </w:pPr>
            <w:r w:rsidRPr="002800B7">
              <w:rPr>
                <w:rFonts w:ascii="Arial Narrow" w:hAnsi="Arial Narrow" w:cs="Calibri"/>
                <w:b/>
                <w:bCs/>
                <w:sz w:val="20"/>
              </w:rPr>
              <w:t>REDACTED</w:t>
            </w:r>
            <w:r w:rsidR="008C522C" w:rsidRPr="002800B7">
              <w:rPr>
                <w:rFonts w:ascii="Arial Narrow" w:hAnsi="Arial Narrow" w:cs="Calibri"/>
                <w:b/>
                <w:bCs/>
                <w:sz w:val="20"/>
              </w:rPr>
              <w:t xml:space="preserve"> </w:t>
            </w:r>
          </w:p>
          <w:p w14:paraId="08C51CCD" w14:textId="695E413F" w:rsidR="008C522C" w:rsidRPr="002800B7" w:rsidRDefault="00E75B03" w:rsidP="00750CDD">
            <w:pPr>
              <w:spacing w:after="0"/>
              <w:ind w:left="0"/>
              <w:jc w:val="center"/>
              <w:rPr>
                <w:rFonts w:ascii="Arial Narrow" w:hAnsi="Arial Narrow" w:cs="Calibri"/>
                <w:sz w:val="20"/>
              </w:rPr>
            </w:pPr>
            <w:r w:rsidRPr="002800B7">
              <w:rPr>
                <w:rFonts w:ascii="Arial Narrow" w:hAnsi="Arial Narrow" w:cs="Calibri"/>
                <w:b/>
                <w:bCs/>
                <w:sz w:val="20"/>
              </w:rPr>
              <w:t>REDACTED</w:t>
            </w:r>
          </w:p>
          <w:p w14:paraId="0CEEA2BE" w14:textId="0E17F34A" w:rsidR="008C522C" w:rsidRPr="002800B7" w:rsidRDefault="00E75B03" w:rsidP="00E75B03">
            <w:pPr>
              <w:spacing w:after="0"/>
              <w:ind w:left="0"/>
              <w:jc w:val="center"/>
              <w:rPr>
                <w:rFonts w:ascii="Arial Narrow" w:hAnsi="Arial Narrow" w:cs="Tahoma"/>
                <w:sz w:val="20"/>
              </w:rPr>
            </w:pPr>
            <w:r w:rsidRPr="002800B7">
              <w:rPr>
                <w:rFonts w:ascii="Arial Narrow" w:hAnsi="Arial Narrow" w:cs="Calibri"/>
                <w:b/>
                <w:bCs/>
                <w:sz w:val="20"/>
              </w:rPr>
              <w:t>REDACTED</w:t>
            </w:r>
          </w:p>
        </w:tc>
      </w:tr>
      <w:tr w:rsidR="008C522C" w:rsidRPr="003B08F2" w14:paraId="58A07638" w14:textId="77777777" w:rsidTr="008C522C">
        <w:trPr>
          <w:trHeight w:val="51"/>
        </w:trPr>
        <w:tc>
          <w:tcPr>
            <w:tcW w:w="2113" w:type="dxa"/>
          </w:tcPr>
          <w:p w14:paraId="4840D1EC" w14:textId="77777777" w:rsidR="008C522C" w:rsidRPr="000C1F45" w:rsidRDefault="008C522C" w:rsidP="00750CDD">
            <w:pPr>
              <w:spacing w:after="0"/>
              <w:ind w:left="0"/>
              <w:rPr>
                <w:rFonts w:ascii="Arial Narrow" w:hAnsi="Arial Narrow" w:cs="Tahoma"/>
                <w:sz w:val="20"/>
              </w:rPr>
            </w:pPr>
            <w:r w:rsidRPr="000C1F45">
              <w:rPr>
                <w:rFonts w:ascii="Arial Narrow" w:hAnsi="Arial Narrow" w:cs="Tahoma"/>
                <w:sz w:val="20"/>
              </w:rPr>
              <w:t>1-year</w:t>
            </w:r>
          </w:p>
          <w:p w14:paraId="79C2288B" w14:textId="77777777" w:rsidR="008C522C" w:rsidRPr="000C1F45" w:rsidRDefault="008C522C" w:rsidP="00750CDD">
            <w:pPr>
              <w:numPr>
                <w:ilvl w:val="0"/>
                <w:numId w:val="33"/>
              </w:numPr>
              <w:spacing w:after="0"/>
              <w:ind w:left="0" w:hanging="108"/>
              <w:jc w:val="both"/>
              <w:rPr>
                <w:rFonts w:ascii="Arial Narrow" w:hAnsi="Arial Narrow" w:cs="Calibri"/>
                <w:sz w:val="20"/>
              </w:rPr>
            </w:pPr>
            <w:r w:rsidRPr="000C1F45">
              <w:rPr>
                <w:rFonts w:ascii="Arial Narrow" w:hAnsi="Arial Narrow" w:cs="Calibri"/>
                <w:sz w:val="20"/>
              </w:rPr>
              <w:t>None-trace</w:t>
            </w:r>
          </w:p>
          <w:p w14:paraId="289A4639" w14:textId="77777777" w:rsidR="008C522C" w:rsidRPr="000C1F45" w:rsidRDefault="008C522C" w:rsidP="00750CDD">
            <w:pPr>
              <w:numPr>
                <w:ilvl w:val="0"/>
                <w:numId w:val="33"/>
              </w:numPr>
              <w:spacing w:after="0"/>
              <w:ind w:left="0" w:hanging="108"/>
              <w:jc w:val="both"/>
              <w:rPr>
                <w:rFonts w:ascii="Arial Narrow" w:hAnsi="Arial Narrow" w:cs="Calibri"/>
                <w:sz w:val="20"/>
              </w:rPr>
            </w:pPr>
            <w:r w:rsidRPr="000C1F45">
              <w:rPr>
                <w:rFonts w:ascii="Arial Narrow" w:hAnsi="Arial Narrow" w:cs="Calibri"/>
                <w:sz w:val="20"/>
              </w:rPr>
              <w:t>Mild</w:t>
            </w:r>
          </w:p>
          <w:p w14:paraId="4184B792" w14:textId="77777777" w:rsidR="008C522C" w:rsidRPr="000C1F45" w:rsidRDefault="008C522C" w:rsidP="00750CDD">
            <w:pPr>
              <w:numPr>
                <w:ilvl w:val="0"/>
                <w:numId w:val="33"/>
              </w:numPr>
              <w:spacing w:after="0"/>
              <w:ind w:left="0" w:hanging="108"/>
              <w:jc w:val="both"/>
              <w:rPr>
                <w:rFonts w:ascii="Arial Narrow" w:hAnsi="Arial Narrow" w:cs="Tahoma"/>
                <w:sz w:val="20"/>
              </w:rPr>
            </w:pPr>
            <w:r w:rsidRPr="000C1F45">
              <w:rPr>
                <w:rFonts w:ascii="Arial Narrow" w:hAnsi="Arial Narrow" w:cs="Calibri"/>
                <w:sz w:val="20"/>
              </w:rPr>
              <w:t>≥Moderate</w:t>
            </w:r>
          </w:p>
        </w:tc>
        <w:tc>
          <w:tcPr>
            <w:tcW w:w="2283" w:type="dxa"/>
            <w:vAlign w:val="bottom"/>
          </w:tcPr>
          <w:p w14:paraId="1B834517" w14:textId="77777777" w:rsidR="008C522C" w:rsidRPr="000C1F45" w:rsidRDefault="008C522C" w:rsidP="00750CDD">
            <w:pPr>
              <w:spacing w:after="0"/>
              <w:ind w:left="0"/>
              <w:jc w:val="center"/>
              <w:rPr>
                <w:rFonts w:ascii="Arial Narrow" w:hAnsi="Arial Narrow" w:cs="Tahoma"/>
                <w:sz w:val="20"/>
              </w:rPr>
            </w:pPr>
          </w:p>
          <w:p w14:paraId="15FE5029" w14:textId="77777777" w:rsidR="008C522C" w:rsidRPr="000C1F45" w:rsidRDefault="008C522C" w:rsidP="00750CDD">
            <w:pPr>
              <w:spacing w:after="0"/>
              <w:ind w:left="0"/>
              <w:jc w:val="center"/>
              <w:rPr>
                <w:rFonts w:ascii="Arial Narrow" w:hAnsi="Arial Narrow" w:cs="Tahoma"/>
                <w:sz w:val="20"/>
              </w:rPr>
            </w:pPr>
            <w:r w:rsidRPr="000C1F45">
              <w:rPr>
                <w:rFonts w:ascii="Arial Narrow" w:hAnsi="Arial Narrow" w:cs="Tahoma"/>
                <w:sz w:val="20"/>
              </w:rPr>
              <w:t>326/466(70.0%)</w:t>
            </w:r>
          </w:p>
          <w:p w14:paraId="5855EF56" w14:textId="135B5110" w:rsidR="008C522C" w:rsidRPr="000C1F45" w:rsidRDefault="008C522C" w:rsidP="00750CDD">
            <w:pPr>
              <w:spacing w:after="0"/>
              <w:ind w:left="0"/>
              <w:jc w:val="center"/>
              <w:rPr>
                <w:rFonts w:ascii="Arial Narrow" w:hAnsi="Arial Narrow" w:cs="Tahoma"/>
                <w:sz w:val="20"/>
              </w:rPr>
            </w:pPr>
            <w:r w:rsidRPr="000C1F45">
              <w:rPr>
                <w:rFonts w:ascii="Arial Narrow" w:hAnsi="Arial Narrow" w:cs="Tahoma"/>
                <w:sz w:val="20"/>
              </w:rPr>
              <w:t>137/466 (29.</w:t>
            </w:r>
            <w:r w:rsidR="00422139">
              <w:rPr>
                <w:rFonts w:ascii="Arial Narrow" w:hAnsi="Arial Narrow" w:cs="Tahoma"/>
                <w:sz w:val="20"/>
              </w:rPr>
              <w:t>4</w:t>
            </w:r>
            <w:r w:rsidRPr="000C1F45">
              <w:rPr>
                <w:rFonts w:ascii="Arial Narrow" w:hAnsi="Arial Narrow" w:cs="Tahoma"/>
                <w:sz w:val="20"/>
              </w:rPr>
              <w:t>%)</w:t>
            </w:r>
          </w:p>
          <w:p w14:paraId="73CBAA27" w14:textId="77777777" w:rsidR="008C522C" w:rsidRPr="000C1F45" w:rsidRDefault="008C522C" w:rsidP="00750CDD">
            <w:pPr>
              <w:spacing w:after="0"/>
              <w:ind w:left="0"/>
              <w:jc w:val="center"/>
              <w:rPr>
                <w:rFonts w:ascii="Arial Narrow" w:hAnsi="Arial Narrow" w:cs="Tahoma"/>
                <w:sz w:val="20"/>
              </w:rPr>
            </w:pPr>
            <w:r w:rsidRPr="000C1F45">
              <w:rPr>
                <w:rFonts w:ascii="Arial Narrow" w:hAnsi="Arial Narrow" w:cs="Tahoma"/>
                <w:sz w:val="20"/>
              </w:rPr>
              <w:t>3/466 (0.6%)</w:t>
            </w:r>
          </w:p>
        </w:tc>
        <w:tc>
          <w:tcPr>
            <w:tcW w:w="1978" w:type="dxa"/>
            <w:vAlign w:val="bottom"/>
          </w:tcPr>
          <w:p w14:paraId="674B9A4B" w14:textId="77777777" w:rsidR="008C522C" w:rsidRPr="000C1F45" w:rsidRDefault="008C522C" w:rsidP="00750CDD">
            <w:pPr>
              <w:spacing w:after="0"/>
              <w:ind w:left="0"/>
              <w:jc w:val="center"/>
              <w:rPr>
                <w:rFonts w:ascii="Arial Narrow" w:hAnsi="Arial Narrow" w:cs="Tahoma"/>
                <w:sz w:val="20"/>
              </w:rPr>
            </w:pPr>
          </w:p>
          <w:p w14:paraId="5A6B2076" w14:textId="77777777" w:rsidR="008C522C" w:rsidRPr="000C1F45" w:rsidRDefault="008C522C" w:rsidP="00750CDD">
            <w:pPr>
              <w:spacing w:after="0"/>
              <w:ind w:left="0"/>
              <w:jc w:val="center"/>
              <w:rPr>
                <w:rFonts w:ascii="Arial Narrow" w:hAnsi="Arial Narrow" w:cs="Tahoma"/>
                <w:sz w:val="20"/>
              </w:rPr>
            </w:pPr>
            <w:r w:rsidRPr="000C1F45">
              <w:rPr>
                <w:rFonts w:ascii="Arial Narrow" w:hAnsi="Arial Narrow" w:cs="Tahoma"/>
                <w:sz w:val="20"/>
              </w:rPr>
              <w:t>371/381(97.4%)</w:t>
            </w:r>
          </w:p>
          <w:p w14:paraId="5AC93A50" w14:textId="77777777" w:rsidR="008C522C" w:rsidRPr="000C1F45" w:rsidRDefault="008C522C" w:rsidP="00750CDD">
            <w:pPr>
              <w:spacing w:after="0"/>
              <w:ind w:left="0"/>
              <w:jc w:val="center"/>
              <w:rPr>
                <w:rFonts w:ascii="Arial Narrow" w:hAnsi="Arial Narrow" w:cs="Tahoma"/>
                <w:sz w:val="20"/>
              </w:rPr>
            </w:pPr>
            <w:r w:rsidRPr="000C1F45">
              <w:rPr>
                <w:rFonts w:ascii="Arial Narrow" w:hAnsi="Arial Narrow" w:cs="Tahoma"/>
                <w:sz w:val="20"/>
              </w:rPr>
              <w:t>8/381 (2.1%)</w:t>
            </w:r>
          </w:p>
          <w:p w14:paraId="74CEFB08" w14:textId="77777777" w:rsidR="008C522C" w:rsidRPr="000C1F45" w:rsidRDefault="008C522C" w:rsidP="00750CDD">
            <w:pPr>
              <w:spacing w:after="0"/>
              <w:ind w:left="0"/>
              <w:jc w:val="center"/>
              <w:rPr>
                <w:rFonts w:ascii="Arial Narrow" w:hAnsi="Arial Narrow" w:cs="Tahoma"/>
                <w:sz w:val="20"/>
              </w:rPr>
            </w:pPr>
            <w:r w:rsidRPr="000C1F45">
              <w:rPr>
                <w:rFonts w:ascii="Arial Narrow" w:hAnsi="Arial Narrow" w:cs="Tahoma"/>
                <w:sz w:val="20"/>
              </w:rPr>
              <w:t>2/381 (0.5%)</w:t>
            </w:r>
          </w:p>
        </w:tc>
        <w:tc>
          <w:tcPr>
            <w:tcW w:w="2421" w:type="dxa"/>
            <w:vAlign w:val="bottom"/>
          </w:tcPr>
          <w:p w14:paraId="4381584B" w14:textId="77777777" w:rsidR="008C522C" w:rsidRPr="002800B7" w:rsidRDefault="008C522C" w:rsidP="00750CDD">
            <w:pPr>
              <w:spacing w:after="0"/>
              <w:ind w:left="0"/>
              <w:jc w:val="center"/>
              <w:rPr>
                <w:rFonts w:ascii="Arial Narrow" w:hAnsi="Arial Narrow" w:cs="Tahoma"/>
                <w:sz w:val="20"/>
              </w:rPr>
            </w:pPr>
          </w:p>
          <w:p w14:paraId="54250EC9" w14:textId="0613E521" w:rsidR="008C522C" w:rsidRPr="002800B7" w:rsidRDefault="00E75B03" w:rsidP="00750CDD">
            <w:pPr>
              <w:spacing w:after="0"/>
              <w:ind w:left="0"/>
              <w:jc w:val="center"/>
              <w:rPr>
                <w:rFonts w:ascii="Arial Narrow" w:hAnsi="Arial Narrow" w:cs="Tahoma"/>
                <w:b/>
                <w:bCs/>
                <w:sz w:val="20"/>
              </w:rPr>
            </w:pPr>
            <w:r w:rsidRPr="002800B7">
              <w:rPr>
                <w:rFonts w:ascii="Arial Narrow" w:hAnsi="Arial Narrow" w:cs="Calibri"/>
                <w:b/>
                <w:bCs/>
                <w:sz w:val="20"/>
              </w:rPr>
              <w:t>REDACTED</w:t>
            </w:r>
          </w:p>
          <w:p w14:paraId="2CB5112F" w14:textId="31FADECC" w:rsidR="008C522C" w:rsidRPr="002800B7" w:rsidRDefault="00E75B03" w:rsidP="00750CDD">
            <w:pPr>
              <w:spacing w:after="0"/>
              <w:ind w:left="0"/>
              <w:jc w:val="center"/>
              <w:rPr>
                <w:rFonts w:ascii="Arial Narrow" w:hAnsi="Arial Narrow" w:cs="Tahoma"/>
                <w:b/>
                <w:bCs/>
                <w:sz w:val="20"/>
              </w:rPr>
            </w:pPr>
            <w:r w:rsidRPr="002800B7">
              <w:rPr>
                <w:rFonts w:ascii="Arial Narrow" w:hAnsi="Arial Narrow" w:cs="Calibri"/>
                <w:b/>
                <w:bCs/>
                <w:sz w:val="20"/>
              </w:rPr>
              <w:t>REDACTED</w:t>
            </w:r>
          </w:p>
          <w:p w14:paraId="3960FB96" w14:textId="2F331878" w:rsidR="008C522C" w:rsidRPr="002800B7" w:rsidRDefault="00E75B03" w:rsidP="00750CDD">
            <w:pPr>
              <w:spacing w:after="0"/>
              <w:ind w:left="0"/>
              <w:jc w:val="center"/>
              <w:rPr>
                <w:rFonts w:ascii="Arial Narrow" w:hAnsi="Arial Narrow" w:cs="Calibri"/>
                <w:b/>
                <w:bCs/>
                <w:sz w:val="20"/>
              </w:rPr>
            </w:pPr>
            <w:r w:rsidRPr="002800B7">
              <w:rPr>
                <w:rFonts w:ascii="Arial Narrow" w:hAnsi="Arial Narrow" w:cs="Calibri"/>
                <w:b/>
                <w:bCs/>
                <w:sz w:val="20"/>
              </w:rPr>
              <w:t>REDACTED</w:t>
            </w:r>
          </w:p>
        </w:tc>
      </w:tr>
      <w:tr w:rsidR="008C522C" w:rsidRPr="003B08F2" w14:paraId="669526E7" w14:textId="77777777" w:rsidTr="008C522C">
        <w:trPr>
          <w:trHeight w:val="46"/>
        </w:trPr>
        <w:tc>
          <w:tcPr>
            <w:tcW w:w="2113" w:type="dxa"/>
          </w:tcPr>
          <w:p w14:paraId="1EE41C2F" w14:textId="77777777" w:rsidR="008C522C" w:rsidRPr="000C1F45" w:rsidRDefault="008C522C" w:rsidP="00750CDD">
            <w:pPr>
              <w:spacing w:after="0"/>
              <w:ind w:left="0"/>
              <w:rPr>
                <w:rFonts w:ascii="Arial Narrow" w:hAnsi="Arial Narrow" w:cs="Tahoma"/>
                <w:i/>
                <w:iCs/>
                <w:sz w:val="20"/>
              </w:rPr>
            </w:pPr>
            <w:r w:rsidRPr="000C1F45">
              <w:rPr>
                <w:rFonts w:ascii="Arial Narrow" w:hAnsi="Arial Narrow" w:cs="Tahoma"/>
                <w:i/>
                <w:iCs/>
                <w:sz w:val="20"/>
              </w:rPr>
              <w:t>2-years</w:t>
            </w:r>
          </w:p>
          <w:p w14:paraId="301A08BF" w14:textId="77777777" w:rsidR="008C522C" w:rsidRPr="000C1F45" w:rsidRDefault="008C522C" w:rsidP="00750CDD">
            <w:pPr>
              <w:numPr>
                <w:ilvl w:val="0"/>
                <w:numId w:val="33"/>
              </w:numPr>
              <w:spacing w:after="0"/>
              <w:ind w:left="0" w:hanging="142"/>
              <w:jc w:val="both"/>
              <w:rPr>
                <w:rFonts w:ascii="Arial Narrow" w:hAnsi="Arial Narrow" w:cs="Calibri"/>
                <w:i/>
                <w:iCs/>
                <w:sz w:val="20"/>
              </w:rPr>
            </w:pPr>
            <w:r w:rsidRPr="000C1F45">
              <w:rPr>
                <w:rFonts w:ascii="Arial Narrow" w:hAnsi="Arial Narrow" w:cs="Calibri"/>
                <w:i/>
                <w:iCs/>
                <w:sz w:val="20"/>
              </w:rPr>
              <w:t>None-trace</w:t>
            </w:r>
          </w:p>
          <w:p w14:paraId="71CE60C6" w14:textId="77777777" w:rsidR="008C522C" w:rsidRPr="000C1F45" w:rsidRDefault="008C522C" w:rsidP="00750CDD">
            <w:pPr>
              <w:numPr>
                <w:ilvl w:val="0"/>
                <w:numId w:val="33"/>
              </w:numPr>
              <w:spacing w:after="0"/>
              <w:ind w:left="0" w:hanging="142"/>
              <w:jc w:val="both"/>
              <w:rPr>
                <w:rFonts w:ascii="Arial Narrow" w:hAnsi="Arial Narrow" w:cs="Tahoma"/>
                <w:i/>
                <w:iCs/>
                <w:sz w:val="20"/>
              </w:rPr>
            </w:pPr>
            <w:r w:rsidRPr="000C1F45">
              <w:rPr>
                <w:rFonts w:ascii="Arial Narrow" w:hAnsi="Arial Narrow" w:cs="Calibri"/>
                <w:i/>
                <w:iCs/>
                <w:sz w:val="20"/>
              </w:rPr>
              <w:t>Mild</w:t>
            </w:r>
          </w:p>
          <w:p w14:paraId="15638085" w14:textId="77777777" w:rsidR="008C522C" w:rsidRPr="000C1F45" w:rsidRDefault="008C522C" w:rsidP="00750CDD">
            <w:pPr>
              <w:keepNext/>
              <w:keepLines/>
              <w:numPr>
                <w:ilvl w:val="0"/>
                <w:numId w:val="33"/>
              </w:numPr>
              <w:spacing w:after="0"/>
              <w:ind w:left="0" w:hanging="142"/>
              <w:jc w:val="both"/>
              <w:rPr>
                <w:rFonts w:ascii="Arial Narrow" w:hAnsi="Arial Narrow" w:cs="Tahoma"/>
                <w:i/>
                <w:iCs/>
                <w:sz w:val="20"/>
              </w:rPr>
            </w:pPr>
            <w:r w:rsidRPr="000C1F45">
              <w:rPr>
                <w:rFonts w:ascii="Arial Narrow" w:hAnsi="Arial Narrow" w:cs="Calibri"/>
                <w:i/>
                <w:iCs/>
                <w:sz w:val="20"/>
              </w:rPr>
              <w:t>≥Moderate</w:t>
            </w:r>
          </w:p>
        </w:tc>
        <w:tc>
          <w:tcPr>
            <w:tcW w:w="2283" w:type="dxa"/>
            <w:vAlign w:val="bottom"/>
          </w:tcPr>
          <w:p w14:paraId="25463A12" w14:textId="77777777" w:rsidR="008C522C" w:rsidRPr="000C1F45" w:rsidRDefault="008C522C" w:rsidP="00750CDD">
            <w:pPr>
              <w:spacing w:after="0"/>
              <w:ind w:left="0"/>
              <w:jc w:val="center"/>
              <w:rPr>
                <w:rFonts w:ascii="Arial Narrow" w:hAnsi="Arial Narrow" w:cs="Tahoma"/>
                <w:i/>
                <w:iCs/>
                <w:sz w:val="20"/>
              </w:rPr>
            </w:pPr>
          </w:p>
          <w:p w14:paraId="122E9085" w14:textId="77777777" w:rsidR="008C522C" w:rsidRPr="000C1F45" w:rsidRDefault="008C522C" w:rsidP="00750CDD">
            <w:pPr>
              <w:spacing w:after="0"/>
              <w:ind w:left="0"/>
              <w:jc w:val="center"/>
              <w:rPr>
                <w:rFonts w:ascii="Arial Narrow" w:hAnsi="Arial Narrow" w:cs="Tahoma"/>
                <w:i/>
                <w:iCs/>
                <w:sz w:val="20"/>
              </w:rPr>
            </w:pPr>
            <w:r w:rsidRPr="000C1F45">
              <w:rPr>
                <w:rFonts w:ascii="Arial Narrow" w:hAnsi="Arial Narrow" w:cs="Tahoma"/>
                <w:i/>
                <w:iCs/>
                <w:sz w:val="20"/>
              </w:rPr>
              <w:t>73.5%</w:t>
            </w:r>
          </w:p>
          <w:p w14:paraId="1F6AF8D6" w14:textId="77777777" w:rsidR="008C522C" w:rsidRPr="000C1F45" w:rsidRDefault="008C522C" w:rsidP="00750CDD">
            <w:pPr>
              <w:spacing w:after="0"/>
              <w:ind w:left="0"/>
              <w:jc w:val="center"/>
              <w:rPr>
                <w:rFonts w:ascii="Arial Narrow" w:hAnsi="Arial Narrow" w:cs="Tahoma"/>
                <w:i/>
                <w:iCs/>
                <w:sz w:val="20"/>
              </w:rPr>
            </w:pPr>
            <w:r w:rsidRPr="000C1F45">
              <w:rPr>
                <w:rFonts w:ascii="Arial Narrow" w:hAnsi="Arial Narrow" w:cs="Tahoma"/>
                <w:i/>
                <w:iCs/>
                <w:sz w:val="20"/>
              </w:rPr>
              <w:t>26.0%</w:t>
            </w:r>
          </w:p>
          <w:p w14:paraId="65D8FE42" w14:textId="77777777" w:rsidR="008C522C" w:rsidRPr="000C1F45" w:rsidRDefault="008C522C" w:rsidP="00750CDD">
            <w:pPr>
              <w:spacing w:after="0"/>
              <w:ind w:left="0"/>
              <w:jc w:val="center"/>
              <w:rPr>
                <w:rFonts w:ascii="Arial Narrow" w:hAnsi="Arial Narrow" w:cs="Tahoma"/>
                <w:i/>
                <w:iCs/>
                <w:sz w:val="20"/>
              </w:rPr>
            </w:pPr>
            <w:r w:rsidRPr="000C1F45">
              <w:rPr>
                <w:rFonts w:ascii="Arial Narrow" w:hAnsi="Arial Narrow" w:cs="Tahoma"/>
                <w:i/>
                <w:iCs/>
                <w:sz w:val="20"/>
              </w:rPr>
              <w:t>0.5%</w:t>
            </w:r>
          </w:p>
        </w:tc>
        <w:tc>
          <w:tcPr>
            <w:tcW w:w="1978" w:type="dxa"/>
            <w:vAlign w:val="bottom"/>
          </w:tcPr>
          <w:p w14:paraId="509F25FB" w14:textId="77777777" w:rsidR="008C522C" w:rsidRPr="000C1F45" w:rsidRDefault="008C522C" w:rsidP="00750CDD">
            <w:pPr>
              <w:spacing w:after="0"/>
              <w:ind w:left="0"/>
              <w:jc w:val="center"/>
              <w:rPr>
                <w:rFonts w:ascii="Arial Narrow" w:hAnsi="Arial Narrow" w:cs="Tahoma"/>
                <w:i/>
                <w:iCs/>
                <w:sz w:val="20"/>
              </w:rPr>
            </w:pPr>
          </w:p>
          <w:p w14:paraId="0480FFA1" w14:textId="77777777" w:rsidR="008C522C" w:rsidRPr="000C1F45" w:rsidRDefault="008C522C" w:rsidP="00750CDD">
            <w:pPr>
              <w:spacing w:after="0"/>
              <w:ind w:left="0"/>
              <w:jc w:val="center"/>
              <w:rPr>
                <w:rFonts w:ascii="Arial Narrow" w:hAnsi="Arial Narrow" w:cs="Tahoma"/>
                <w:i/>
                <w:iCs/>
                <w:sz w:val="20"/>
              </w:rPr>
            </w:pPr>
            <w:r w:rsidRPr="000C1F45">
              <w:rPr>
                <w:rFonts w:ascii="Arial Narrow" w:hAnsi="Arial Narrow" w:cs="Tahoma"/>
                <w:i/>
                <w:iCs/>
                <w:sz w:val="20"/>
              </w:rPr>
              <w:t>97.7%</w:t>
            </w:r>
          </w:p>
          <w:p w14:paraId="63DB771D" w14:textId="77777777" w:rsidR="008C522C" w:rsidRPr="000C1F45" w:rsidRDefault="008C522C" w:rsidP="00750CDD">
            <w:pPr>
              <w:spacing w:after="0"/>
              <w:ind w:left="0"/>
              <w:jc w:val="center"/>
              <w:rPr>
                <w:rFonts w:ascii="Arial Narrow" w:hAnsi="Arial Narrow" w:cs="Tahoma"/>
                <w:i/>
                <w:iCs/>
                <w:sz w:val="20"/>
              </w:rPr>
            </w:pPr>
            <w:r w:rsidRPr="000C1F45">
              <w:rPr>
                <w:rFonts w:ascii="Arial Narrow" w:hAnsi="Arial Narrow" w:cs="Tahoma"/>
                <w:i/>
                <w:iCs/>
                <w:sz w:val="20"/>
              </w:rPr>
              <w:t>2.3%</w:t>
            </w:r>
          </w:p>
          <w:p w14:paraId="75757324" w14:textId="77777777" w:rsidR="008C522C" w:rsidRPr="000C1F45" w:rsidRDefault="008C522C" w:rsidP="00750CDD">
            <w:pPr>
              <w:spacing w:after="0"/>
              <w:ind w:left="0"/>
              <w:jc w:val="center"/>
              <w:rPr>
                <w:rFonts w:ascii="Arial Narrow" w:hAnsi="Arial Narrow" w:cs="Tahoma"/>
                <w:i/>
                <w:iCs/>
                <w:sz w:val="20"/>
              </w:rPr>
            </w:pPr>
            <w:r w:rsidRPr="000C1F45">
              <w:rPr>
                <w:rFonts w:ascii="Arial Narrow" w:hAnsi="Arial Narrow" w:cs="Tahoma"/>
                <w:i/>
                <w:iCs/>
                <w:sz w:val="20"/>
              </w:rPr>
              <w:t>0.0%</w:t>
            </w:r>
          </w:p>
        </w:tc>
        <w:tc>
          <w:tcPr>
            <w:tcW w:w="2421" w:type="dxa"/>
            <w:vAlign w:val="center"/>
          </w:tcPr>
          <w:p w14:paraId="35CF2397" w14:textId="77777777" w:rsidR="008C522C" w:rsidRPr="003B08F2" w:rsidRDefault="008C522C" w:rsidP="00750CDD">
            <w:pPr>
              <w:spacing w:after="0"/>
              <w:ind w:left="0"/>
              <w:jc w:val="center"/>
              <w:rPr>
                <w:rFonts w:ascii="Arial Narrow" w:hAnsi="Arial Narrow" w:cs="Tahoma"/>
                <w:i/>
                <w:iCs/>
                <w:sz w:val="20"/>
                <w:highlight w:val="yellow"/>
              </w:rPr>
            </w:pPr>
            <w:r w:rsidRPr="000C1F45">
              <w:rPr>
                <w:rFonts w:ascii="Arial Narrow" w:hAnsi="Arial Narrow" w:cs="Tahoma"/>
                <w:i/>
                <w:iCs/>
                <w:sz w:val="20"/>
              </w:rPr>
              <w:t>Not reported</w:t>
            </w:r>
          </w:p>
        </w:tc>
      </w:tr>
      <w:tr w:rsidR="008C522C" w:rsidRPr="003B08F2" w14:paraId="0CDB6B61" w14:textId="77777777" w:rsidTr="008C522C">
        <w:trPr>
          <w:trHeight w:val="46"/>
        </w:trPr>
        <w:tc>
          <w:tcPr>
            <w:tcW w:w="8795" w:type="dxa"/>
            <w:gridSpan w:val="4"/>
          </w:tcPr>
          <w:p w14:paraId="03025DF6" w14:textId="77777777" w:rsidR="008C522C" w:rsidRPr="000C1F45" w:rsidRDefault="008C522C" w:rsidP="00750CDD">
            <w:pPr>
              <w:keepNext/>
              <w:keepLines/>
              <w:spacing w:after="0"/>
              <w:ind w:left="0"/>
              <w:rPr>
                <w:rFonts w:ascii="Arial Narrow" w:hAnsi="Arial Narrow" w:cs="Tahoma"/>
                <w:b/>
                <w:bCs/>
                <w:sz w:val="20"/>
              </w:rPr>
            </w:pPr>
            <w:r w:rsidRPr="000C1F45">
              <w:rPr>
                <w:rFonts w:ascii="Arial Narrow" w:hAnsi="Arial Narrow" w:cs="Tahoma"/>
                <w:b/>
                <w:bCs/>
                <w:sz w:val="20"/>
              </w:rPr>
              <w:t>Aortic valve reintervention</w:t>
            </w:r>
          </w:p>
        </w:tc>
      </w:tr>
      <w:tr w:rsidR="008C522C" w:rsidRPr="003B08F2" w14:paraId="6B750677" w14:textId="77777777" w:rsidTr="008C522C">
        <w:trPr>
          <w:trHeight w:val="18"/>
        </w:trPr>
        <w:tc>
          <w:tcPr>
            <w:tcW w:w="2113" w:type="dxa"/>
          </w:tcPr>
          <w:p w14:paraId="58B326E1" w14:textId="77777777" w:rsidR="008C522C" w:rsidRPr="000C1F45" w:rsidRDefault="008C522C" w:rsidP="00750CDD">
            <w:pPr>
              <w:keepNext/>
              <w:keepLines/>
              <w:spacing w:after="0"/>
              <w:ind w:left="0"/>
              <w:rPr>
                <w:rFonts w:ascii="Arial Narrow" w:hAnsi="Arial Narrow" w:cs="Tahoma"/>
                <w:sz w:val="20"/>
              </w:rPr>
            </w:pPr>
            <w:r w:rsidRPr="000C1F45">
              <w:rPr>
                <w:rFonts w:ascii="Arial Narrow" w:hAnsi="Arial Narrow" w:cs="Tahoma"/>
                <w:sz w:val="20"/>
              </w:rPr>
              <w:t xml:space="preserve">30-days </w:t>
            </w:r>
          </w:p>
        </w:tc>
        <w:tc>
          <w:tcPr>
            <w:tcW w:w="2283" w:type="dxa"/>
            <w:vAlign w:val="center"/>
          </w:tcPr>
          <w:p w14:paraId="6BE770E0" w14:textId="77777777" w:rsidR="008C522C" w:rsidRPr="000C1F45" w:rsidRDefault="008C522C" w:rsidP="00750CDD">
            <w:pPr>
              <w:spacing w:after="0"/>
              <w:ind w:left="0"/>
              <w:jc w:val="center"/>
              <w:rPr>
                <w:rFonts w:ascii="Arial Narrow" w:hAnsi="Arial Narrow" w:cs="Tahoma"/>
                <w:sz w:val="20"/>
              </w:rPr>
            </w:pPr>
            <w:r w:rsidRPr="000C1F45">
              <w:rPr>
                <w:rFonts w:ascii="Arial Narrow" w:hAnsi="Arial Narrow" w:cs="Tahoma"/>
                <w:sz w:val="20"/>
              </w:rPr>
              <w:t>0</w:t>
            </w:r>
          </w:p>
        </w:tc>
        <w:tc>
          <w:tcPr>
            <w:tcW w:w="1978" w:type="dxa"/>
            <w:vAlign w:val="center"/>
          </w:tcPr>
          <w:p w14:paraId="28E2288E" w14:textId="77777777" w:rsidR="008C522C" w:rsidRPr="000C1F45" w:rsidRDefault="008C522C" w:rsidP="00750CDD">
            <w:pPr>
              <w:spacing w:after="0"/>
              <w:ind w:left="0"/>
              <w:jc w:val="center"/>
              <w:rPr>
                <w:rFonts w:ascii="Arial Narrow" w:hAnsi="Arial Narrow" w:cs="Tahoma"/>
                <w:sz w:val="20"/>
              </w:rPr>
            </w:pPr>
            <w:r w:rsidRPr="000C1F45">
              <w:rPr>
                <w:rFonts w:ascii="Arial Narrow" w:hAnsi="Arial Narrow" w:cs="Tahoma"/>
                <w:sz w:val="20"/>
              </w:rPr>
              <w:t>0</w:t>
            </w:r>
          </w:p>
        </w:tc>
        <w:tc>
          <w:tcPr>
            <w:tcW w:w="2421" w:type="dxa"/>
            <w:vAlign w:val="center"/>
          </w:tcPr>
          <w:p w14:paraId="073A87B6" w14:textId="77777777" w:rsidR="008C522C" w:rsidRPr="000C1F45" w:rsidRDefault="008C522C" w:rsidP="00750CDD">
            <w:pPr>
              <w:spacing w:after="0"/>
              <w:ind w:left="0"/>
              <w:jc w:val="center"/>
              <w:rPr>
                <w:rFonts w:ascii="Arial Narrow" w:hAnsi="Arial Narrow" w:cs="Tahoma"/>
                <w:sz w:val="20"/>
              </w:rPr>
            </w:pPr>
            <w:r w:rsidRPr="000C1F45">
              <w:rPr>
                <w:rFonts w:ascii="Arial Narrow" w:hAnsi="Arial Narrow" w:cs="Tahoma"/>
                <w:sz w:val="20"/>
              </w:rPr>
              <w:t>Not calculable</w:t>
            </w:r>
          </w:p>
        </w:tc>
      </w:tr>
      <w:tr w:rsidR="008C522C" w:rsidRPr="003B08F2" w14:paraId="14A9AE97" w14:textId="77777777" w:rsidTr="008C522C">
        <w:trPr>
          <w:trHeight w:val="18"/>
        </w:trPr>
        <w:tc>
          <w:tcPr>
            <w:tcW w:w="2113" w:type="dxa"/>
          </w:tcPr>
          <w:p w14:paraId="0385E9A9" w14:textId="77777777" w:rsidR="008C522C" w:rsidRPr="000C1F45" w:rsidRDefault="008C522C" w:rsidP="00750CDD">
            <w:pPr>
              <w:keepNext/>
              <w:keepLines/>
              <w:spacing w:after="0"/>
              <w:ind w:left="0"/>
              <w:rPr>
                <w:rFonts w:ascii="Arial Narrow" w:hAnsi="Arial Narrow" w:cs="Tahoma"/>
                <w:sz w:val="20"/>
              </w:rPr>
            </w:pPr>
            <w:r w:rsidRPr="000C1F45">
              <w:rPr>
                <w:rFonts w:ascii="Arial Narrow" w:hAnsi="Arial Narrow" w:cs="Tahoma"/>
                <w:sz w:val="20"/>
              </w:rPr>
              <w:t xml:space="preserve">1-year </w:t>
            </w:r>
          </w:p>
        </w:tc>
        <w:tc>
          <w:tcPr>
            <w:tcW w:w="2283" w:type="dxa"/>
            <w:vAlign w:val="center"/>
          </w:tcPr>
          <w:p w14:paraId="4361B78F" w14:textId="1999F92A" w:rsidR="008C522C" w:rsidRPr="000C1F45" w:rsidRDefault="008C522C" w:rsidP="00FF6040">
            <w:pPr>
              <w:spacing w:after="0"/>
              <w:ind w:left="0"/>
              <w:jc w:val="center"/>
              <w:rPr>
                <w:rFonts w:ascii="Arial Narrow" w:hAnsi="Arial Narrow" w:cs="Tahoma"/>
                <w:sz w:val="20"/>
              </w:rPr>
            </w:pPr>
            <w:r w:rsidRPr="000C1F45">
              <w:rPr>
                <w:rFonts w:ascii="Arial Narrow" w:hAnsi="Arial Narrow" w:cs="Tahoma"/>
                <w:sz w:val="20"/>
              </w:rPr>
              <w:t>3/</w:t>
            </w:r>
            <w:r w:rsidR="00422139" w:rsidRPr="000C1F45">
              <w:rPr>
                <w:rFonts w:ascii="Arial Narrow" w:hAnsi="Arial Narrow" w:cs="Tahoma"/>
                <w:sz w:val="20"/>
              </w:rPr>
              <w:t>49</w:t>
            </w:r>
            <w:r w:rsidR="00422139">
              <w:rPr>
                <w:rFonts w:ascii="Arial Narrow" w:hAnsi="Arial Narrow" w:cs="Tahoma"/>
                <w:sz w:val="20"/>
              </w:rPr>
              <w:t>6</w:t>
            </w:r>
            <w:r w:rsidR="00422139" w:rsidRPr="000C1F45">
              <w:rPr>
                <w:rFonts w:ascii="Arial Narrow" w:hAnsi="Arial Narrow" w:cs="Tahoma"/>
                <w:sz w:val="20"/>
              </w:rPr>
              <w:t xml:space="preserve"> </w:t>
            </w:r>
            <w:r w:rsidRPr="000C1F45">
              <w:rPr>
                <w:rFonts w:ascii="Arial Narrow" w:hAnsi="Arial Narrow" w:cs="Tahoma"/>
                <w:sz w:val="20"/>
              </w:rPr>
              <w:t>(0.6%)</w:t>
            </w:r>
          </w:p>
        </w:tc>
        <w:tc>
          <w:tcPr>
            <w:tcW w:w="1978" w:type="dxa"/>
            <w:vAlign w:val="center"/>
          </w:tcPr>
          <w:p w14:paraId="16CBC783" w14:textId="77777777" w:rsidR="008C522C" w:rsidRPr="000C1F45" w:rsidRDefault="008C522C" w:rsidP="00750CDD">
            <w:pPr>
              <w:spacing w:after="0"/>
              <w:ind w:left="0"/>
              <w:jc w:val="center"/>
              <w:rPr>
                <w:rFonts w:ascii="Arial Narrow" w:hAnsi="Arial Narrow" w:cs="Tahoma"/>
                <w:sz w:val="20"/>
              </w:rPr>
            </w:pPr>
            <w:r w:rsidRPr="000C1F45">
              <w:rPr>
                <w:rFonts w:ascii="Arial Narrow" w:hAnsi="Arial Narrow" w:cs="Tahoma"/>
                <w:sz w:val="20"/>
              </w:rPr>
              <w:t>2/454 (0.5%)</w:t>
            </w:r>
          </w:p>
        </w:tc>
        <w:tc>
          <w:tcPr>
            <w:tcW w:w="2421" w:type="dxa"/>
            <w:vAlign w:val="center"/>
          </w:tcPr>
          <w:p w14:paraId="22B1A8E9" w14:textId="77777777" w:rsidR="008C522C" w:rsidRPr="000C1F45" w:rsidRDefault="008C522C" w:rsidP="00750CDD">
            <w:pPr>
              <w:spacing w:after="0"/>
              <w:ind w:left="0"/>
              <w:jc w:val="center"/>
              <w:rPr>
                <w:rFonts w:ascii="Arial Narrow" w:hAnsi="Arial Narrow" w:cs="Tahoma"/>
                <w:sz w:val="20"/>
              </w:rPr>
            </w:pPr>
            <w:r w:rsidRPr="000C1F45">
              <w:rPr>
                <w:rFonts w:ascii="Arial Narrow" w:hAnsi="Arial Narrow" w:cs="Tahoma"/>
                <w:sz w:val="20"/>
              </w:rPr>
              <w:t>1.33 (0.22, 7.95)</w:t>
            </w:r>
          </w:p>
        </w:tc>
      </w:tr>
      <w:tr w:rsidR="008C522C" w:rsidRPr="003B08F2" w14:paraId="519F0C22" w14:textId="77777777" w:rsidTr="008C522C">
        <w:trPr>
          <w:trHeight w:val="18"/>
        </w:trPr>
        <w:tc>
          <w:tcPr>
            <w:tcW w:w="2113" w:type="dxa"/>
          </w:tcPr>
          <w:p w14:paraId="4C9B9652" w14:textId="77777777" w:rsidR="008C522C" w:rsidRPr="000C1F45" w:rsidRDefault="008C522C" w:rsidP="00750CDD">
            <w:pPr>
              <w:keepNext/>
              <w:keepLines/>
              <w:spacing w:after="0"/>
              <w:ind w:left="0"/>
              <w:rPr>
                <w:rFonts w:ascii="Arial Narrow" w:hAnsi="Arial Narrow" w:cs="Tahoma"/>
                <w:i/>
                <w:iCs/>
                <w:sz w:val="20"/>
              </w:rPr>
            </w:pPr>
            <w:r w:rsidRPr="000C1F45">
              <w:rPr>
                <w:rFonts w:ascii="Arial Narrow" w:hAnsi="Arial Narrow" w:cs="Tahoma"/>
                <w:i/>
                <w:iCs/>
                <w:sz w:val="20"/>
              </w:rPr>
              <w:t>2-years</w:t>
            </w:r>
          </w:p>
        </w:tc>
        <w:tc>
          <w:tcPr>
            <w:tcW w:w="2283" w:type="dxa"/>
            <w:vAlign w:val="center"/>
          </w:tcPr>
          <w:p w14:paraId="07E29BDD" w14:textId="218DA4D2" w:rsidR="008C522C" w:rsidRPr="00CF5548" w:rsidRDefault="008C522C" w:rsidP="00FF6040">
            <w:pPr>
              <w:spacing w:after="0"/>
              <w:ind w:left="0"/>
              <w:jc w:val="center"/>
              <w:rPr>
                <w:rFonts w:ascii="Arial Narrow" w:hAnsi="Arial Narrow" w:cs="Tahoma"/>
                <w:i/>
                <w:iCs/>
                <w:sz w:val="20"/>
              </w:rPr>
            </w:pPr>
            <w:r w:rsidRPr="00CF5548">
              <w:rPr>
                <w:rFonts w:ascii="Arial Narrow" w:hAnsi="Arial Narrow" w:cs="Tahoma"/>
                <w:i/>
                <w:iCs/>
                <w:sz w:val="20"/>
              </w:rPr>
              <w:t>4/</w:t>
            </w:r>
            <w:r w:rsidR="00422139" w:rsidRPr="00CF5548">
              <w:rPr>
                <w:rFonts w:ascii="Arial Narrow" w:hAnsi="Arial Narrow" w:cs="Tahoma"/>
                <w:i/>
                <w:iCs/>
                <w:sz w:val="20"/>
              </w:rPr>
              <w:t>49</w:t>
            </w:r>
            <w:r w:rsidR="00422139">
              <w:rPr>
                <w:rFonts w:ascii="Arial Narrow" w:hAnsi="Arial Narrow" w:cs="Tahoma"/>
                <w:i/>
                <w:iCs/>
                <w:sz w:val="20"/>
              </w:rPr>
              <w:t>6</w:t>
            </w:r>
            <w:r w:rsidR="00422139" w:rsidRPr="00CF5548">
              <w:rPr>
                <w:rFonts w:ascii="Arial Narrow" w:hAnsi="Arial Narrow" w:cs="Tahoma"/>
                <w:i/>
                <w:iCs/>
                <w:sz w:val="20"/>
              </w:rPr>
              <w:t xml:space="preserve"> </w:t>
            </w:r>
            <w:r w:rsidRPr="00CF5548">
              <w:rPr>
                <w:rFonts w:ascii="Arial Narrow" w:hAnsi="Arial Narrow" w:cs="Tahoma"/>
                <w:i/>
                <w:iCs/>
                <w:sz w:val="20"/>
              </w:rPr>
              <w:t>(0.8%)</w:t>
            </w:r>
          </w:p>
        </w:tc>
        <w:tc>
          <w:tcPr>
            <w:tcW w:w="1978" w:type="dxa"/>
            <w:vAlign w:val="center"/>
          </w:tcPr>
          <w:p w14:paraId="1B82191F" w14:textId="77777777" w:rsidR="008C522C" w:rsidRPr="00CF5548" w:rsidRDefault="008C522C" w:rsidP="00750CDD">
            <w:pPr>
              <w:spacing w:after="0"/>
              <w:ind w:left="0"/>
              <w:jc w:val="center"/>
              <w:rPr>
                <w:rFonts w:ascii="Arial Narrow" w:hAnsi="Arial Narrow" w:cs="Tahoma"/>
                <w:i/>
                <w:iCs/>
                <w:sz w:val="20"/>
              </w:rPr>
            </w:pPr>
            <w:r w:rsidRPr="00CF5548">
              <w:rPr>
                <w:rFonts w:ascii="Arial Narrow" w:hAnsi="Arial Narrow" w:cs="Tahoma"/>
                <w:i/>
                <w:iCs/>
                <w:sz w:val="20"/>
              </w:rPr>
              <w:t>4/454 (0.9%)</w:t>
            </w:r>
          </w:p>
        </w:tc>
        <w:tc>
          <w:tcPr>
            <w:tcW w:w="2421" w:type="dxa"/>
            <w:vAlign w:val="center"/>
          </w:tcPr>
          <w:p w14:paraId="690A77B3" w14:textId="492FDD4B" w:rsidR="008C522C" w:rsidRPr="00CF5548" w:rsidRDefault="008C522C" w:rsidP="00FF6040">
            <w:pPr>
              <w:spacing w:after="0"/>
              <w:ind w:left="0"/>
              <w:jc w:val="center"/>
              <w:rPr>
                <w:rFonts w:ascii="Arial Narrow" w:hAnsi="Arial Narrow" w:cs="Tahoma"/>
                <w:b/>
                <w:bCs/>
                <w:i/>
                <w:iCs/>
                <w:sz w:val="20"/>
              </w:rPr>
            </w:pPr>
            <w:r w:rsidRPr="00CF5548">
              <w:rPr>
                <w:rFonts w:ascii="Arial Narrow" w:hAnsi="Arial Narrow" w:cs="Tahoma"/>
                <w:i/>
                <w:iCs/>
                <w:sz w:val="20"/>
              </w:rPr>
              <w:t>0.</w:t>
            </w:r>
            <w:r w:rsidR="00422139" w:rsidRPr="00CF5548">
              <w:rPr>
                <w:rFonts w:ascii="Arial Narrow" w:hAnsi="Arial Narrow" w:cs="Tahoma"/>
                <w:i/>
                <w:iCs/>
                <w:sz w:val="20"/>
              </w:rPr>
              <w:t>9</w:t>
            </w:r>
            <w:r w:rsidR="00422139">
              <w:rPr>
                <w:rFonts w:ascii="Arial Narrow" w:hAnsi="Arial Narrow" w:cs="Tahoma"/>
                <w:i/>
                <w:iCs/>
                <w:sz w:val="20"/>
              </w:rPr>
              <w:t>2</w:t>
            </w:r>
            <w:r w:rsidR="00422139" w:rsidRPr="00CF5548">
              <w:rPr>
                <w:rFonts w:ascii="Arial Narrow" w:hAnsi="Arial Narrow" w:cs="Tahoma"/>
                <w:i/>
                <w:iCs/>
                <w:sz w:val="20"/>
              </w:rPr>
              <w:t xml:space="preserve"> </w:t>
            </w:r>
            <w:r w:rsidRPr="00CF5548">
              <w:rPr>
                <w:rFonts w:ascii="Arial Narrow" w:hAnsi="Arial Narrow" w:cs="Tahoma"/>
                <w:i/>
                <w:iCs/>
                <w:sz w:val="20"/>
              </w:rPr>
              <w:t>(0.23, 3.</w:t>
            </w:r>
            <w:r w:rsidR="00422139" w:rsidRPr="00CF5548">
              <w:rPr>
                <w:rFonts w:ascii="Arial Narrow" w:hAnsi="Arial Narrow" w:cs="Tahoma"/>
                <w:i/>
                <w:iCs/>
                <w:sz w:val="20"/>
              </w:rPr>
              <w:t>6</w:t>
            </w:r>
            <w:r w:rsidR="00422139">
              <w:rPr>
                <w:rFonts w:ascii="Arial Narrow" w:hAnsi="Arial Narrow" w:cs="Tahoma"/>
                <w:i/>
                <w:iCs/>
                <w:sz w:val="20"/>
              </w:rPr>
              <w:t>4</w:t>
            </w:r>
            <w:r w:rsidRPr="00CF5548">
              <w:rPr>
                <w:rFonts w:ascii="Arial Narrow" w:hAnsi="Arial Narrow" w:cs="Tahoma"/>
                <w:i/>
                <w:iCs/>
                <w:sz w:val="20"/>
              </w:rPr>
              <w:t>)</w:t>
            </w:r>
          </w:p>
        </w:tc>
      </w:tr>
      <w:tr w:rsidR="008C522C" w:rsidRPr="003B08F2" w14:paraId="0E89B343" w14:textId="77777777" w:rsidTr="008C522C">
        <w:trPr>
          <w:trHeight w:val="46"/>
        </w:trPr>
        <w:tc>
          <w:tcPr>
            <w:tcW w:w="8795" w:type="dxa"/>
            <w:gridSpan w:val="4"/>
          </w:tcPr>
          <w:p w14:paraId="5DA142BA" w14:textId="77777777" w:rsidR="008C522C" w:rsidRPr="000C1F45" w:rsidRDefault="008C522C" w:rsidP="00750CDD">
            <w:pPr>
              <w:keepNext/>
              <w:keepLines/>
              <w:spacing w:after="0"/>
              <w:ind w:left="0"/>
              <w:rPr>
                <w:rFonts w:ascii="Arial Narrow" w:hAnsi="Arial Narrow" w:cs="Tahoma"/>
                <w:b/>
                <w:bCs/>
                <w:sz w:val="20"/>
              </w:rPr>
            </w:pPr>
            <w:r w:rsidRPr="000C1F45">
              <w:rPr>
                <w:rFonts w:ascii="Arial Narrow" w:hAnsi="Arial Narrow" w:cs="Tahoma"/>
                <w:b/>
                <w:bCs/>
                <w:sz w:val="20"/>
              </w:rPr>
              <w:t>New permanent pacemaker implants</w:t>
            </w:r>
          </w:p>
        </w:tc>
      </w:tr>
      <w:tr w:rsidR="008C522C" w:rsidRPr="003B08F2" w14:paraId="7C2F6336" w14:textId="77777777" w:rsidTr="008C522C">
        <w:trPr>
          <w:trHeight w:val="46"/>
        </w:trPr>
        <w:tc>
          <w:tcPr>
            <w:tcW w:w="2113" w:type="dxa"/>
          </w:tcPr>
          <w:p w14:paraId="53AED513" w14:textId="77777777" w:rsidR="008C522C" w:rsidRPr="000C1F45" w:rsidRDefault="008C522C" w:rsidP="00750CDD">
            <w:pPr>
              <w:keepNext/>
              <w:keepLines/>
              <w:spacing w:after="0"/>
              <w:ind w:left="0"/>
              <w:rPr>
                <w:rFonts w:ascii="Arial Narrow" w:hAnsi="Arial Narrow" w:cs="Tahoma"/>
                <w:sz w:val="20"/>
              </w:rPr>
            </w:pPr>
            <w:r w:rsidRPr="000C1F45">
              <w:rPr>
                <w:rFonts w:ascii="Arial Narrow" w:hAnsi="Arial Narrow" w:cs="Tahoma"/>
                <w:sz w:val="20"/>
              </w:rPr>
              <w:t>30-days</w:t>
            </w:r>
          </w:p>
        </w:tc>
        <w:tc>
          <w:tcPr>
            <w:tcW w:w="2283" w:type="dxa"/>
            <w:vAlign w:val="center"/>
          </w:tcPr>
          <w:p w14:paraId="75311B88" w14:textId="7176E026" w:rsidR="008C522C" w:rsidRPr="0028577D" w:rsidRDefault="008C522C" w:rsidP="00FF6040">
            <w:pPr>
              <w:spacing w:after="0"/>
              <w:ind w:left="0"/>
              <w:jc w:val="center"/>
              <w:rPr>
                <w:rFonts w:ascii="Arial Narrow" w:hAnsi="Arial Narrow" w:cs="Tahoma"/>
                <w:sz w:val="20"/>
              </w:rPr>
            </w:pPr>
            <w:r w:rsidRPr="0028577D">
              <w:rPr>
                <w:rFonts w:ascii="Arial Narrow" w:hAnsi="Arial Narrow" w:cs="Tahoma"/>
                <w:sz w:val="20"/>
              </w:rPr>
              <w:t>32/</w:t>
            </w:r>
            <w:r w:rsidR="00422139" w:rsidRPr="0028577D">
              <w:rPr>
                <w:rFonts w:ascii="Arial Narrow" w:hAnsi="Arial Narrow" w:cs="Tahoma"/>
                <w:sz w:val="20"/>
              </w:rPr>
              <w:t>49</w:t>
            </w:r>
            <w:r w:rsidR="00422139">
              <w:rPr>
                <w:rFonts w:ascii="Arial Narrow" w:hAnsi="Arial Narrow" w:cs="Tahoma"/>
                <w:sz w:val="20"/>
              </w:rPr>
              <w:t>6</w:t>
            </w:r>
            <w:r w:rsidR="00422139" w:rsidRPr="0028577D">
              <w:rPr>
                <w:rFonts w:ascii="Arial Narrow" w:hAnsi="Arial Narrow" w:cs="Tahoma"/>
                <w:sz w:val="20"/>
              </w:rPr>
              <w:t xml:space="preserve"> </w:t>
            </w:r>
            <w:r w:rsidRPr="0028577D">
              <w:rPr>
                <w:rFonts w:ascii="Arial Narrow" w:hAnsi="Arial Narrow" w:cs="Tahoma"/>
                <w:sz w:val="20"/>
              </w:rPr>
              <w:t>(6.5%)</w:t>
            </w:r>
          </w:p>
        </w:tc>
        <w:tc>
          <w:tcPr>
            <w:tcW w:w="1978" w:type="dxa"/>
            <w:vAlign w:val="center"/>
          </w:tcPr>
          <w:p w14:paraId="77FA243E" w14:textId="77777777" w:rsidR="008C522C" w:rsidRPr="0028577D" w:rsidRDefault="008C522C" w:rsidP="00750CDD">
            <w:pPr>
              <w:spacing w:after="0"/>
              <w:ind w:left="0"/>
              <w:jc w:val="center"/>
              <w:rPr>
                <w:rFonts w:ascii="Arial Narrow" w:hAnsi="Arial Narrow" w:cs="Tahoma"/>
                <w:sz w:val="20"/>
              </w:rPr>
            </w:pPr>
            <w:r w:rsidRPr="0028577D">
              <w:rPr>
                <w:rFonts w:ascii="Arial Narrow" w:hAnsi="Arial Narrow" w:cs="Tahoma"/>
                <w:sz w:val="20"/>
              </w:rPr>
              <w:t>18/454 (4.0%)</w:t>
            </w:r>
          </w:p>
        </w:tc>
        <w:tc>
          <w:tcPr>
            <w:tcW w:w="2421" w:type="dxa"/>
            <w:vAlign w:val="center"/>
          </w:tcPr>
          <w:p w14:paraId="524D57D5" w14:textId="77777777" w:rsidR="008C522C" w:rsidRPr="0028577D" w:rsidRDefault="008C522C" w:rsidP="00750CDD">
            <w:pPr>
              <w:spacing w:after="0"/>
              <w:ind w:left="0"/>
              <w:jc w:val="center"/>
              <w:rPr>
                <w:rFonts w:ascii="Arial Narrow" w:hAnsi="Arial Narrow" w:cs="Tahoma"/>
                <w:sz w:val="20"/>
              </w:rPr>
            </w:pPr>
            <w:r w:rsidRPr="0028577D">
              <w:rPr>
                <w:rFonts w:ascii="Arial Narrow" w:hAnsi="Arial Narrow" w:cs="Tahoma"/>
                <w:sz w:val="20"/>
              </w:rPr>
              <w:t>1.66 (0.93, 2.96)</w:t>
            </w:r>
          </w:p>
        </w:tc>
      </w:tr>
      <w:tr w:rsidR="008C522C" w:rsidRPr="003B08F2" w14:paraId="1489FD42" w14:textId="77777777" w:rsidTr="008C522C">
        <w:trPr>
          <w:trHeight w:val="46"/>
        </w:trPr>
        <w:tc>
          <w:tcPr>
            <w:tcW w:w="2113" w:type="dxa"/>
          </w:tcPr>
          <w:p w14:paraId="40FE10D8" w14:textId="77777777" w:rsidR="008C522C" w:rsidRPr="000C1F45" w:rsidRDefault="008C522C" w:rsidP="00750CDD">
            <w:pPr>
              <w:keepNext/>
              <w:keepLines/>
              <w:spacing w:after="0"/>
              <w:ind w:left="0"/>
              <w:rPr>
                <w:rFonts w:ascii="Arial Narrow" w:hAnsi="Arial Narrow" w:cs="Tahoma"/>
                <w:sz w:val="20"/>
              </w:rPr>
            </w:pPr>
            <w:r w:rsidRPr="000C1F45">
              <w:rPr>
                <w:rFonts w:ascii="Arial Narrow" w:hAnsi="Arial Narrow" w:cs="Tahoma"/>
                <w:sz w:val="20"/>
              </w:rPr>
              <w:t xml:space="preserve">1-year </w:t>
            </w:r>
          </w:p>
        </w:tc>
        <w:tc>
          <w:tcPr>
            <w:tcW w:w="2283" w:type="dxa"/>
            <w:vAlign w:val="center"/>
          </w:tcPr>
          <w:p w14:paraId="6DD8FC9E" w14:textId="633D1912" w:rsidR="008C522C" w:rsidRPr="0028577D" w:rsidRDefault="008C522C" w:rsidP="00FF6040">
            <w:pPr>
              <w:spacing w:after="0"/>
              <w:ind w:left="0"/>
              <w:jc w:val="center"/>
              <w:rPr>
                <w:rFonts w:ascii="Arial Narrow" w:hAnsi="Arial Narrow" w:cs="Tahoma"/>
                <w:sz w:val="20"/>
              </w:rPr>
            </w:pPr>
            <w:r w:rsidRPr="0028577D">
              <w:rPr>
                <w:rFonts w:ascii="Arial Narrow" w:hAnsi="Arial Narrow" w:cs="Tahoma"/>
                <w:sz w:val="20"/>
              </w:rPr>
              <w:t>36/</w:t>
            </w:r>
            <w:r w:rsidR="00422139" w:rsidRPr="0028577D">
              <w:rPr>
                <w:rFonts w:ascii="Arial Narrow" w:hAnsi="Arial Narrow" w:cs="Tahoma"/>
                <w:sz w:val="20"/>
              </w:rPr>
              <w:t>49</w:t>
            </w:r>
            <w:r w:rsidR="00422139">
              <w:rPr>
                <w:rFonts w:ascii="Arial Narrow" w:hAnsi="Arial Narrow" w:cs="Tahoma"/>
                <w:sz w:val="20"/>
              </w:rPr>
              <w:t>6</w:t>
            </w:r>
            <w:r w:rsidR="00422139" w:rsidRPr="0028577D">
              <w:rPr>
                <w:rFonts w:ascii="Arial Narrow" w:hAnsi="Arial Narrow" w:cs="Tahoma"/>
                <w:sz w:val="20"/>
              </w:rPr>
              <w:t xml:space="preserve"> </w:t>
            </w:r>
            <w:r w:rsidRPr="0028577D">
              <w:rPr>
                <w:rFonts w:ascii="Arial Narrow" w:hAnsi="Arial Narrow" w:cs="Tahoma"/>
                <w:sz w:val="20"/>
              </w:rPr>
              <w:t>(7.</w:t>
            </w:r>
            <w:r w:rsidR="0092297C">
              <w:rPr>
                <w:rFonts w:ascii="Arial Narrow" w:hAnsi="Arial Narrow" w:cs="Tahoma"/>
                <w:sz w:val="20"/>
              </w:rPr>
              <w:t>3</w:t>
            </w:r>
            <w:r w:rsidRPr="0028577D">
              <w:rPr>
                <w:rFonts w:ascii="Arial Narrow" w:hAnsi="Arial Narrow" w:cs="Tahoma"/>
                <w:sz w:val="20"/>
              </w:rPr>
              <w:t>%)</w:t>
            </w:r>
          </w:p>
        </w:tc>
        <w:tc>
          <w:tcPr>
            <w:tcW w:w="1978" w:type="dxa"/>
            <w:vAlign w:val="center"/>
          </w:tcPr>
          <w:p w14:paraId="3860248C" w14:textId="61AAC646" w:rsidR="008C522C" w:rsidRPr="0028577D" w:rsidRDefault="008C522C" w:rsidP="00FF6040">
            <w:pPr>
              <w:spacing w:after="0"/>
              <w:ind w:left="0"/>
              <w:jc w:val="center"/>
              <w:rPr>
                <w:rFonts w:ascii="Arial Narrow" w:hAnsi="Arial Narrow" w:cs="Tahoma"/>
                <w:sz w:val="20"/>
              </w:rPr>
            </w:pPr>
            <w:r w:rsidRPr="0028577D">
              <w:rPr>
                <w:rFonts w:ascii="Arial Narrow" w:hAnsi="Arial Narrow" w:cs="Tahoma"/>
                <w:sz w:val="20"/>
              </w:rPr>
              <w:t>24/454 (5.</w:t>
            </w:r>
            <w:r w:rsidR="0092297C">
              <w:rPr>
                <w:rFonts w:ascii="Arial Narrow" w:hAnsi="Arial Narrow" w:cs="Tahoma"/>
                <w:sz w:val="20"/>
              </w:rPr>
              <w:t>4</w:t>
            </w:r>
            <w:r w:rsidRPr="0028577D">
              <w:rPr>
                <w:rFonts w:ascii="Arial Narrow" w:hAnsi="Arial Narrow" w:cs="Tahoma"/>
                <w:sz w:val="20"/>
              </w:rPr>
              <w:t>%)</w:t>
            </w:r>
          </w:p>
        </w:tc>
        <w:tc>
          <w:tcPr>
            <w:tcW w:w="2421" w:type="dxa"/>
            <w:vAlign w:val="center"/>
          </w:tcPr>
          <w:p w14:paraId="5B66DF1B" w14:textId="0473B8A6" w:rsidR="008C522C" w:rsidRPr="0028577D" w:rsidRDefault="008C522C" w:rsidP="00FF6040">
            <w:pPr>
              <w:spacing w:after="0"/>
              <w:ind w:left="0"/>
              <w:jc w:val="center"/>
              <w:rPr>
                <w:rFonts w:ascii="Arial Narrow" w:hAnsi="Arial Narrow" w:cs="Tahoma"/>
                <w:sz w:val="20"/>
              </w:rPr>
            </w:pPr>
            <w:r w:rsidRPr="0028577D">
              <w:rPr>
                <w:rFonts w:ascii="Arial Narrow" w:hAnsi="Arial Narrow" w:cs="Tahoma"/>
                <w:sz w:val="20"/>
              </w:rPr>
              <w:t>1.38 (0.82, 2.32)</w:t>
            </w:r>
          </w:p>
        </w:tc>
      </w:tr>
      <w:tr w:rsidR="008C522C" w:rsidRPr="003B08F2" w14:paraId="34901DF5" w14:textId="77777777" w:rsidTr="008C522C">
        <w:trPr>
          <w:trHeight w:val="46"/>
        </w:trPr>
        <w:tc>
          <w:tcPr>
            <w:tcW w:w="2113" w:type="dxa"/>
          </w:tcPr>
          <w:p w14:paraId="0CC5766A" w14:textId="77777777" w:rsidR="008C522C" w:rsidRPr="000C1F45" w:rsidRDefault="008C522C" w:rsidP="00750CDD">
            <w:pPr>
              <w:keepNext/>
              <w:keepLines/>
              <w:spacing w:after="0"/>
              <w:ind w:left="0"/>
              <w:rPr>
                <w:rFonts w:ascii="Arial Narrow" w:hAnsi="Arial Narrow" w:cs="Tahoma"/>
                <w:i/>
                <w:iCs/>
                <w:sz w:val="20"/>
              </w:rPr>
            </w:pPr>
            <w:r w:rsidRPr="000C1F45">
              <w:rPr>
                <w:rFonts w:ascii="Arial Narrow" w:hAnsi="Arial Narrow" w:cs="Tahoma"/>
                <w:i/>
                <w:iCs/>
                <w:sz w:val="20"/>
              </w:rPr>
              <w:t xml:space="preserve">2-years </w:t>
            </w:r>
          </w:p>
        </w:tc>
        <w:tc>
          <w:tcPr>
            <w:tcW w:w="2283" w:type="dxa"/>
            <w:vAlign w:val="center"/>
          </w:tcPr>
          <w:p w14:paraId="0E5C8525" w14:textId="474A9F92" w:rsidR="008C522C" w:rsidRPr="00CF5548" w:rsidRDefault="008C522C" w:rsidP="00FF6040">
            <w:pPr>
              <w:spacing w:after="0"/>
              <w:ind w:left="0"/>
              <w:jc w:val="center"/>
              <w:rPr>
                <w:rFonts w:ascii="Arial Narrow" w:hAnsi="Arial Narrow" w:cs="Tahoma"/>
                <w:i/>
                <w:iCs/>
                <w:sz w:val="20"/>
              </w:rPr>
            </w:pPr>
            <w:r w:rsidRPr="00CF5548">
              <w:rPr>
                <w:rFonts w:ascii="Arial Narrow" w:hAnsi="Arial Narrow" w:cs="Tahoma"/>
                <w:i/>
                <w:iCs/>
                <w:sz w:val="20"/>
              </w:rPr>
              <w:t>42/</w:t>
            </w:r>
            <w:r w:rsidR="00422139" w:rsidRPr="00CF5548">
              <w:rPr>
                <w:rFonts w:ascii="Arial Narrow" w:hAnsi="Arial Narrow" w:cs="Tahoma"/>
                <w:i/>
                <w:iCs/>
                <w:sz w:val="20"/>
              </w:rPr>
              <w:t>49</w:t>
            </w:r>
            <w:r w:rsidR="00422139">
              <w:rPr>
                <w:rFonts w:ascii="Arial Narrow" w:hAnsi="Arial Narrow" w:cs="Tahoma"/>
                <w:i/>
                <w:iCs/>
                <w:sz w:val="20"/>
              </w:rPr>
              <w:t>6</w:t>
            </w:r>
            <w:r w:rsidR="00422139" w:rsidRPr="00CF5548">
              <w:rPr>
                <w:rFonts w:ascii="Arial Narrow" w:hAnsi="Arial Narrow" w:cs="Tahoma"/>
                <w:i/>
                <w:iCs/>
                <w:sz w:val="20"/>
              </w:rPr>
              <w:t xml:space="preserve"> </w:t>
            </w:r>
            <w:r w:rsidRPr="00CF5548">
              <w:rPr>
                <w:rFonts w:ascii="Arial Narrow" w:hAnsi="Arial Narrow" w:cs="Tahoma"/>
                <w:i/>
                <w:iCs/>
                <w:sz w:val="20"/>
              </w:rPr>
              <w:t>(8.5%)</w:t>
            </w:r>
          </w:p>
        </w:tc>
        <w:tc>
          <w:tcPr>
            <w:tcW w:w="1978" w:type="dxa"/>
            <w:vAlign w:val="center"/>
          </w:tcPr>
          <w:p w14:paraId="0E6C9E9B" w14:textId="77777777" w:rsidR="008C522C" w:rsidRPr="00CF5548" w:rsidRDefault="008C522C" w:rsidP="00750CDD">
            <w:pPr>
              <w:spacing w:after="0"/>
              <w:ind w:left="0"/>
              <w:jc w:val="center"/>
              <w:rPr>
                <w:rFonts w:ascii="Arial Narrow" w:hAnsi="Arial Narrow" w:cs="Tahoma"/>
                <w:i/>
                <w:iCs/>
                <w:sz w:val="20"/>
              </w:rPr>
            </w:pPr>
            <w:r w:rsidRPr="00CF5548">
              <w:rPr>
                <w:rFonts w:ascii="Arial Narrow" w:hAnsi="Arial Narrow" w:cs="Tahoma"/>
                <w:i/>
                <w:iCs/>
                <w:sz w:val="20"/>
              </w:rPr>
              <w:t>28/454 (6.3%)</w:t>
            </w:r>
          </w:p>
        </w:tc>
        <w:tc>
          <w:tcPr>
            <w:tcW w:w="2421" w:type="dxa"/>
            <w:vAlign w:val="center"/>
          </w:tcPr>
          <w:p w14:paraId="780D62B1" w14:textId="50379BBE" w:rsidR="008C522C" w:rsidRPr="00CF5548" w:rsidRDefault="008C522C" w:rsidP="00FF6040">
            <w:pPr>
              <w:spacing w:after="0"/>
              <w:ind w:left="0"/>
              <w:jc w:val="center"/>
              <w:rPr>
                <w:rFonts w:ascii="Arial Narrow" w:hAnsi="Arial Narrow" w:cs="Tahoma"/>
                <w:b/>
                <w:bCs/>
                <w:i/>
                <w:iCs/>
                <w:sz w:val="20"/>
              </w:rPr>
            </w:pPr>
            <w:r w:rsidRPr="00CF5548">
              <w:rPr>
                <w:rFonts w:ascii="Arial Narrow" w:hAnsi="Arial Narrow" w:cs="Tahoma"/>
                <w:i/>
                <w:iCs/>
                <w:sz w:val="20"/>
              </w:rPr>
              <w:t>1.37 (0.</w:t>
            </w:r>
            <w:r w:rsidR="0092297C" w:rsidRPr="00CF5548">
              <w:rPr>
                <w:rFonts w:ascii="Arial Narrow" w:hAnsi="Arial Narrow" w:cs="Tahoma"/>
                <w:i/>
                <w:iCs/>
                <w:sz w:val="20"/>
              </w:rPr>
              <w:t>8</w:t>
            </w:r>
            <w:r w:rsidR="0092297C">
              <w:rPr>
                <w:rFonts w:ascii="Arial Narrow" w:hAnsi="Arial Narrow" w:cs="Tahoma"/>
                <w:i/>
                <w:iCs/>
                <w:sz w:val="20"/>
              </w:rPr>
              <w:t>7</w:t>
            </w:r>
            <w:r w:rsidRPr="00CF5548">
              <w:rPr>
                <w:rFonts w:ascii="Arial Narrow" w:hAnsi="Arial Narrow" w:cs="Tahoma"/>
                <w:i/>
                <w:iCs/>
                <w:sz w:val="20"/>
              </w:rPr>
              <w:t>, 2.</w:t>
            </w:r>
            <w:r w:rsidR="0092297C">
              <w:rPr>
                <w:rFonts w:ascii="Arial Narrow" w:hAnsi="Arial Narrow" w:cs="Tahoma"/>
                <w:i/>
                <w:iCs/>
                <w:sz w:val="20"/>
              </w:rPr>
              <w:t>18</w:t>
            </w:r>
            <w:r w:rsidRPr="00CF5548">
              <w:rPr>
                <w:rFonts w:ascii="Arial Narrow" w:hAnsi="Arial Narrow" w:cs="Tahoma"/>
                <w:i/>
                <w:iCs/>
                <w:sz w:val="20"/>
              </w:rPr>
              <w:t>)</w:t>
            </w:r>
          </w:p>
        </w:tc>
      </w:tr>
      <w:tr w:rsidR="008C522C" w:rsidRPr="003B08F2" w14:paraId="22E51EC0" w14:textId="77777777" w:rsidTr="008C522C">
        <w:trPr>
          <w:trHeight w:val="46"/>
        </w:trPr>
        <w:tc>
          <w:tcPr>
            <w:tcW w:w="8795" w:type="dxa"/>
            <w:gridSpan w:val="4"/>
          </w:tcPr>
          <w:p w14:paraId="17DA0B03" w14:textId="77777777" w:rsidR="008C522C" w:rsidRPr="000C1F45" w:rsidRDefault="008C522C" w:rsidP="00750CDD">
            <w:pPr>
              <w:spacing w:after="0"/>
              <w:ind w:left="0"/>
              <w:rPr>
                <w:rFonts w:ascii="Arial Narrow" w:hAnsi="Arial Narrow" w:cs="Tahoma"/>
                <w:sz w:val="20"/>
              </w:rPr>
            </w:pPr>
            <w:r w:rsidRPr="000C1F45">
              <w:rPr>
                <w:rFonts w:ascii="Arial Narrow" w:hAnsi="Arial Narrow" w:cs="Calibri"/>
                <w:b/>
                <w:bCs/>
                <w:sz w:val="20"/>
              </w:rPr>
              <w:t>Life-threatening or disabling bleeding</w:t>
            </w:r>
          </w:p>
        </w:tc>
      </w:tr>
      <w:tr w:rsidR="008C522C" w:rsidRPr="003B08F2" w14:paraId="104A6FC3" w14:textId="77777777" w:rsidTr="008C522C">
        <w:trPr>
          <w:trHeight w:val="46"/>
        </w:trPr>
        <w:tc>
          <w:tcPr>
            <w:tcW w:w="2113" w:type="dxa"/>
          </w:tcPr>
          <w:p w14:paraId="4AD9691E" w14:textId="77777777" w:rsidR="008C522C" w:rsidRPr="000C1F45" w:rsidRDefault="008C522C" w:rsidP="00750CDD">
            <w:pPr>
              <w:keepNext/>
              <w:keepLines/>
              <w:spacing w:after="0"/>
              <w:ind w:left="0"/>
              <w:rPr>
                <w:rFonts w:ascii="Arial Narrow" w:hAnsi="Arial Narrow" w:cs="Tahoma"/>
                <w:sz w:val="20"/>
              </w:rPr>
            </w:pPr>
            <w:r w:rsidRPr="000C1F45">
              <w:rPr>
                <w:rFonts w:ascii="Arial Narrow" w:hAnsi="Arial Narrow" w:cs="Tahoma"/>
                <w:sz w:val="20"/>
              </w:rPr>
              <w:t>30-days</w:t>
            </w:r>
          </w:p>
        </w:tc>
        <w:tc>
          <w:tcPr>
            <w:tcW w:w="2283" w:type="dxa"/>
            <w:vAlign w:val="center"/>
          </w:tcPr>
          <w:p w14:paraId="11A274AD" w14:textId="555B16C1" w:rsidR="008C522C" w:rsidRPr="0028577D" w:rsidRDefault="008C522C" w:rsidP="00FF6040">
            <w:pPr>
              <w:spacing w:after="0"/>
              <w:ind w:left="0"/>
              <w:jc w:val="center"/>
              <w:rPr>
                <w:rFonts w:ascii="Arial Narrow" w:hAnsi="Arial Narrow" w:cs="Tahoma"/>
                <w:sz w:val="20"/>
              </w:rPr>
            </w:pPr>
            <w:r w:rsidRPr="0028577D">
              <w:rPr>
                <w:rFonts w:ascii="Arial Narrow" w:hAnsi="Arial Narrow" w:cs="Calibri"/>
                <w:sz w:val="20"/>
              </w:rPr>
              <w:t>6/</w:t>
            </w:r>
            <w:r w:rsidR="00422139" w:rsidRPr="0028577D">
              <w:rPr>
                <w:rFonts w:ascii="Arial Narrow" w:hAnsi="Arial Narrow" w:cs="Calibri"/>
                <w:sz w:val="20"/>
              </w:rPr>
              <w:t>49</w:t>
            </w:r>
            <w:r w:rsidR="00422139">
              <w:rPr>
                <w:rFonts w:ascii="Arial Narrow" w:hAnsi="Arial Narrow" w:cs="Calibri"/>
                <w:sz w:val="20"/>
              </w:rPr>
              <w:t>6</w:t>
            </w:r>
            <w:r w:rsidR="00422139" w:rsidRPr="0028577D">
              <w:rPr>
                <w:rFonts w:ascii="Arial Narrow" w:hAnsi="Arial Narrow" w:cs="Calibri"/>
                <w:sz w:val="20"/>
              </w:rPr>
              <w:t xml:space="preserve"> </w:t>
            </w:r>
            <w:r w:rsidRPr="0028577D">
              <w:rPr>
                <w:rFonts w:ascii="Arial Narrow" w:hAnsi="Arial Narrow" w:cs="Calibri"/>
                <w:sz w:val="20"/>
              </w:rPr>
              <w:t>(1.2%)</w:t>
            </w:r>
          </w:p>
        </w:tc>
        <w:tc>
          <w:tcPr>
            <w:tcW w:w="1978" w:type="dxa"/>
            <w:vAlign w:val="center"/>
          </w:tcPr>
          <w:p w14:paraId="2062BCFC" w14:textId="77777777" w:rsidR="008C522C" w:rsidRPr="0028577D" w:rsidRDefault="008C522C" w:rsidP="00750CDD">
            <w:pPr>
              <w:spacing w:after="0"/>
              <w:ind w:left="0"/>
              <w:jc w:val="center"/>
              <w:rPr>
                <w:rFonts w:ascii="Arial Narrow" w:hAnsi="Arial Narrow" w:cs="Tahoma"/>
                <w:sz w:val="20"/>
              </w:rPr>
            </w:pPr>
            <w:r w:rsidRPr="0028577D">
              <w:rPr>
                <w:rFonts w:ascii="Arial Narrow" w:hAnsi="Arial Narrow" w:cs="Calibri"/>
                <w:sz w:val="20"/>
              </w:rPr>
              <w:t>54/454 (11.9%)</w:t>
            </w:r>
          </w:p>
        </w:tc>
        <w:tc>
          <w:tcPr>
            <w:tcW w:w="2421" w:type="dxa"/>
            <w:vAlign w:val="center"/>
          </w:tcPr>
          <w:p w14:paraId="06F8C280" w14:textId="77777777" w:rsidR="008C522C" w:rsidRPr="0028577D" w:rsidRDefault="008C522C" w:rsidP="00750CDD">
            <w:pPr>
              <w:spacing w:after="0"/>
              <w:ind w:left="0"/>
              <w:jc w:val="center"/>
              <w:rPr>
                <w:rFonts w:ascii="Arial Narrow" w:hAnsi="Arial Narrow" w:cs="Tahoma"/>
                <w:sz w:val="20"/>
              </w:rPr>
            </w:pPr>
            <w:r w:rsidRPr="0028577D">
              <w:rPr>
                <w:rFonts w:ascii="Arial Narrow" w:hAnsi="Arial Narrow" w:cs="Calibri"/>
                <w:b/>
                <w:bCs/>
                <w:sz w:val="20"/>
              </w:rPr>
              <w:t>0.09 (0.04, 0.22)</w:t>
            </w:r>
          </w:p>
        </w:tc>
      </w:tr>
      <w:tr w:rsidR="008C522C" w:rsidRPr="003B08F2" w14:paraId="351FB2C0" w14:textId="77777777" w:rsidTr="008C522C">
        <w:trPr>
          <w:trHeight w:val="46"/>
        </w:trPr>
        <w:tc>
          <w:tcPr>
            <w:tcW w:w="2113" w:type="dxa"/>
          </w:tcPr>
          <w:p w14:paraId="12AE355A" w14:textId="77777777" w:rsidR="008C522C" w:rsidRPr="000C1F45" w:rsidRDefault="008C522C" w:rsidP="00750CDD">
            <w:pPr>
              <w:keepNext/>
              <w:keepLines/>
              <w:spacing w:after="0"/>
              <w:ind w:left="0"/>
              <w:rPr>
                <w:rFonts w:ascii="Arial Narrow" w:hAnsi="Arial Narrow" w:cs="Tahoma"/>
                <w:sz w:val="20"/>
              </w:rPr>
            </w:pPr>
            <w:r w:rsidRPr="000C1F45">
              <w:rPr>
                <w:rFonts w:ascii="Arial Narrow" w:hAnsi="Arial Narrow" w:cs="Tahoma"/>
                <w:sz w:val="20"/>
              </w:rPr>
              <w:t xml:space="preserve">1-year </w:t>
            </w:r>
          </w:p>
        </w:tc>
        <w:tc>
          <w:tcPr>
            <w:tcW w:w="2283" w:type="dxa"/>
            <w:vAlign w:val="center"/>
          </w:tcPr>
          <w:p w14:paraId="4041894C" w14:textId="284ED10D" w:rsidR="008C522C" w:rsidRPr="0028577D" w:rsidRDefault="008C522C" w:rsidP="00FF6040">
            <w:pPr>
              <w:spacing w:after="0"/>
              <w:ind w:left="0"/>
              <w:jc w:val="center"/>
              <w:rPr>
                <w:rFonts w:ascii="Arial Narrow" w:hAnsi="Arial Narrow" w:cs="Tahoma"/>
                <w:sz w:val="20"/>
              </w:rPr>
            </w:pPr>
            <w:r w:rsidRPr="0028577D">
              <w:rPr>
                <w:rFonts w:ascii="Arial Narrow" w:hAnsi="Arial Narrow" w:cs="Tahoma"/>
                <w:sz w:val="20"/>
              </w:rPr>
              <w:t>14/</w:t>
            </w:r>
            <w:r w:rsidR="00422139" w:rsidRPr="0028577D">
              <w:rPr>
                <w:rFonts w:ascii="Arial Narrow" w:hAnsi="Arial Narrow" w:cs="Tahoma"/>
                <w:sz w:val="20"/>
              </w:rPr>
              <w:t>49</w:t>
            </w:r>
            <w:r w:rsidR="00422139">
              <w:rPr>
                <w:rFonts w:ascii="Arial Narrow" w:hAnsi="Arial Narrow" w:cs="Tahoma"/>
                <w:sz w:val="20"/>
              </w:rPr>
              <w:t>6</w:t>
            </w:r>
            <w:r w:rsidR="00422139" w:rsidRPr="0028577D">
              <w:rPr>
                <w:rFonts w:ascii="Arial Narrow" w:hAnsi="Arial Narrow" w:cs="Tahoma"/>
                <w:sz w:val="20"/>
              </w:rPr>
              <w:t xml:space="preserve"> </w:t>
            </w:r>
            <w:r w:rsidRPr="0028577D">
              <w:rPr>
                <w:rFonts w:ascii="Arial Narrow" w:hAnsi="Arial Narrow" w:cs="Tahoma"/>
                <w:sz w:val="20"/>
              </w:rPr>
              <w:t>(2.8%)</w:t>
            </w:r>
          </w:p>
        </w:tc>
        <w:tc>
          <w:tcPr>
            <w:tcW w:w="1978" w:type="dxa"/>
            <w:vAlign w:val="center"/>
          </w:tcPr>
          <w:p w14:paraId="2D3D0D04" w14:textId="77777777" w:rsidR="008C522C" w:rsidRPr="0028577D" w:rsidRDefault="008C522C" w:rsidP="00750CDD">
            <w:pPr>
              <w:spacing w:after="0"/>
              <w:ind w:left="0"/>
              <w:jc w:val="center"/>
              <w:rPr>
                <w:rFonts w:ascii="Arial Narrow" w:hAnsi="Arial Narrow" w:cs="Tahoma"/>
                <w:sz w:val="20"/>
              </w:rPr>
            </w:pPr>
            <w:r w:rsidRPr="0028577D">
              <w:rPr>
                <w:rFonts w:ascii="Arial Narrow" w:hAnsi="Arial Narrow" w:cs="Tahoma"/>
                <w:sz w:val="20"/>
              </w:rPr>
              <w:t>58/454 (12.8%)</w:t>
            </w:r>
          </w:p>
        </w:tc>
        <w:tc>
          <w:tcPr>
            <w:tcW w:w="2421" w:type="dxa"/>
            <w:vAlign w:val="center"/>
          </w:tcPr>
          <w:p w14:paraId="1A291538" w14:textId="77777777" w:rsidR="008C522C" w:rsidRPr="0028577D" w:rsidRDefault="008C522C" w:rsidP="00750CDD">
            <w:pPr>
              <w:spacing w:after="0"/>
              <w:ind w:left="0"/>
              <w:jc w:val="center"/>
              <w:rPr>
                <w:rFonts w:ascii="Arial Narrow" w:hAnsi="Arial Narrow" w:cs="Tahoma"/>
                <w:sz w:val="20"/>
              </w:rPr>
            </w:pPr>
            <w:r w:rsidRPr="0028577D">
              <w:rPr>
                <w:rFonts w:ascii="Arial Narrow" w:hAnsi="Arial Narrow" w:cs="Tahoma"/>
                <w:b/>
                <w:bCs/>
                <w:sz w:val="20"/>
              </w:rPr>
              <w:t>0.20 (0.11, 0.36)</w:t>
            </w:r>
          </w:p>
        </w:tc>
      </w:tr>
      <w:tr w:rsidR="008C522C" w:rsidRPr="003B08F2" w14:paraId="1196329E" w14:textId="77777777" w:rsidTr="008C522C">
        <w:trPr>
          <w:trHeight w:val="46"/>
        </w:trPr>
        <w:tc>
          <w:tcPr>
            <w:tcW w:w="8795" w:type="dxa"/>
            <w:gridSpan w:val="4"/>
          </w:tcPr>
          <w:p w14:paraId="1C194C70" w14:textId="77777777" w:rsidR="008C522C" w:rsidRPr="000C1F45" w:rsidRDefault="008C522C" w:rsidP="00750CDD">
            <w:pPr>
              <w:spacing w:after="0"/>
              <w:ind w:left="0"/>
              <w:rPr>
                <w:rFonts w:ascii="Arial Narrow" w:hAnsi="Arial Narrow" w:cs="Tahoma"/>
                <w:sz w:val="20"/>
              </w:rPr>
            </w:pPr>
            <w:r w:rsidRPr="000C1F45">
              <w:rPr>
                <w:rFonts w:ascii="Arial Narrow" w:hAnsi="Arial Narrow" w:cs="Tahoma"/>
                <w:b/>
                <w:bCs/>
                <w:sz w:val="20"/>
              </w:rPr>
              <w:t>New-onset atrial fibrillation</w:t>
            </w:r>
          </w:p>
        </w:tc>
      </w:tr>
      <w:tr w:rsidR="008C522C" w:rsidRPr="003B08F2" w14:paraId="4A9D6DDC" w14:textId="77777777" w:rsidTr="008C522C">
        <w:trPr>
          <w:trHeight w:val="46"/>
        </w:trPr>
        <w:tc>
          <w:tcPr>
            <w:tcW w:w="2113" w:type="dxa"/>
          </w:tcPr>
          <w:p w14:paraId="4A208747" w14:textId="77777777" w:rsidR="008C522C" w:rsidRPr="000C1F45" w:rsidRDefault="008C522C" w:rsidP="00750CDD">
            <w:pPr>
              <w:keepNext/>
              <w:keepLines/>
              <w:spacing w:after="0"/>
              <w:ind w:left="0"/>
              <w:rPr>
                <w:rFonts w:ascii="Arial Narrow" w:hAnsi="Arial Narrow" w:cs="Tahoma"/>
                <w:sz w:val="20"/>
              </w:rPr>
            </w:pPr>
            <w:r w:rsidRPr="000C1F45">
              <w:rPr>
                <w:rFonts w:ascii="Arial Narrow" w:hAnsi="Arial Narrow" w:cs="Tahoma"/>
                <w:sz w:val="20"/>
              </w:rPr>
              <w:t xml:space="preserve">30-days </w:t>
            </w:r>
          </w:p>
        </w:tc>
        <w:tc>
          <w:tcPr>
            <w:tcW w:w="2283" w:type="dxa"/>
            <w:vAlign w:val="center"/>
          </w:tcPr>
          <w:p w14:paraId="5CF28B41" w14:textId="1D436850" w:rsidR="008C522C" w:rsidRPr="00484EA3" w:rsidRDefault="008C522C" w:rsidP="00FF6040">
            <w:pPr>
              <w:spacing w:after="0"/>
              <w:ind w:left="0"/>
              <w:jc w:val="center"/>
              <w:rPr>
                <w:rFonts w:ascii="Arial Narrow" w:hAnsi="Arial Narrow" w:cs="Tahoma"/>
                <w:sz w:val="20"/>
              </w:rPr>
            </w:pPr>
            <w:r w:rsidRPr="00484EA3">
              <w:rPr>
                <w:rFonts w:ascii="Arial Narrow" w:hAnsi="Arial Narrow" w:cs="Calibri"/>
                <w:sz w:val="20"/>
              </w:rPr>
              <w:t>21/</w:t>
            </w:r>
            <w:r w:rsidR="00422139" w:rsidRPr="00484EA3">
              <w:rPr>
                <w:rFonts w:ascii="Arial Narrow" w:hAnsi="Arial Narrow" w:cs="Calibri"/>
                <w:sz w:val="20"/>
              </w:rPr>
              <w:t>49</w:t>
            </w:r>
            <w:r w:rsidR="00422139">
              <w:rPr>
                <w:rFonts w:ascii="Arial Narrow" w:hAnsi="Arial Narrow" w:cs="Calibri"/>
                <w:sz w:val="20"/>
              </w:rPr>
              <w:t>6</w:t>
            </w:r>
            <w:r w:rsidR="00422139" w:rsidRPr="00484EA3">
              <w:rPr>
                <w:rFonts w:ascii="Arial Narrow" w:hAnsi="Arial Narrow" w:cs="Calibri"/>
                <w:sz w:val="20"/>
              </w:rPr>
              <w:t xml:space="preserve"> </w:t>
            </w:r>
            <w:r w:rsidRPr="00484EA3">
              <w:rPr>
                <w:rFonts w:ascii="Arial Narrow" w:hAnsi="Arial Narrow" w:cs="Calibri"/>
                <w:sz w:val="20"/>
              </w:rPr>
              <w:t>(5.0%)</w:t>
            </w:r>
          </w:p>
        </w:tc>
        <w:tc>
          <w:tcPr>
            <w:tcW w:w="1978" w:type="dxa"/>
            <w:vAlign w:val="center"/>
          </w:tcPr>
          <w:p w14:paraId="5FD51BFF" w14:textId="77777777" w:rsidR="008C522C" w:rsidRPr="00484EA3" w:rsidRDefault="008C522C" w:rsidP="00750CDD">
            <w:pPr>
              <w:spacing w:after="0"/>
              <w:ind w:left="0"/>
              <w:jc w:val="center"/>
              <w:rPr>
                <w:rFonts w:ascii="Arial Narrow" w:hAnsi="Arial Narrow" w:cs="Tahoma"/>
                <w:sz w:val="20"/>
              </w:rPr>
            </w:pPr>
            <w:r w:rsidRPr="00484EA3">
              <w:rPr>
                <w:rFonts w:ascii="Arial Narrow" w:hAnsi="Arial Narrow" w:cs="Tahoma"/>
                <w:sz w:val="20"/>
              </w:rPr>
              <w:t>145/454 (39.5%)</w:t>
            </w:r>
          </w:p>
        </w:tc>
        <w:tc>
          <w:tcPr>
            <w:tcW w:w="2421" w:type="dxa"/>
            <w:vAlign w:val="center"/>
          </w:tcPr>
          <w:p w14:paraId="0D9FE83F" w14:textId="77777777" w:rsidR="008C522C" w:rsidRPr="00484EA3" w:rsidRDefault="008C522C" w:rsidP="00750CDD">
            <w:pPr>
              <w:spacing w:after="0"/>
              <w:ind w:left="0"/>
              <w:jc w:val="center"/>
              <w:rPr>
                <w:rFonts w:ascii="Arial Narrow" w:hAnsi="Arial Narrow" w:cs="Tahoma"/>
                <w:sz w:val="20"/>
              </w:rPr>
            </w:pPr>
            <w:r w:rsidRPr="00484EA3">
              <w:rPr>
                <w:rFonts w:ascii="Arial Narrow" w:hAnsi="Arial Narrow" w:cs="Calibri"/>
                <w:b/>
                <w:bCs/>
                <w:sz w:val="20"/>
              </w:rPr>
              <w:t>0.10 (0.06, 0.16)</w:t>
            </w:r>
          </w:p>
        </w:tc>
      </w:tr>
      <w:tr w:rsidR="008C522C" w:rsidRPr="003B08F2" w14:paraId="78E0CD3A" w14:textId="77777777" w:rsidTr="008C522C">
        <w:trPr>
          <w:trHeight w:val="46"/>
        </w:trPr>
        <w:tc>
          <w:tcPr>
            <w:tcW w:w="2113" w:type="dxa"/>
          </w:tcPr>
          <w:p w14:paraId="148C7AE0" w14:textId="77777777" w:rsidR="008C522C" w:rsidRPr="000C1F45" w:rsidRDefault="008C522C" w:rsidP="00750CDD">
            <w:pPr>
              <w:keepNext/>
              <w:keepLines/>
              <w:spacing w:after="0"/>
              <w:ind w:left="0"/>
              <w:rPr>
                <w:rFonts w:ascii="Arial Narrow" w:hAnsi="Arial Narrow" w:cs="Tahoma"/>
                <w:sz w:val="20"/>
              </w:rPr>
            </w:pPr>
            <w:r w:rsidRPr="000C1F45">
              <w:rPr>
                <w:rFonts w:ascii="Arial Narrow" w:hAnsi="Arial Narrow" w:cs="Tahoma"/>
                <w:sz w:val="20"/>
              </w:rPr>
              <w:t xml:space="preserve">1-year </w:t>
            </w:r>
          </w:p>
        </w:tc>
        <w:tc>
          <w:tcPr>
            <w:tcW w:w="2283" w:type="dxa"/>
            <w:vAlign w:val="center"/>
          </w:tcPr>
          <w:p w14:paraId="6C5290B4" w14:textId="05DC9F14" w:rsidR="008C522C" w:rsidRPr="00484EA3" w:rsidRDefault="008C522C" w:rsidP="00FF6040">
            <w:pPr>
              <w:spacing w:after="0"/>
              <w:ind w:left="0"/>
              <w:jc w:val="center"/>
              <w:rPr>
                <w:rFonts w:ascii="Arial Narrow" w:hAnsi="Arial Narrow" w:cs="Tahoma"/>
                <w:sz w:val="20"/>
              </w:rPr>
            </w:pPr>
            <w:r w:rsidRPr="00484EA3">
              <w:rPr>
                <w:rFonts w:ascii="Arial Narrow" w:hAnsi="Arial Narrow" w:cs="Calibri"/>
                <w:sz w:val="20"/>
              </w:rPr>
              <w:t>29/</w:t>
            </w:r>
            <w:r w:rsidR="00422139" w:rsidRPr="00484EA3">
              <w:rPr>
                <w:rFonts w:ascii="Arial Narrow" w:hAnsi="Arial Narrow" w:cs="Calibri"/>
                <w:sz w:val="20"/>
              </w:rPr>
              <w:t>49</w:t>
            </w:r>
            <w:r w:rsidR="00422139">
              <w:rPr>
                <w:rFonts w:ascii="Arial Narrow" w:hAnsi="Arial Narrow" w:cs="Calibri"/>
                <w:sz w:val="20"/>
              </w:rPr>
              <w:t>6</w:t>
            </w:r>
            <w:r w:rsidR="00422139" w:rsidRPr="00484EA3">
              <w:rPr>
                <w:rFonts w:ascii="Arial Narrow" w:hAnsi="Arial Narrow" w:cs="Calibri"/>
                <w:sz w:val="20"/>
              </w:rPr>
              <w:t xml:space="preserve"> </w:t>
            </w:r>
            <w:r w:rsidRPr="00484EA3">
              <w:rPr>
                <w:rFonts w:ascii="Arial Narrow" w:hAnsi="Arial Narrow" w:cs="Calibri"/>
                <w:sz w:val="20"/>
              </w:rPr>
              <w:t>(7.0%)</w:t>
            </w:r>
          </w:p>
        </w:tc>
        <w:tc>
          <w:tcPr>
            <w:tcW w:w="1978" w:type="dxa"/>
            <w:vAlign w:val="center"/>
          </w:tcPr>
          <w:p w14:paraId="36864579" w14:textId="77777777" w:rsidR="008C522C" w:rsidRPr="00484EA3" w:rsidRDefault="008C522C" w:rsidP="00750CDD">
            <w:pPr>
              <w:spacing w:after="0"/>
              <w:ind w:left="0"/>
              <w:jc w:val="center"/>
              <w:rPr>
                <w:rFonts w:ascii="Arial Narrow" w:hAnsi="Arial Narrow" w:cs="Tahoma"/>
                <w:sz w:val="20"/>
              </w:rPr>
            </w:pPr>
            <w:r w:rsidRPr="00484EA3">
              <w:rPr>
                <w:rFonts w:ascii="Arial Narrow" w:hAnsi="Arial Narrow" w:cs="Tahoma"/>
                <w:sz w:val="20"/>
              </w:rPr>
              <w:t>150/454 (40.9%)</w:t>
            </w:r>
          </w:p>
        </w:tc>
        <w:tc>
          <w:tcPr>
            <w:tcW w:w="2421" w:type="dxa"/>
            <w:vAlign w:val="center"/>
          </w:tcPr>
          <w:p w14:paraId="58240501" w14:textId="77777777" w:rsidR="008C522C" w:rsidRPr="00484EA3" w:rsidRDefault="008C522C" w:rsidP="00750CDD">
            <w:pPr>
              <w:spacing w:after="0"/>
              <w:ind w:left="0"/>
              <w:jc w:val="center"/>
              <w:rPr>
                <w:rFonts w:ascii="Arial Narrow" w:hAnsi="Arial Narrow" w:cs="Tahoma"/>
                <w:sz w:val="20"/>
              </w:rPr>
            </w:pPr>
            <w:r w:rsidRPr="00484EA3">
              <w:rPr>
                <w:rFonts w:ascii="Arial Narrow" w:hAnsi="Arial Narrow" w:cs="Calibri"/>
                <w:b/>
                <w:bCs/>
                <w:sz w:val="20"/>
              </w:rPr>
              <w:t>0.13 (0.09, 0.20)</w:t>
            </w:r>
          </w:p>
        </w:tc>
      </w:tr>
      <w:tr w:rsidR="008C522C" w:rsidRPr="003B08F2" w14:paraId="4A98484E" w14:textId="77777777" w:rsidTr="008C522C">
        <w:trPr>
          <w:trHeight w:val="46"/>
        </w:trPr>
        <w:tc>
          <w:tcPr>
            <w:tcW w:w="2113" w:type="dxa"/>
          </w:tcPr>
          <w:p w14:paraId="632E306A" w14:textId="77777777" w:rsidR="008C522C" w:rsidRPr="000C1F45" w:rsidRDefault="008C522C" w:rsidP="00750CDD">
            <w:pPr>
              <w:keepNext/>
              <w:keepLines/>
              <w:spacing w:after="0"/>
              <w:ind w:left="0"/>
              <w:rPr>
                <w:rFonts w:ascii="Arial Narrow" w:hAnsi="Arial Narrow" w:cs="Tahoma"/>
                <w:i/>
                <w:iCs/>
                <w:sz w:val="20"/>
              </w:rPr>
            </w:pPr>
            <w:r w:rsidRPr="000C1F45">
              <w:rPr>
                <w:rFonts w:ascii="Arial Narrow" w:hAnsi="Arial Narrow" w:cs="Tahoma"/>
                <w:i/>
                <w:iCs/>
                <w:sz w:val="20"/>
              </w:rPr>
              <w:t xml:space="preserve">2-years </w:t>
            </w:r>
          </w:p>
        </w:tc>
        <w:tc>
          <w:tcPr>
            <w:tcW w:w="2283" w:type="dxa"/>
            <w:vAlign w:val="center"/>
          </w:tcPr>
          <w:p w14:paraId="7E044691" w14:textId="7EE31A25" w:rsidR="008C522C" w:rsidRPr="000C1F45" w:rsidRDefault="0092297C" w:rsidP="00FF6040">
            <w:pPr>
              <w:spacing w:after="0"/>
              <w:ind w:left="0"/>
              <w:jc w:val="center"/>
              <w:rPr>
                <w:rFonts w:ascii="Arial Narrow" w:hAnsi="Arial Narrow" w:cs="Tahoma"/>
                <w:i/>
                <w:iCs/>
                <w:sz w:val="20"/>
              </w:rPr>
            </w:pPr>
            <w:r w:rsidRPr="000C1F45">
              <w:rPr>
                <w:rFonts w:ascii="Arial Narrow" w:hAnsi="Arial Narrow" w:cs="Tahoma"/>
                <w:i/>
                <w:iCs/>
                <w:sz w:val="20"/>
              </w:rPr>
              <w:t>3</w:t>
            </w:r>
            <w:r>
              <w:rPr>
                <w:rFonts w:ascii="Arial Narrow" w:hAnsi="Arial Narrow" w:cs="Tahoma"/>
                <w:i/>
                <w:iCs/>
                <w:sz w:val="20"/>
              </w:rPr>
              <w:t>3</w:t>
            </w:r>
            <w:r w:rsidR="008C522C" w:rsidRPr="000C1F45">
              <w:rPr>
                <w:rFonts w:ascii="Arial Narrow" w:hAnsi="Arial Narrow" w:cs="Tahoma"/>
                <w:i/>
                <w:iCs/>
                <w:sz w:val="20"/>
              </w:rPr>
              <w:t>/</w:t>
            </w:r>
            <w:r w:rsidR="00422139" w:rsidRPr="000C1F45">
              <w:rPr>
                <w:rFonts w:ascii="Arial Narrow" w:hAnsi="Arial Narrow" w:cs="Tahoma"/>
                <w:i/>
                <w:iCs/>
                <w:sz w:val="20"/>
              </w:rPr>
              <w:t>49</w:t>
            </w:r>
            <w:r w:rsidR="00422139">
              <w:rPr>
                <w:rFonts w:ascii="Arial Narrow" w:hAnsi="Arial Narrow" w:cs="Tahoma"/>
                <w:i/>
                <w:iCs/>
                <w:sz w:val="20"/>
              </w:rPr>
              <w:t>6</w:t>
            </w:r>
            <w:r w:rsidR="00422139" w:rsidRPr="000C1F45">
              <w:rPr>
                <w:rFonts w:ascii="Arial Narrow" w:hAnsi="Arial Narrow" w:cs="Tahoma"/>
                <w:i/>
                <w:iCs/>
                <w:sz w:val="20"/>
              </w:rPr>
              <w:t xml:space="preserve"> </w:t>
            </w:r>
            <w:r w:rsidR="008C522C" w:rsidRPr="000C1F45">
              <w:rPr>
                <w:rFonts w:ascii="Arial Narrow" w:hAnsi="Arial Narrow" w:cs="Tahoma"/>
                <w:i/>
                <w:iCs/>
                <w:sz w:val="20"/>
              </w:rPr>
              <w:t>(7.</w:t>
            </w:r>
            <w:r>
              <w:rPr>
                <w:rFonts w:ascii="Arial Narrow" w:hAnsi="Arial Narrow" w:cs="Tahoma"/>
                <w:i/>
                <w:iCs/>
                <w:sz w:val="20"/>
              </w:rPr>
              <w:t>9</w:t>
            </w:r>
            <w:r w:rsidR="008C522C" w:rsidRPr="000C1F45">
              <w:rPr>
                <w:rFonts w:ascii="Arial Narrow" w:hAnsi="Arial Narrow" w:cs="Tahoma"/>
                <w:i/>
                <w:iCs/>
                <w:sz w:val="20"/>
              </w:rPr>
              <w:t>%)</w:t>
            </w:r>
          </w:p>
        </w:tc>
        <w:tc>
          <w:tcPr>
            <w:tcW w:w="1978" w:type="dxa"/>
            <w:vAlign w:val="center"/>
          </w:tcPr>
          <w:p w14:paraId="051436BE" w14:textId="6BBDF2DD" w:rsidR="008C522C" w:rsidRPr="000C1F45" w:rsidRDefault="0092297C" w:rsidP="00FF6040">
            <w:pPr>
              <w:spacing w:after="0"/>
              <w:ind w:left="0"/>
              <w:jc w:val="center"/>
              <w:rPr>
                <w:rFonts w:ascii="Arial Narrow" w:hAnsi="Arial Narrow" w:cs="Tahoma"/>
                <w:i/>
                <w:iCs/>
                <w:sz w:val="20"/>
              </w:rPr>
            </w:pPr>
            <w:r w:rsidRPr="000C1F45">
              <w:rPr>
                <w:rFonts w:ascii="Arial Narrow" w:hAnsi="Arial Narrow" w:cs="Tahoma"/>
                <w:i/>
                <w:iCs/>
                <w:sz w:val="20"/>
              </w:rPr>
              <w:t>15</w:t>
            </w:r>
            <w:r>
              <w:rPr>
                <w:rFonts w:ascii="Arial Narrow" w:hAnsi="Arial Narrow" w:cs="Tahoma"/>
                <w:i/>
                <w:iCs/>
                <w:sz w:val="20"/>
              </w:rPr>
              <w:t>3</w:t>
            </w:r>
            <w:r w:rsidR="008C522C" w:rsidRPr="000C1F45">
              <w:rPr>
                <w:rFonts w:ascii="Arial Narrow" w:hAnsi="Arial Narrow" w:cs="Tahoma"/>
                <w:i/>
                <w:iCs/>
                <w:sz w:val="20"/>
              </w:rPr>
              <w:t>/454 (</w:t>
            </w:r>
            <w:r w:rsidRPr="000C1F45">
              <w:rPr>
                <w:rFonts w:ascii="Arial Narrow" w:hAnsi="Arial Narrow" w:cs="Tahoma"/>
                <w:i/>
                <w:iCs/>
                <w:sz w:val="20"/>
              </w:rPr>
              <w:t>4</w:t>
            </w:r>
            <w:r>
              <w:rPr>
                <w:rFonts w:ascii="Arial Narrow" w:hAnsi="Arial Narrow" w:cs="Tahoma"/>
                <w:i/>
                <w:iCs/>
                <w:sz w:val="20"/>
              </w:rPr>
              <w:t>1</w:t>
            </w:r>
            <w:r w:rsidRPr="000C1F45">
              <w:rPr>
                <w:rFonts w:ascii="Arial Narrow" w:hAnsi="Arial Narrow" w:cs="Tahoma"/>
                <w:i/>
                <w:iCs/>
                <w:sz w:val="20"/>
              </w:rPr>
              <w:t>.</w:t>
            </w:r>
            <w:r>
              <w:rPr>
                <w:rFonts w:ascii="Arial Narrow" w:hAnsi="Arial Narrow" w:cs="Tahoma"/>
                <w:i/>
                <w:iCs/>
                <w:sz w:val="20"/>
              </w:rPr>
              <w:t>8</w:t>
            </w:r>
            <w:r w:rsidR="008C522C" w:rsidRPr="000C1F45">
              <w:rPr>
                <w:rFonts w:ascii="Arial Narrow" w:hAnsi="Arial Narrow" w:cs="Tahoma"/>
                <w:i/>
                <w:iCs/>
                <w:sz w:val="20"/>
              </w:rPr>
              <w:t>%)</w:t>
            </w:r>
          </w:p>
        </w:tc>
        <w:tc>
          <w:tcPr>
            <w:tcW w:w="2421" w:type="dxa"/>
            <w:vAlign w:val="center"/>
          </w:tcPr>
          <w:p w14:paraId="7384D97B" w14:textId="3B6586A9" w:rsidR="008C522C" w:rsidRPr="000C1F45" w:rsidRDefault="008C522C" w:rsidP="00FF6040">
            <w:pPr>
              <w:spacing w:after="0"/>
              <w:ind w:left="0"/>
              <w:jc w:val="center"/>
              <w:rPr>
                <w:rFonts w:ascii="Arial Narrow" w:hAnsi="Arial Narrow" w:cs="Tahoma"/>
                <w:i/>
                <w:iCs/>
                <w:sz w:val="20"/>
              </w:rPr>
            </w:pPr>
            <w:r w:rsidRPr="000C1F45">
              <w:rPr>
                <w:rFonts w:ascii="Arial Narrow" w:hAnsi="Arial Narrow" w:cs="Tahoma"/>
                <w:b/>
                <w:bCs/>
                <w:i/>
                <w:iCs/>
                <w:sz w:val="20"/>
              </w:rPr>
              <w:t>0.</w:t>
            </w:r>
            <w:r w:rsidR="0092297C">
              <w:rPr>
                <w:rFonts w:ascii="Arial Narrow" w:hAnsi="Arial Narrow" w:cs="Tahoma"/>
                <w:b/>
                <w:bCs/>
                <w:i/>
                <w:iCs/>
                <w:sz w:val="20"/>
              </w:rPr>
              <w:t>20</w:t>
            </w:r>
            <w:r w:rsidR="0092297C" w:rsidRPr="000C1F45">
              <w:rPr>
                <w:rFonts w:ascii="Arial Narrow" w:hAnsi="Arial Narrow" w:cs="Tahoma"/>
                <w:b/>
                <w:bCs/>
                <w:i/>
                <w:iCs/>
                <w:sz w:val="20"/>
              </w:rPr>
              <w:t xml:space="preserve"> </w:t>
            </w:r>
            <w:r w:rsidRPr="000C1F45">
              <w:rPr>
                <w:rFonts w:ascii="Arial Narrow" w:hAnsi="Arial Narrow" w:cs="Tahoma"/>
                <w:b/>
                <w:bCs/>
                <w:i/>
                <w:iCs/>
                <w:sz w:val="20"/>
              </w:rPr>
              <w:t>(0.</w:t>
            </w:r>
            <w:r w:rsidR="0092297C" w:rsidRPr="000C1F45">
              <w:rPr>
                <w:rFonts w:ascii="Arial Narrow" w:hAnsi="Arial Narrow" w:cs="Tahoma"/>
                <w:b/>
                <w:bCs/>
                <w:i/>
                <w:iCs/>
                <w:sz w:val="20"/>
              </w:rPr>
              <w:t>1</w:t>
            </w:r>
            <w:r w:rsidR="0092297C">
              <w:rPr>
                <w:rFonts w:ascii="Arial Narrow" w:hAnsi="Arial Narrow" w:cs="Tahoma"/>
                <w:b/>
                <w:bCs/>
                <w:i/>
                <w:iCs/>
                <w:sz w:val="20"/>
              </w:rPr>
              <w:t>4</w:t>
            </w:r>
            <w:r w:rsidRPr="000C1F45">
              <w:rPr>
                <w:rFonts w:ascii="Arial Narrow" w:hAnsi="Arial Narrow" w:cs="Tahoma"/>
                <w:b/>
                <w:bCs/>
                <w:i/>
                <w:iCs/>
                <w:sz w:val="20"/>
              </w:rPr>
              <w:t>, 0.28)</w:t>
            </w:r>
          </w:p>
        </w:tc>
      </w:tr>
    </w:tbl>
    <w:p w14:paraId="4F1AC5A8" w14:textId="77777777" w:rsidR="008C522C" w:rsidRPr="000C1F45" w:rsidRDefault="008C522C" w:rsidP="008C522C">
      <w:pPr>
        <w:keepNext/>
        <w:keepLines/>
        <w:widowControl w:val="0"/>
        <w:snapToGrid w:val="0"/>
        <w:rPr>
          <w:rFonts w:ascii="Arial Narrow" w:hAnsi="Arial Narrow" w:cs="Arial"/>
          <w:sz w:val="18"/>
          <w:szCs w:val="22"/>
          <w:lang w:eastAsia="en-US"/>
        </w:rPr>
      </w:pPr>
      <w:r w:rsidRPr="000C1F45">
        <w:rPr>
          <w:rFonts w:ascii="Arial Narrow" w:hAnsi="Arial Narrow" w:cs="Arial"/>
          <w:sz w:val="18"/>
          <w:szCs w:val="22"/>
          <w:lang w:eastAsia="en-US"/>
        </w:rPr>
        <w:t xml:space="preserve">CI = confidence interval, TAVI-BEV = transcatheter aortic valve implantation with a balloon-expandable valve, SAVR = surgical aortic valve replacement, </w:t>
      </w:r>
      <w:r w:rsidRPr="000C1F45">
        <w:rPr>
          <w:rFonts w:ascii="Arial Narrow" w:hAnsi="Arial Narrow" w:cs="Arial"/>
          <w:b/>
          <w:bCs/>
          <w:sz w:val="18"/>
          <w:szCs w:val="22"/>
          <w:lang w:eastAsia="en-US"/>
        </w:rPr>
        <w:t>Bold</w:t>
      </w:r>
      <w:r w:rsidRPr="000C1F45">
        <w:rPr>
          <w:rFonts w:ascii="Arial Narrow" w:hAnsi="Arial Narrow" w:cs="Arial"/>
          <w:sz w:val="18"/>
          <w:szCs w:val="22"/>
          <w:lang w:eastAsia="en-US"/>
        </w:rPr>
        <w:t xml:space="preserve"> = statistically significant at p-value&lt; 0.05; </w:t>
      </w:r>
      <w:r w:rsidRPr="000C1F45">
        <w:rPr>
          <w:rFonts w:ascii="Arial Narrow" w:hAnsi="Arial Narrow" w:cs="Arial"/>
          <w:i/>
          <w:iCs/>
          <w:sz w:val="18"/>
          <w:szCs w:val="22"/>
          <w:lang w:eastAsia="en-US"/>
        </w:rPr>
        <w:t>italics =</w:t>
      </w:r>
      <w:r w:rsidRPr="000C1F45">
        <w:rPr>
          <w:rFonts w:ascii="Arial Narrow" w:hAnsi="Arial Narrow" w:cs="Arial"/>
          <w:sz w:val="18"/>
          <w:szCs w:val="22"/>
          <w:lang w:eastAsia="en-US"/>
        </w:rPr>
        <w:t xml:space="preserve">presented by the evaluation. </w:t>
      </w:r>
    </w:p>
    <w:p w14:paraId="511D9865" w14:textId="77777777" w:rsidR="008C522C" w:rsidRPr="000C1F45" w:rsidRDefault="008C522C" w:rsidP="008C522C">
      <w:pPr>
        <w:keepNext/>
        <w:keepLines/>
        <w:widowControl w:val="0"/>
        <w:snapToGrid w:val="0"/>
        <w:rPr>
          <w:rFonts w:ascii="Arial Narrow" w:hAnsi="Arial Narrow" w:cs="Arial"/>
          <w:sz w:val="18"/>
          <w:szCs w:val="22"/>
          <w:lang w:eastAsia="en-US"/>
        </w:rPr>
      </w:pPr>
      <w:r w:rsidRPr="000C1F45">
        <w:rPr>
          <w:rFonts w:ascii="Arial Narrow" w:hAnsi="Arial Narrow" w:cs="Arial"/>
          <w:sz w:val="18"/>
          <w:szCs w:val="22"/>
          <w:lang w:eastAsia="en-US"/>
        </w:rPr>
        <w:t>Note: The 2-year follow-up results were presented by the evaluation</w:t>
      </w:r>
    </w:p>
    <w:p w14:paraId="776C36C6" w14:textId="3442DA60" w:rsidR="008C522C" w:rsidRPr="008C522C" w:rsidRDefault="008C522C" w:rsidP="008C522C">
      <w:pPr>
        <w:widowControl w:val="0"/>
        <w:snapToGrid w:val="0"/>
        <w:jc w:val="both"/>
        <w:rPr>
          <w:rFonts w:ascii="Arial Narrow" w:hAnsi="Arial Narrow" w:cs="Arial"/>
          <w:sz w:val="18"/>
          <w:szCs w:val="22"/>
          <w:lang w:eastAsia="en-US"/>
        </w:rPr>
      </w:pPr>
      <w:r w:rsidRPr="000C1F45">
        <w:rPr>
          <w:rFonts w:ascii="Arial Narrow" w:hAnsi="Arial Narrow" w:cs="Arial"/>
          <w:sz w:val="18"/>
          <w:szCs w:val="22"/>
          <w:lang w:eastAsia="en-US"/>
        </w:rPr>
        <w:t xml:space="preserve">Source: Table B-10 and Table B-11, pp 41-43 of the ADAR and </w:t>
      </w:r>
      <w:r w:rsidRPr="000C1F45">
        <w:rPr>
          <w:rFonts w:ascii="Arial Narrow" w:hAnsi="Arial Narrow" w:cs="Arial"/>
          <w:iCs/>
          <w:sz w:val="18"/>
          <w:szCs w:val="22"/>
          <w:lang w:eastAsia="en-US"/>
        </w:rPr>
        <w:t>Mack et al. (2020)</w:t>
      </w:r>
      <w:r w:rsidR="008C327B" w:rsidRPr="000C1F45">
        <w:rPr>
          <w:rFonts w:ascii="Arial Narrow" w:hAnsi="Arial Narrow" w:cs="Arial"/>
          <w:iCs/>
          <w:sz w:val="18"/>
          <w:szCs w:val="22"/>
          <w:vertAlign w:val="superscript"/>
          <w:lang w:eastAsia="en-US"/>
        </w:rPr>
        <w:t xml:space="preserve"> </w:t>
      </w:r>
      <w:r w:rsidR="008C327B" w:rsidRPr="000C1F45">
        <w:rPr>
          <w:rFonts w:ascii="Arial Narrow" w:hAnsi="Arial Narrow" w:cs="Arial"/>
          <w:iCs/>
          <w:sz w:val="18"/>
          <w:szCs w:val="22"/>
          <w:vertAlign w:val="superscript"/>
          <w:lang w:eastAsia="en-US"/>
        </w:rPr>
        <w:fldChar w:fldCharType="begin"/>
      </w:r>
      <w:r w:rsidR="008C327B" w:rsidRPr="000C1F45">
        <w:rPr>
          <w:rFonts w:ascii="Arial Narrow" w:hAnsi="Arial Narrow" w:cs="Arial"/>
          <w:iCs/>
          <w:sz w:val="18"/>
          <w:szCs w:val="22"/>
          <w:vertAlign w:val="superscript"/>
          <w:lang w:eastAsia="en-US"/>
        </w:rPr>
        <w:instrText xml:space="preserve"> NOTEREF _Ref71020247 \h </w:instrText>
      </w:r>
      <w:r w:rsidR="003B08F2" w:rsidRPr="000C1F45">
        <w:rPr>
          <w:rFonts w:ascii="Arial Narrow" w:hAnsi="Arial Narrow" w:cs="Arial"/>
          <w:iCs/>
          <w:sz w:val="18"/>
          <w:szCs w:val="22"/>
          <w:vertAlign w:val="superscript"/>
          <w:lang w:eastAsia="en-US"/>
        </w:rPr>
        <w:instrText xml:space="preserve"> \* MERGEFORMAT </w:instrText>
      </w:r>
      <w:r w:rsidR="008C327B" w:rsidRPr="000C1F45">
        <w:rPr>
          <w:rFonts w:ascii="Arial Narrow" w:hAnsi="Arial Narrow" w:cs="Arial"/>
          <w:iCs/>
          <w:sz w:val="18"/>
          <w:szCs w:val="22"/>
          <w:vertAlign w:val="superscript"/>
          <w:lang w:eastAsia="en-US"/>
        </w:rPr>
      </w:r>
      <w:r w:rsidR="008C327B" w:rsidRPr="000C1F45">
        <w:rPr>
          <w:rFonts w:ascii="Arial Narrow" w:hAnsi="Arial Narrow" w:cs="Arial"/>
          <w:iCs/>
          <w:sz w:val="18"/>
          <w:szCs w:val="22"/>
          <w:vertAlign w:val="superscript"/>
          <w:lang w:eastAsia="en-US"/>
        </w:rPr>
        <w:fldChar w:fldCharType="separate"/>
      </w:r>
      <w:r w:rsidR="003D2F4E">
        <w:rPr>
          <w:rFonts w:ascii="Arial Narrow" w:hAnsi="Arial Narrow" w:cs="Arial"/>
          <w:iCs/>
          <w:sz w:val="18"/>
          <w:szCs w:val="22"/>
          <w:vertAlign w:val="superscript"/>
          <w:lang w:eastAsia="en-US"/>
        </w:rPr>
        <w:t>26</w:t>
      </w:r>
      <w:r w:rsidR="008C327B" w:rsidRPr="000C1F45">
        <w:rPr>
          <w:rFonts w:ascii="Arial Narrow" w:hAnsi="Arial Narrow" w:cs="Arial"/>
          <w:iCs/>
          <w:sz w:val="18"/>
          <w:szCs w:val="22"/>
          <w:vertAlign w:val="superscript"/>
          <w:lang w:eastAsia="en-US"/>
        </w:rPr>
        <w:fldChar w:fldCharType="end"/>
      </w:r>
      <w:r w:rsidRPr="000C1F45">
        <w:rPr>
          <w:rFonts w:ascii="Arial Narrow" w:hAnsi="Arial Narrow" w:cs="Arial"/>
          <w:sz w:val="18"/>
          <w:szCs w:val="22"/>
          <w:shd w:val="clear" w:color="auto" w:fill="E6E6E6"/>
          <w:lang w:eastAsia="en-US"/>
        </w:rPr>
        <w:fldChar w:fldCharType="begin"/>
      </w:r>
      <w:r w:rsidRPr="000C1F45">
        <w:rPr>
          <w:rFonts w:ascii="Arial Narrow" w:hAnsi="Arial Narrow" w:cs="Arial"/>
          <w:sz w:val="18"/>
          <w:szCs w:val="22"/>
          <w:shd w:val="clear" w:color="auto" w:fill="E6E6E6"/>
          <w:lang w:eastAsia="en-US"/>
        </w:rPr>
        <w:instrText xml:space="preserve"> ADDIN EN.CITE &lt;EndNote&gt;&lt;Cite&gt;&lt;Author&gt;Mack&lt;/Author&gt;&lt;Year&gt;2020&lt;/Year&gt;&lt;RecNum&gt;6&lt;/RecNum&gt;&lt;DisplayText&gt;(6)&lt;/DisplayText&gt;&lt;record&gt;&lt;rec-number&gt;6&lt;/rec-number&gt;&lt;foreign-keys&gt;&lt;key app="EN" db-id="e2xv20v9kswseweswayxtexgr95s0x2apzdf" timestamp="1609374323"&gt;6&lt;/key&gt;&lt;/foreign-keys&gt;&lt;ref-type name="Conference Proceedings"&gt;10&lt;/ref-type&gt;&lt;contributors&gt;&lt;authors&gt;&lt;author&gt;Mack, M;&lt;/author&gt;&lt;author&gt;Baron, S;&lt;/author&gt;&lt;author&gt;Leon, M&lt;/author&gt;&lt;/authors&gt;&lt;/contributors&gt;&lt;titles&gt;&lt;title&gt;Two year Clinical and Echocardiographic Outcomes from the PARTNER 3 Low risk Randomized Trial&lt;/title&gt;&lt;secondary-title&gt;American College of Cardiology Virtual Annual Scientific Session Together With World Congress of Cardiology (ACC 2020/WCC) &lt;/secondary-title&gt;&lt;/titles&gt;&lt;dates&gt;&lt;year&gt;2020&lt;/year&gt;&lt;/dates&gt;&lt;pub-location&gt;Chicago&lt;/pub-location&gt;&lt;urls&gt;&lt;related-urls&gt;&lt;url&gt;https://www.acc.org/clinical-topics/cardiac-surgery/~/media/8A466AF94DC2424BB8957265B09122D9.pdf&lt;/url&gt;&lt;/related-urls&gt;&lt;/urls&gt;&lt;/record&gt;&lt;/Cite&gt;&lt;/EndNote&gt;</w:instrText>
      </w:r>
      <w:r w:rsidRPr="000C1F45">
        <w:rPr>
          <w:rFonts w:ascii="Arial Narrow" w:hAnsi="Arial Narrow" w:cs="Arial"/>
          <w:sz w:val="18"/>
          <w:szCs w:val="22"/>
          <w:shd w:val="clear" w:color="auto" w:fill="E6E6E6"/>
          <w:lang w:eastAsia="en-US"/>
        </w:rPr>
        <w:fldChar w:fldCharType="end"/>
      </w:r>
      <w:r w:rsidRPr="008C522C">
        <w:rPr>
          <w:rFonts w:ascii="Arial Narrow" w:hAnsi="Arial Narrow" w:cs="Arial"/>
          <w:sz w:val="18"/>
          <w:szCs w:val="22"/>
          <w:lang w:eastAsia="en-US"/>
        </w:rPr>
        <w:t xml:space="preserve"> </w:t>
      </w:r>
    </w:p>
    <w:p w14:paraId="424A9C60" w14:textId="645033B0" w:rsidR="008C522C" w:rsidRPr="008C522C" w:rsidRDefault="008C522C" w:rsidP="0085555A">
      <w:pPr>
        <w:keepNext/>
        <w:keepLines/>
        <w:spacing w:before="240"/>
        <w:outlineLvl w:val="1"/>
        <w:rPr>
          <w:bCs/>
          <w:i/>
          <w:szCs w:val="26"/>
        </w:rPr>
      </w:pPr>
      <w:r w:rsidRPr="008C522C">
        <w:rPr>
          <w:bCs/>
          <w:i/>
          <w:szCs w:val="26"/>
        </w:rPr>
        <w:t>TAVI-BEV vs. TAVI-SEV</w:t>
      </w:r>
    </w:p>
    <w:p w14:paraId="435DE857" w14:textId="6CFCE3EB" w:rsidR="008C522C" w:rsidRPr="008C522C" w:rsidRDefault="008C522C" w:rsidP="008C522C">
      <w:pPr>
        <w:rPr>
          <w:iCs/>
        </w:rPr>
      </w:pPr>
      <w:r w:rsidRPr="008C522C">
        <w:t xml:space="preserve">The indirect comparison of safety outcomes, conducted during the evaluation, found that </w:t>
      </w:r>
      <w:r w:rsidRPr="008C522C">
        <w:rPr>
          <w:iCs/>
        </w:rPr>
        <w:t xml:space="preserve">patients treated with TAVI-SEV were significantly more likely to require a permanent pacemaker </w:t>
      </w:r>
      <w:r w:rsidRPr="008C522C">
        <w:t>(</w:t>
      </w:r>
      <w:r w:rsidRPr="008C522C">
        <w:fldChar w:fldCharType="begin"/>
      </w:r>
      <w:r w:rsidRPr="008C522C">
        <w:instrText xml:space="preserve"> REF _Ref62033912 \h  \* MERGEFORMAT </w:instrText>
      </w:r>
      <w:r w:rsidRPr="008C522C">
        <w:fldChar w:fldCharType="separate"/>
      </w:r>
      <w:r w:rsidR="003D2F4E" w:rsidRPr="003D2F4E">
        <w:t>Table 7</w:t>
      </w:r>
      <w:r w:rsidRPr="008C522C">
        <w:fldChar w:fldCharType="end"/>
      </w:r>
      <w:r w:rsidRPr="008C522C">
        <w:t>)</w:t>
      </w:r>
      <w:r w:rsidRPr="008C522C">
        <w:rPr>
          <w:iCs/>
        </w:rPr>
        <w:t>.</w:t>
      </w:r>
    </w:p>
    <w:p w14:paraId="1B884E1B" w14:textId="57304A77" w:rsidR="008C522C" w:rsidRPr="008C522C" w:rsidRDefault="008C522C" w:rsidP="0085555A">
      <w:pPr>
        <w:keepNext/>
        <w:spacing w:before="240"/>
        <w:rPr>
          <w:rFonts w:ascii="Arial Narrow" w:hAnsi="Arial Narrow" w:cs="Tahoma"/>
          <w:b/>
          <w:bCs/>
          <w:iCs/>
          <w:sz w:val="20"/>
        </w:rPr>
      </w:pPr>
      <w:bookmarkStart w:id="17" w:name="_Ref62033912"/>
      <w:r w:rsidRPr="008C522C">
        <w:rPr>
          <w:rFonts w:ascii="Arial Narrow" w:hAnsi="Arial Narrow" w:cs="Tahoma"/>
          <w:b/>
          <w:bCs/>
          <w:iCs/>
          <w:sz w:val="20"/>
        </w:rPr>
        <w:t xml:space="preserve">Table </w:t>
      </w:r>
      <w:r w:rsidRPr="008C522C">
        <w:rPr>
          <w:rFonts w:ascii="Arial Narrow" w:hAnsi="Arial Narrow" w:cs="Tahoma"/>
          <w:b/>
          <w:sz w:val="20"/>
          <w:shd w:val="clear" w:color="auto" w:fill="E6E6E6"/>
        </w:rPr>
        <w:fldChar w:fldCharType="begin"/>
      </w:r>
      <w:r w:rsidRPr="008C522C">
        <w:rPr>
          <w:rFonts w:ascii="Arial Narrow" w:hAnsi="Arial Narrow" w:cs="Tahoma"/>
          <w:b/>
          <w:bCs/>
          <w:iCs/>
          <w:sz w:val="20"/>
        </w:rPr>
        <w:instrText xml:space="preserve"> SEQ Table \* ARABIC </w:instrText>
      </w:r>
      <w:r w:rsidRPr="008C522C">
        <w:rPr>
          <w:rFonts w:ascii="Arial Narrow" w:hAnsi="Arial Narrow" w:cs="Tahoma"/>
          <w:b/>
          <w:sz w:val="20"/>
          <w:shd w:val="clear" w:color="auto" w:fill="E6E6E6"/>
        </w:rPr>
        <w:fldChar w:fldCharType="separate"/>
      </w:r>
      <w:r w:rsidR="003D2F4E">
        <w:rPr>
          <w:rFonts w:ascii="Arial Narrow" w:hAnsi="Arial Narrow" w:cs="Tahoma"/>
          <w:b/>
          <w:bCs/>
          <w:iCs/>
          <w:noProof/>
          <w:sz w:val="20"/>
        </w:rPr>
        <w:t>7</w:t>
      </w:r>
      <w:r w:rsidRPr="008C522C">
        <w:rPr>
          <w:rFonts w:ascii="Arial Narrow" w:hAnsi="Arial Narrow" w:cs="Tahoma"/>
          <w:b/>
          <w:sz w:val="20"/>
          <w:shd w:val="clear" w:color="auto" w:fill="E6E6E6"/>
        </w:rPr>
        <w:fldChar w:fldCharType="end"/>
      </w:r>
      <w:bookmarkEnd w:id="17"/>
      <w:r w:rsidRPr="008C522C">
        <w:rPr>
          <w:rFonts w:ascii="Arial Narrow" w:hAnsi="Arial Narrow" w:cs="Tahoma"/>
          <w:b/>
          <w:bCs/>
          <w:iCs/>
          <w:sz w:val="20"/>
        </w:rPr>
        <w:t xml:space="preserve"> </w:t>
      </w:r>
      <w:r w:rsidRPr="008C522C">
        <w:rPr>
          <w:rFonts w:ascii="Arial Narrow" w:hAnsi="Arial Narrow" w:cs="Tahoma"/>
          <w:b/>
          <w:bCs/>
          <w:sz w:val="20"/>
          <w:szCs w:val="22"/>
        </w:rPr>
        <w:tab/>
      </w:r>
      <w:r w:rsidRPr="008C522C">
        <w:rPr>
          <w:rFonts w:ascii="Arial Narrow" w:hAnsi="Arial Narrow" w:cs="Tahoma"/>
          <w:b/>
          <w:bCs/>
          <w:iCs/>
          <w:sz w:val="20"/>
        </w:rPr>
        <w:t xml:space="preserve">Indirect comparison of safety outcomes between TAVI-BEV (PARTNER 3) and TAVI-SEV (EVOLUT), with SAVR as the common comparator </w:t>
      </w:r>
    </w:p>
    <w:tbl>
      <w:tblPr>
        <w:tblStyle w:val="TableGrid"/>
        <w:tblW w:w="5003" w:type="pct"/>
        <w:tblInd w:w="-5" w:type="dxa"/>
        <w:tblLayout w:type="fixed"/>
        <w:tblLook w:val="04A0" w:firstRow="1" w:lastRow="0" w:firstColumn="1" w:lastColumn="0" w:noHBand="0" w:noVBand="1"/>
        <w:tblDescription w:val="Indirect comparison of safety outcomes between TAVI-BEV (PARTNER 3) and TAVI-SEV (EVOLUT), with SAVR as the common comparator "/>
      </w:tblPr>
      <w:tblGrid>
        <w:gridCol w:w="2417"/>
        <w:gridCol w:w="2198"/>
        <w:gridCol w:w="2198"/>
        <w:gridCol w:w="2208"/>
      </w:tblGrid>
      <w:tr w:rsidR="008C522C" w:rsidRPr="008C522C" w14:paraId="5BB4B5DD" w14:textId="77777777" w:rsidTr="00E16337">
        <w:trPr>
          <w:trHeight w:val="20"/>
          <w:tblHeader/>
        </w:trPr>
        <w:tc>
          <w:tcPr>
            <w:tcW w:w="1340" w:type="pct"/>
            <w:shd w:val="clear" w:color="auto" w:fill="auto"/>
            <w:noWrap/>
            <w:vAlign w:val="center"/>
            <w:hideMark/>
          </w:tcPr>
          <w:p w14:paraId="57292E29" w14:textId="77777777" w:rsidR="008C522C" w:rsidRPr="008C522C" w:rsidRDefault="008C522C" w:rsidP="008C522C">
            <w:pPr>
              <w:rPr>
                <w:rFonts w:ascii="Arial Narrow" w:hAnsi="Arial Narrow"/>
                <w:b/>
                <w:bCs/>
                <w:iCs/>
                <w:sz w:val="20"/>
              </w:rPr>
            </w:pPr>
            <w:r w:rsidRPr="008C522C">
              <w:rPr>
                <w:rFonts w:ascii="Arial Narrow" w:hAnsi="Arial Narrow"/>
                <w:b/>
                <w:bCs/>
                <w:iCs/>
                <w:sz w:val="20"/>
              </w:rPr>
              <w:t>Outcome</w:t>
            </w:r>
          </w:p>
        </w:tc>
        <w:tc>
          <w:tcPr>
            <w:tcW w:w="1218" w:type="pct"/>
          </w:tcPr>
          <w:p w14:paraId="61DCB841"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RD (95% CI)</w:t>
            </w:r>
          </w:p>
          <w:p w14:paraId="6B957BE3"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TAVI-BEV (PARTNER 3)</w:t>
            </w:r>
          </w:p>
        </w:tc>
        <w:tc>
          <w:tcPr>
            <w:tcW w:w="1218" w:type="pct"/>
            <w:shd w:val="clear" w:color="auto" w:fill="auto"/>
          </w:tcPr>
          <w:p w14:paraId="60BEB158"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RD (95% CI)</w:t>
            </w:r>
          </w:p>
          <w:p w14:paraId="0EA65CCE"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TAVI-SEV (EVOLUT)</w:t>
            </w:r>
          </w:p>
        </w:tc>
        <w:tc>
          <w:tcPr>
            <w:tcW w:w="1224" w:type="pct"/>
          </w:tcPr>
          <w:p w14:paraId="1F430A87"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 xml:space="preserve">Indirect comparison </w:t>
            </w:r>
          </w:p>
          <w:p w14:paraId="69F79FA7"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RD (95% CI)</w:t>
            </w:r>
          </w:p>
        </w:tc>
      </w:tr>
      <w:tr w:rsidR="008C522C" w:rsidRPr="008C522C" w14:paraId="44C13F28" w14:textId="77777777" w:rsidTr="008924F7">
        <w:trPr>
          <w:trHeight w:val="20"/>
        </w:trPr>
        <w:tc>
          <w:tcPr>
            <w:tcW w:w="5000" w:type="pct"/>
            <w:gridSpan w:val="4"/>
            <w:shd w:val="clear" w:color="auto" w:fill="auto"/>
            <w:noWrap/>
            <w:vAlign w:val="center"/>
          </w:tcPr>
          <w:p w14:paraId="3EB1C437" w14:textId="77777777" w:rsidR="008C522C" w:rsidRPr="008C522C" w:rsidRDefault="008C522C" w:rsidP="008C522C">
            <w:pPr>
              <w:rPr>
                <w:rFonts w:ascii="Arial Narrow" w:hAnsi="Arial Narrow"/>
                <w:b/>
                <w:bCs/>
                <w:iCs/>
                <w:sz w:val="20"/>
              </w:rPr>
            </w:pPr>
            <w:r w:rsidRPr="008C522C">
              <w:rPr>
                <w:rFonts w:ascii="Arial Narrow" w:hAnsi="Arial Narrow" w:cs="Tahoma"/>
                <w:b/>
                <w:bCs/>
                <w:sz w:val="20"/>
              </w:rPr>
              <w:t>Outcomes at 30-days</w:t>
            </w:r>
          </w:p>
        </w:tc>
      </w:tr>
      <w:tr w:rsidR="008C522C" w:rsidRPr="008C522C" w14:paraId="0737333C" w14:textId="77777777" w:rsidTr="00E16337">
        <w:trPr>
          <w:trHeight w:val="65"/>
        </w:trPr>
        <w:tc>
          <w:tcPr>
            <w:tcW w:w="1340" w:type="pct"/>
            <w:shd w:val="clear" w:color="auto" w:fill="auto"/>
            <w:noWrap/>
            <w:vAlign w:val="bottom"/>
            <w:hideMark/>
          </w:tcPr>
          <w:p w14:paraId="44A0BED1" w14:textId="77777777" w:rsidR="008C522C" w:rsidRPr="008C522C" w:rsidRDefault="008C522C" w:rsidP="008C522C">
            <w:pPr>
              <w:rPr>
                <w:rFonts w:ascii="Arial Narrow" w:hAnsi="Arial Narrow"/>
                <w:iCs/>
                <w:sz w:val="20"/>
              </w:rPr>
            </w:pPr>
            <w:r w:rsidRPr="008C522C">
              <w:rPr>
                <w:rFonts w:ascii="Arial Narrow" w:hAnsi="Arial Narrow"/>
                <w:iCs/>
                <w:sz w:val="20"/>
              </w:rPr>
              <w:t>New permanent pacemaker</w:t>
            </w:r>
          </w:p>
        </w:tc>
        <w:tc>
          <w:tcPr>
            <w:tcW w:w="1218" w:type="pct"/>
          </w:tcPr>
          <w:p w14:paraId="65C5373C" w14:textId="77777777" w:rsidR="008C522C" w:rsidRPr="008C522C" w:rsidRDefault="008C522C" w:rsidP="008C522C">
            <w:pPr>
              <w:jc w:val="center"/>
              <w:rPr>
                <w:rFonts w:ascii="Arial Narrow" w:hAnsi="Arial Narrow"/>
                <w:iCs/>
                <w:sz w:val="20"/>
              </w:rPr>
            </w:pPr>
            <w:r w:rsidRPr="008C522C">
              <w:rPr>
                <w:rFonts w:ascii="Arial Narrow" w:hAnsi="Arial Narrow"/>
                <w:iCs/>
                <w:sz w:val="20"/>
              </w:rPr>
              <w:t>2.5% (-0.3%, 5.3%)</w:t>
            </w:r>
          </w:p>
        </w:tc>
        <w:tc>
          <w:tcPr>
            <w:tcW w:w="1218" w:type="pct"/>
            <w:shd w:val="clear" w:color="auto" w:fill="auto"/>
          </w:tcPr>
          <w:p w14:paraId="59E4D46F"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11.3% (8.0%, 14.7%)</w:t>
            </w:r>
          </w:p>
        </w:tc>
        <w:tc>
          <w:tcPr>
            <w:tcW w:w="1224" w:type="pct"/>
          </w:tcPr>
          <w:p w14:paraId="3AB685C9" w14:textId="6E6521D1" w:rsidR="008C522C" w:rsidRPr="008C522C" w:rsidRDefault="008C522C" w:rsidP="008C522C">
            <w:pPr>
              <w:jc w:val="center"/>
              <w:rPr>
                <w:rFonts w:ascii="Arial Narrow" w:hAnsi="Arial Narrow"/>
                <w:b/>
                <w:bCs/>
                <w:iCs/>
                <w:sz w:val="20"/>
              </w:rPr>
            </w:pPr>
            <w:r w:rsidRPr="008C522C">
              <w:rPr>
                <w:rFonts w:ascii="Arial Narrow" w:hAnsi="Arial Narrow"/>
                <w:b/>
                <w:bCs/>
                <w:iCs/>
                <w:sz w:val="20"/>
              </w:rPr>
              <w:t>-8.8% (-13.1%, -4.5%)</w:t>
            </w:r>
          </w:p>
        </w:tc>
      </w:tr>
      <w:tr w:rsidR="00E16337" w:rsidRPr="008C522C" w14:paraId="3AF461F9" w14:textId="77777777" w:rsidTr="00E16337">
        <w:trPr>
          <w:trHeight w:val="20"/>
        </w:trPr>
        <w:tc>
          <w:tcPr>
            <w:tcW w:w="1340" w:type="pct"/>
            <w:shd w:val="clear" w:color="auto" w:fill="auto"/>
            <w:noWrap/>
            <w:vAlign w:val="bottom"/>
            <w:hideMark/>
          </w:tcPr>
          <w:p w14:paraId="6BB535A6" w14:textId="77777777" w:rsidR="00E16337" w:rsidRPr="008C522C" w:rsidRDefault="00E16337" w:rsidP="00E16337">
            <w:pPr>
              <w:rPr>
                <w:rFonts w:ascii="Arial Narrow" w:hAnsi="Arial Narrow"/>
                <w:iCs/>
                <w:sz w:val="20"/>
              </w:rPr>
            </w:pPr>
            <w:r w:rsidRPr="008C522C">
              <w:rPr>
                <w:rFonts w:ascii="Arial Narrow" w:hAnsi="Arial Narrow"/>
                <w:iCs/>
                <w:sz w:val="20"/>
              </w:rPr>
              <w:t>New atrial fibrillation</w:t>
            </w:r>
          </w:p>
        </w:tc>
        <w:tc>
          <w:tcPr>
            <w:tcW w:w="1218" w:type="pct"/>
          </w:tcPr>
          <w:p w14:paraId="21D80BA1" w14:textId="0F7D35DC" w:rsidR="00E16337" w:rsidRPr="008C522C" w:rsidRDefault="00E16337" w:rsidP="00724548">
            <w:pPr>
              <w:jc w:val="center"/>
              <w:rPr>
                <w:rFonts w:ascii="Arial Narrow" w:hAnsi="Arial Narrow"/>
                <w:b/>
                <w:bCs/>
                <w:iCs/>
                <w:sz w:val="20"/>
              </w:rPr>
            </w:pPr>
            <w:r w:rsidRPr="008C522C">
              <w:rPr>
                <w:rFonts w:ascii="Arial Narrow" w:hAnsi="Arial Narrow"/>
                <w:b/>
                <w:bCs/>
                <w:iCs/>
                <w:sz w:val="20"/>
              </w:rPr>
              <w:t>-2</w:t>
            </w:r>
            <w:r>
              <w:rPr>
                <w:rFonts w:ascii="Arial Narrow" w:hAnsi="Arial Narrow"/>
                <w:b/>
                <w:bCs/>
                <w:iCs/>
                <w:sz w:val="20"/>
              </w:rPr>
              <w:t>7</w:t>
            </w:r>
            <w:r w:rsidRPr="008C522C">
              <w:rPr>
                <w:rFonts w:ascii="Arial Narrow" w:hAnsi="Arial Narrow"/>
                <w:b/>
                <w:bCs/>
                <w:iCs/>
                <w:sz w:val="20"/>
              </w:rPr>
              <w:t>.7% (-3</w:t>
            </w:r>
            <w:r>
              <w:rPr>
                <w:rFonts w:ascii="Arial Narrow" w:hAnsi="Arial Narrow"/>
                <w:b/>
                <w:bCs/>
                <w:iCs/>
                <w:sz w:val="20"/>
              </w:rPr>
              <w:t>2</w:t>
            </w:r>
            <w:r w:rsidRPr="008C522C">
              <w:rPr>
                <w:rFonts w:ascii="Arial Narrow" w:hAnsi="Arial Narrow"/>
                <w:b/>
                <w:bCs/>
                <w:iCs/>
                <w:sz w:val="20"/>
              </w:rPr>
              <w:t>.</w:t>
            </w:r>
            <w:r w:rsidR="00471D84">
              <w:rPr>
                <w:rFonts w:ascii="Arial Narrow" w:hAnsi="Arial Narrow"/>
                <w:b/>
                <w:bCs/>
                <w:iCs/>
                <w:sz w:val="20"/>
              </w:rPr>
              <w:t>3</w:t>
            </w:r>
            <w:r w:rsidRPr="008C522C">
              <w:rPr>
                <w:rFonts w:ascii="Arial Narrow" w:hAnsi="Arial Narrow"/>
                <w:b/>
                <w:bCs/>
                <w:iCs/>
                <w:sz w:val="20"/>
              </w:rPr>
              <w:t>%, -23.</w:t>
            </w:r>
            <w:r>
              <w:rPr>
                <w:rFonts w:ascii="Arial Narrow" w:hAnsi="Arial Narrow"/>
                <w:b/>
                <w:bCs/>
                <w:iCs/>
                <w:sz w:val="20"/>
              </w:rPr>
              <w:t>1</w:t>
            </w:r>
            <w:r w:rsidRPr="008C522C">
              <w:rPr>
                <w:rFonts w:ascii="Arial Narrow" w:hAnsi="Arial Narrow"/>
                <w:b/>
                <w:bCs/>
                <w:iCs/>
                <w:sz w:val="20"/>
              </w:rPr>
              <w:t>%)</w:t>
            </w:r>
          </w:p>
        </w:tc>
        <w:tc>
          <w:tcPr>
            <w:tcW w:w="1218" w:type="pct"/>
            <w:shd w:val="clear" w:color="auto" w:fill="auto"/>
          </w:tcPr>
          <w:p w14:paraId="7842EFBC" w14:textId="47F618E3" w:rsidR="00E16337" w:rsidRPr="008C522C" w:rsidRDefault="00E16337" w:rsidP="00E16337">
            <w:pPr>
              <w:jc w:val="center"/>
              <w:rPr>
                <w:rFonts w:ascii="Arial Narrow" w:hAnsi="Arial Narrow"/>
                <w:b/>
                <w:bCs/>
                <w:iCs/>
                <w:sz w:val="20"/>
              </w:rPr>
            </w:pPr>
            <w:r w:rsidRPr="008C522C">
              <w:rPr>
                <w:rFonts w:ascii="Arial Narrow" w:hAnsi="Arial Narrow"/>
                <w:b/>
                <w:bCs/>
                <w:iCs/>
                <w:sz w:val="20"/>
              </w:rPr>
              <w:t>-27.7% (-31.8%, -23.6%)</w:t>
            </w:r>
          </w:p>
        </w:tc>
        <w:tc>
          <w:tcPr>
            <w:tcW w:w="1224" w:type="pct"/>
          </w:tcPr>
          <w:p w14:paraId="3AF3EDBE" w14:textId="78BE4623" w:rsidR="00E16337" w:rsidRPr="008C522C" w:rsidRDefault="00E16337" w:rsidP="00E16337">
            <w:pPr>
              <w:jc w:val="center"/>
              <w:rPr>
                <w:rFonts w:ascii="Arial Narrow" w:hAnsi="Arial Narrow"/>
                <w:iCs/>
                <w:sz w:val="20"/>
              </w:rPr>
            </w:pPr>
            <w:r w:rsidRPr="00E16337">
              <w:rPr>
                <w:rFonts w:ascii="Arial Narrow" w:hAnsi="Arial Narrow"/>
                <w:iCs/>
                <w:sz w:val="20"/>
              </w:rPr>
              <w:t>0.0% (-6.2%, 6.2%)</w:t>
            </w:r>
          </w:p>
        </w:tc>
      </w:tr>
      <w:tr w:rsidR="008C522C" w:rsidRPr="008C522C" w14:paraId="0955B3F4" w14:textId="77777777" w:rsidTr="00E16337">
        <w:trPr>
          <w:trHeight w:val="20"/>
        </w:trPr>
        <w:tc>
          <w:tcPr>
            <w:tcW w:w="1340" w:type="pct"/>
            <w:shd w:val="clear" w:color="auto" w:fill="auto"/>
            <w:noWrap/>
            <w:vAlign w:val="bottom"/>
            <w:hideMark/>
          </w:tcPr>
          <w:p w14:paraId="4C5F6007" w14:textId="77777777" w:rsidR="008C522C" w:rsidRPr="008C522C" w:rsidRDefault="008C522C" w:rsidP="008C522C">
            <w:pPr>
              <w:rPr>
                <w:rFonts w:ascii="Arial Narrow" w:hAnsi="Arial Narrow"/>
                <w:iCs/>
                <w:sz w:val="20"/>
              </w:rPr>
            </w:pPr>
            <w:r w:rsidRPr="008C522C">
              <w:rPr>
                <w:rFonts w:ascii="Arial Narrow" w:hAnsi="Arial Narrow"/>
                <w:iCs/>
                <w:sz w:val="20"/>
              </w:rPr>
              <w:t>Aortic valve reintervention</w:t>
            </w:r>
          </w:p>
        </w:tc>
        <w:tc>
          <w:tcPr>
            <w:tcW w:w="1218" w:type="pct"/>
            <w:vAlign w:val="center"/>
          </w:tcPr>
          <w:p w14:paraId="01F3CCD4" w14:textId="77777777" w:rsidR="008C522C" w:rsidRPr="008C522C" w:rsidRDefault="008C522C" w:rsidP="008C522C">
            <w:pPr>
              <w:jc w:val="center"/>
              <w:rPr>
                <w:rFonts w:ascii="Arial Narrow" w:hAnsi="Arial Narrow"/>
                <w:iCs/>
                <w:sz w:val="20"/>
              </w:rPr>
            </w:pPr>
            <w:r w:rsidRPr="008C522C">
              <w:rPr>
                <w:rFonts w:ascii="Arial Narrow" w:hAnsi="Arial Narrow"/>
                <w:iCs/>
                <w:sz w:val="20"/>
              </w:rPr>
              <w:t xml:space="preserve">0% </w:t>
            </w:r>
          </w:p>
        </w:tc>
        <w:tc>
          <w:tcPr>
            <w:tcW w:w="1218" w:type="pct"/>
            <w:shd w:val="clear" w:color="auto" w:fill="auto"/>
          </w:tcPr>
          <w:p w14:paraId="0105A428" w14:textId="6CB61156" w:rsidR="008C522C" w:rsidRPr="008C522C" w:rsidRDefault="008C522C" w:rsidP="00724548">
            <w:pPr>
              <w:jc w:val="center"/>
              <w:rPr>
                <w:rFonts w:ascii="Arial Narrow" w:hAnsi="Arial Narrow"/>
                <w:iCs/>
                <w:sz w:val="20"/>
              </w:rPr>
            </w:pPr>
            <w:r w:rsidRPr="008C522C">
              <w:rPr>
                <w:rFonts w:ascii="Arial Narrow" w:hAnsi="Arial Narrow"/>
                <w:iCs/>
                <w:sz w:val="20"/>
              </w:rPr>
              <w:t>0.0</w:t>
            </w:r>
            <w:r w:rsidR="00471D84">
              <w:rPr>
                <w:rFonts w:ascii="Arial Narrow" w:hAnsi="Arial Narrow"/>
                <w:iCs/>
                <w:sz w:val="20"/>
              </w:rPr>
              <w:t>%</w:t>
            </w:r>
            <w:r w:rsidRPr="008C522C">
              <w:rPr>
                <w:rFonts w:ascii="Arial Narrow" w:hAnsi="Arial Narrow"/>
                <w:iCs/>
                <w:sz w:val="20"/>
              </w:rPr>
              <w:t xml:space="preserve"> </w:t>
            </w:r>
            <w:r w:rsidR="00471D84">
              <w:rPr>
                <w:rFonts w:ascii="Arial Narrow" w:hAnsi="Arial Narrow"/>
                <w:iCs/>
                <w:sz w:val="20"/>
              </w:rPr>
              <w:t>(</w:t>
            </w:r>
            <w:r w:rsidRPr="008C522C">
              <w:rPr>
                <w:rFonts w:ascii="Arial Narrow" w:hAnsi="Arial Narrow"/>
                <w:iCs/>
                <w:sz w:val="20"/>
              </w:rPr>
              <w:t>-0.</w:t>
            </w:r>
            <w:r w:rsidR="00471D84">
              <w:rPr>
                <w:rFonts w:ascii="Arial Narrow" w:hAnsi="Arial Narrow"/>
                <w:iCs/>
                <w:sz w:val="20"/>
              </w:rPr>
              <w:t>7%,</w:t>
            </w:r>
            <w:r w:rsidRPr="008C522C">
              <w:rPr>
                <w:rFonts w:ascii="Arial Narrow" w:hAnsi="Arial Narrow"/>
                <w:iCs/>
                <w:sz w:val="20"/>
              </w:rPr>
              <w:t xml:space="preserve"> 0.7</w:t>
            </w:r>
            <w:r w:rsidR="00471D84">
              <w:rPr>
                <w:rFonts w:ascii="Arial Narrow" w:hAnsi="Arial Narrow"/>
                <w:iCs/>
                <w:sz w:val="20"/>
              </w:rPr>
              <w:t>%</w:t>
            </w:r>
            <w:r w:rsidRPr="008C522C">
              <w:rPr>
                <w:rFonts w:ascii="Arial Narrow" w:hAnsi="Arial Narrow"/>
                <w:iCs/>
                <w:sz w:val="20"/>
              </w:rPr>
              <w:t>)</w:t>
            </w:r>
          </w:p>
        </w:tc>
        <w:tc>
          <w:tcPr>
            <w:tcW w:w="1224" w:type="pct"/>
          </w:tcPr>
          <w:p w14:paraId="50773C6B" w14:textId="77777777" w:rsidR="008C522C" w:rsidRPr="008C522C" w:rsidRDefault="008C522C" w:rsidP="008C522C">
            <w:pPr>
              <w:jc w:val="center"/>
              <w:rPr>
                <w:rFonts w:ascii="Arial Narrow" w:hAnsi="Arial Narrow"/>
                <w:iCs/>
                <w:sz w:val="20"/>
              </w:rPr>
            </w:pPr>
            <w:r w:rsidRPr="008C522C">
              <w:rPr>
                <w:rFonts w:ascii="Arial Narrow" w:hAnsi="Arial Narrow"/>
                <w:iCs/>
                <w:sz w:val="20"/>
              </w:rPr>
              <w:t>0% (-0.7%, 0.7%)</w:t>
            </w:r>
          </w:p>
        </w:tc>
      </w:tr>
      <w:tr w:rsidR="008C522C" w:rsidRPr="008C522C" w14:paraId="72854F4F" w14:textId="77777777" w:rsidTr="008924F7">
        <w:trPr>
          <w:trHeight w:val="20"/>
        </w:trPr>
        <w:tc>
          <w:tcPr>
            <w:tcW w:w="5000" w:type="pct"/>
            <w:gridSpan w:val="4"/>
            <w:shd w:val="clear" w:color="auto" w:fill="auto"/>
            <w:noWrap/>
            <w:vAlign w:val="bottom"/>
          </w:tcPr>
          <w:p w14:paraId="37E54B44" w14:textId="77777777" w:rsidR="008C522C" w:rsidRPr="008C522C" w:rsidRDefault="008C522C" w:rsidP="008C522C">
            <w:pPr>
              <w:rPr>
                <w:rFonts w:ascii="Arial Narrow" w:hAnsi="Arial Narrow"/>
                <w:b/>
                <w:bCs/>
                <w:iCs/>
                <w:sz w:val="20"/>
              </w:rPr>
            </w:pPr>
            <w:r w:rsidRPr="008C522C">
              <w:rPr>
                <w:rFonts w:ascii="Arial Narrow" w:hAnsi="Arial Narrow"/>
                <w:b/>
                <w:bCs/>
                <w:iCs/>
                <w:sz w:val="20"/>
              </w:rPr>
              <w:t>Outcomes at 1-year follow-up</w:t>
            </w:r>
          </w:p>
        </w:tc>
      </w:tr>
      <w:tr w:rsidR="008C522C" w:rsidRPr="008C522C" w14:paraId="4491F894" w14:textId="77777777" w:rsidTr="00E16337">
        <w:trPr>
          <w:trHeight w:val="20"/>
        </w:trPr>
        <w:tc>
          <w:tcPr>
            <w:tcW w:w="1340" w:type="pct"/>
            <w:shd w:val="clear" w:color="auto" w:fill="auto"/>
            <w:noWrap/>
            <w:vAlign w:val="bottom"/>
            <w:hideMark/>
          </w:tcPr>
          <w:p w14:paraId="7F408135" w14:textId="77777777" w:rsidR="008C522C" w:rsidRPr="008C522C" w:rsidRDefault="008C522C" w:rsidP="008C522C">
            <w:pPr>
              <w:rPr>
                <w:rFonts w:ascii="Arial Narrow" w:hAnsi="Arial Narrow"/>
                <w:iCs/>
                <w:sz w:val="20"/>
              </w:rPr>
            </w:pPr>
            <w:r w:rsidRPr="008C522C">
              <w:rPr>
                <w:rFonts w:ascii="Arial Narrow" w:hAnsi="Arial Narrow"/>
                <w:iCs/>
                <w:sz w:val="20"/>
              </w:rPr>
              <w:t>New permanent pacemaker</w:t>
            </w:r>
          </w:p>
        </w:tc>
        <w:tc>
          <w:tcPr>
            <w:tcW w:w="1218" w:type="pct"/>
          </w:tcPr>
          <w:p w14:paraId="68A9C3AA" w14:textId="77777777" w:rsidR="008C522C" w:rsidRPr="008C522C" w:rsidRDefault="008C522C" w:rsidP="008C522C">
            <w:pPr>
              <w:jc w:val="center"/>
              <w:rPr>
                <w:rFonts w:ascii="Arial Narrow" w:hAnsi="Arial Narrow"/>
                <w:iCs/>
                <w:sz w:val="20"/>
              </w:rPr>
            </w:pPr>
            <w:r w:rsidRPr="008C522C">
              <w:rPr>
                <w:rFonts w:ascii="Arial Narrow" w:hAnsi="Arial Narrow"/>
                <w:iCs/>
                <w:sz w:val="20"/>
              </w:rPr>
              <w:t>2.0% (-1.1%, 5.1%)</w:t>
            </w:r>
          </w:p>
        </w:tc>
        <w:tc>
          <w:tcPr>
            <w:tcW w:w="1218" w:type="pct"/>
            <w:shd w:val="clear" w:color="auto" w:fill="auto"/>
          </w:tcPr>
          <w:p w14:paraId="53C442DF" w14:textId="1B4DF9E0" w:rsidR="008C522C" w:rsidRPr="008C522C" w:rsidRDefault="008C522C" w:rsidP="008C522C">
            <w:pPr>
              <w:jc w:val="center"/>
              <w:rPr>
                <w:rFonts w:ascii="Arial Narrow" w:hAnsi="Arial Narrow"/>
                <w:b/>
                <w:bCs/>
                <w:iCs/>
                <w:sz w:val="20"/>
              </w:rPr>
            </w:pPr>
            <w:r w:rsidRPr="008C522C">
              <w:rPr>
                <w:rFonts w:ascii="Arial Narrow" w:hAnsi="Arial Narrow"/>
                <w:b/>
                <w:bCs/>
                <w:iCs/>
                <w:sz w:val="20"/>
              </w:rPr>
              <w:t>12.6</w:t>
            </w:r>
            <w:r w:rsidR="00471D84">
              <w:rPr>
                <w:rFonts w:ascii="Arial Narrow" w:hAnsi="Arial Narrow"/>
                <w:b/>
                <w:bCs/>
                <w:iCs/>
                <w:sz w:val="20"/>
              </w:rPr>
              <w:t>%</w:t>
            </w:r>
            <w:r w:rsidRPr="008C522C">
              <w:rPr>
                <w:rFonts w:ascii="Arial Narrow" w:hAnsi="Arial Narrow"/>
                <w:b/>
                <w:bCs/>
                <w:iCs/>
                <w:sz w:val="20"/>
              </w:rPr>
              <w:t xml:space="preserve"> (9.2%, 16.2%)</w:t>
            </w:r>
          </w:p>
        </w:tc>
        <w:tc>
          <w:tcPr>
            <w:tcW w:w="1224" w:type="pct"/>
          </w:tcPr>
          <w:p w14:paraId="2B46575B" w14:textId="2F14A0C2" w:rsidR="008C522C" w:rsidRPr="008C522C" w:rsidRDefault="008C522C">
            <w:pPr>
              <w:jc w:val="center"/>
              <w:rPr>
                <w:rFonts w:ascii="Arial Narrow" w:hAnsi="Arial Narrow"/>
                <w:b/>
                <w:bCs/>
                <w:iCs/>
                <w:sz w:val="20"/>
              </w:rPr>
            </w:pPr>
            <w:r w:rsidRPr="008C522C">
              <w:rPr>
                <w:rFonts w:ascii="Arial Narrow" w:hAnsi="Arial Narrow"/>
                <w:b/>
                <w:bCs/>
                <w:iCs/>
                <w:sz w:val="20"/>
              </w:rPr>
              <w:t>-10.7% (-15.3%, -6.1%)</w:t>
            </w:r>
          </w:p>
        </w:tc>
      </w:tr>
      <w:tr w:rsidR="00E16337" w:rsidRPr="008C522C" w14:paraId="0F83BE0C" w14:textId="77777777" w:rsidTr="00E16337">
        <w:trPr>
          <w:trHeight w:val="20"/>
        </w:trPr>
        <w:tc>
          <w:tcPr>
            <w:tcW w:w="1340" w:type="pct"/>
            <w:shd w:val="clear" w:color="auto" w:fill="auto"/>
            <w:noWrap/>
            <w:vAlign w:val="bottom"/>
            <w:hideMark/>
          </w:tcPr>
          <w:p w14:paraId="2EFA1A49" w14:textId="77777777" w:rsidR="00E16337" w:rsidRPr="008C522C" w:rsidRDefault="00E16337" w:rsidP="00E16337">
            <w:pPr>
              <w:rPr>
                <w:rFonts w:ascii="Arial Narrow" w:hAnsi="Arial Narrow"/>
                <w:iCs/>
                <w:sz w:val="20"/>
              </w:rPr>
            </w:pPr>
            <w:r w:rsidRPr="008C522C">
              <w:rPr>
                <w:rFonts w:ascii="Arial Narrow" w:hAnsi="Arial Narrow"/>
                <w:iCs/>
                <w:sz w:val="20"/>
              </w:rPr>
              <w:t>New atrial fibrillation</w:t>
            </w:r>
          </w:p>
        </w:tc>
        <w:tc>
          <w:tcPr>
            <w:tcW w:w="1218" w:type="pct"/>
          </w:tcPr>
          <w:p w14:paraId="4BCF382A" w14:textId="2A8E49CD" w:rsidR="00E16337" w:rsidRPr="008C522C" w:rsidRDefault="00E16337" w:rsidP="00E16337">
            <w:pPr>
              <w:jc w:val="center"/>
              <w:rPr>
                <w:rFonts w:ascii="Arial Narrow" w:hAnsi="Arial Narrow"/>
                <w:b/>
                <w:bCs/>
                <w:iCs/>
                <w:sz w:val="20"/>
              </w:rPr>
            </w:pPr>
            <w:r w:rsidRPr="008C522C">
              <w:rPr>
                <w:rFonts w:ascii="Arial Narrow" w:hAnsi="Arial Narrow"/>
                <w:b/>
                <w:bCs/>
                <w:iCs/>
                <w:sz w:val="20"/>
              </w:rPr>
              <w:t>-2</w:t>
            </w:r>
            <w:r>
              <w:rPr>
                <w:rFonts w:ascii="Arial Narrow" w:hAnsi="Arial Narrow"/>
                <w:b/>
                <w:bCs/>
                <w:iCs/>
                <w:sz w:val="20"/>
              </w:rPr>
              <w:t>7</w:t>
            </w:r>
            <w:r w:rsidRPr="008C522C">
              <w:rPr>
                <w:rFonts w:ascii="Arial Narrow" w:hAnsi="Arial Narrow"/>
                <w:b/>
                <w:bCs/>
                <w:iCs/>
                <w:sz w:val="20"/>
              </w:rPr>
              <w:t>.</w:t>
            </w:r>
            <w:r>
              <w:rPr>
                <w:rFonts w:ascii="Arial Narrow" w:hAnsi="Arial Narrow"/>
                <w:b/>
                <w:bCs/>
                <w:iCs/>
                <w:sz w:val="20"/>
              </w:rPr>
              <w:t>2</w:t>
            </w:r>
            <w:r w:rsidRPr="008C522C">
              <w:rPr>
                <w:rFonts w:ascii="Arial Narrow" w:hAnsi="Arial Narrow"/>
                <w:b/>
                <w:bCs/>
                <w:iCs/>
                <w:sz w:val="20"/>
              </w:rPr>
              <w:t>% (-</w:t>
            </w:r>
            <w:r>
              <w:rPr>
                <w:rFonts w:ascii="Arial Narrow" w:hAnsi="Arial Narrow"/>
                <w:b/>
                <w:bCs/>
                <w:iCs/>
                <w:sz w:val="20"/>
              </w:rPr>
              <w:t>32</w:t>
            </w:r>
            <w:r w:rsidRPr="008C522C">
              <w:rPr>
                <w:rFonts w:ascii="Arial Narrow" w:hAnsi="Arial Narrow"/>
                <w:b/>
                <w:bCs/>
                <w:iCs/>
                <w:sz w:val="20"/>
              </w:rPr>
              <w:t>.</w:t>
            </w:r>
            <w:r>
              <w:rPr>
                <w:rFonts w:ascii="Arial Narrow" w:hAnsi="Arial Narrow"/>
                <w:b/>
                <w:bCs/>
                <w:iCs/>
                <w:sz w:val="20"/>
              </w:rPr>
              <w:t>0</w:t>
            </w:r>
            <w:r w:rsidRPr="008C522C">
              <w:rPr>
                <w:rFonts w:ascii="Arial Narrow" w:hAnsi="Arial Narrow"/>
                <w:b/>
                <w:bCs/>
                <w:iCs/>
                <w:sz w:val="20"/>
              </w:rPr>
              <w:t>%, -</w:t>
            </w:r>
            <w:r>
              <w:rPr>
                <w:rFonts w:ascii="Arial Narrow" w:hAnsi="Arial Narrow"/>
                <w:b/>
                <w:bCs/>
                <w:iCs/>
                <w:sz w:val="20"/>
              </w:rPr>
              <w:t>22.4</w:t>
            </w:r>
            <w:r w:rsidRPr="008C522C">
              <w:rPr>
                <w:rFonts w:ascii="Arial Narrow" w:hAnsi="Arial Narrow"/>
                <w:b/>
                <w:bCs/>
                <w:iCs/>
                <w:sz w:val="20"/>
              </w:rPr>
              <w:t>%)</w:t>
            </w:r>
          </w:p>
        </w:tc>
        <w:tc>
          <w:tcPr>
            <w:tcW w:w="1218" w:type="pct"/>
            <w:shd w:val="clear" w:color="auto" w:fill="auto"/>
          </w:tcPr>
          <w:p w14:paraId="67AA6E55" w14:textId="2BE57A30" w:rsidR="00E16337" w:rsidRPr="008C522C" w:rsidRDefault="00E16337" w:rsidP="00E16337">
            <w:pPr>
              <w:jc w:val="center"/>
              <w:rPr>
                <w:rFonts w:ascii="Arial Narrow" w:hAnsi="Arial Narrow"/>
                <w:b/>
                <w:bCs/>
                <w:iCs/>
                <w:sz w:val="20"/>
              </w:rPr>
            </w:pPr>
            <w:r w:rsidRPr="008C522C">
              <w:rPr>
                <w:rFonts w:ascii="Arial Narrow" w:hAnsi="Arial Narrow"/>
                <w:b/>
                <w:bCs/>
                <w:iCs/>
                <w:sz w:val="20"/>
              </w:rPr>
              <w:t>-28.5 (-32.8%, -24.1%)</w:t>
            </w:r>
          </w:p>
        </w:tc>
        <w:tc>
          <w:tcPr>
            <w:tcW w:w="1224" w:type="pct"/>
          </w:tcPr>
          <w:p w14:paraId="1057B33C" w14:textId="7AFFA752" w:rsidR="00E16337" w:rsidRPr="008C522C" w:rsidRDefault="00E16337" w:rsidP="00E16337">
            <w:pPr>
              <w:jc w:val="center"/>
              <w:rPr>
                <w:rFonts w:ascii="Arial Narrow" w:hAnsi="Arial Narrow"/>
                <w:iCs/>
                <w:sz w:val="20"/>
              </w:rPr>
            </w:pPr>
            <w:r w:rsidRPr="00E16337">
              <w:rPr>
                <w:rFonts w:ascii="Arial Narrow" w:hAnsi="Arial Narrow"/>
                <w:iCs/>
                <w:sz w:val="20"/>
              </w:rPr>
              <w:t>1.3% (-5.1%, 7.7%)</w:t>
            </w:r>
          </w:p>
        </w:tc>
      </w:tr>
      <w:tr w:rsidR="008C522C" w:rsidRPr="008C522C" w14:paraId="41F7159B" w14:textId="77777777" w:rsidTr="00E16337">
        <w:trPr>
          <w:trHeight w:val="20"/>
        </w:trPr>
        <w:tc>
          <w:tcPr>
            <w:tcW w:w="1340" w:type="pct"/>
            <w:shd w:val="clear" w:color="auto" w:fill="auto"/>
            <w:noWrap/>
            <w:vAlign w:val="bottom"/>
            <w:hideMark/>
          </w:tcPr>
          <w:p w14:paraId="4C1E7D25" w14:textId="77777777" w:rsidR="008C522C" w:rsidRPr="008C522C" w:rsidRDefault="008C522C" w:rsidP="008C522C">
            <w:pPr>
              <w:rPr>
                <w:rFonts w:ascii="Arial Narrow" w:hAnsi="Arial Narrow"/>
                <w:iCs/>
                <w:sz w:val="20"/>
              </w:rPr>
            </w:pPr>
            <w:r w:rsidRPr="008C522C">
              <w:rPr>
                <w:rFonts w:ascii="Arial Narrow" w:hAnsi="Arial Narrow"/>
                <w:iCs/>
                <w:sz w:val="20"/>
              </w:rPr>
              <w:t>Aortic valve reintervention</w:t>
            </w:r>
          </w:p>
        </w:tc>
        <w:tc>
          <w:tcPr>
            <w:tcW w:w="1218" w:type="pct"/>
          </w:tcPr>
          <w:p w14:paraId="48B3C36A" w14:textId="77777777" w:rsidR="008C522C" w:rsidRPr="008C522C" w:rsidRDefault="008C522C" w:rsidP="008C522C">
            <w:pPr>
              <w:jc w:val="center"/>
              <w:rPr>
                <w:rFonts w:ascii="Arial Narrow" w:hAnsi="Arial Narrow"/>
                <w:iCs/>
                <w:sz w:val="20"/>
              </w:rPr>
            </w:pPr>
            <w:r w:rsidRPr="008C522C">
              <w:rPr>
                <w:rFonts w:ascii="Arial Narrow" w:hAnsi="Arial Narrow" w:cs="Tahoma"/>
                <w:sz w:val="20"/>
              </w:rPr>
              <w:t>0.2% (-0.8%, 1.1%)</w:t>
            </w:r>
          </w:p>
        </w:tc>
        <w:tc>
          <w:tcPr>
            <w:tcW w:w="1218" w:type="pct"/>
            <w:shd w:val="clear" w:color="auto" w:fill="auto"/>
          </w:tcPr>
          <w:p w14:paraId="335CA495" w14:textId="32369769" w:rsidR="008C522C" w:rsidRPr="008C522C" w:rsidRDefault="008C522C" w:rsidP="00724548">
            <w:pPr>
              <w:jc w:val="center"/>
              <w:rPr>
                <w:rFonts w:ascii="Arial Narrow" w:hAnsi="Arial Narrow"/>
                <w:iCs/>
                <w:sz w:val="20"/>
              </w:rPr>
            </w:pPr>
            <w:r w:rsidRPr="008C522C">
              <w:rPr>
                <w:rFonts w:ascii="Arial Narrow" w:hAnsi="Arial Narrow"/>
                <w:iCs/>
                <w:sz w:val="20"/>
              </w:rPr>
              <w:t>0.</w:t>
            </w:r>
            <w:r w:rsidR="00471D84">
              <w:rPr>
                <w:rFonts w:ascii="Arial Narrow" w:hAnsi="Arial Narrow"/>
                <w:iCs/>
                <w:sz w:val="20"/>
              </w:rPr>
              <w:t>1</w:t>
            </w:r>
            <w:r w:rsidRPr="008C522C">
              <w:rPr>
                <w:rFonts w:ascii="Arial Narrow" w:hAnsi="Arial Narrow"/>
                <w:iCs/>
                <w:sz w:val="20"/>
              </w:rPr>
              <w:t>% (-</w:t>
            </w:r>
            <w:r w:rsidR="00471D84">
              <w:rPr>
                <w:rFonts w:ascii="Arial Narrow" w:hAnsi="Arial Narrow"/>
                <w:iCs/>
                <w:sz w:val="20"/>
              </w:rPr>
              <w:t>0</w:t>
            </w:r>
            <w:r w:rsidRPr="008C522C">
              <w:rPr>
                <w:rFonts w:ascii="Arial Narrow" w:hAnsi="Arial Narrow"/>
                <w:iCs/>
                <w:sz w:val="20"/>
              </w:rPr>
              <w:t>.</w:t>
            </w:r>
            <w:r w:rsidR="00471D84">
              <w:rPr>
                <w:rFonts w:ascii="Arial Narrow" w:hAnsi="Arial Narrow"/>
                <w:iCs/>
                <w:sz w:val="20"/>
              </w:rPr>
              <w:t>7%</w:t>
            </w:r>
            <w:r w:rsidRPr="008C522C">
              <w:rPr>
                <w:rFonts w:ascii="Arial Narrow" w:hAnsi="Arial Narrow"/>
                <w:iCs/>
                <w:sz w:val="20"/>
              </w:rPr>
              <w:t>, 0.9%)</w:t>
            </w:r>
          </w:p>
        </w:tc>
        <w:tc>
          <w:tcPr>
            <w:tcW w:w="1224" w:type="pct"/>
          </w:tcPr>
          <w:p w14:paraId="0422B143" w14:textId="77777777" w:rsidR="008C522C" w:rsidRPr="008C522C" w:rsidRDefault="008C522C" w:rsidP="008C522C">
            <w:pPr>
              <w:jc w:val="center"/>
              <w:rPr>
                <w:rFonts w:ascii="Arial Narrow" w:hAnsi="Arial Narrow"/>
                <w:iCs/>
                <w:sz w:val="20"/>
              </w:rPr>
            </w:pPr>
            <w:r w:rsidRPr="008C522C">
              <w:rPr>
                <w:rFonts w:ascii="Arial Narrow" w:hAnsi="Arial Narrow"/>
                <w:iCs/>
                <w:sz w:val="20"/>
              </w:rPr>
              <w:t>0.1% (-1.2%, 1.3%)</w:t>
            </w:r>
          </w:p>
        </w:tc>
      </w:tr>
    </w:tbl>
    <w:p w14:paraId="3F04B2FA" w14:textId="77777777" w:rsidR="008C522C" w:rsidRPr="008C522C" w:rsidRDefault="008C522C" w:rsidP="008C522C">
      <w:pPr>
        <w:widowControl w:val="0"/>
        <w:snapToGrid w:val="0"/>
        <w:jc w:val="both"/>
        <w:rPr>
          <w:rFonts w:ascii="Arial Narrow" w:eastAsia="Calibri" w:hAnsi="Arial Narrow" w:cs="Arial"/>
          <w:sz w:val="18"/>
          <w:szCs w:val="22"/>
          <w:lang w:eastAsia="en-US"/>
        </w:rPr>
      </w:pPr>
      <w:r w:rsidRPr="008C522C">
        <w:rPr>
          <w:rFonts w:ascii="Arial Narrow" w:eastAsia="Calibri" w:hAnsi="Arial Narrow" w:cs="Arial"/>
          <w:sz w:val="18"/>
          <w:szCs w:val="22"/>
          <w:lang w:eastAsia="en-US"/>
        </w:rPr>
        <w:t xml:space="preserve">Abbreviations: CI = confidence interval, TAVI-BEV = transcatheter aortic valve implantation – balloon-expandable valve, TAVI-SEV = transcatheter aortic valve implantation – self-expandable valve; RD = risk difference, </w:t>
      </w:r>
      <w:r w:rsidRPr="008C522C">
        <w:rPr>
          <w:rFonts w:ascii="Arial Narrow" w:eastAsia="Calibri" w:hAnsi="Arial Narrow" w:cs="Arial"/>
          <w:b/>
          <w:bCs/>
          <w:sz w:val="18"/>
          <w:szCs w:val="22"/>
          <w:lang w:eastAsia="en-US"/>
        </w:rPr>
        <w:t xml:space="preserve">Bold </w:t>
      </w:r>
      <w:r w:rsidRPr="008C522C">
        <w:rPr>
          <w:rFonts w:ascii="Arial Narrow" w:eastAsia="Calibri" w:hAnsi="Arial Narrow" w:cs="Arial"/>
          <w:sz w:val="18"/>
          <w:szCs w:val="22"/>
          <w:lang w:eastAsia="en-US"/>
        </w:rPr>
        <w:t>= statistically significant at p-value ≤ 0.05 or 95% Bayesian confidence interval if the difference outcomes did not cross the threshold of zero</w:t>
      </w:r>
    </w:p>
    <w:p w14:paraId="42F3B241" w14:textId="7D325033" w:rsidR="007276EC" w:rsidRDefault="008C522C" w:rsidP="008C522C">
      <w:pPr>
        <w:widowControl w:val="0"/>
        <w:snapToGrid w:val="0"/>
        <w:jc w:val="both"/>
        <w:rPr>
          <w:rFonts w:ascii="Arial Narrow" w:eastAsia="Calibri" w:hAnsi="Arial Narrow" w:cs="Arial"/>
          <w:sz w:val="18"/>
          <w:szCs w:val="22"/>
          <w:lang w:eastAsia="en-US"/>
        </w:rPr>
      </w:pPr>
      <w:r w:rsidRPr="008C522C">
        <w:rPr>
          <w:rFonts w:ascii="Arial Narrow" w:eastAsia="Calibri" w:hAnsi="Arial Narrow" w:cs="Arial"/>
          <w:sz w:val="18"/>
          <w:szCs w:val="22"/>
          <w:lang w:eastAsia="en-US"/>
        </w:rPr>
        <w:t xml:space="preserve">Source: Constructed during evaluation </w:t>
      </w:r>
    </w:p>
    <w:p w14:paraId="09862D68" w14:textId="403080CA" w:rsidR="007276EC" w:rsidRDefault="007276EC" w:rsidP="007276EC">
      <w:pPr>
        <w:pStyle w:val="Heading2"/>
      </w:pPr>
      <w:r>
        <w:lastRenderedPageBreak/>
        <w:t xml:space="preserve">Long term durability of </w:t>
      </w:r>
      <w:r w:rsidRPr="00750CDD">
        <w:t xml:space="preserve">TAVI-BEV </w:t>
      </w:r>
    </w:p>
    <w:p w14:paraId="1FC99A94" w14:textId="4E089C2A" w:rsidR="007276EC" w:rsidRDefault="007276EC" w:rsidP="007276EC">
      <w:r>
        <w:t>The minor submission considered that the evidence for the durability of TAVI-BEV continues to accumulate, and by and large, this suggests comparability to SAVR.</w:t>
      </w:r>
      <w:r w:rsidRPr="007276EC">
        <w:t xml:space="preserve"> </w:t>
      </w:r>
      <w:r>
        <w:t>The minor submission stated that, in terms of pre-clinical studies, b</w:t>
      </w:r>
      <w:r w:rsidRPr="00941BAA">
        <w:t>ench testing data show</w:t>
      </w:r>
      <w:r>
        <w:t xml:space="preserve"> </w:t>
      </w:r>
      <w:r w:rsidRPr="00941BAA">
        <w:t xml:space="preserve">that the durability of SAPIEN 3 is </w:t>
      </w:r>
      <w:proofErr w:type="gramStart"/>
      <w:r w:rsidRPr="00941BAA">
        <w:t>similar to</w:t>
      </w:r>
      <w:proofErr w:type="gramEnd"/>
      <w:r w:rsidRPr="00941BAA">
        <w:t xml:space="preserve"> surgical valves after one billion cycles of accelerated wear testing</w:t>
      </w:r>
      <w:r>
        <w:t xml:space="preserve"> (</w:t>
      </w:r>
      <w:proofErr w:type="spellStart"/>
      <w:r>
        <w:t>Sathananthan</w:t>
      </w:r>
      <w:proofErr w:type="spellEnd"/>
      <w:r>
        <w:t xml:space="preserve"> </w:t>
      </w:r>
      <w:r w:rsidRPr="008772F8">
        <w:rPr>
          <w:i/>
          <w:iCs/>
        </w:rPr>
        <w:t>et al.</w:t>
      </w:r>
      <w:r>
        <w:t xml:space="preserve"> 2020</w:t>
      </w:r>
      <w:r>
        <w:rPr>
          <w:rStyle w:val="FootnoteReference"/>
        </w:rPr>
        <w:footnoteReference w:id="28"/>
      </w:r>
      <w:r>
        <w:t>)</w:t>
      </w:r>
    </w:p>
    <w:p w14:paraId="07D16E85" w14:textId="0265015E" w:rsidR="007276EC" w:rsidRDefault="007276EC" w:rsidP="00571DB8">
      <w:pPr>
        <w:spacing w:before="240"/>
      </w:pPr>
      <w:r>
        <w:t>The minor submission considered that the durability of TAVI valves is</w:t>
      </w:r>
      <w:r w:rsidRPr="00941BAA">
        <w:t xml:space="preserve"> supported by</w:t>
      </w:r>
      <w:r>
        <w:t xml:space="preserve"> published</w:t>
      </w:r>
      <w:r w:rsidRPr="00941BAA">
        <w:t xml:space="preserve"> real world data from multiple studies</w:t>
      </w:r>
      <w:r>
        <w:t>, in which</w:t>
      </w:r>
      <w:r w:rsidRPr="00941BAA">
        <w:t xml:space="preserve"> </w:t>
      </w:r>
      <w:r>
        <w:t>th</w:t>
      </w:r>
      <w:r w:rsidRPr="00941BAA">
        <w:t xml:space="preserve">e durability of TAVI </w:t>
      </w:r>
      <w:r>
        <w:t>valves match</w:t>
      </w:r>
      <w:r w:rsidRPr="00941BAA">
        <w:t xml:space="preserve"> t</w:t>
      </w:r>
      <w:r>
        <w:t>hat of</w:t>
      </w:r>
      <w:r w:rsidRPr="00941BAA">
        <w:t xml:space="preserve"> surgical valves out to </w:t>
      </w:r>
      <w:r>
        <w:t>ten</w:t>
      </w:r>
      <w:r w:rsidRPr="00941BAA">
        <w:t xml:space="preserve"> years</w:t>
      </w:r>
      <w:r>
        <w:t xml:space="preserve"> (Blackman et al. 2019</w:t>
      </w:r>
      <w:r>
        <w:rPr>
          <w:rStyle w:val="FootnoteReference"/>
        </w:rPr>
        <w:footnoteReference w:id="29"/>
      </w:r>
      <w:r>
        <w:t>; Durand et al. 2019</w:t>
      </w:r>
      <w:r>
        <w:rPr>
          <w:rStyle w:val="FootnoteReference"/>
        </w:rPr>
        <w:footnoteReference w:id="30"/>
      </w:r>
      <w:r>
        <w:t xml:space="preserve">; </w:t>
      </w:r>
      <w:proofErr w:type="spellStart"/>
      <w:r>
        <w:t>Vollenbrioch</w:t>
      </w:r>
      <w:proofErr w:type="spellEnd"/>
      <w:r>
        <w:t xml:space="preserve"> et al. 2019</w:t>
      </w:r>
      <w:r>
        <w:rPr>
          <w:rStyle w:val="FootnoteReference"/>
        </w:rPr>
        <w:footnoteReference w:id="31"/>
      </w:r>
      <w:r>
        <w:t xml:space="preserve">; and </w:t>
      </w:r>
      <w:proofErr w:type="spellStart"/>
      <w:r>
        <w:t>Sathananthan</w:t>
      </w:r>
      <w:proofErr w:type="spellEnd"/>
      <w:r>
        <w:t xml:space="preserve"> et al. 2021</w:t>
      </w:r>
      <w:r>
        <w:rPr>
          <w:rStyle w:val="FootnoteReference"/>
        </w:rPr>
        <w:footnoteReference w:id="32"/>
      </w:r>
      <w:r>
        <w:t>)</w:t>
      </w:r>
      <w:r w:rsidRPr="00941BAA">
        <w:t>.</w:t>
      </w:r>
      <w:r>
        <w:t xml:space="preserve"> The minor submission highlighted that, notably, among the few patients needing aortic valve re-intervention, most underwent repeat TAVIs rather than SAVR, meaning cost-offsets associated with an initial TAVI (compared with an initial SAVR) were likely preserved.</w:t>
      </w:r>
    </w:p>
    <w:p w14:paraId="69E668ED" w14:textId="77777777" w:rsidR="007276EC" w:rsidRDefault="007276EC" w:rsidP="00571DB8">
      <w:pPr>
        <w:spacing w:before="240"/>
      </w:pPr>
      <w:r>
        <w:t>The minor submission also re-presented</w:t>
      </w:r>
      <w:r w:rsidRPr="00941BAA">
        <w:t xml:space="preserve"> </w:t>
      </w:r>
      <w:r>
        <w:t xml:space="preserve">follow-up data from a clinical trial of </w:t>
      </w:r>
      <w:r w:rsidRPr="00941BAA">
        <w:t xml:space="preserve">SAPIEN 3 </w:t>
      </w:r>
      <w:r>
        <w:t>(PARTNER S3i) and considered that this data showed that</w:t>
      </w:r>
      <w:r w:rsidRPr="00941BAA">
        <w:t xml:space="preserve"> </w:t>
      </w:r>
      <w:r>
        <w:t xml:space="preserve">its durability is </w:t>
      </w:r>
      <w:proofErr w:type="gramStart"/>
      <w:r>
        <w:t xml:space="preserve">similar </w:t>
      </w:r>
      <w:r w:rsidRPr="00941BAA">
        <w:t>to</w:t>
      </w:r>
      <w:proofErr w:type="gramEnd"/>
      <w:r>
        <w:t xml:space="preserve"> that of</w:t>
      </w:r>
      <w:r w:rsidRPr="00941BAA">
        <w:t xml:space="preserve"> surgical bioprosthetic valves </w:t>
      </w:r>
      <w:r>
        <w:t>out to</w:t>
      </w:r>
      <w:r w:rsidRPr="00941BAA">
        <w:t xml:space="preserve"> </w:t>
      </w:r>
      <w:r>
        <w:t>five</w:t>
      </w:r>
      <w:r w:rsidRPr="00941BAA">
        <w:t xml:space="preserve"> years</w:t>
      </w:r>
      <w:r>
        <w:rPr>
          <w:rStyle w:val="FootnoteReference"/>
        </w:rPr>
        <w:footnoteReference w:id="33"/>
      </w:r>
      <w:r>
        <w:t>.</w:t>
      </w:r>
      <w:r w:rsidRPr="00941BAA">
        <w:t xml:space="preserve"> </w:t>
      </w:r>
      <w:r>
        <w:t>This is based on the composite outcome measure of structural valve deterioration (SVD,</w:t>
      </w:r>
      <w:r w:rsidRPr="00941BAA">
        <w:t xml:space="preserve"> stage 2 h</w:t>
      </w:r>
      <w:r>
        <w:t>a</w:t>
      </w:r>
      <w:r w:rsidRPr="00941BAA">
        <w:t>emodynamic valve deterioration during echocardiographic follow-up</w:t>
      </w:r>
      <w:r>
        <w:t>)</w:t>
      </w:r>
      <w:r w:rsidRPr="00941BAA">
        <w:t xml:space="preserve"> and bioprosthetic valve failure.</w:t>
      </w:r>
    </w:p>
    <w:p w14:paraId="6A8F67DA" w14:textId="03992A58" w:rsidR="007276EC" w:rsidRPr="00855CD6" w:rsidRDefault="007276EC" w:rsidP="00571DB8">
      <w:pPr>
        <w:spacing w:before="240"/>
      </w:pPr>
      <w:r>
        <w:t>In addition, the minor submission highlighted that Australian clinicians have advised the applicant that durability data from two Melbourne hospitals (one public and one private) now exists for TAVIs (of all types) up to 13 years, and these are “excellent” and at least comparable to those for SAVRs. The applicant indicated that these data are currently being prepared for submission.</w:t>
      </w:r>
    </w:p>
    <w:p w14:paraId="31A3D6E2" w14:textId="77777777" w:rsidR="00BC1364" w:rsidRPr="00F715D1" w:rsidRDefault="00BC1364" w:rsidP="00F715D1">
      <w:pPr>
        <w:pStyle w:val="Heading1"/>
      </w:pPr>
      <w:r w:rsidRPr="00F715D1">
        <w:t>Comparative effectiveness</w:t>
      </w:r>
    </w:p>
    <w:p w14:paraId="75775F76" w14:textId="77777777" w:rsidR="008C522C" w:rsidRPr="00750CDD" w:rsidRDefault="008C522C" w:rsidP="00750CDD">
      <w:pPr>
        <w:pStyle w:val="Heading2"/>
      </w:pPr>
      <w:r w:rsidRPr="00750CDD">
        <w:t>TAVI-BEV vs. SAVR</w:t>
      </w:r>
    </w:p>
    <w:p w14:paraId="259B274E" w14:textId="77777777" w:rsidR="003D2F4E" w:rsidRPr="003D2F4E" w:rsidRDefault="008C522C" w:rsidP="003D2F4E">
      <w:pPr>
        <w:rPr>
          <w:szCs w:val="24"/>
        </w:rPr>
      </w:pPr>
      <w:r w:rsidRPr="008C522C">
        <w:t xml:space="preserve">A summary of the key efficacy outcomes reported in PARTNER 3 is presented </w:t>
      </w:r>
      <w:r w:rsidRPr="00267AAE">
        <w:rPr>
          <w:szCs w:val="24"/>
        </w:rPr>
        <w:fldChar w:fldCharType="begin"/>
      </w:r>
      <w:r w:rsidRPr="00267AAE">
        <w:rPr>
          <w:szCs w:val="24"/>
        </w:rPr>
        <w:instrText xml:space="preserve"> REF _Ref60310632 \h  \* MERGEFORMAT </w:instrText>
      </w:r>
      <w:r w:rsidRPr="00267AAE">
        <w:rPr>
          <w:szCs w:val="24"/>
        </w:rPr>
      </w:r>
      <w:r w:rsidRPr="00267AAE">
        <w:rPr>
          <w:szCs w:val="24"/>
        </w:rPr>
        <w:fldChar w:fldCharType="separate"/>
      </w:r>
    </w:p>
    <w:p w14:paraId="7F961704" w14:textId="00070A45" w:rsidR="008C522C" w:rsidRPr="008C522C" w:rsidRDefault="003D2F4E" w:rsidP="00267AAE">
      <w:r w:rsidRPr="003D2F4E">
        <w:rPr>
          <w:szCs w:val="24"/>
        </w:rPr>
        <w:t>Table</w:t>
      </w:r>
      <w:r w:rsidRPr="003D2F4E">
        <w:rPr>
          <w:noProof/>
          <w:szCs w:val="24"/>
        </w:rPr>
        <w:t xml:space="preserve"> </w:t>
      </w:r>
      <w:r w:rsidRPr="003D2F4E">
        <w:rPr>
          <w:bCs/>
          <w:noProof/>
          <w:szCs w:val="24"/>
        </w:rPr>
        <w:t>8</w:t>
      </w:r>
      <w:r w:rsidR="008C522C" w:rsidRPr="00267AAE">
        <w:rPr>
          <w:szCs w:val="24"/>
        </w:rPr>
        <w:fldChar w:fldCharType="end"/>
      </w:r>
      <w:r w:rsidR="008C522C" w:rsidRPr="00267AAE">
        <w:rPr>
          <w:szCs w:val="24"/>
        </w:rPr>
        <w:t>.</w:t>
      </w:r>
      <w:r w:rsidR="008C522C" w:rsidRPr="008C522C">
        <w:t xml:space="preserve"> The Kaplan-Meier curves for the PARTNER 3 primary endpoint (composite of all-cause mortality, stroke and rehospitalisation), all-cause mortality, and death or disabling stroke in PARTNER 3 at 2-years follow-up is presented in </w:t>
      </w:r>
      <w:r w:rsidR="008C522C" w:rsidRPr="008C522C">
        <w:fldChar w:fldCharType="begin"/>
      </w:r>
      <w:r w:rsidR="008C522C" w:rsidRPr="008C522C">
        <w:instrText xml:space="preserve"> REF _Ref60310664 \h  \* MERGEFORMAT </w:instrText>
      </w:r>
      <w:r w:rsidR="008C522C" w:rsidRPr="008C522C">
        <w:fldChar w:fldCharType="separate"/>
      </w:r>
      <w:r w:rsidRPr="003D2F4E">
        <w:t xml:space="preserve">Figure </w:t>
      </w:r>
      <w:r w:rsidRPr="003D2F4E">
        <w:rPr>
          <w:noProof/>
        </w:rPr>
        <w:t>3</w:t>
      </w:r>
      <w:r w:rsidR="008C522C" w:rsidRPr="008C522C">
        <w:fldChar w:fldCharType="end"/>
      </w:r>
      <w:r w:rsidR="008C522C" w:rsidRPr="008C522C">
        <w:t xml:space="preserve">, </w:t>
      </w:r>
      <w:r w:rsidR="008C522C" w:rsidRPr="00456767">
        <w:fldChar w:fldCharType="begin"/>
      </w:r>
      <w:r w:rsidR="008C522C" w:rsidRPr="00456767">
        <w:instrText xml:space="preserve"> REF _Ref65232718 \h </w:instrText>
      </w:r>
      <w:r w:rsidR="00456767">
        <w:instrText xml:space="preserve"> \* MERGEFORMAT </w:instrText>
      </w:r>
      <w:r w:rsidR="008C522C" w:rsidRPr="00456767">
        <w:fldChar w:fldCharType="separate"/>
      </w:r>
      <w:r w:rsidRPr="003D2F4E">
        <w:t>Figure 4</w:t>
      </w:r>
      <w:r w:rsidR="008C522C" w:rsidRPr="00456767">
        <w:fldChar w:fldCharType="end"/>
      </w:r>
      <w:r w:rsidR="008C522C" w:rsidRPr="008C522C">
        <w:t xml:space="preserve">, and </w:t>
      </w:r>
      <w:r w:rsidR="008C522C" w:rsidRPr="008C522C">
        <w:fldChar w:fldCharType="begin"/>
      </w:r>
      <w:r w:rsidR="008C522C" w:rsidRPr="008C522C">
        <w:instrText xml:space="preserve"> REF _Ref65232721 \h </w:instrText>
      </w:r>
      <w:r w:rsidR="008C522C" w:rsidRPr="008C522C">
        <w:fldChar w:fldCharType="separate"/>
      </w:r>
      <w:r w:rsidRPr="008C522C">
        <w:t xml:space="preserve">Figure </w:t>
      </w:r>
      <w:r>
        <w:rPr>
          <w:noProof/>
        </w:rPr>
        <w:t>5</w:t>
      </w:r>
      <w:r w:rsidR="008C522C" w:rsidRPr="008C522C">
        <w:fldChar w:fldCharType="end"/>
      </w:r>
      <w:r w:rsidR="008C522C" w:rsidRPr="008C522C">
        <w:t>, respectively.</w:t>
      </w:r>
    </w:p>
    <w:p w14:paraId="1EB57280" w14:textId="2B8E8D06" w:rsidR="00906DE1" w:rsidRPr="00964AB0" w:rsidRDefault="008C522C" w:rsidP="00964AB0">
      <w:pPr>
        <w:spacing w:before="240"/>
      </w:pPr>
      <w:r w:rsidRPr="008C522C">
        <w:t xml:space="preserve">The commentary highlighted that although the primary endpoint, the composite of death, </w:t>
      </w:r>
      <w:proofErr w:type="gramStart"/>
      <w:r w:rsidRPr="008C522C">
        <w:t>stroke</w:t>
      </w:r>
      <w:proofErr w:type="gramEnd"/>
      <w:r w:rsidRPr="008C522C">
        <w:t xml:space="preserve"> or rehospitalisation, remained statistically significant at two-year follow-up, there was a clear narrowing of the Kaplan-Meier curves between treatment arms. A similar pattern was observed for the individual outcomes of death and stroke, as the Kaplan-Meier curves for death and stroke had begun to converge. Further, there were more deaths and stroke events in the TAVI-BEV arm between 1 and 2-years follow-up than in the SAVR arm. The </w:t>
      </w:r>
      <w:r w:rsidRPr="008C522C">
        <w:lastRenderedPageBreak/>
        <w:t>commentary considered that this raises concerns about TAVI-BEV’s long-term durability and efficacy beyond 1-year. The ADAR did not provide a Clinical Study Report for PARTNER 3 and the reasons were not reported by the Mack et al (2019). Rehospitalisation could include rehospitalisation for very minor procedures (e.g. diuretics, inotropes, chromotropes, oral or intravenous therapy) and hence this outcome may not be clinically meaningful.</w:t>
      </w:r>
      <w:bookmarkStart w:id="18" w:name="_Ref60310632"/>
    </w:p>
    <w:p w14:paraId="4F67C37B" w14:textId="16F31C91" w:rsidR="008C522C" w:rsidRPr="008C522C" w:rsidRDefault="008C522C" w:rsidP="00964AB0">
      <w:pPr>
        <w:keepNext/>
        <w:keepLines/>
        <w:spacing w:before="240"/>
        <w:rPr>
          <w:rFonts w:ascii="Arial Narrow" w:hAnsi="Arial Narrow" w:cs="Tahoma"/>
          <w:b/>
          <w:bCs/>
          <w:sz w:val="20"/>
        </w:rPr>
      </w:pPr>
      <w:r w:rsidRPr="008C522C">
        <w:rPr>
          <w:rFonts w:ascii="Arial Narrow" w:hAnsi="Arial Narrow" w:cs="Tahoma"/>
          <w:b/>
          <w:bCs/>
          <w:sz w:val="20"/>
        </w:rPr>
        <w:t xml:space="preserve">Table </w:t>
      </w:r>
      <w:r w:rsidRPr="008C522C">
        <w:rPr>
          <w:rFonts w:ascii="Arial Narrow" w:hAnsi="Arial Narrow" w:cs="Tahoma"/>
          <w:b/>
          <w:sz w:val="20"/>
          <w:shd w:val="clear" w:color="auto" w:fill="E6E6E6"/>
        </w:rPr>
        <w:fldChar w:fldCharType="begin"/>
      </w:r>
      <w:r w:rsidRPr="008C522C">
        <w:rPr>
          <w:rFonts w:ascii="Arial Narrow" w:hAnsi="Arial Narrow" w:cs="Tahoma"/>
          <w:b/>
          <w:bCs/>
          <w:sz w:val="20"/>
        </w:rPr>
        <w:instrText>SEQ Table \* ARABIC</w:instrText>
      </w:r>
      <w:r w:rsidRPr="008C522C">
        <w:rPr>
          <w:rFonts w:ascii="Arial Narrow" w:hAnsi="Arial Narrow" w:cs="Tahoma"/>
          <w:b/>
          <w:sz w:val="20"/>
          <w:shd w:val="clear" w:color="auto" w:fill="E6E6E6"/>
        </w:rPr>
        <w:fldChar w:fldCharType="separate"/>
      </w:r>
      <w:r w:rsidR="003D2F4E">
        <w:rPr>
          <w:rFonts w:ascii="Arial Narrow" w:hAnsi="Arial Narrow" w:cs="Tahoma"/>
          <w:b/>
          <w:bCs/>
          <w:noProof/>
          <w:sz w:val="20"/>
        </w:rPr>
        <w:t>8</w:t>
      </w:r>
      <w:r w:rsidRPr="008C522C">
        <w:rPr>
          <w:rFonts w:ascii="Arial Narrow" w:hAnsi="Arial Narrow" w:cs="Tahoma"/>
          <w:b/>
          <w:sz w:val="20"/>
          <w:shd w:val="clear" w:color="auto" w:fill="E6E6E6"/>
        </w:rPr>
        <w:fldChar w:fldCharType="end"/>
      </w:r>
      <w:bookmarkEnd w:id="18"/>
      <w:r w:rsidRPr="008C522C">
        <w:rPr>
          <w:rFonts w:ascii="Arial Narrow" w:hAnsi="Arial Narrow" w:cs="Tahoma"/>
          <w:b/>
          <w:bCs/>
          <w:sz w:val="20"/>
          <w:szCs w:val="22"/>
        </w:rPr>
        <w:tab/>
      </w:r>
      <w:r w:rsidRPr="008C522C">
        <w:rPr>
          <w:rFonts w:ascii="Arial Narrow" w:hAnsi="Arial Narrow" w:cs="Tahoma"/>
          <w:b/>
          <w:bCs/>
          <w:sz w:val="20"/>
        </w:rPr>
        <w:t>Summary of key efficacy outcomes from the PARTNER 3 trial</w:t>
      </w:r>
    </w:p>
    <w:tbl>
      <w:tblPr>
        <w:tblStyle w:val="HealthConsult2"/>
        <w:tblW w:w="9016" w:type="dxa"/>
        <w:tblLook w:val="04A0" w:firstRow="1" w:lastRow="0" w:firstColumn="1" w:lastColumn="0" w:noHBand="0" w:noVBand="1"/>
        <w:tblDescription w:val="Summary of key efficacy outcomes from the PARTNER 3 trial"/>
      </w:tblPr>
      <w:tblGrid>
        <w:gridCol w:w="1980"/>
        <w:gridCol w:w="1346"/>
        <w:gridCol w:w="1631"/>
        <w:gridCol w:w="1559"/>
        <w:gridCol w:w="2500"/>
      </w:tblGrid>
      <w:tr w:rsidR="008C522C" w:rsidRPr="00750CDD" w14:paraId="3C8728A8" w14:textId="77777777" w:rsidTr="00096559">
        <w:trPr>
          <w:trHeight w:val="20"/>
          <w:tblHeader/>
        </w:trPr>
        <w:tc>
          <w:tcPr>
            <w:tcW w:w="1980" w:type="dxa"/>
            <w:vAlign w:val="center"/>
          </w:tcPr>
          <w:p w14:paraId="5AC32D75" w14:textId="77777777" w:rsidR="008C522C" w:rsidRPr="00750CDD" w:rsidRDefault="008C522C" w:rsidP="00AE222C">
            <w:pPr>
              <w:keepNext/>
              <w:keepLines/>
              <w:spacing w:after="0"/>
              <w:ind w:left="0" w:firstLine="22"/>
              <w:rPr>
                <w:rFonts w:ascii="Arial Narrow" w:hAnsi="Arial Narrow" w:cs="Arial"/>
                <w:b/>
                <w:bCs/>
                <w:sz w:val="20"/>
              </w:rPr>
            </w:pPr>
            <w:r w:rsidRPr="00750CDD">
              <w:rPr>
                <w:rFonts w:ascii="Arial Narrow" w:hAnsi="Arial Narrow" w:cs="Arial"/>
                <w:b/>
                <w:bCs/>
                <w:sz w:val="20"/>
              </w:rPr>
              <w:t>Time since procedure</w:t>
            </w:r>
          </w:p>
        </w:tc>
        <w:tc>
          <w:tcPr>
            <w:tcW w:w="1346" w:type="dxa"/>
            <w:vAlign w:val="center"/>
          </w:tcPr>
          <w:p w14:paraId="0CB3D14D" w14:textId="77777777" w:rsidR="008C522C" w:rsidRPr="00750CDD" w:rsidRDefault="008C522C" w:rsidP="00AE222C">
            <w:pPr>
              <w:keepNext/>
              <w:keepLines/>
              <w:spacing w:after="0"/>
              <w:ind w:left="0" w:firstLine="22"/>
              <w:jc w:val="center"/>
              <w:rPr>
                <w:rFonts w:ascii="Arial Narrow" w:hAnsi="Arial Narrow" w:cs="Arial"/>
                <w:b/>
                <w:bCs/>
                <w:sz w:val="20"/>
              </w:rPr>
            </w:pPr>
            <w:r w:rsidRPr="00750CDD">
              <w:rPr>
                <w:rFonts w:ascii="Arial Narrow" w:hAnsi="Arial Narrow" w:cs="Arial"/>
                <w:b/>
                <w:bCs/>
                <w:sz w:val="20"/>
              </w:rPr>
              <w:t>TAVI-BEV</w:t>
            </w:r>
          </w:p>
        </w:tc>
        <w:tc>
          <w:tcPr>
            <w:tcW w:w="1631" w:type="dxa"/>
            <w:vAlign w:val="center"/>
          </w:tcPr>
          <w:p w14:paraId="69712ABF" w14:textId="77777777" w:rsidR="008C522C" w:rsidRPr="00750CDD" w:rsidRDefault="008C522C" w:rsidP="00AE222C">
            <w:pPr>
              <w:keepNext/>
              <w:keepLines/>
              <w:spacing w:after="0"/>
              <w:ind w:left="0" w:firstLine="22"/>
              <w:jc w:val="center"/>
              <w:rPr>
                <w:rFonts w:ascii="Arial Narrow" w:hAnsi="Arial Narrow" w:cs="Arial"/>
                <w:b/>
                <w:bCs/>
                <w:sz w:val="20"/>
              </w:rPr>
            </w:pPr>
            <w:r w:rsidRPr="00750CDD">
              <w:rPr>
                <w:rFonts w:ascii="Arial Narrow" w:hAnsi="Arial Narrow" w:cs="Arial"/>
                <w:b/>
                <w:bCs/>
                <w:sz w:val="20"/>
              </w:rPr>
              <w:t>SAVR</w:t>
            </w:r>
          </w:p>
        </w:tc>
        <w:tc>
          <w:tcPr>
            <w:tcW w:w="1559" w:type="dxa"/>
            <w:vAlign w:val="center"/>
          </w:tcPr>
          <w:p w14:paraId="3581CEEF" w14:textId="77777777" w:rsidR="008C522C" w:rsidRPr="00750CDD" w:rsidRDefault="008C522C" w:rsidP="00AE222C">
            <w:pPr>
              <w:keepNext/>
              <w:keepLines/>
              <w:spacing w:after="0"/>
              <w:ind w:left="0" w:firstLine="22"/>
              <w:jc w:val="center"/>
              <w:rPr>
                <w:rFonts w:ascii="Arial Narrow" w:hAnsi="Arial Narrow" w:cs="Arial"/>
                <w:b/>
                <w:bCs/>
                <w:sz w:val="20"/>
              </w:rPr>
            </w:pPr>
            <w:r w:rsidRPr="00750CDD">
              <w:rPr>
                <w:rFonts w:ascii="Arial Narrow" w:hAnsi="Arial Narrow" w:cs="Arial"/>
                <w:b/>
                <w:bCs/>
                <w:sz w:val="20"/>
              </w:rPr>
              <w:t>Absolute difference</w:t>
            </w:r>
          </w:p>
        </w:tc>
        <w:tc>
          <w:tcPr>
            <w:tcW w:w="2500" w:type="dxa"/>
            <w:vAlign w:val="center"/>
          </w:tcPr>
          <w:p w14:paraId="4FEC6FBB" w14:textId="77777777" w:rsidR="008C522C" w:rsidRPr="00750CDD" w:rsidRDefault="008C522C" w:rsidP="00AE222C">
            <w:pPr>
              <w:keepNext/>
              <w:keepLines/>
              <w:spacing w:after="0"/>
              <w:ind w:left="0" w:firstLine="22"/>
              <w:jc w:val="center"/>
              <w:rPr>
                <w:rFonts w:ascii="Arial Narrow" w:hAnsi="Arial Narrow" w:cs="Arial"/>
                <w:b/>
                <w:bCs/>
                <w:sz w:val="20"/>
              </w:rPr>
            </w:pPr>
            <w:r w:rsidRPr="00750CDD">
              <w:rPr>
                <w:rFonts w:ascii="Arial Narrow" w:hAnsi="Arial Narrow" w:cs="Arial"/>
                <w:b/>
                <w:bCs/>
                <w:sz w:val="20"/>
              </w:rPr>
              <w:t>Treatment effect (95% CI)</w:t>
            </w:r>
          </w:p>
        </w:tc>
      </w:tr>
      <w:tr w:rsidR="008C522C" w:rsidRPr="00750CDD" w14:paraId="450FC118" w14:textId="77777777" w:rsidTr="008C522C">
        <w:trPr>
          <w:trHeight w:val="20"/>
        </w:trPr>
        <w:tc>
          <w:tcPr>
            <w:tcW w:w="9016" w:type="dxa"/>
            <w:gridSpan w:val="5"/>
          </w:tcPr>
          <w:p w14:paraId="282F9910" w14:textId="77777777" w:rsidR="008C522C" w:rsidRPr="00750CDD" w:rsidRDefault="008C522C" w:rsidP="00AE222C">
            <w:pPr>
              <w:keepNext/>
              <w:keepLines/>
              <w:spacing w:after="0"/>
              <w:ind w:left="0" w:firstLine="22"/>
              <w:rPr>
                <w:rFonts w:ascii="Arial Narrow" w:hAnsi="Arial Narrow" w:cs="Arial"/>
                <w:b/>
                <w:bCs/>
                <w:sz w:val="20"/>
              </w:rPr>
            </w:pPr>
            <w:r w:rsidRPr="00750CDD">
              <w:rPr>
                <w:rFonts w:ascii="Arial Narrow" w:hAnsi="Arial Narrow" w:cs="Arial"/>
                <w:b/>
                <w:bCs/>
                <w:sz w:val="20"/>
              </w:rPr>
              <w:t>Primary endpoint: composite of all-cause mortality, stroke, and rehospitalisation</w:t>
            </w:r>
          </w:p>
        </w:tc>
      </w:tr>
      <w:tr w:rsidR="008C522C" w:rsidRPr="00750CDD" w14:paraId="59C1943D" w14:textId="77777777" w:rsidTr="00096559">
        <w:trPr>
          <w:trHeight w:val="20"/>
        </w:trPr>
        <w:tc>
          <w:tcPr>
            <w:tcW w:w="1980" w:type="dxa"/>
            <w:vAlign w:val="center"/>
          </w:tcPr>
          <w:p w14:paraId="086F9E19" w14:textId="77777777" w:rsidR="008C522C" w:rsidRPr="00750CDD" w:rsidRDefault="008C522C" w:rsidP="008C522C">
            <w:pPr>
              <w:spacing w:after="0"/>
              <w:ind w:left="0" w:firstLine="22"/>
              <w:rPr>
                <w:rFonts w:ascii="Arial Narrow" w:hAnsi="Arial Narrow" w:cs="Arial"/>
                <w:sz w:val="20"/>
              </w:rPr>
            </w:pPr>
            <w:r w:rsidRPr="00750CDD">
              <w:rPr>
                <w:rFonts w:ascii="Arial Narrow" w:hAnsi="Arial Narrow" w:cs="Arial"/>
                <w:sz w:val="20"/>
              </w:rPr>
              <w:t xml:space="preserve">1-year </w:t>
            </w:r>
          </w:p>
        </w:tc>
        <w:tc>
          <w:tcPr>
            <w:tcW w:w="1346" w:type="dxa"/>
            <w:vAlign w:val="center"/>
          </w:tcPr>
          <w:p w14:paraId="3D10D988"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42/496 (8.5%)</w:t>
            </w:r>
          </w:p>
        </w:tc>
        <w:tc>
          <w:tcPr>
            <w:tcW w:w="1631" w:type="dxa"/>
            <w:vAlign w:val="center"/>
          </w:tcPr>
          <w:p w14:paraId="4A7615F1"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68/454 (15.1%)</w:t>
            </w:r>
          </w:p>
        </w:tc>
        <w:tc>
          <w:tcPr>
            <w:tcW w:w="1559" w:type="dxa"/>
            <w:vAlign w:val="center"/>
          </w:tcPr>
          <w:p w14:paraId="2F3488BB"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-6.6 %</w:t>
            </w:r>
          </w:p>
        </w:tc>
        <w:tc>
          <w:tcPr>
            <w:tcW w:w="2500" w:type="dxa"/>
            <w:vAlign w:val="center"/>
          </w:tcPr>
          <w:p w14:paraId="0D6E4108"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b/>
                <w:sz w:val="20"/>
              </w:rPr>
              <w:t>0.54 (0.37, 0.79)</w:t>
            </w:r>
          </w:p>
        </w:tc>
      </w:tr>
      <w:tr w:rsidR="008C522C" w:rsidRPr="00750CDD" w14:paraId="3837FFFA" w14:textId="77777777" w:rsidTr="00096559">
        <w:trPr>
          <w:trHeight w:val="20"/>
        </w:trPr>
        <w:tc>
          <w:tcPr>
            <w:tcW w:w="1980" w:type="dxa"/>
            <w:vAlign w:val="center"/>
          </w:tcPr>
          <w:p w14:paraId="7260DB2C" w14:textId="77777777" w:rsidR="008C522C" w:rsidRPr="00750CDD" w:rsidRDefault="008C522C" w:rsidP="008C522C">
            <w:pPr>
              <w:spacing w:after="0"/>
              <w:ind w:left="0" w:firstLine="22"/>
              <w:rPr>
                <w:rFonts w:ascii="Arial Narrow" w:hAnsi="Arial Narrow" w:cs="Arial"/>
                <w:i/>
                <w:iCs/>
                <w:sz w:val="20"/>
              </w:rPr>
            </w:pPr>
            <w:r w:rsidRPr="00750CDD">
              <w:rPr>
                <w:rFonts w:ascii="Arial Narrow" w:hAnsi="Arial Narrow" w:cs="Arial"/>
                <w:i/>
                <w:iCs/>
                <w:sz w:val="20"/>
              </w:rPr>
              <w:t xml:space="preserve">2-years </w:t>
            </w:r>
          </w:p>
        </w:tc>
        <w:tc>
          <w:tcPr>
            <w:tcW w:w="1346" w:type="dxa"/>
            <w:vAlign w:val="center"/>
          </w:tcPr>
          <w:p w14:paraId="08C52039" w14:textId="77777777" w:rsidR="008C522C" w:rsidRPr="00750CDD" w:rsidRDefault="008C522C" w:rsidP="008C522C">
            <w:pPr>
              <w:spacing w:after="0"/>
              <w:ind w:left="0" w:firstLine="22"/>
              <w:jc w:val="center"/>
              <w:rPr>
                <w:rFonts w:ascii="Arial Narrow" w:hAnsi="Arial Narrow" w:cs="Arial"/>
                <w:i/>
                <w:iCs/>
                <w:sz w:val="20"/>
              </w:rPr>
            </w:pPr>
            <w:r w:rsidRPr="00750CDD">
              <w:rPr>
                <w:rFonts w:ascii="Arial Narrow" w:hAnsi="Arial Narrow" w:cs="Arial"/>
                <w:i/>
                <w:iCs/>
                <w:sz w:val="20"/>
              </w:rPr>
              <w:t>11.5%</w:t>
            </w:r>
          </w:p>
        </w:tc>
        <w:tc>
          <w:tcPr>
            <w:tcW w:w="1631" w:type="dxa"/>
            <w:vAlign w:val="center"/>
          </w:tcPr>
          <w:p w14:paraId="0D71DA4A" w14:textId="77777777" w:rsidR="008C522C" w:rsidRPr="00750CDD" w:rsidRDefault="008C522C" w:rsidP="008C522C">
            <w:pPr>
              <w:spacing w:after="0"/>
              <w:ind w:left="0" w:firstLine="22"/>
              <w:jc w:val="center"/>
              <w:rPr>
                <w:rFonts w:ascii="Arial Narrow" w:hAnsi="Arial Narrow" w:cs="Arial"/>
                <w:i/>
                <w:iCs/>
                <w:sz w:val="20"/>
              </w:rPr>
            </w:pPr>
            <w:r w:rsidRPr="00750CDD">
              <w:rPr>
                <w:rFonts w:ascii="Arial Narrow" w:hAnsi="Arial Narrow" w:cs="Arial"/>
                <w:i/>
                <w:iCs/>
                <w:sz w:val="20"/>
              </w:rPr>
              <w:t>17.4%</w:t>
            </w:r>
          </w:p>
        </w:tc>
        <w:tc>
          <w:tcPr>
            <w:tcW w:w="1559" w:type="dxa"/>
            <w:vAlign w:val="center"/>
          </w:tcPr>
          <w:p w14:paraId="63D00978" w14:textId="77777777" w:rsidR="008C522C" w:rsidRPr="00750CDD" w:rsidRDefault="008C522C" w:rsidP="008C522C">
            <w:pPr>
              <w:spacing w:after="0"/>
              <w:ind w:left="0" w:firstLine="22"/>
              <w:jc w:val="center"/>
              <w:rPr>
                <w:rFonts w:ascii="Arial Narrow" w:hAnsi="Arial Narrow" w:cs="Arial"/>
                <w:i/>
                <w:iCs/>
                <w:sz w:val="20"/>
              </w:rPr>
            </w:pPr>
            <w:r w:rsidRPr="00750CDD">
              <w:rPr>
                <w:rFonts w:ascii="Arial Narrow" w:hAnsi="Arial Narrow" w:cs="Arial"/>
                <w:i/>
                <w:iCs/>
                <w:sz w:val="20"/>
              </w:rPr>
              <w:t>-5.9%</w:t>
            </w:r>
          </w:p>
        </w:tc>
        <w:tc>
          <w:tcPr>
            <w:tcW w:w="2500" w:type="dxa"/>
            <w:vAlign w:val="center"/>
          </w:tcPr>
          <w:p w14:paraId="3F083076" w14:textId="77777777" w:rsidR="008C522C" w:rsidRPr="00750CDD" w:rsidRDefault="008C522C" w:rsidP="008C522C">
            <w:pPr>
              <w:spacing w:after="0"/>
              <w:ind w:left="0" w:firstLine="22"/>
              <w:jc w:val="center"/>
              <w:rPr>
                <w:rFonts w:ascii="Arial Narrow" w:hAnsi="Arial Narrow" w:cs="Arial"/>
                <w:i/>
                <w:iCs/>
                <w:sz w:val="20"/>
              </w:rPr>
            </w:pPr>
            <w:r w:rsidRPr="00750CDD">
              <w:rPr>
                <w:rFonts w:ascii="Arial Narrow" w:hAnsi="Arial Narrow" w:cs="Arial"/>
                <w:b/>
                <w:bCs/>
                <w:i/>
                <w:iCs/>
                <w:sz w:val="20"/>
              </w:rPr>
              <w:t>0.63 (0.45, 0.88)</w:t>
            </w:r>
          </w:p>
        </w:tc>
      </w:tr>
      <w:tr w:rsidR="008C522C" w:rsidRPr="00750CDD" w14:paraId="2D1D9362" w14:textId="77777777" w:rsidTr="008C522C">
        <w:trPr>
          <w:trHeight w:val="20"/>
        </w:trPr>
        <w:tc>
          <w:tcPr>
            <w:tcW w:w="9016" w:type="dxa"/>
            <w:gridSpan w:val="5"/>
          </w:tcPr>
          <w:p w14:paraId="5763DCE1" w14:textId="77777777" w:rsidR="008C522C" w:rsidRPr="00750CDD" w:rsidRDefault="008C522C" w:rsidP="008C522C">
            <w:pPr>
              <w:spacing w:after="0"/>
              <w:ind w:left="0" w:firstLine="22"/>
              <w:rPr>
                <w:rFonts w:ascii="Arial Narrow" w:hAnsi="Arial Narrow" w:cs="Arial"/>
                <w:b/>
                <w:bCs/>
                <w:i/>
                <w:iCs/>
                <w:sz w:val="20"/>
              </w:rPr>
            </w:pPr>
            <w:r w:rsidRPr="00750CDD">
              <w:rPr>
                <w:rFonts w:ascii="Arial Narrow" w:hAnsi="Arial Narrow" w:cs="Arial"/>
                <w:b/>
                <w:bCs/>
                <w:sz w:val="20"/>
              </w:rPr>
              <w:t>Disabling stroke or death</w:t>
            </w:r>
          </w:p>
        </w:tc>
      </w:tr>
      <w:tr w:rsidR="008C522C" w:rsidRPr="00750CDD" w14:paraId="0E804269" w14:textId="77777777" w:rsidTr="00096559">
        <w:trPr>
          <w:trHeight w:val="20"/>
        </w:trPr>
        <w:tc>
          <w:tcPr>
            <w:tcW w:w="1980" w:type="dxa"/>
            <w:vAlign w:val="center"/>
          </w:tcPr>
          <w:p w14:paraId="62ABE2CD" w14:textId="77777777" w:rsidR="008C522C" w:rsidRPr="00750CDD" w:rsidRDefault="008C522C" w:rsidP="008C522C">
            <w:pPr>
              <w:spacing w:after="0"/>
              <w:ind w:left="0" w:firstLine="22"/>
              <w:rPr>
                <w:rFonts w:ascii="Arial Narrow" w:hAnsi="Arial Narrow" w:cs="Arial"/>
                <w:i/>
                <w:iCs/>
                <w:sz w:val="20"/>
              </w:rPr>
            </w:pPr>
            <w:r w:rsidRPr="00750CDD">
              <w:rPr>
                <w:rFonts w:ascii="Arial Narrow" w:hAnsi="Arial Narrow" w:cs="Arial"/>
                <w:sz w:val="20"/>
              </w:rPr>
              <w:t xml:space="preserve">30-days </w:t>
            </w:r>
          </w:p>
        </w:tc>
        <w:tc>
          <w:tcPr>
            <w:tcW w:w="1346" w:type="dxa"/>
            <w:vAlign w:val="center"/>
          </w:tcPr>
          <w:p w14:paraId="7728C842" w14:textId="13C57B8C" w:rsidR="008C522C" w:rsidRPr="00750CDD" w:rsidRDefault="008C522C" w:rsidP="00FF6040">
            <w:pPr>
              <w:spacing w:after="0"/>
              <w:ind w:left="0" w:firstLine="22"/>
              <w:jc w:val="center"/>
              <w:rPr>
                <w:rFonts w:ascii="Arial Narrow" w:hAnsi="Arial Narrow" w:cs="Arial"/>
                <w:i/>
                <w:iCs/>
                <w:sz w:val="20"/>
              </w:rPr>
            </w:pPr>
            <w:r w:rsidRPr="00750CDD">
              <w:rPr>
                <w:rFonts w:ascii="Arial Narrow" w:hAnsi="Arial Narrow" w:cs="Arial"/>
                <w:sz w:val="20"/>
              </w:rPr>
              <w:t>2/</w:t>
            </w:r>
            <w:r w:rsidR="001A592B" w:rsidRPr="00750CDD">
              <w:rPr>
                <w:rFonts w:ascii="Arial Narrow" w:hAnsi="Arial Narrow" w:cs="Arial"/>
                <w:sz w:val="20"/>
              </w:rPr>
              <w:t>49</w:t>
            </w:r>
            <w:r w:rsidR="001A592B">
              <w:rPr>
                <w:rFonts w:ascii="Arial Narrow" w:hAnsi="Arial Narrow" w:cs="Arial"/>
                <w:sz w:val="20"/>
              </w:rPr>
              <w:t>6</w:t>
            </w:r>
            <w:r w:rsidR="001A592B" w:rsidRPr="00750CDD">
              <w:rPr>
                <w:rFonts w:ascii="Arial Narrow" w:hAnsi="Arial Narrow" w:cs="Arial"/>
                <w:sz w:val="20"/>
              </w:rPr>
              <w:t xml:space="preserve"> </w:t>
            </w:r>
            <w:r w:rsidRPr="00750CDD">
              <w:rPr>
                <w:rFonts w:ascii="Arial Narrow" w:hAnsi="Arial Narrow" w:cs="Arial"/>
                <w:sz w:val="20"/>
              </w:rPr>
              <w:t>(0.4%)</w:t>
            </w:r>
          </w:p>
        </w:tc>
        <w:tc>
          <w:tcPr>
            <w:tcW w:w="1631" w:type="dxa"/>
            <w:vAlign w:val="center"/>
          </w:tcPr>
          <w:p w14:paraId="72977A7E" w14:textId="77777777" w:rsidR="008C522C" w:rsidRPr="00750CDD" w:rsidRDefault="008C522C" w:rsidP="008C522C">
            <w:pPr>
              <w:spacing w:after="0"/>
              <w:ind w:left="0" w:firstLine="22"/>
              <w:jc w:val="center"/>
              <w:rPr>
                <w:rFonts w:ascii="Arial Narrow" w:hAnsi="Arial Narrow" w:cs="Arial"/>
                <w:i/>
                <w:iCs/>
                <w:sz w:val="20"/>
              </w:rPr>
            </w:pPr>
            <w:r w:rsidRPr="00750CDD">
              <w:rPr>
                <w:rFonts w:ascii="Arial Narrow" w:hAnsi="Arial Narrow" w:cs="Arial"/>
                <w:sz w:val="20"/>
              </w:rPr>
              <w:t>6/454 (1.3%)</w:t>
            </w:r>
          </w:p>
        </w:tc>
        <w:tc>
          <w:tcPr>
            <w:tcW w:w="1559" w:type="dxa"/>
            <w:vAlign w:val="center"/>
          </w:tcPr>
          <w:p w14:paraId="384330FB" w14:textId="77777777" w:rsidR="008C522C" w:rsidRPr="00750CDD" w:rsidRDefault="008C522C" w:rsidP="008C522C">
            <w:pPr>
              <w:spacing w:after="0"/>
              <w:ind w:left="0" w:firstLine="22"/>
              <w:jc w:val="center"/>
              <w:rPr>
                <w:rFonts w:ascii="Arial Narrow" w:hAnsi="Arial Narrow" w:cs="Arial"/>
                <w:i/>
                <w:iCs/>
                <w:sz w:val="20"/>
              </w:rPr>
            </w:pPr>
            <w:r w:rsidRPr="00750CDD">
              <w:rPr>
                <w:rFonts w:ascii="Arial Narrow" w:hAnsi="Arial Narrow" w:cs="Arial"/>
                <w:i/>
                <w:iCs/>
                <w:sz w:val="20"/>
              </w:rPr>
              <w:t>-0.9%</w:t>
            </w:r>
          </w:p>
        </w:tc>
        <w:tc>
          <w:tcPr>
            <w:tcW w:w="2500" w:type="dxa"/>
            <w:vAlign w:val="center"/>
          </w:tcPr>
          <w:p w14:paraId="04BAD4BE" w14:textId="77777777" w:rsidR="008C522C" w:rsidRPr="00750CDD" w:rsidRDefault="008C522C" w:rsidP="008C522C">
            <w:pPr>
              <w:spacing w:after="0"/>
              <w:ind w:left="0" w:firstLine="22"/>
              <w:jc w:val="center"/>
              <w:rPr>
                <w:rFonts w:ascii="Arial Narrow" w:hAnsi="Arial Narrow" w:cs="Arial"/>
                <w:b/>
                <w:bCs/>
                <w:i/>
                <w:iCs/>
                <w:sz w:val="20"/>
              </w:rPr>
            </w:pPr>
            <w:r w:rsidRPr="00750CDD">
              <w:rPr>
                <w:rFonts w:ascii="Arial Narrow" w:hAnsi="Arial Narrow" w:cs="Arial"/>
                <w:sz w:val="20"/>
              </w:rPr>
              <w:t>0.30 (0.06, 1.51)</w:t>
            </w:r>
          </w:p>
        </w:tc>
      </w:tr>
      <w:tr w:rsidR="008C522C" w:rsidRPr="00750CDD" w14:paraId="46E5938D" w14:textId="77777777" w:rsidTr="00096559">
        <w:trPr>
          <w:trHeight w:val="20"/>
        </w:trPr>
        <w:tc>
          <w:tcPr>
            <w:tcW w:w="1980" w:type="dxa"/>
            <w:vAlign w:val="center"/>
          </w:tcPr>
          <w:p w14:paraId="69807143" w14:textId="77777777" w:rsidR="008C522C" w:rsidRPr="00750CDD" w:rsidRDefault="008C522C" w:rsidP="008C522C">
            <w:pPr>
              <w:spacing w:after="0"/>
              <w:ind w:left="0" w:firstLine="22"/>
              <w:rPr>
                <w:rFonts w:ascii="Arial Narrow" w:hAnsi="Arial Narrow" w:cs="Arial"/>
                <w:i/>
                <w:iCs/>
                <w:sz w:val="20"/>
              </w:rPr>
            </w:pPr>
            <w:r w:rsidRPr="00750CDD">
              <w:rPr>
                <w:rFonts w:ascii="Arial Narrow" w:hAnsi="Arial Narrow" w:cs="Arial"/>
                <w:sz w:val="20"/>
              </w:rPr>
              <w:t>1-year</w:t>
            </w:r>
          </w:p>
        </w:tc>
        <w:tc>
          <w:tcPr>
            <w:tcW w:w="1346" w:type="dxa"/>
            <w:vAlign w:val="center"/>
          </w:tcPr>
          <w:p w14:paraId="7F85FD3D" w14:textId="72ED5637" w:rsidR="008C522C" w:rsidRPr="00750CDD" w:rsidRDefault="008C522C" w:rsidP="00FF6040">
            <w:pPr>
              <w:spacing w:after="0"/>
              <w:ind w:left="0" w:firstLine="22"/>
              <w:jc w:val="center"/>
              <w:rPr>
                <w:rFonts w:ascii="Arial Narrow" w:hAnsi="Arial Narrow" w:cs="Arial"/>
                <w:i/>
                <w:iCs/>
                <w:sz w:val="20"/>
              </w:rPr>
            </w:pPr>
            <w:r w:rsidRPr="00750CDD">
              <w:rPr>
                <w:rFonts w:ascii="Arial Narrow" w:hAnsi="Arial Narrow" w:cs="Arial"/>
                <w:sz w:val="20"/>
              </w:rPr>
              <w:t>5/</w:t>
            </w:r>
            <w:r w:rsidR="001A592B" w:rsidRPr="00750CDD">
              <w:rPr>
                <w:rFonts w:ascii="Arial Narrow" w:hAnsi="Arial Narrow" w:cs="Arial"/>
                <w:sz w:val="20"/>
              </w:rPr>
              <w:t>49</w:t>
            </w:r>
            <w:r w:rsidR="001A592B">
              <w:rPr>
                <w:rFonts w:ascii="Arial Narrow" w:hAnsi="Arial Narrow" w:cs="Arial"/>
                <w:sz w:val="20"/>
              </w:rPr>
              <w:t>6</w:t>
            </w:r>
            <w:r w:rsidR="001A592B" w:rsidRPr="00750CDD">
              <w:rPr>
                <w:rFonts w:ascii="Arial Narrow" w:hAnsi="Arial Narrow" w:cs="Arial"/>
                <w:sz w:val="20"/>
              </w:rPr>
              <w:t xml:space="preserve"> </w:t>
            </w:r>
            <w:r w:rsidRPr="00750CDD">
              <w:rPr>
                <w:rFonts w:ascii="Arial Narrow" w:hAnsi="Arial Narrow" w:cs="Arial"/>
                <w:sz w:val="20"/>
              </w:rPr>
              <w:t>(1.</w:t>
            </w:r>
            <w:r w:rsidR="00D3088E">
              <w:rPr>
                <w:rFonts w:ascii="Arial Narrow" w:hAnsi="Arial Narrow" w:cs="Arial"/>
                <w:sz w:val="20"/>
              </w:rPr>
              <w:t>0</w:t>
            </w:r>
            <w:r w:rsidRPr="00750CDD">
              <w:rPr>
                <w:rFonts w:ascii="Arial Narrow" w:hAnsi="Arial Narrow" w:cs="Arial"/>
                <w:sz w:val="20"/>
              </w:rPr>
              <w:t>%)</w:t>
            </w:r>
          </w:p>
        </w:tc>
        <w:tc>
          <w:tcPr>
            <w:tcW w:w="1631" w:type="dxa"/>
            <w:vAlign w:val="center"/>
          </w:tcPr>
          <w:p w14:paraId="52510E8F" w14:textId="77777777" w:rsidR="008C522C" w:rsidRPr="00750CDD" w:rsidRDefault="008C522C" w:rsidP="008C522C">
            <w:pPr>
              <w:spacing w:after="0"/>
              <w:ind w:left="0" w:firstLine="22"/>
              <w:jc w:val="center"/>
              <w:rPr>
                <w:rFonts w:ascii="Arial Narrow" w:hAnsi="Arial Narrow" w:cs="Arial"/>
                <w:i/>
                <w:iCs/>
                <w:sz w:val="20"/>
              </w:rPr>
            </w:pPr>
            <w:r w:rsidRPr="00750CDD">
              <w:rPr>
                <w:rFonts w:ascii="Arial Narrow" w:hAnsi="Arial Narrow" w:cs="Arial"/>
                <w:sz w:val="20"/>
              </w:rPr>
              <w:t>13/454 (2.9%)</w:t>
            </w:r>
          </w:p>
        </w:tc>
        <w:tc>
          <w:tcPr>
            <w:tcW w:w="1559" w:type="dxa"/>
            <w:vAlign w:val="center"/>
          </w:tcPr>
          <w:p w14:paraId="0AA87877" w14:textId="3FFC2EC8" w:rsidR="008C522C" w:rsidRPr="00750CDD" w:rsidRDefault="008C522C" w:rsidP="00FF6040">
            <w:pPr>
              <w:spacing w:after="0"/>
              <w:ind w:left="0" w:firstLine="22"/>
              <w:jc w:val="center"/>
              <w:rPr>
                <w:rFonts w:ascii="Arial Narrow" w:hAnsi="Arial Narrow" w:cs="Arial"/>
                <w:i/>
                <w:iCs/>
                <w:sz w:val="20"/>
              </w:rPr>
            </w:pPr>
            <w:r w:rsidRPr="00750CDD">
              <w:rPr>
                <w:rFonts w:ascii="Arial Narrow" w:hAnsi="Arial Narrow" w:cs="Arial"/>
                <w:i/>
                <w:iCs/>
                <w:sz w:val="20"/>
              </w:rPr>
              <w:t>-1.</w:t>
            </w:r>
            <w:r w:rsidR="00D3088E">
              <w:rPr>
                <w:rFonts w:ascii="Arial Narrow" w:hAnsi="Arial Narrow" w:cs="Arial"/>
                <w:i/>
                <w:iCs/>
                <w:sz w:val="20"/>
              </w:rPr>
              <w:t>9</w:t>
            </w:r>
            <w:r w:rsidRPr="00750CDD">
              <w:rPr>
                <w:rFonts w:ascii="Arial Narrow" w:hAnsi="Arial Narrow" w:cs="Arial"/>
                <w:i/>
                <w:iCs/>
                <w:sz w:val="20"/>
              </w:rPr>
              <w:t>%</w:t>
            </w:r>
          </w:p>
        </w:tc>
        <w:tc>
          <w:tcPr>
            <w:tcW w:w="2500" w:type="dxa"/>
            <w:vAlign w:val="center"/>
          </w:tcPr>
          <w:p w14:paraId="7C223203" w14:textId="77777777" w:rsidR="008C522C" w:rsidRPr="00750CDD" w:rsidRDefault="008C522C" w:rsidP="008C522C">
            <w:pPr>
              <w:spacing w:after="0"/>
              <w:ind w:left="0" w:firstLine="22"/>
              <w:jc w:val="center"/>
              <w:rPr>
                <w:rFonts w:ascii="Arial Narrow" w:hAnsi="Arial Narrow" w:cs="Arial"/>
                <w:b/>
                <w:bCs/>
                <w:i/>
                <w:iCs/>
                <w:sz w:val="20"/>
              </w:rPr>
            </w:pPr>
            <w:r w:rsidRPr="00750CDD">
              <w:rPr>
                <w:rFonts w:ascii="Arial Narrow" w:hAnsi="Arial Narrow" w:cs="Arial"/>
                <w:b/>
                <w:bCs/>
                <w:sz w:val="20"/>
              </w:rPr>
              <w:t>0.34 (0.12, 0.97)</w:t>
            </w:r>
          </w:p>
        </w:tc>
      </w:tr>
      <w:tr w:rsidR="008C522C" w:rsidRPr="00750CDD" w14:paraId="6BE00365" w14:textId="77777777" w:rsidTr="00096559">
        <w:trPr>
          <w:trHeight w:val="20"/>
        </w:trPr>
        <w:tc>
          <w:tcPr>
            <w:tcW w:w="1980" w:type="dxa"/>
            <w:vAlign w:val="center"/>
          </w:tcPr>
          <w:p w14:paraId="705A68CD" w14:textId="77777777" w:rsidR="008C522C" w:rsidRPr="00750CDD" w:rsidRDefault="008C522C" w:rsidP="008C522C">
            <w:pPr>
              <w:spacing w:after="0"/>
              <w:ind w:left="0" w:firstLine="22"/>
              <w:rPr>
                <w:rFonts w:ascii="Arial Narrow" w:hAnsi="Arial Narrow" w:cs="Arial"/>
                <w:i/>
                <w:iCs/>
                <w:sz w:val="20"/>
              </w:rPr>
            </w:pPr>
            <w:r w:rsidRPr="00750CDD">
              <w:rPr>
                <w:rFonts w:ascii="Arial Narrow" w:hAnsi="Arial Narrow" w:cs="Arial"/>
                <w:i/>
                <w:iCs/>
                <w:sz w:val="20"/>
              </w:rPr>
              <w:t xml:space="preserve">2-years </w:t>
            </w:r>
          </w:p>
        </w:tc>
        <w:tc>
          <w:tcPr>
            <w:tcW w:w="1346" w:type="dxa"/>
            <w:vAlign w:val="center"/>
          </w:tcPr>
          <w:p w14:paraId="577385D8" w14:textId="77777777" w:rsidR="008C522C" w:rsidRPr="00750CDD" w:rsidRDefault="008C522C" w:rsidP="008C522C">
            <w:pPr>
              <w:spacing w:after="0"/>
              <w:ind w:left="0" w:firstLine="22"/>
              <w:jc w:val="center"/>
              <w:rPr>
                <w:rFonts w:ascii="Arial Narrow" w:hAnsi="Arial Narrow" w:cs="Arial"/>
                <w:i/>
                <w:iCs/>
                <w:sz w:val="20"/>
              </w:rPr>
            </w:pPr>
            <w:r w:rsidRPr="00750CDD">
              <w:rPr>
                <w:rFonts w:ascii="Arial Narrow" w:hAnsi="Arial Narrow" w:cs="Arial"/>
                <w:i/>
                <w:iCs/>
                <w:sz w:val="20"/>
              </w:rPr>
              <w:t>3.0%</w:t>
            </w:r>
          </w:p>
        </w:tc>
        <w:tc>
          <w:tcPr>
            <w:tcW w:w="1631" w:type="dxa"/>
            <w:vAlign w:val="center"/>
          </w:tcPr>
          <w:p w14:paraId="05E2959A" w14:textId="77777777" w:rsidR="008C522C" w:rsidRPr="00750CDD" w:rsidRDefault="008C522C" w:rsidP="008C522C">
            <w:pPr>
              <w:spacing w:after="0"/>
              <w:ind w:left="0" w:firstLine="22"/>
              <w:jc w:val="center"/>
              <w:rPr>
                <w:rFonts w:ascii="Arial Narrow" w:hAnsi="Arial Narrow" w:cs="Arial"/>
                <w:i/>
                <w:iCs/>
                <w:sz w:val="20"/>
              </w:rPr>
            </w:pPr>
            <w:r w:rsidRPr="00750CDD">
              <w:rPr>
                <w:rFonts w:ascii="Arial Narrow" w:hAnsi="Arial Narrow" w:cs="Arial"/>
                <w:i/>
                <w:iCs/>
                <w:sz w:val="20"/>
              </w:rPr>
              <w:t>3.8%</w:t>
            </w:r>
          </w:p>
        </w:tc>
        <w:tc>
          <w:tcPr>
            <w:tcW w:w="1559" w:type="dxa"/>
            <w:vAlign w:val="center"/>
          </w:tcPr>
          <w:p w14:paraId="6091D829" w14:textId="77777777" w:rsidR="008C522C" w:rsidRPr="00750CDD" w:rsidRDefault="008C522C" w:rsidP="008C522C">
            <w:pPr>
              <w:spacing w:after="0"/>
              <w:ind w:left="0" w:firstLine="22"/>
              <w:jc w:val="center"/>
              <w:rPr>
                <w:rFonts w:ascii="Arial Narrow" w:hAnsi="Arial Narrow" w:cs="Arial"/>
                <w:i/>
                <w:iCs/>
                <w:sz w:val="20"/>
              </w:rPr>
            </w:pPr>
            <w:r w:rsidRPr="00750CDD">
              <w:rPr>
                <w:rFonts w:ascii="Arial Narrow" w:hAnsi="Arial Narrow" w:cs="Arial"/>
                <w:i/>
                <w:iCs/>
                <w:sz w:val="20"/>
              </w:rPr>
              <w:t>-0.8%</w:t>
            </w:r>
          </w:p>
        </w:tc>
        <w:tc>
          <w:tcPr>
            <w:tcW w:w="2500" w:type="dxa"/>
            <w:vAlign w:val="center"/>
          </w:tcPr>
          <w:p w14:paraId="561E84F8" w14:textId="5EABF837" w:rsidR="008C522C" w:rsidRPr="00750CDD" w:rsidRDefault="008C522C" w:rsidP="00FF6040">
            <w:pPr>
              <w:spacing w:after="0"/>
              <w:ind w:left="0" w:firstLine="22"/>
              <w:jc w:val="center"/>
              <w:rPr>
                <w:rFonts w:ascii="Arial Narrow" w:hAnsi="Arial Narrow" w:cs="Arial"/>
                <w:b/>
                <w:bCs/>
                <w:i/>
                <w:iCs/>
                <w:sz w:val="20"/>
              </w:rPr>
            </w:pPr>
            <w:r w:rsidRPr="00750CDD">
              <w:rPr>
                <w:rFonts w:ascii="Arial Narrow" w:hAnsi="Arial Narrow" w:cs="Arial"/>
                <w:i/>
                <w:iCs/>
                <w:sz w:val="20"/>
              </w:rPr>
              <w:t>0.77 (0.</w:t>
            </w:r>
            <w:r w:rsidR="00D3088E">
              <w:rPr>
                <w:rFonts w:ascii="Arial Narrow" w:hAnsi="Arial Narrow" w:cs="Arial"/>
                <w:i/>
                <w:iCs/>
                <w:sz w:val="20"/>
              </w:rPr>
              <w:t>3</w:t>
            </w:r>
            <w:r w:rsidRPr="00750CDD">
              <w:rPr>
                <w:rFonts w:ascii="Arial Narrow" w:hAnsi="Arial Narrow" w:cs="Arial"/>
                <w:i/>
                <w:iCs/>
                <w:sz w:val="20"/>
              </w:rPr>
              <w:t>9, 1.55)</w:t>
            </w:r>
          </w:p>
        </w:tc>
      </w:tr>
      <w:tr w:rsidR="008C522C" w:rsidRPr="00750CDD" w14:paraId="711FF3DF" w14:textId="77777777" w:rsidTr="008C522C">
        <w:trPr>
          <w:trHeight w:val="20"/>
        </w:trPr>
        <w:tc>
          <w:tcPr>
            <w:tcW w:w="9016" w:type="dxa"/>
            <w:gridSpan w:val="5"/>
          </w:tcPr>
          <w:p w14:paraId="0BEF29B6" w14:textId="77777777" w:rsidR="008C522C" w:rsidRPr="00750CDD" w:rsidRDefault="008C522C" w:rsidP="008C522C">
            <w:pPr>
              <w:spacing w:after="0"/>
              <w:ind w:left="0" w:firstLine="22"/>
              <w:rPr>
                <w:rFonts w:ascii="Arial Narrow" w:hAnsi="Arial Narrow" w:cs="Arial"/>
                <w:b/>
                <w:bCs/>
                <w:sz w:val="20"/>
              </w:rPr>
            </w:pPr>
            <w:r w:rsidRPr="00750CDD">
              <w:rPr>
                <w:rFonts w:ascii="Arial Narrow" w:hAnsi="Arial Narrow" w:cs="Arial"/>
                <w:b/>
                <w:bCs/>
                <w:sz w:val="20"/>
              </w:rPr>
              <w:t>All-cause mortality</w:t>
            </w:r>
          </w:p>
        </w:tc>
      </w:tr>
      <w:tr w:rsidR="008C522C" w:rsidRPr="00750CDD" w14:paraId="7D566FE4" w14:textId="77777777" w:rsidTr="00096559">
        <w:trPr>
          <w:trHeight w:val="20"/>
        </w:trPr>
        <w:tc>
          <w:tcPr>
            <w:tcW w:w="1980" w:type="dxa"/>
          </w:tcPr>
          <w:p w14:paraId="71DB9A29" w14:textId="77777777" w:rsidR="008C522C" w:rsidRPr="00750CDD" w:rsidRDefault="008C522C" w:rsidP="008C522C">
            <w:pPr>
              <w:spacing w:after="0"/>
              <w:ind w:left="0" w:firstLine="22"/>
              <w:rPr>
                <w:rFonts w:ascii="Arial Narrow" w:hAnsi="Arial Narrow" w:cs="Arial"/>
                <w:sz w:val="20"/>
              </w:rPr>
            </w:pPr>
            <w:r w:rsidRPr="00750CDD">
              <w:rPr>
                <w:rFonts w:ascii="Arial Narrow" w:hAnsi="Arial Narrow" w:cs="Arial"/>
                <w:sz w:val="20"/>
              </w:rPr>
              <w:t xml:space="preserve">30-days </w:t>
            </w:r>
          </w:p>
        </w:tc>
        <w:tc>
          <w:tcPr>
            <w:tcW w:w="1346" w:type="dxa"/>
            <w:vAlign w:val="center"/>
          </w:tcPr>
          <w:p w14:paraId="10B60352" w14:textId="27329018" w:rsidR="008C522C" w:rsidRPr="00750CDD" w:rsidRDefault="008C522C" w:rsidP="00FF6040">
            <w:pPr>
              <w:spacing w:after="0"/>
              <w:ind w:left="0" w:firstLine="22"/>
              <w:jc w:val="center"/>
              <w:rPr>
                <w:rFonts w:ascii="Arial Narrow" w:hAnsi="Arial Narrow" w:cs="Arial"/>
                <w:sz w:val="20"/>
              </w:rPr>
            </w:pPr>
            <w:r w:rsidRPr="00750CDD">
              <w:rPr>
                <w:rFonts w:ascii="Arial Narrow" w:hAnsi="Arial Narrow" w:cs="Arial"/>
                <w:sz w:val="20"/>
              </w:rPr>
              <w:t>2/</w:t>
            </w:r>
            <w:r w:rsidR="001A592B" w:rsidRPr="00750CDD">
              <w:rPr>
                <w:rFonts w:ascii="Arial Narrow" w:hAnsi="Arial Narrow" w:cs="Arial"/>
                <w:sz w:val="20"/>
              </w:rPr>
              <w:t>49</w:t>
            </w:r>
            <w:r w:rsidR="001A592B">
              <w:rPr>
                <w:rFonts w:ascii="Arial Narrow" w:hAnsi="Arial Narrow" w:cs="Arial"/>
                <w:sz w:val="20"/>
              </w:rPr>
              <w:t>6</w:t>
            </w:r>
            <w:r w:rsidR="001A592B" w:rsidRPr="00750CDD">
              <w:rPr>
                <w:rFonts w:ascii="Arial Narrow" w:hAnsi="Arial Narrow" w:cs="Arial"/>
                <w:sz w:val="20"/>
              </w:rPr>
              <w:t xml:space="preserve"> </w:t>
            </w:r>
            <w:r w:rsidRPr="00750CDD">
              <w:rPr>
                <w:rFonts w:ascii="Arial Narrow" w:hAnsi="Arial Narrow" w:cs="Arial"/>
                <w:sz w:val="20"/>
              </w:rPr>
              <w:t>(0.4%)</w:t>
            </w:r>
          </w:p>
        </w:tc>
        <w:tc>
          <w:tcPr>
            <w:tcW w:w="1631" w:type="dxa"/>
            <w:vAlign w:val="center"/>
          </w:tcPr>
          <w:p w14:paraId="31AA0DF9"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5/454 (1.1%)</w:t>
            </w:r>
          </w:p>
        </w:tc>
        <w:tc>
          <w:tcPr>
            <w:tcW w:w="1559" w:type="dxa"/>
          </w:tcPr>
          <w:p w14:paraId="63E6D13D" w14:textId="26EB5F8D" w:rsidR="008C522C" w:rsidRPr="00750CDD" w:rsidRDefault="008C522C" w:rsidP="00FF6040">
            <w:pPr>
              <w:spacing w:after="0"/>
              <w:ind w:left="0" w:firstLine="22"/>
              <w:jc w:val="center"/>
              <w:rPr>
                <w:rFonts w:ascii="Arial Narrow" w:hAnsi="Arial Narrow" w:cs="Arial"/>
                <w:sz w:val="20"/>
              </w:rPr>
            </w:pPr>
            <w:r w:rsidRPr="00750CDD">
              <w:rPr>
                <w:rFonts w:ascii="Arial Narrow" w:hAnsi="Arial Narrow" w:cs="Arial"/>
                <w:sz w:val="20"/>
              </w:rPr>
              <w:t>-0.</w:t>
            </w:r>
            <w:r w:rsidR="001A592B">
              <w:rPr>
                <w:rFonts w:ascii="Arial Narrow" w:hAnsi="Arial Narrow" w:cs="Arial"/>
                <w:sz w:val="20"/>
              </w:rPr>
              <w:t>7</w:t>
            </w:r>
            <w:r w:rsidRPr="00750CDD">
              <w:rPr>
                <w:rFonts w:ascii="Arial Narrow" w:hAnsi="Arial Narrow" w:cs="Arial"/>
                <w:sz w:val="20"/>
              </w:rPr>
              <w:t>%</w:t>
            </w:r>
          </w:p>
        </w:tc>
        <w:tc>
          <w:tcPr>
            <w:tcW w:w="2500" w:type="dxa"/>
            <w:vAlign w:val="center"/>
          </w:tcPr>
          <w:p w14:paraId="28F5EB73"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0.37 (0.07, 1.88)</w:t>
            </w:r>
          </w:p>
        </w:tc>
      </w:tr>
      <w:tr w:rsidR="008C522C" w:rsidRPr="00750CDD" w14:paraId="65ECA984" w14:textId="77777777" w:rsidTr="00096559">
        <w:trPr>
          <w:trHeight w:val="20"/>
        </w:trPr>
        <w:tc>
          <w:tcPr>
            <w:tcW w:w="1980" w:type="dxa"/>
          </w:tcPr>
          <w:p w14:paraId="780F8B37" w14:textId="77777777" w:rsidR="008C522C" w:rsidRPr="00750CDD" w:rsidRDefault="008C522C" w:rsidP="008C522C">
            <w:pPr>
              <w:spacing w:after="0"/>
              <w:ind w:left="0" w:firstLine="22"/>
              <w:rPr>
                <w:rFonts w:ascii="Arial Narrow" w:hAnsi="Arial Narrow" w:cs="Arial"/>
                <w:sz w:val="20"/>
              </w:rPr>
            </w:pPr>
            <w:r w:rsidRPr="00750CDD">
              <w:rPr>
                <w:rFonts w:ascii="Arial Narrow" w:hAnsi="Arial Narrow" w:cs="Arial"/>
                <w:sz w:val="20"/>
              </w:rPr>
              <w:t xml:space="preserve">1-year </w:t>
            </w:r>
          </w:p>
        </w:tc>
        <w:tc>
          <w:tcPr>
            <w:tcW w:w="1346" w:type="dxa"/>
            <w:vAlign w:val="center"/>
          </w:tcPr>
          <w:p w14:paraId="075CB3E5" w14:textId="62AD91CB" w:rsidR="008C522C" w:rsidRPr="00750CDD" w:rsidRDefault="008C522C" w:rsidP="00FF6040">
            <w:pPr>
              <w:spacing w:after="0"/>
              <w:ind w:left="0" w:firstLine="22"/>
              <w:jc w:val="center"/>
              <w:rPr>
                <w:rFonts w:ascii="Arial Narrow" w:hAnsi="Arial Narrow" w:cs="Arial"/>
                <w:sz w:val="20"/>
              </w:rPr>
            </w:pPr>
            <w:r w:rsidRPr="00750CDD">
              <w:rPr>
                <w:rFonts w:ascii="Arial Narrow" w:hAnsi="Arial Narrow" w:cs="Arial"/>
                <w:sz w:val="20"/>
              </w:rPr>
              <w:t>5/</w:t>
            </w:r>
            <w:r w:rsidR="001A592B" w:rsidRPr="00750CDD">
              <w:rPr>
                <w:rFonts w:ascii="Arial Narrow" w:hAnsi="Arial Narrow" w:cs="Arial"/>
                <w:sz w:val="20"/>
              </w:rPr>
              <w:t>49</w:t>
            </w:r>
            <w:r w:rsidR="001A592B">
              <w:rPr>
                <w:rFonts w:ascii="Arial Narrow" w:hAnsi="Arial Narrow" w:cs="Arial"/>
                <w:sz w:val="20"/>
              </w:rPr>
              <w:t>6</w:t>
            </w:r>
            <w:r w:rsidR="001A592B" w:rsidRPr="00750CDD">
              <w:rPr>
                <w:rFonts w:ascii="Arial Narrow" w:hAnsi="Arial Narrow" w:cs="Arial"/>
                <w:sz w:val="20"/>
              </w:rPr>
              <w:t xml:space="preserve"> </w:t>
            </w:r>
            <w:r w:rsidRPr="00750CDD">
              <w:rPr>
                <w:rFonts w:ascii="Arial Narrow" w:hAnsi="Arial Narrow" w:cs="Arial"/>
                <w:sz w:val="20"/>
              </w:rPr>
              <w:t>(1.0%)</w:t>
            </w:r>
          </w:p>
        </w:tc>
        <w:tc>
          <w:tcPr>
            <w:tcW w:w="1631" w:type="dxa"/>
            <w:vAlign w:val="center"/>
          </w:tcPr>
          <w:p w14:paraId="0A6E15DC"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11/454 (2.5%)</w:t>
            </w:r>
          </w:p>
        </w:tc>
        <w:tc>
          <w:tcPr>
            <w:tcW w:w="1559" w:type="dxa"/>
          </w:tcPr>
          <w:p w14:paraId="3C495F35" w14:textId="68BD937D" w:rsidR="008C522C" w:rsidRPr="00750CDD" w:rsidRDefault="008C522C" w:rsidP="00AF1ADB">
            <w:pPr>
              <w:spacing w:after="0"/>
              <w:ind w:left="0" w:firstLine="22"/>
              <w:jc w:val="center"/>
              <w:rPr>
                <w:rFonts w:ascii="Arial Narrow" w:hAnsi="Arial Narrow" w:cs="Arial"/>
                <w:sz w:val="20"/>
              </w:rPr>
            </w:pPr>
            <w:r w:rsidRPr="00750CDD">
              <w:rPr>
                <w:rFonts w:ascii="Arial Narrow" w:hAnsi="Arial Narrow" w:cs="Arial"/>
                <w:sz w:val="20"/>
              </w:rPr>
              <w:t>-1.</w:t>
            </w:r>
            <w:r w:rsidR="00AF1ADB">
              <w:rPr>
                <w:rFonts w:ascii="Arial Narrow" w:hAnsi="Arial Narrow" w:cs="Arial"/>
                <w:sz w:val="20"/>
              </w:rPr>
              <w:t>4</w:t>
            </w:r>
            <w:r w:rsidRPr="00750CDD">
              <w:rPr>
                <w:rFonts w:ascii="Arial Narrow" w:hAnsi="Arial Narrow" w:cs="Arial"/>
                <w:sz w:val="20"/>
              </w:rPr>
              <w:t>%</w:t>
            </w:r>
          </w:p>
        </w:tc>
        <w:tc>
          <w:tcPr>
            <w:tcW w:w="2500" w:type="dxa"/>
            <w:vAlign w:val="center"/>
          </w:tcPr>
          <w:p w14:paraId="65D63644"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0.41 (0.14, 1.17)</w:t>
            </w:r>
          </w:p>
        </w:tc>
      </w:tr>
      <w:tr w:rsidR="008C522C" w:rsidRPr="00750CDD" w14:paraId="7D252FD3" w14:textId="77777777" w:rsidTr="00096559">
        <w:trPr>
          <w:trHeight w:val="20"/>
        </w:trPr>
        <w:tc>
          <w:tcPr>
            <w:tcW w:w="1980" w:type="dxa"/>
          </w:tcPr>
          <w:p w14:paraId="43300C7D" w14:textId="77777777" w:rsidR="008C522C" w:rsidRPr="00750CDD" w:rsidRDefault="008C522C" w:rsidP="008C522C">
            <w:pPr>
              <w:spacing w:after="0"/>
              <w:ind w:left="0" w:firstLine="22"/>
              <w:rPr>
                <w:rFonts w:ascii="Arial Narrow" w:hAnsi="Arial Narrow" w:cs="Arial"/>
                <w:i/>
                <w:iCs/>
                <w:sz w:val="20"/>
              </w:rPr>
            </w:pPr>
            <w:r w:rsidRPr="00750CDD">
              <w:rPr>
                <w:rFonts w:ascii="Arial Narrow" w:hAnsi="Arial Narrow" w:cs="Arial"/>
                <w:i/>
                <w:iCs/>
                <w:sz w:val="20"/>
              </w:rPr>
              <w:t xml:space="preserve">2-years </w:t>
            </w:r>
          </w:p>
        </w:tc>
        <w:tc>
          <w:tcPr>
            <w:tcW w:w="1346" w:type="dxa"/>
            <w:vAlign w:val="center"/>
          </w:tcPr>
          <w:p w14:paraId="255BE197" w14:textId="7523DE96" w:rsidR="008C522C" w:rsidRPr="00750CDD" w:rsidRDefault="008C522C" w:rsidP="00FF6040">
            <w:pPr>
              <w:spacing w:after="0"/>
              <w:ind w:left="0" w:firstLine="22"/>
              <w:jc w:val="center"/>
              <w:rPr>
                <w:rFonts w:ascii="Arial Narrow" w:hAnsi="Arial Narrow" w:cs="Arial"/>
                <w:i/>
                <w:iCs/>
                <w:sz w:val="20"/>
              </w:rPr>
            </w:pPr>
            <w:r w:rsidRPr="00750CDD">
              <w:rPr>
                <w:rFonts w:ascii="Arial Narrow" w:hAnsi="Arial Narrow" w:cs="Arial"/>
                <w:i/>
                <w:iCs/>
                <w:sz w:val="20"/>
              </w:rPr>
              <w:t>12/</w:t>
            </w:r>
            <w:r w:rsidR="001A592B" w:rsidRPr="00750CDD">
              <w:rPr>
                <w:rFonts w:ascii="Arial Narrow" w:hAnsi="Arial Narrow" w:cs="Arial"/>
                <w:i/>
                <w:iCs/>
                <w:sz w:val="20"/>
              </w:rPr>
              <w:t>49</w:t>
            </w:r>
            <w:r w:rsidR="001A592B">
              <w:rPr>
                <w:rFonts w:ascii="Arial Narrow" w:hAnsi="Arial Narrow" w:cs="Arial"/>
                <w:i/>
                <w:iCs/>
                <w:sz w:val="20"/>
              </w:rPr>
              <w:t>6</w:t>
            </w:r>
            <w:r w:rsidR="001A592B" w:rsidRPr="00750CDD">
              <w:rPr>
                <w:rFonts w:ascii="Arial Narrow" w:hAnsi="Arial Narrow" w:cs="Arial"/>
                <w:i/>
                <w:iCs/>
                <w:sz w:val="20"/>
              </w:rPr>
              <w:t xml:space="preserve"> </w:t>
            </w:r>
            <w:r w:rsidRPr="00750CDD">
              <w:rPr>
                <w:rFonts w:ascii="Arial Narrow" w:hAnsi="Arial Narrow" w:cs="Arial"/>
                <w:i/>
                <w:iCs/>
                <w:sz w:val="20"/>
              </w:rPr>
              <w:t>(2.4%)</w:t>
            </w:r>
          </w:p>
        </w:tc>
        <w:tc>
          <w:tcPr>
            <w:tcW w:w="1631" w:type="dxa"/>
            <w:vAlign w:val="center"/>
          </w:tcPr>
          <w:p w14:paraId="50EA30F3" w14:textId="77777777" w:rsidR="008C522C" w:rsidRPr="00750CDD" w:rsidRDefault="008C522C" w:rsidP="008C522C">
            <w:pPr>
              <w:spacing w:after="0"/>
              <w:ind w:left="0" w:firstLine="22"/>
              <w:jc w:val="center"/>
              <w:rPr>
                <w:rFonts w:ascii="Arial Narrow" w:hAnsi="Arial Narrow" w:cs="Arial"/>
                <w:i/>
                <w:iCs/>
                <w:sz w:val="20"/>
              </w:rPr>
            </w:pPr>
            <w:r w:rsidRPr="00750CDD">
              <w:rPr>
                <w:rFonts w:ascii="Arial Narrow" w:hAnsi="Arial Narrow" w:cs="Arial"/>
                <w:i/>
                <w:iCs/>
                <w:sz w:val="20"/>
              </w:rPr>
              <w:t>14/454 (3.2%)</w:t>
            </w:r>
          </w:p>
        </w:tc>
        <w:tc>
          <w:tcPr>
            <w:tcW w:w="1559" w:type="dxa"/>
          </w:tcPr>
          <w:p w14:paraId="4364C4FA" w14:textId="77777777" w:rsidR="008C522C" w:rsidRPr="00750CDD" w:rsidRDefault="008C522C" w:rsidP="008C522C">
            <w:pPr>
              <w:spacing w:after="0"/>
              <w:ind w:left="0" w:firstLine="22"/>
              <w:jc w:val="center"/>
              <w:rPr>
                <w:rFonts w:ascii="Arial Narrow" w:hAnsi="Arial Narrow" w:cs="Arial"/>
                <w:i/>
                <w:iCs/>
                <w:sz w:val="20"/>
              </w:rPr>
            </w:pPr>
            <w:r w:rsidRPr="00750CDD">
              <w:rPr>
                <w:rFonts w:ascii="Arial Narrow" w:hAnsi="Arial Narrow" w:cs="Arial"/>
                <w:i/>
                <w:iCs/>
                <w:sz w:val="20"/>
              </w:rPr>
              <w:t>-0.8%</w:t>
            </w:r>
          </w:p>
        </w:tc>
        <w:tc>
          <w:tcPr>
            <w:tcW w:w="2500" w:type="dxa"/>
            <w:vAlign w:val="center"/>
          </w:tcPr>
          <w:p w14:paraId="0BE5777A" w14:textId="77777777" w:rsidR="008C522C" w:rsidRPr="00750CDD" w:rsidRDefault="008C522C" w:rsidP="008C522C">
            <w:pPr>
              <w:spacing w:after="0"/>
              <w:ind w:left="0" w:firstLine="22"/>
              <w:jc w:val="center"/>
              <w:rPr>
                <w:rFonts w:ascii="Arial Narrow" w:hAnsi="Arial Narrow" w:cs="Arial"/>
                <w:i/>
                <w:iCs/>
                <w:sz w:val="20"/>
              </w:rPr>
            </w:pPr>
            <w:r w:rsidRPr="00750CDD">
              <w:rPr>
                <w:rFonts w:ascii="Arial Narrow" w:hAnsi="Arial Narrow" w:cs="Arial"/>
                <w:i/>
                <w:iCs/>
                <w:sz w:val="20"/>
              </w:rPr>
              <w:t>0.75 (0.35, 1.63)</w:t>
            </w:r>
          </w:p>
        </w:tc>
      </w:tr>
      <w:tr w:rsidR="008C522C" w:rsidRPr="00750CDD" w14:paraId="6020B74A" w14:textId="77777777" w:rsidTr="008C522C">
        <w:trPr>
          <w:trHeight w:val="20"/>
        </w:trPr>
        <w:tc>
          <w:tcPr>
            <w:tcW w:w="9016" w:type="dxa"/>
            <w:gridSpan w:val="5"/>
          </w:tcPr>
          <w:p w14:paraId="16A8ADD0" w14:textId="77777777" w:rsidR="008C522C" w:rsidRPr="00750CDD" w:rsidRDefault="008C522C" w:rsidP="008C522C">
            <w:pPr>
              <w:spacing w:after="0"/>
              <w:ind w:left="0" w:firstLine="22"/>
              <w:rPr>
                <w:rFonts w:ascii="Arial Narrow" w:hAnsi="Arial Narrow" w:cs="Arial"/>
                <w:b/>
                <w:bCs/>
                <w:sz w:val="20"/>
              </w:rPr>
            </w:pPr>
            <w:r w:rsidRPr="00750CDD">
              <w:rPr>
                <w:rFonts w:ascii="Arial Narrow" w:hAnsi="Arial Narrow" w:cs="Arial"/>
                <w:b/>
                <w:bCs/>
                <w:sz w:val="20"/>
              </w:rPr>
              <w:t>Stroke</w:t>
            </w:r>
          </w:p>
        </w:tc>
      </w:tr>
      <w:tr w:rsidR="008C522C" w:rsidRPr="00750CDD" w14:paraId="6AEF9FAD" w14:textId="77777777" w:rsidTr="00096559">
        <w:trPr>
          <w:trHeight w:val="20"/>
        </w:trPr>
        <w:tc>
          <w:tcPr>
            <w:tcW w:w="1980" w:type="dxa"/>
            <w:vAlign w:val="center"/>
          </w:tcPr>
          <w:p w14:paraId="62246A99" w14:textId="77777777" w:rsidR="008C522C" w:rsidRPr="00750CDD" w:rsidRDefault="008C522C" w:rsidP="008C522C">
            <w:pPr>
              <w:spacing w:after="0"/>
              <w:ind w:left="0" w:firstLine="22"/>
              <w:rPr>
                <w:rFonts w:ascii="Arial Narrow" w:hAnsi="Arial Narrow" w:cs="Arial"/>
                <w:sz w:val="20"/>
              </w:rPr>
            </w:pPr>
            <w:r w:rsidRPr="00750CDD">
              <w:rPr>
                <w:rFonts w:ascii="Arial Narrow" w:hAnsi="Arial Narrow" w:cs="Arial"/>
                <w:sz w:val="20"/>
              </w:rPr>
              <w:t xml:space="preserve">30-days </w:t>
            </w:r>
          </w:p>
        </w:tc>
        <w:tc>
          <w:tcPr>
            <w:tcW w:w="1346" w:type="dxa"/>
            <w:vAlign w:val="center"/>
          </w:tcPr>
          <w:p w14:paraId="2A1A4BD2" w14:textId="4B4DE67A" w:rsidR="008C522C" w:rsidRPr="00750CDD" w:rsidRDefault="008C522C" w:rsidP="00FF6040">
            <w:pPr>
              <w:spacing w:after="0"/>
              <w:ind w:left="0" w:firstLine="22"/>
              <w:jc w:val="center"/>
              <w:rPr>
                <w:rFonts w:ascii="Arial Narrow" w:hAnsi="Arial Narrow" w:cs="Arial"/>
                <w:sz w:val="20"/>
              </w:rPr>
            </w:pPr>
            <w:r w:rsidRPr="00750CDD">
              <w:rPr>
                <w:rFonts w:ascii="Arial Narrow" w:hAnsi="Arial Narrow" w:cs="Arial"/>
                <w:sz w:val="20"/>
              </w:rPr>
              <w:t>3/</w:t>
            </w:r>
            <w:r w:rsidR="001A592B" w:rsidRPr="00750CDD">
              <w:rPr>
                <w:rFonts w:ascii="Arial Narrow" w:hAnsi="Arial Narrow" w:cs="Arial"/>
                <w:sz w:val="20"/>
              </w:rPr>
              <w:t>49</w:t>
            </w:r>
            <w:r w:rsidR="001A592B">
              <w:rPr>
                <w:rFonts w:ascii="Arial Narrow" w:hAnsi="Arial Narrow" w:cs="Arial"/>
                <w:sz w:val="20"/>
              </w:rPr>
              <w:t>6</w:t>
            </w:r>
            <w:r w:rsidR="001A592B" w:rsidRPr="00750CDD">
              <w:rPr>
                <w:rFonts w:ascii="Arial Narrow" w:hAnsi="Arial Narrow" w:cs="Arial"/>
                <w:sz w:val="20"/>
              </w:rPr>
              <w:t xml:space="preserve"> </w:t>
            </w:r>
            <w:r w:rsidRPr="00750CDD">
              <w:rPr>
                <w:rFonts w:ascii="Arial Narrow" w:hAnsi="Arial Narrow" w:cs="Arial"/>
                <w:sz w:val="20"/>
              </w:rPr>
              <w:t>(0.6%)</w:t>
            </w:r>
          </w:p>
        </w:tc>
        <w:tc>
          <w:tcPr>
            <w:tcW w:w="1631" w:type="dxa"/>
            <w:vAlign w:val="center"/>
          </w:tcPr>
          <w:p w14:paraId="4DDB81C4"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11/454 (2.4%)</w:t>
            </w:r>
          </w:p>
        </w:tc>
        <w:tc>
          <w:tcPr>
            <w:tcW w:w="1559" w:type="dxa"/>
          </w:tcPr>
          <w:p w14:paraId="790E2B2B"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-1.8%</w:t>
            </w:r>
          </w:p>
        </w:tc>
        <w:tc>
          <w:tcPr>
            <w:tcW w:w="2500" w:type="dxa"/>
            <w:vAlign w:val="center"/>
          </w:tcPr>
          <w:p w14:paraId="2F9B1133"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b/>
                <w:bCs/>
                <w:sz w:val="20"/>
              </w:rPr>
              <w:t>0.25 (0.07, 0.88)</w:t>
            </w:r>
          </w:p>
        </w:tc>
      </w:tr>
      <w:tr w:rsidR="008C522C" w:rsidRPr="00750CDD" w14:paraId="54E9BB11" w14:textId="77777777" w:rsidTr="00096559">
        <w:trPr>
          <w:trHeight w:val="50"/>
        </w:trPr>
        <w:tc>
          <w:tcPr>
            <w:tcW w:w="1980" w:type="dxa"/>
            <w:vAlign w:val="center"/>
          </w:tcPr>
          <w:p w14:paraId="05CD9B00" w14:textId="77777777" w:rsidR="008C522C" w:rsidRPr="00750CDD" w:rsidRDefault="008C522C" w:rsidP="008C522C">
            <w:pPr>
              <w:spacing w:after="0"/>
              <w:ind w:left="0" w:firstLine="22"/>
              <w:rPr>
                <w:rFonts w:ascii="Arial Narrow" w:hAnsi="Arial Narrow" w:cs="Arial"/>
                <w:sz w:val="20"/>
              </w:rPr>
            </w:pPr>
            <w:r w:rsidRPr="00750CDD">
              <w:rPr>
                <w:rFonts w:ascii="Arial Narrow" w:hAnsi="Arial Narrow" w:cs="Arial"/>
                <w:sz w:val="20"/>
              </w:rPr>
              <w:t>1-year</w:t>
            </w:r>
            <w:r w:rsidRPr="00750CDD">
              <w:rPr>
                <w:rFonts w:ascii="Arial Narrow" w:hAnsi="Arial Narrow" w:cs="Arial"/>
                <w:sz w:val="20"/>
                <w:vertAlign w:val="superscript"/>
              </w:rPr>
              <w:t xml:space="preserve"> </w:t>
            </w:r>
          </w:p>
        </w:tc>
        <w:tc>
          <w:tcPr>
            <w:tcW w:w="1346" w:type="dxa"/>
            <w:vAlign w:val="center"/>
          </w:tcPr>
          <w:p w14:paraId="3BBFF8E3" w14:textId="636D106D" w:rsidR="008C522C" w:rsidRPr="00750CDD" w:rsidRDefault="008C522C" w:rsidP="00FF6040">
            <w:pPr>
              <w:spacing w:after="0"/>
              <w:ind w:left="0" w:firstLine="22"/>
              <w:jc w:val="center"/>
              <w:rPr>
                <w:rFonts w:ascii="Arial Narrow" w:hAnsi="Arial Narrow" w:cs="Arial"/>
                <w:sz w:val="20"/>
              </w:rPr>
            </w:pPr>
            <w:r w:rsidRPr="00750CDD">
              <w:rPr>
                <w:rFonts w:ascii="Arial Narrow" w:hAnsi="Arial Narrow" w:cs="Arial"/>
                <w:sz w:val="20"/>
              </w:rPr>
              <w:t>6/</w:t>
            </w:r>
            <w:r w:rsidR="001A592B" w:rsidRPr="00750CDD">
              <w:rPr>
                <w:rFonts w:ascii="Arial Narrow" w:hAnsi="Arial Narrow" w:cs="Arial"/>
                <w:sz w:val="20"/>
              </w:rPr>
              <w:t>49</w:t>
            </w:r>
            <w:r w:rsidR="001A592B">
              <w:rPr>
                <w:rFonts w:ascii="Arial Narrow" w:hAnsi="Arial Narrow" w:cs="Arial"/>
                <w:sz w:val="20"/>
              </w:rPr>
              <w:t>6</w:t>
            </w:r>
            <w:r w:rsidR="001A592B" w:rsidRPr="00750CDD">
              <w:rPr>
                <w:rFonts w:ascii="Arial Narrow" w:hAnsi="Arial Narrow" w:cs="Arial"/>
                <w:sz w:val="20"/>
              </w:rPr>
              <w:t xml:space="preserve"> </w:t>
            </w:r>
            <w:r w:rsidRPr="00750CDD">
              <w:rPr>
                <w:rFonts w:ascii="Arial Narrow" w:hAnsi="Arial Narrow" w:cs="Arial"/>
                <w:sz w:val="20"/>
              </w:rPr>
              <w:t>(1.2%)</w:t>
            </w:r>
          </w:p>
        </w:tc>
        <w:tc>
          <w:tcPr>
            <w:tcW w:w="1631" w:type="dxa"/>
            <w:vAlign w:val="center"/>
          </w:tcPr>
          <w:p w14:paraId="4EBBE48C" w14:textId="6376C33E" w:rsidR="008C522C" w:rsidRPr="00750CDD" w:rsidRDefault="008C522C" w:rsidP="00AF1ADB">
            <w:pPr>
              <w:spacing w:after="0"/>
              <w:ind w:left="0" w:firstLine="22"/>
              <w:jc w:val="center"/>
              <w:rPr>
                <w:rFonts w:ascii="Arial Narrow" w:hAnsi="Arial Narrow" w:cs="Arial"/>
                <w:sz w:val="20"/>
              </w:rPr>
            </w:pPr>
            <w:r w:rsidRPr="00750CDD">
              <w:rPr>
                <w:rFonts w:ascii="Arial Narrow" w:hAnsi="Arial Narrow" w:cs="Arial"/>
                <w:sz w:val="20"/>
              </w:rPr>
              <w:t>14/454 (3.</w:t>
            </w:r>
            <w:r w:rsidR="00AF1ADB">
              <w:rPr>
                <w:rFonts w:ascii="Arial Narrow" w:hAnsi="Arial Narrow" w:cs="Arial"/>
                <w:sz w:val="20"/>
              </w:rPr>
              <w:t>1</w:t>
            </w:r>
            <w:r w:rsidRPr="00750CDD">
              <w:rPr>
                <w:rFonts w:ascii="Arial Narrow" w:hAnsi="Arial Narrow" w:cs="Arial"/>
                <w:sz w:val="20"/>
              </w:rPr>
              <w:t>%)</w:t>
            </w:r>
          </w:p>
        </w:tc>
        <w:tc>
          <w:tcPr>
            <w:tcW w:w="1559" w:type="dxa"/>
          </w:tcPr>
          <w:p w14:paraId="193B9EA9" w14:textId="23A21582" w:rsidR="008C522C" w:rsidRPr="00750CDD" w:rsidRDefault="008C522C" w:rsidP="00FF6040">
            <w:pPr>
              <w:spacing w:after="0"/>
              <w:ind w:left="0" w:firstLine="22"/>
              <w:jc w:val="center"/>
              <w:rPr>
                <w:rFonts w:ascii="Arial Narrow" w:hAnsi="Arial Narrow" w:cs="Arial"/>
                <w:sz w:val="20"/>
              </w:rPr>
            </w:pPr>
            <w:r w:rsidRPr="00750CDD">
              <w:rPr>
                <w:rFonts w:ascii="Arial Narrow" w:hAnsi="Arial Narrow" w:cs="Arial"/>
                <w:sz w:val="20"/>
              </w:rPr>
              <w:t>-</w:t>
            </w:r>
            <w:r w:rsidR="00D3088E">
              <w:rPr>
                <w:rFonts w:ascii="Arial Narrow" w:hAnsi="Arial Narrow" w:cs="Arial"/>
                <w:sz w:val="20"/>
              </w:rPr>
              <w:t>1.9</w:t>
            </w:r>
            <w:r w:rsidRPr="00750CDD">
              <w:rPr>
                <w:rFonts w:ascii="Arial Narrow" w:hAnsi="Arial Narrow" w:cs="Arial"/>
                <w:sz w:val="20"/>
              </w:rPr>
              <w:t>%</w:t>
            </w:r>
          </w:p>
        </w:tc>
        <w:tc>
          <w:tcPr>
            <w:tcW w:w="2500" w:type="dxa"/>
            <w:vAlign w:val="center"/>
          </w:tcPr>
          <w:p w14:paraId="1F427E08"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0.38 (0.15, 1.00)</w:t>
            </w:r>
          </w:p>
        </w:tc>
      </w:tr>
      <w:tr w:rsidR="008C522C" w:rsidRPr="00750CDD" w14:paraId="35819C3E" w14:textId="77777777" w:rsidTr="00096559">
        <w:trPr>
          <w:trHeight w:val="20"/>
        </w:trPr>
        <w:tc>
          <w:tcPr>
            <w:tcW w:w="1980" w:type="dxa"/>
            <w:vAlign w:val="center"/>
          </w:tcPr>
          <w:p w14:paraId="25BA63ED" w14:textId="77777777" w:rsidR="008C522C" w:rsidRPr="00750CDD" w:rsidRDefault="008C522C" w:rsidP="008C522C">
            <w:pPr>
              <w:spacing w:after="0"/>
              <w:ind w:left="0" w:firstLine="22"/>
              <w:rPr>
                <w:rFonts w:ascii="Arial Narrow" w:hAnsi="Arial Narrow" w:cs="Arial"/>
                <w:i/>
                <w:iCs/>
                <w:sz w:val="20"/>
              </w:rPr>
            </w:pPr>
            <w:r w:rsidRPr="00750CDD">
              <w:rPr>
                <w:rFonts w:ascii="Arial Narrow" w:hAnsi="Arial Narrow" w:cs="Arial"/>
                <w:i/>
                <w:iCs/>
                <w:sz w:val="20"/>
              </w:rPr>
              <w:t xml:space="preserve">2-years </w:t>
            </w:r>
          </w:p>
        </w:tc>
        <w:tc>
          <w:tcPr>
            <w:tcW w:w="1346" w:type="dxa"/>
            <w:vAlign w:val="center"/>
          </w:tcPr>
          <w:p w14:paraId="7A985263" w14:textId="66FF3EE7" w:rsidR="008C522C" w:rsidRPr="00750CDD" w:rsidRDefault="00D3088E" w:rsidP="00FF6040">
            <w:pPr>
              <w:spacing w:after="0"/>
              <w:ind w:left="0" w:firstLine="22"/>
              <w:jc w:val="center"/>
              <w:rPr>
                <w:rFonts w:ascii="Arial Narrow" w:hAnsi="Arial Narrow" w:cs="Arial"/>
                <w:i/>
                <w:iCs/>
                <w:sz w:val="20"/>
              </w:rPr>
            </w:pPr>
            <w:r w:rsidRPr="00750CDD">
              <w:rPr>
                <w:rFonts w:ascii="Arial Narrow" w:hAnsi="Arial Narrow" w:cs="Arial"/>
                <w:i/>
                <w:iCs/>
                <w:sz w:val="20"/>
              </w:rPr>
              <w:t>1</w:t>
            </w:r>
            <w:r>
              <w:rPr>
                <w:rFonts w:ascii="Arial Narrow" w:hAnsi="Arial Narrow" w:cs="Arial"/>
                <w:i/>
                <w:iCs/>
                <w:sz w:val="20"/>
              </w:rPr>
              <w:t>2</w:t>
            </w:r>
            <w:r w:rsidR="008C522C" w:rsidRPr="00750CDD">
              <w:rPr>
                <w:rFonts w:ascii="Arial Narrow" w:hAnsi="Arial Narrow" w:cs="Arial"/>
                <w:i/>
                <w:iCs/>
                <w:sz w:val="20"/>
              </w:rPr>
              <w:t>/</w:t>
            </w:r>
            <w:r w:rsidR="001A592B" w:rsidRPr="00750CDD">
              <w:rPr>
                <w:rFonts w:ascii="Arial Narrow" w:hAnsi="Arial Narrow" w:cs="Arial"/>
                <w:i/>
                <w:iCs/>
                <w:sz w:val="20"/>
              </w:rPr>
              <w:t>49</w:t>
            </w:r>
            <w:r w:rsidR="001A592B">
              <w:rPr>
                <w:rFonts w:ascii="Arial Narrow" w:hAnsi="Arial Narrow" w:cs="Arial"/>
                <w:i/>
                <w:iCs/>
                <w:sz w:val="20"/>
              </w:rPr>
              <w:t>6</w:t>
            </w:r>
            <w:r w:rsidR="001A592B" w:rsidRPr="00750CDD">
              <w:rPr>
                <w:rFonts w:ascii="Arial Narrow" w:hAnsi="Arial Narrow" w:cs="Arial"/>
                <w:i/>
                <w:iCs/>
                <w:sz w:val="20"/>
              </w:rPr>
              <w:t xml:space="preserve"> </w:t>
            </w:r>
            <w:r w:rsidR="008C522C" w:rsidRPr="00750CDD">
              <w:rPr>
                <w:rFonts w:ascii="Arial Narrow" w:hAnsi="Arial Narrow" w:cs="Arial"/>
                <w:i/>
                <w:iCs/>
                <w:sz w:val="20"/>
              </w:rPr>
              <w:t>(2.4%)</w:t>
            </w:r>
          </w:p>
        </w:tc>
        <w:tc>
          <w:tcPr>
            <w:tcW w:w="1631" w:type="dxa"/>
            <w:vAlign w:val="center"/>
          </w:tcPr>
          <w:p w14:paraId="409D9142" w14:textId="63ED9047" w:rsidR="008C522C" w:rsidRPr="00750CDD" w:rsidRDefault="008C522C" w:rsidP="00FF6040">
            <w:pPr>
              <w:spacing w:after="0"/>
              <w:ind w:left="0" w:firstLine="22"/>
              <w:jc w:val="center"/>
              <w:rPr>
                <w:rFonts w:ascii="Arial Narrow" w:hAnsi="Arial Narrow" w:cs="Arial"/>
                <w:i/>
                <w:iCs/>
                <w:sz w:val="20"/>
              </w:rPr>
            </w:pPr>
            <w:r w:rsidRPr="00750CDD">
              <w:rPr>
                <w:rFonts w:ascii="Arial Narrow" w:hAnsi="Arial Narrow" w:cs="Arial"/>
                <w:i/>
                <w:iCs/>
                <w:sz w:val="20"/>
              </w:rPr>
              <w:t>1</w:t>
            </w:r>
            <w:r w:rsidR="00D3088E">
              <w:rPr>
                <w:rFonts w:ascii="Arial Narrow" w:hAnsi="Arial Narrow" w:cs="Arial"/>
                <w:i/>
                <w:iCs/>
                <w:sz w:val="20"/>
              </w:rPr>
              <w:t>6</w:t>
            </w:r>
            <w:r w:rsidR="00AF1ADB">
              <w:rPr>
                <w:rFonts w:ascii="Arial Narrow" w:hAnsi="Arial Narrow" w:cs="Arial"/>
                <w:i/>
                <w:iCs/>
                <w:sz w:val="20"/>
              </w:rPr>
              <w:t>/</w:t>
            </w:r>
            <w:r w:rsidRPr="00750CDD">
              <w:rPr>
                <w:rFonts w:ascii="Arial Narrow" w:hAnsi="Arial Narrow" w:cs="Arial"/>
                <w:i/>
                <w:iCs/>
                <w:sz w:val="20"/>
              </w:rPr>
              <w:t>454 (3.6%)</w:t>
            </w:r>
          </w:p>
        </w:tc>
        <w:tc>
          <w:tcPr>
            <w:tcW w:w="1559" w:type="dxa"/>
          </w:tcPr>
          <w:p w14:paraId="77DA5D07" w14:textId="77777777" w:rsidR="008C522C" w:rsidRPr="00750CDD" w:rsidRDefault="008C522C" w:rsidP="008C522C">
            <w:pPr>
              <w:spacing w:after="0"/>
              <w:ind w:left="0" w:firstLine="22"/>
              <w:jc w:val="center"/>
              <w:rPr>
                <w:rFonts w:ascii="Arial Narrow" w:hAnsi="Arial Narrow" w:cs="Arial"/>
                <w:i/>
                <w:iCs/>
                <w:sz w:val="20"/>
              </w:rPr>
            </w:pPr>
            <w:r w:rsidRPr="00750CDD">
              <w:rPr>
                <w:rFonts w:ascii="Arial Narrow" w:hAnsi="Arial Narrow" w:cs="Arial"/>
                <w:i/>
                <w:iCs/>
                <w:sz w:val="20"/>
              </w:rPr>
              <w:t>-1.2%</w:t>
            </w:r>
          </w:p>
        </w:tc>
        <w:tc>
          <w:tcPr>
            <w:tcW w:w="2500" w:type="dxa"/>
            <w:vAlign w:val="center"/>
          </w:tcPr>
          <w:p w14:paraId="0F2FBD66" w14:textId="77777777" w:rsidR="008C522C" w:rsidRPr="00750CDD" w:rsidRDefault="008C522C" w:rsidP="008C522C">
            <w:pPr>
              <w:spacing w:after="0"/>
              <w:ind w:left="0" w:firstLine="22"/>
              <w:jc w:val="center"/>
              <w:rPr>
                <w:rFonts w:ascii="Arial Narrow" w:hAnsi="Arial Narrow" w:cs="Arial"/>
                <w:i/>
                <w:iCs/>
                <w:sz w:val="20"/>
              </w:rPr>
            </w:pPr>
            <w:r w:rsidRPr="00750CDD">
              <w:rPr>
                <w:rFonts w:ascii="Arial Narrow" w:hAnsi="Arial Narrow" w:cs="Arial"/>
                <w:i/>
                <w:iCs/>
                <w:sz w:val="20"/>
              </w:rPr>
              <w:t>0.66 (0.31, 1.40)</w:t>
            </w:r>
          </w:p>
        </w:tc>
      </w:tr>
      <w:tr w:rsidR="008C522C" w:rsidRPr="00750CDD" w14:paraId="4E31A236" w14:textId="77777777" w:rsidTr="008C522C">
        <w:trPr>
          <w:trHeight w:val="20"/>
        </w:trPr>
        <w:tc>
          <w:tcPr>
            <w:tcW w:w="9016" w:type="dxa"/>
            <w:gridSpan w:val="5"/>
          </w:tcPr>
          <w:p w14:paraId="4853B41D" w14:textId="77777777" w:rsidR="008C522C" w:rsidRPr="00750CDD" w:rsidRDefault="008C522C" w:rsidP="008C522C">
            <w:pPr>
              <w:spacing w:after="0"/>
              <w:ind w:left="0" w:firstLine="22"/>
              <w:rPr>
                <w:rFonts w:ascii="Arial Narrow" w:hAnsi="Arial Narrow" w:cs="Arial"/>
                <w:b/>
                <w:bCs/>
                <w:sz w:val="20"/>
              </w:rPr>
            </w:pPr>
            <w:r w:rsidRPr="00750CDD">
              <w:rPr>
                <w:rFonts w:ascii="Arial Narrow" w:hAnsi="Arial Narrow" w:cs="Arial"/>
                <w:b/>
                <w:bCs/>
                <w:sz w:val="20"/>
              </w:rPr>
              <w:t xml:space="preserve">Disabling stroke </w:t>
            </w:r>
          </w:p>
        </w:tc>
      </w:tr>
      <w:tr w:rsidR="008C522C" w:rsidRPr="00750CDD" w14:paraId="0C1423F6" w14:textId="77777777" w:rsidTr="00096559">
        <w:trPr>
          <w:trHeight w:val="20"/>
        </w:trPr>
        <w:tc>
          <w:tcPr>
            <w:tcW w:w="1980" w:type="dxa"/>
            <w:vAlign w:val="center"/>
          </w:tcPr>
          <w:p w14:paraId="6128DE1D" w14:textId="77777777" w:rsidR="008C522C" w:rsidRPr="00750CDD" w:rsidRDefault="008C522C" w:rsidP="008C522C">
            <w:pPr>
              <w:spacing w:after="0"/>
              <w:ind w:left="0" w:firstLine="22"/>
              <w:rPr>
                <w:rFonts w:ascii="Arial Narrow" w:hAnsi="Arial Narrow" w:cs="Arial"/>
                <w:sz w:val="20"/>
              </w:rPr>
            </w:pPr>
            <w:r w:rsidRPr="00750CDD">
              <w:rPr>
                <w:rFonts w:ascii="Arial Narrow" w:hAnsi="Arial Narrow" w:cs="Arial"/>
                <w:sz w:val="20"/>
              </w:rPr>
              <w:t xml:space="preserve">30-days </w:t>
            </w:r>
          </w:p>
        </w:tc>
        <w:tc>
          <w:tcPr>
            <w:tcW w:w="1346" w:type="dxa"/>
            <w:vAlign w:val="center"/>
          </w:tcPr>
          <w:p w14:paraId="77DDD8F8"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0</w:t>
            </w:r>
          </w:p>
        </w:tc>
        <w:tc>
          <w:tcPr>
            <w:tcW w:w="1631" w:type="dxa"/>
            <w:vAlign w:val="center"/>
          </w:tcPr>
          <w:p w14:paraId="14D9AB84"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2/454 (0.4%)</w:t>
            </w:r>
          </w:p>
        </w:tc>
        <w:tc>
          <w:tcPr>
            <w:tcW w:w="1559" w:type="dxa"/>
          </w:tcPr>
          <w:p w14:paraId="7D959F85"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-0.4%</w:t>
            </w:r>
          </w:p>
        </w:tc>
        <w:tc>
          <w:tcPr>
            <w:tcW w:w="2500" w:type="dxa"/>
            <w:vAlign w:val="center"/>
          </w:tcPr>
          <w:p w14:paraId="7015B6D6"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Not calculable</w:t>
            </w:r>
          </w:p>
        </w:tc>
      </w:tr>
      <w:tr w:rsidR="008C522C" w:rsidRPr="00750CDD" w14:paraId="6381217A" w14:textId="77777777" w:rsidTr="00096559">
        <w:trPr>
          <w:trHeight w:val="20"/>
        </w:trPr>
        <w:tc>
          <w:tcPr>
            <w:tcW w:w="1980" w:type="dxa"/>
            <w:vAlign w:val="center"/>
          </w:tcPr>
          <w:p w14:paraId="7BB43D5A" w14:textId="693A245E" w:rsidR="008C522C" w:rsidRPr="00750CDD" w:rsidRDefault="008C522C" w:rsidP="00B31CC9">
            <w:pPr>
              <w:spacing w:after="0"/>
              <w:ind w:left="0" w:firstLine="22"/>
              <w:rPr>
                <w:rFonts w:ascii="Arial Narrow" w:hAnsi="Arial Narrow" w:cs="Arial"/>
                <w:sz w:val="20"/>
              </w:rPr>
            </w:pPr>
            <w:r w:rsidRPr="00750CDD">
              <w:rPr>
                <w:rFonts w:ascii="Arial Narrow" w:hAnsi="Arial Narrow" w:cs="Arial"/>
                <w:sz w:val="20"/>
              </w:rPr>
              <w:t>1-year</w:t>
            </w:r>
            <w:r w:rsidRPr="00750CDD">
              <w:rPr>
                <w:rFonts w:ascii="Arial Narrow" w:hAnsi="Arial Narrow" w:cs="Arial"/>
                <w:sz w:val="20"/>
                <w:vertAlign w:val="superscript"/>
              </w:rPr>
              <w:t xml:space="preserve"> </w:t>
            </w:r>
          </w:p>
        </w:tc>
        <w:tc>
          <w:tcPr>
            <w:tcW w:w="1346" w:type="dxa"/>
            <w:vAlign w:val="center"/>
          </w:tcPr>
          <w:p w14:paraId="4CA28D3F" w14:textId="34FDF813" w:rsidR="008C522C" w:rsidRPr="00750CDD" w:rsidRDefault="008C522C" w:rsidP="00FF6040">
            <w:pPr>
              <w:spacing w:after="0"/>
              <w:ind w:left="0" w:firstLine="22"/>
              <w:jc w:val="center"/>
              <w:rPr>
                <w:rFonts w:ascii="Arial Narrow" w:hAnsi="Arial Narrow" w:cs="Arial"/>
                <w:sz w:val="20"/>
              </w:rPr>
            </w:pPr>
            <w:r w:rsidRPr="00750CDD">
              <w:rPr>
                <w:rFonts w:ascii="Arial Narrow" w:hAnsi="Arial Narrow" w:cs="Arial"/>
                <w:sz w:val="20"/>
              </w:rPr>
              <w:t>1/</w:t>
            </w:r>
            <w:r w:rsidR="001A592B" w:rsidRPr="00750CDD">
              <w:rPr>
                <w:rFonts w:ascii="Arial Narrow" w:hAnsi="Arial Narrow" w:cs="Arial"/>
                <w:sz w:val="20"/>
              </w:rPr>
              <w:t>49</w:t>
            </w:r>
            <w:r w:rsidR="001A592B">
              <w:rPr>
                <w:rFonts w:ascii="Arial Narrow" w:hAnsi="Arial Narrow" w:cs="Arial"/>
                <w:sz w:val="20"/>
              </w:rPr>
              <w:t>6</w:t>
            </w:r>
            <w:r w:rsidR="001A592B" w:rsidRPr="00750CDD">
              <w:rPr>
                <w:rFonts w:ascii="Arial Narrow" w:hAnsi="Arial Narrow" w:cs="Arial"/>
                <w:sz w:val="20"/>
              </w:rPr>
              <w:t xml:space="preserve"> </w:t>
            </w:r>
            <w:r w:rsidRPr="00750CDD">
              <w:rPr>
                <w:rFonts w:ascii="Arial Narrow" w:hAnsi="Arial Narrow" w:cs="Arial"/>
                <w:sz w:val="20"/>
              </w:rPr>
              <w:t>(0.2%)</w:t>
            </w:r>
          </w:p>
        </w:tc>
        <w:tc>
          <w:tcPr>
            <w:tcW w:w="1631" w:type="dxa"/>
            <w:vAlign w:val="center"/>
          </w:tcPr>
          <w:p w14:paraId="131184ED"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4/454 (0.9%)</w:t>
            </w:r>
          </w:p>
        </w:tc>
        <w:tc>
          <w:tcPr>
            <w:tcW w:w="1559" w:type="dxa"/>
          </w:tcPr>
          <w:p w14:paraId="2225462D"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-0.7%</w:t>
            </w:r>
          </w:p>
        </w:tc>
        <w:tc>
          <w:tcPr>
            <w:tcW w:w="2500" w:type="dxa"/>
            <w:vAlign w:val="center"/>
          </w:tcPr>
          <w:p w14:paraId="0B01EA2B"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0.22 (0.03, 2.00)</w:t>
            </w:r>
          </w:p>
        </w:tc>
      </w:tr>
      <w:tr w:rsidR="008C522C" w:rsidRPr="00750CDD" w14:paraId="2A1FAEB4" w14:textId="77777777" w:rsidTr="008C522C">
        <w:trPr>
          <w:trHeight w:val="20"/>
        </w:trPr>
        <w:tc>
          <w:tcPr>
            <w:tcW w:w="9016" w:type="dxa"/>
            <w:gridSpan w:val="5"/>
            <w:vAlign w:val="center"/>
          </w:tcPr>
          <w:p w14:paraId="6BEE2573" w14:textId="77777777" w:rsidR="008C522C" w:rsidRPr="00750CDD" w:rsidRDefault="008C522C" w:rsidP="008C522C">
            <w:pPr>
              <w:spacing w:after="0"/>
              <w:ind w:left="0" w:firstLine="22"/>
              <w:rPr>
                <w:rFonts w:ascii="Arial Narrow" w:hAnsi="Arial Narrow" w:cs="Arial"/>
                <w:sz w:val="20"/>
              </w:rPr>
            </w:pPr>
            <w:r w:rsidRPr="00750CDD">
              <w:rPr>
                <w:rFonts w:ascii="Arial Narrow" w:hAnsi="Arial Narrow" w:cs="Arial"/>
                <w:b/>
                <w:bCs/>
                <w:sz w:val="20"/>
              </w:rPr>
              <w:t>Rehospitalisation</w:t>
            </w:r>
          </w:p>
        </w:tc>
      </w:tr>
      <w:tr w:rsidR="008C522C" w:rsidRPr="00750CDD" w14:paraId="0787A620" w14:textId="77777777" w:rsidTr="00096559">
        <w:trPr>
          <w:trHeight w:val="20"/>
        </w:trPr>
        <w:tc>
          <w:tcPr>
            <w:tcW w:w="1980" w:type="dxa"/>
            <w:vAlign w:val="center"/>
          </w:tcPr>
          <w:p w14:paraId="1C7E0809" w14:textId="77777777" w:rsidR="008C522C" w:rsidRPr="00750CDD" w:rsidRDefault="008C522C" w:rsidP="008C522C">
            <w:pPr>
              <w:spacing w:after="0"/>
              <w:ind w:left="0" w:firstLine="22"/>
              <w:rPr>
                <w:rFonts w:ascii="Arial Narrow" w:hAnsi="Arial Narrow" w:cs="Arial"/>
                <w:sz w:val="20"/>
              </w:rPr>
            </w:pPr>
            <w:r w:rsidRPr="00750CDD">
              <w:rPr>
                <w:rFonts w:ascii="Arial Narrow" w:hAnsi="Arial Narrow" w:cs="Arial"/>
                <w:sz w:val="20"/>
              </w:rPr>
              <w:t xml:space="preserve">30-days </w:t>
            </w:r>
          </w:p>
        </w:tc>
        <w:tc>
          <w:tcPr>
            <w:tcW w:w="1346" w:type="dxa"/>
            <w:vAlign w:val="center"/>
          </w:tcPr>
          <w:p w14:paraId="2A06F02D" w14:textId="58444FFF" w:rsidR="008C522C" w:rsidRPr="00750CDD" w:rsidRDefault="002B26B3" w:rsidP="00FF6040">
            <w:pPr>
              <w:spacing w:after="0"/>
              <w:ind w:left="0" w:firstLine="22"/>
              <w:jc w:val="center"/>
              <w:rPr>
                <w:rFonts w:ascii="Arial Narrow" w:hAnsi="Arial Narrow" w:cs="Arial"/>
                <w:sz w:val="20"/>
              </w:rPr>
            </w:pPr>
            <w:r>
              <w:rPr>
                <w:rFonts w:ascii="Arial Narrow" w:hAnsi="Arial Narrow" w:cs="Arial"/>
                <w:sz w:val="20"/>
              </w:rPr>
              <w:t>17</w:t>
            </w:r>
            <w:r w:rsidR="008C522C" w:rsidRPr="00750CDD">
              <w:rPr>
                <w:rFonts w:ascii="Arial Narrow" w:hAnsi="Arial Narrow" w:cs="Arial"/>
                <w:sz w:val="20"/>
              </w:rPr>
              <w:t>/</w:t>
            </w:r>
            <w:r w:rsidR="001A592B" w:rsidRPr="00750CDD">
              <w:rPr>
                <w:rFonts w:ascii="Arial Narrow" w:hAnsi="Arial Narrow" w:cs="Arial"/>
                <w:sz w:val="20"/>
              </w:rPr>
              <w:t>49</w:t>
            </w:r>
            <w:r w:rsidR="001A592B">
              <w:rPr>
                <w:rFonts w:ascii="Arial Narrow" w:hAnsi="Arial Narrow" w:cs="Arial"/>
                <w:sz w:val="20"/>
              </w:rPr>
              <w:t>6</w:t>
            </w:r>
            <w:r w:rsidR="001A592B" w:rsidRPr="00750CDD">
              <w:rPr>
                <w:rFonts w:ascii="Arial Narrow" w:hAnsi="Arial Narrow" w:cs="Arial"/>
                <w:sz w:val="20"/>
              </w:rPr>
              <w:t xml:space="preserve"> </w:t>
            </w:r>
            <w:r w:rsidR="008C522C" w:rsidRPr="00750CDD">
              <w:rPr>
                <w:rFonts w:ascii="Arial Narrow" w:hAnsi="Arial Narrow" w:cs="Arial"/>
                <w:sz w:val="20"/>
              </w:rPr>
              <w:t>(</w:t>
            </w:r>
            <w:r>
              <w:rPr>
                <w:rFonts w:ascii="Arial Narrow" w:hAnsi="Arial Narrow" w:cs="Arial"/>
                <w:sz w:val="20"/>
              </w:rPr>
              <w:t>3</w:t>
            </w:r>
            <w:r w:rsidR="008C522C" w:rsidRPr="00750CDD">
              <w:rPr>
                <w:rFonts w:ascii="Arial Narrow" w:hAnsi="Arial Narrow" w:cs="Arial"/>
                <w:sz w:val="20"/>
              </w:rPr>
              <w:t>.4%)</w:t>
            </w:r>
            <w:r>
              <w:rPr>
                <w:rFonts w:ascii="Arial Narrow" w:hAnsi="Arial Narrow" w:cs="Arial"/>
                <w:sz w:val="20"/>
              </w:rPr>
              <w:t xml:space="preserve"> </w:t>
            </w:r>
          </w:p>
        </w:tc>
        <w:tc>
          <w:tcPr>
            <w:tcW w:w="1631" w:type="dxa"/>
            <w:vAlign w:val="center"/>
          </w:tcPr>
          <w:p w14:paraId="6738BCF2" w14:textId="1E1D53FE" w:rsidR="008C522C" w:rsidRPr="00750CDD" w:rsidRDefault="002B26B3" w:rsidP="00FF6040">
            <w:pPr>
              <w:spacing w:after="0"/>
              <w:ind w:left="0" w:firstLine="22"/>
              <w:jc w:val="center"/>
              <w:rPr>
                <w:rFonts w:ascii="Arial Narrow" w:hAnsi="Arial Narrow" w:cs="Arial"/>
                <w:sz w:val="20"/>
              </w:rPr>
            </w:pPr>
            <w:r>
              <w:rPr>
                <w:rFonts w:ascii="Arial Narrow" w:hAnsi="Arial Narrow" w:cs="Arial"/>
                <w:sz w:val="20"/>
              </w:rPr>
              <w:t>29</w:t>
            </w:r>
            <w:r w:rsidR="008C522C" w:rsidRPr="00750CDD">
              <w:rPr>
                <w:rFonts w:ascii="Arial Narrow" w:hAnsi="Arial Narrow" w:cs="Arial"/>
                <w:sz w:val="20"/>
              </w:rPr>
              <w:t>/454 (</w:t>
            </w:r>
            <w:r>
              <w:rPr>
                <w:rFonts w:ascii="Arial Narrow" w:hAnsi="Arial Narrow" w:cs="Arial"/>
                <w:sz w:val="20"/>
              </w:rPr>
              <w:t>6.5</w:t>
            </w:r>
            <w:r w:rsidR="008C522C" w:rsidRPr="00750CDD">
              <w:rPr>
                <w:rFonts w:ascii="Arial Narrow" w:hAnsi="Arial Narrow" w:cs="Arial"/>
                <w:sz w:val="20"/>
              </w:rPr>
              <w:t>%)</w:t>
            </w:r>
          </w:p>
        </w:tc>
        <w:tc>
          <w:tcPr>
            <w:tcW w:w="1559" w:type="dxa"/>
            <w:vAlign w:val="center"/>
          </w:tcPr>
          <w:p w14:paraId="06B57E83" w14:textId="6FAA524D" w:rsidR="008C522C" w:rsidRPr="00750CDD" w:rsidRDefault="008C522C" w:rsidP="00FF6040">
            <w:pPr>
              <w:spacing w:after="0"/>
              <w:ind w:left="0" w:firstLine="22"/>
              <w:jc w:val="center"/>
              <w:rPr>
                <w:rFonts w:ascii="Arial Narrow" w:hAnsi="Arial Narrow" w:cs="Arial"/>
                <w:sz w:val="20"/>
              </w:rPr>
            </w:pPr>
            <w:r w:rsidRPr="00750CDD">
              <w:rPr>
                <w:rFonts w:ascii="Arial Narrow" w:hAnsi="Arial Narrow" w:cs="Arial"/>
                <w:sz w:val="20"/>
              </w:rPr>
              <w:t>-</w:t>
            </w:r>
            <w:r w:rsidR="002B26B3">
              <w:rPr>
                <w:rFonts w:ascii="Arial Narrow" w:hAnsi="Arial Narrow" w:cs="Arial"/>
                <w:sz w:val="20"/>
              </w:rPr>
              <w:t>3</w:t>
            </w:r>
            <w:r w:rsidRPr="00750CDD">
              <w:rPr>
                <w:rFonts w:ascii="Arial Narrow" w:hAnsi="Arial Narrow" w:cs="Arial"/>
                <w:sz w:val="20"/>
              </w:rPr>
              <w:t>.</w:t>
            </w:r>
            <w:r w:rsidR="002B26B3">
              <w:rPr>
                <w:rFonts w:ascii="Arial Narrow" w:hAnsi="Arial Narrow" w:cs="Arial"/>
                <w:sz w:val="20"/>
              </w:rPr>
              <w:t>0</w:t>
            </w:r>
            <w:r w:rsidRPr="00750CDD">
              <w:rPr>
                <w:rFonts w:ascii="Arial Narrow" w:hAnsi="Arial Narrow" w:cs="Arial"/>
                <w:sz w:val="20"/>
              </w:rPr>
              <w:t>%</w:t>
            </w:r>
          </w:p>
        </w:tc>
        <w:tc>
          <w:tcPr>
            <w:tcW w:w="2500" w:type="dxa"/>
            <w:vAlign w:val="center"/>
          </w:tcPr>
          <w:p w14:paraId="7BC31EF5" w14:textId="25D99D6A" w:rsidR="008C522C" w:rsidRPr="002800B7" w:rsidRDefault="00730566" w:rsidP="00730566">
            <w:pPr>
              <w:spacing w:after="0"/>
              <w:ind w:left="0" w:firstLine="22"/>
              <w:jc w:val="center"/>
              <w:rPr>
                <w:rFonts w:ascii="Arial Narrow" w:hAnsi="Arial Narrow" w:cs="Arial"/>
                <w:b/>
                <w:sz w:val="20"/>
              </w:rPr>
            </w:pPr>
            <w:r w:rsidRPr="00730566">
              <w:rPr>
                <w:rFonts w:ascii="Arial Narrow" w:hAnsi="Arial Narrow" w:cs="Arial"/>
                <w:b/>
                <w:sz w:val="20"/>
              </w:rPr>
              <w:t>0.53</w:t>
            </w:r>
            <w:r>
              <w:rPr>
                <w:rFonts w:ascii="Arial Narrow" w:hAnsi="Arial Narrow" w:cs="Arial"/>
                <w:b/>
                <w:sz w:val="20"/>
              </w:rPr>
              <w:t>(</w:t>
            </w:r>
            <w:r w:rsidRPr="00730566">
              <w:rPr>
                <w:rFonts w:ascii="Arial Narrow" w:hAnsi="Arial Narrow" w:cs="Arial"/>
                <w:b/>
                <w:sz w:val="20"/>
              </w:rPr>
              <w:t>0.29, 0.97</w:t>
            </w:r>
            <w:r>
              <w:rPr>
                <w:rFonts w:ascii="Arial Narrow" w:hAnsi="Arial Narrow" w:cs="Arial"/>
                <w:b/>
                <w:sz w:val="20"/>
              </w:rPr>
              <w:t>)</w:t>
            </w:r>
          </w:p>
        </w:tc>
      </w:tr>
      <w:tr w:rsidR="008C522C" w:rsidRPr="00750CDD" w14:paraId="3CA654E9" w14:textId="77777777" w:rsidTr="00096559">
        <w:trPr>
          <w:trHeight w:val="20"/>
        </w:trPr>
        <w:tc>
          <w:tcPr>
            <w:tcW w:w="1980" w:type="dxa"/>
            <w:vAlign w:val="center"/>
          </w:tcPr>
          <w:p w14:paraId="79FCDCAF" w14:textId="77777777" w:rsidR="008C522C" w:rsidRPr="00750CDD" w:rsidRDefault="008C522C" w:rsidP="008C522C">
            <w:pPr>
              <w:spacing w:after="0"/>
              <w:ind w:left="0" w:firstLine="22"/>
              <w:rPr>
                <w:rFonts w:ascii="Arial Narrow" w:hAnsi="Arial Narrow" w:cs="Arial"/>
                <w:sz w:val="20"/>
              </w:rPr>
            </w:pPr>
            <w:r w:rsidRPr="00750CDD">
              <w:rPr>
                <w:rFonts w:ascii="Arial Narrow" w:hAnsi="Arial Narrow" w:cs="Arial"/>
                <w:sz w:val="20"/>
              </w:rPr>
              <w:t xml:space="preserve">1-year </w:t>
            </w:r>
          </w:p>
        </w:tc>
        <w:tc>
          <w:tcPr>
            <w:tcW w:w="1346" w:type="dxa"/>
            <w:vAlign w:val="center"/>
          </w:tcPr>
          <w:p w14:paraId="74AB1537" w14:textId="170FF96F" w:rsidR="008C522C" w:rsidRPr="00750CDD" w:rsidRDefault="008C522C" w:rsidP="00FF6040">
            <w:pPr>
              <w:spacing w:after="0"/>
              <w:ind w:left="0" w:firstLine="22"/>
              <w:jc w:val="center"/>
              <w:rPr>
                <w:rFonts w:ascii="Arial Narrow" w:hAnsi="Arial Narrow" w:cs="Arial"/>
                <w:sz w:val="20"/>
              </w:rPr>
            </w:pPr>
            <w:r w:rsidRPr="00750CDD">
              <w:rPr>
                <w:rFonts w:ascii="Arial Narrow" w:hAnsi="Arial Narrow" w:cs="Arial"/>
                <w:sz w:val="20"/>
              </w:rPr>
              <w:t>36/</w:t>
            </w:r>
            <w:r w:rsidR="001A592B" w:rsidRPr="00750CDD">
              <w:rPr>
                <w:rFonts w:ascii="Arial Narrow" w:hAnsi="Arial Narrow" w:cs="Arial"/>
                <w:sz w:val="20"/>
              </w:rPr>
              <w:t>49</w:t>
            </w:r>
            <w:r w:rsidR="001A592B">
              <w:rPr>
                <w:rFonts w:ascii="Arial Narrow" w:hAnsi="Arial Narrow" w:cs="Arial"/>
                <w:sz w:val="20"/>
              </w:rPr>
              <w:t>6</w:t>
            </w:r>
            <w:r w:rsidR="001A592B" w:rsidRPr="00750CDD">
              <w:rPr>
                <w:rFonts w:ascii="Arial Narrow" w:hAnsi="Arial Narrow" w:cs="Arial"/>
                <w:sz w:val="20"/>
              </w:rPr>
              <w:t xml:space="preserve"> </w:t>
            </w:r>
            <w:r w:rsidRPr="00750CDD">
              <w:rPr>
                <w:rFonts w:ascii="Arial Narrow" w:hAnsi="Arial Narrow" w:cs="Arial"/>
                <w:sz w:val="20"/>
              </w:rPr>
              <w:t>(7.3%)</w:t>
            </w:r>
          </w:p>
        </w:tc>
        <w:tc>
          <w:tcPr>
            <w:tcW w:w="1631" w:type="dxa"/>
            <w:vAlign w:val="center"/>
          </w:tcPr>
          <w:p w14:paraId="6259D1B2"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49/454 (11.0%)</w:t>
            </w:r>
          </w:p>
        </w:tc>
        <w:tc>
          <w:tcPr>
            <w:tcW w:w="1559" w:type="dxa"/>
            <w:vAlign w:val="center"/>
          </w:tcPr>
          <w:p w14:paraId="2ACE771A" w14:textId="77777777" w:rsidR="008C522C" w:rsidRPr="00750CDD" w:rsidRDefault="008C522C" w:rsidP="008C522C">
            <w:pPr>
              <w:spacing w:after="0"/>
              <w:ind w:left="0" w:firstLine="22"/>
              <w:jc w:val="center"/>
              <w:rPr>
                <w:rFonts w:ascii="Arial Narrow" w:hAnsi="Arial Narrow" w:cs="Arial"/>
                <w:sz w:val="20"/>
              </w:rPr>
            </w:pPr>
            <w:r w:rsidRPr="00750CDD">
              <w:rPr>
                <w:rFonts w:ascii="Arial Narrow" w:hAnsi="Arial Narrow" w:cs="Arial"/>
                <w:sz w:val="20"/>
              </w:rPr>
              <w:t>-3.5%</w:t>
            </w:r>
          </w:p>
        </w:tc>
        <w:tc>
          <w:tcPr>
            <w:tcW w:w="2500" w:type="dxa"/>
            <w:vAlign w:val="center"/>
          </w:tcPr>
          <w:p w14:paraId="4DBBE754" w14:textId="71FFDB7E" w:rsidR="008C522C" w:rsidRPr="00730566" w:rsidRDefault="00730566" w:rsidP="00730566">
            <w:pPr>
              <w:spacing w:after="0"/>
              <w:ind w:left="0" w:firstLine="22"/>
              <w:jc w:val="center"/>
              <w:rPr>
                <w:rFonts w:ascii="Arial Narrow" w:hAnsi="Arial Narrow" w:cs="Arial"/>
                <w:sz w:val="20"/>
              </w:rPr>
            </w:pPr>
            <w:r w:rsidRPr="00730566">
              <w:rPr>
                <w:rFonts w:ascii="Arial Narrow" w:hAnsi="Arial Narrow" w:cs="Arial"/>
                <w:sz w:val="20"/>
              </w:rPr>
              <w:t>0.65 (0.42, 1.00)</w:t>
            </w:r>
          </w:p>
        </w:tc>
      </w:tr>
    </w:tbl>
    <w:p w14:paraId="54144EDA" w14:textId="77777777" w:rsidR="008C522C" w:rsidRPr="008C522C" w:rsidRDefault="008C522C" w:rsidP="008C522C">
      <w:pPr>
        <w:keepNext/>
        <w:keepLines/>
        <w:widowControl w:val="0"/>
        <w:snapToGrid w:val="0"/>
        <w:jc w:val="both"/>
        <w:rPr>
          <w:rFonts w:ascii="Arial Narrow" w:hAnsi="Arial Narrow" w:cs="Arial"/>
          <w:sz w:val="18"/>
          <w:szCs w:val="22"/>
          <w:lang w:eastAsia="en-US"/>
        </w:rPr>
      </w:pPr>
      <w:r w:rsidRPr="008C522C">
        <w:rPr>
          <w:rFonts w:ascii="Arial Narrow" w:hAnsi="Arial Narrow" w:cs="Arial"/>
          <w:sz w:val="18"/>
          <w:szCs w:val="22"/>
          <w:lang w:eastAsia="en-US"/>
        </w:rPr>
        <w:t xml:space="preserve">CI = confidence interval, TAVI-BEV = transcatheter aortic valve implantation with a balloon-expandable valve, SAVR = surgical aortic valve replacement, </w:t>
      </w:r>
      <w:r w:rsidRPr="008C522C">
        <w:rPr>
          <w:rFonts w:ascii="Arial Narrow" w:hAnsi="Arial Narrow" w:cs="Arial"/>
          <w:b/>
          <w:bCs/>
          <w:sz w:val="18"/>
          <w:szCs w:val="22"/>
          <w:lang w:eastAsia="en-US"/>
        </w:rPr>
        <w:t>Bold</w:t>
      </w:r>
      <w:r w:rsidRPr="008C522C">
        <w:rPr>
          <w:rFonts w:ascii="Arial Narrow" w:hAnsi="Arial Narrow" w:cs="Arial"/>
          <w:sz w:val="18"/>
          <w:szCs w:val="22"/>
          <w:lang w:eastAsia="en-US"/>
        </w:rPr>
        <w:t xml:space="preserve"> = statistically significant at p-value&lt; 0.05;</w:t>
      </w:r>
      <w:r w:rsidRPr="008C522C">
        <w:rPr>
          <w:rFonts w:ascii="Arial Narrow" w:hAnsi="Arial Narrow" w:cs="Arial"/>
          <w:i/>
          <w:iCs/>
          <w:sz w:val="18"/>
          <w:szCs w:val="22"/>
          <w:lang w:eastAsia="en-US"/>
        </w:rPr>
        <w:t xml:space="preserve"> italics =</w:t>
      </w:r>
      <w:r w:rsidRPr="008C522C">
        <w:rPr>
          <w:rFonts w:ascii="Arial Narrow" w:hAnsi="Arial Narrow" w:cs="Arial"/>
          <w:sz w:val="18"/>
          <w:szCs w:val="22"/>
          <w:lang w:eastAsia="en-US"/>
        </w:rPr>
        <w:t xml:space="preserve">presented by the evaluation. </w:t>
      </w:r>
    </w:p>
    <w:p w14:paraId="2A21E3BA" w14:textId="77777777" w:rsidR="008C522C" w:rsidRPr="008C522C" w:rsidRDefault="008C522C" w:rsidP="008C522C">
      <w:pPr>
        <w:keepNext/>
        <w:keepLines/>
        <w:widowControl w:val="0"/>
        <w:snapToGrid w:val="0"/>
        <w:jc w:val="both"/>
        <w:rPr>
          <w:rFonts w:ascii="Arial Narrow" w:hAnsi="Arial Narrow" w:cs="Arial"/>
          <w:sz w:val="18"/>
          <w:szCs w:val="22"/>
          <w:lang w:eastAsia="en-US"/>
        </w:rPr>
      </w:pPr>
      <w:r w:rsidRPr="008C522C">
        <w:rPr>
          <w:rFonts w:ascii="Arial Narrow" w:hAnsi="Arial Narrow" w:cs="Arial"/>
          <w:sz w:val="18"/>
          <w:szCs w:val="22"/>
          <w:lang w:eastAsia="en-US"/>
        </w:rPr>
        <w:t>Note: The 2-year follow-up results were presented by the evaluation</w:t>
      </w:r>
    </w:p>
    <w:p w14:paraId="712A2AF0" w14:textId="6FEEB89D" w:rsidR="008C522C" w:rsidRPr="00AF1ADB" w:rsidRDefault="008C522C" w:rsidP="0085555A">
      <w:pPr>
        <w:widowControl w:val="0"/>
        <w:snapToGrid w:val="0"/>
        <w:spacing w:after="240"/>
        <w:jc w:val="both"/>
        <w:rPr>
          <w:rFonts w:ascii="Arial Narrow" w:hAnsi="Arial Narrow" w:cs="Arial"/>
          <w:i/>
          <w:sz w:val="18"/>
          <w:szCs w:val="22"/>
          <w:lang w:eastAsia="en-US"/>
        </w:rPr>
      </w:pPr>
      <w:r w:rsidRPr="008C522C">
        <w:rPr>
          <w:rFonts w:ascii="Arial Narrow" w:hAnsi="Arial Narrow" w:cs="Arial"/>
          <w:sz w:val="18"/>
          <w:szCs w:val="22"/>
          <w:lang w:eastAsia="en-US"/>
        </w:rPr>
        <w:t xml:space="preserve">Source: Table B-10 and Table B-11, pp 41-43 of the </w:t>
      </w:r>
      <w:r w:rsidR="00AF1ADB">
        <w:rPr>
          <w:rFonts w:ascii="Arial Narrow" w:hAnsi="Arial Narrow" w:cs="Arial"/>
          <w:sz w:val="18"/>
          <w:szCs w:val="22"/>
          <w:lang w:eastAsia="en-US"/>
        </w:rPr>
        <w:t xml:space="preserve">ADAR; </w:t>
      </w:r>
      <w:r w:rsidR="00AF1ADB" w:rsidRPr="008C522C">
        <w:rPr>
          <w:rFonts w:ascii="Arial Narrow" w:hAnsi="Arial Narrow" w:cs="Arial"/>
          <w:i/>
          <w:iCs/>
          <w:sz w:val="18"/>
          <w:szCs w:val="22"/>
          <w:lang w:eastAsia="en-US"/>
        </w:rPr>
        <w:t>Mack et al. (2020)</w:t>
      </w:r>
      <w:r w:rsidR="00AF1ADB" w:rsidRPr="008C522C">
        <w:rPr>
          <w:rFonts w:ascii="Arial Narrow" w:hAnsi="Arial Narrow" w:cs="Arial"/>
          <w:sz w:val="18"/>
          <w:szCs w:val="22"/>
          <w:lang w:eastAsia="en-US"/>
        </w:rPr>
        <w:t xml:space="preserve"> </w:t>
      </w:r>
      <w:r w:rsidRPr="008C522C">
        <w:rPr>
          <w:rFonts w:ascii="Arial Narrow" w:hAnsi="Arial Narrow" w:cs="Arial"/>
          <w:sz w:val="18"/>
          <w:szCs w:val="22"/>
          <w:lang w:eastAsia="en-US"/>
        </w:rPr>
        <w:t xml:space="preserve">and </w:t>
      </w:r>
      <w:r w:rsidR="00AF1ADB">
        <w:rPr>
          <w:rFonts w:ascii="Arial Narrow" w:hAnsi="Arial Narrow" w:cs="Arial"/>
          <w:i/>
          <w:sz w:val="18"/>
          <w:szCs w:val="22"/>
          <w:lang w:eastAsia="en-US"/>
        </w:rPr>
        <w:t>Leon et al. (2021)</w:t>
      </w:r>
    </w:p>
    <w:p w14:paraId="0EF4E260" w14:textId="77777777" w:rsidR="008C522C" w:rsidRPr="008C522C" w:rsidRDefault="008C522C" w:rsidP="008C522C">
      <w:pPr>
        <w:rPr>
          <w:rFonts w:ascii="Arial Narrow" w:hAnsi="Arial Narrow" w:cs="Tahoma"/>
          <w:sz w:val="20"/>
        </w:rPr>
      </w:pPr>
      <w:r w:rsidRPr="008C522C">
        <w:rPr>
          <w:rFonts w:ascii="Arial Narrow" w:hAnsi="Arial Narrow" w:cs="Tahoma"/>
          <w:noProof/>
          <w:sz w:val="20"/>
          <w:shd w:val="clear" w:color="auto" w:fill="E6E6E6"/>
        </w:rPr>
        <w:drawing>
          <wp:inline distT="0" distB="0" distL="0" distR="0" wp14:anchorId="76F6C5D9" wp14:editId="0F870532">
            <wp:extent cx="3733800" cy="2835249"/>
            <wp:effectExtent l="0" t="0" r="0" b="3810"/>
            <wp:docPr id="28" name="Picture 28" descr="Kaplan-Meier curves for the primary endpoint: composite of all-cause mortality, stroke and rehospitalisation in the PARTNER 3 at 2-years follo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33800" cy="2835249"/>
                    </a:xfrm>
                    <a:prstGeom prst="rect">
                      <a:avLst/>
                    </a:prstGeom>
                    <a:noFill/>
                    <a:ln>
                      <a:noFill/>
                    </a:ln>
                  </pic:spPr>
                </pic:pic>
              </a:graphicData>
            </a:graphic>
          </wp:inline>
        </w:drawing>
      </w:r>
    </w:p>
    <w:p w14:paraId="639D36CB" w14:textId="7EE4D407" w:rsidR="008C522C" w:rsidRPr="008C522C" w:rsidRDefault="008C522C" w:rsidP="008C522C">
      <w:pPr>
        <w:rPr>
          <w:rFonts w:ascii="Arial Narrow" w:hAnsi="Arial Narrow" w:cs="Tahoma"/>
          <w:b/>
          <w:bCs/>
          <w:sz w:val="20"/>
        </w:rPr>
      </w:pPr>
      <w:bookmarkStart w:id="19" w:name="_Ref60310664"/>
      <w:r w:rsidRPr="008C522C">
        <w:rPr>
          <w:rFonts w:ascii="Arial Narrow" w:hAnsi="Arial Narrow" w:cs="Tahoma"/>
          <w:b/>
          <w:bCs/>
          <w:sz w:val="20"/>
        </w:rPr>
        <w:t xml:space="preserve">Figure </w:t>
      </w:r>
      <w:r w:rsidRPr="008C522C">
        <w:rPr>
          <w:rFonts w:ascii="Arial Narrow" w:hAnsi="Arial Narrow" w:cs="Tahoma"/>
          <w:b/>
          <w:sz w:val="20"/>
          <w:shd w:val="clear" w:color="auto" w:fill="E6E6E6"/>
        </w:rPr>
        <w:fldChar w:fldCharType="begin"/>
      </w:r>
      <w:r w:rsidRPr="008C522C">
        <w:rPr>
          <w:rFonts w:ascii="Arial Narrow" w:hAnsi="Arial Narrow" w:cs="Tahoma"/>
          <w:b/>
          <w:bCs/>
          <w:sz w:val="20"/>
        </w:rPr>
        <w:instrText xml:space="preserve"> SEQ Figure \* ARABIC </w:instrText>
      </w:r>
      <w:r w:rsidRPr="008C522C">
        <w:rPr>
          <w:rFonts w:ascii="Arial Narrow" w:hAnsi="Arial Narrow" w:cs="Tahoma"/>
          <w:b/>
          <w:sz w:val="20"/>
          <w:shd w:val="clear" w:color="auto" w:fill="E6E6E6"/>
        </w:rPr>
        <w:fldChar w:fldCharType="separate"/>
      </w:r>
      <w:r w:rsidR="003D2F4E">
        <w:rPr>
          <w:rFonts w:ascii="Arial Narrow" w:hAnsi="Arial Narrow" w:cs="Tahoma"/>
          <w:b/>
          <w:bCs/>
          <w:noProof/>
          <w:sz w:val="20"/>
        </w:rPr>
        <w:t>3</w:t>
      </w:r>
      <w:r w:rsidRPr="008C522C">
        <w:rPr>
          <w:rFonts w:ascii="Arial Narrow" w:hAnsi="Arial Narrow" w:cs="Tahoma"/>
          <w:b/>
          <w:sz w:val="20"/>
          <w:shd w:val="clear" w:color="auto" w:fill="E6E6E6"/>
        </w:rPr>
        <w:fldChar w:fldCharType="end"/>
      </w:r>
      <w:bookmarkEnd w:id="19"/>
      <w:r w:rsidR="00D80FEF">
        <w:rPr>
          <w:rFonts w:ascii="Arial Narrow" w:hAnsi="Arial Narrow" w:cs="Tahoma"/>
          <w:b/>
          <w:bCs/>
          <w:sz w:val="20"/>
          <w:szCs w:val="22"/>
        </w:rPr>
        <w:tab/>
      </w:r>
      <w:r w:rsidRPr="008C522C">
        <w:rPr>
          <w:rFonts w:ascii="Arial Narrow" w:hAnsi="Arial Narrow" w:cs="Tahoma"/>
          <w:b/>
          <w:bCs/>
          <w:sz w:val="20"/>
        </w:rPr>
        <w:t xml:space="preserve">Kaplan-Meier curves for the primary endpoint: composite of all-cause mortality, </w:t>
      </w:r>
      <w:proofErr w:type="gramStart"/>
      <w:r w:rsidRPr="008C522C">
        <w:rPr>
          <w:rFonts w:ascii="Arial Narrow" w:hAnsi="Arial Narrow" w:cs="Tahoma"/>
          <w:b/>
          <w:bCs/>
          <w:sz w:val="20"/>
        </w:rPr>
        <w:t>stroke</w:t>
      </w:r>
      <w:proofErr w:type="gramEnd"/>
      <w:r w:rsidRPr="008C522C">
        <w:rPr>
          <w:rFonts w:ascii="Arial Narrow" w:hAnsi="Arial Narrow" w:cs="Tahoma"/>
          <w:b/>
          <w:bCs/>
          <w:sz w:val="20"/>
        </w:rPr>
        <w:t xml:space="preserve"> and rehospitalisation in the PARTNER 3 at 2-years follow-up</w:t>
      </w:r>
    </w:p>
    <w:p w14:paraId="214BF33F" w14:textId="0B1BEB3A" w:rsidR="008C522C" w:rsidRPr="008C522C" w:rsidRDefault="008C522C" w:rsidP="008C522C">
      <w:pPr>
        <w:widowControl w:val="0"/>
        <w:snapToGrid w:val="0"/>
        <w:jc w:val="both"/>
        <w:rPr>
          <w:rFonts w:ascii="Arial Narrow" w:hAnsi="Arial Narrow" w:cs="Arial"/>
          <w:sz w:val="18"/>
          <w:szCs w:val="22"/>
          <w:lang w:eastAsia="en-US"/>
        </w:rPr>
      </w:pPr>
      <w:r w:rsidRPr="008C522C">
        <w:rPr>
          <w:rFonts w:ascii="Arial Narrow" w:hAnsi="Arial Narrow" w:cs="Arial"/>
          <w:sz w:val="18"/>
          <w:szCs w:val="22"/>
          <w:lang w:eastAsia="en-US"/>
        </w:rPr>
        <w:t>Source: Slide 11 of</w:t>
      </w:r>
      <w:r w:rsidRPr="008C327B">
        <w:rPr>
          <w:rFonts w:ascii="Arial Narrow" w:hAnsi="Arial Narrow" w:cs="Arial"/>
          <w:sz w:val="18"/>
          <w:szCs w:val="22"/>
          <w:lang w:eastAsia="en-US"/>
        </w:rPr>
        <w:t xml:space="preserve"> </w:t>
      </w:r>
      <w:r w:rsidRPr="003F632D">
        <w:rPr>
          <w:rFonts w:ascii="Arial Narrow" w:hAnsi="Arial Narrow" w:cs="Arial"/>
          <w:iCs/>
          <w:sz w:val="18"/>
          <w:szCs w:val="22"/>
          <w:lang w:eastAsia="en-US"/>
        </w:rPr>
        <w:t>Mack et al. (2020)</w:t>
      </w:r>
      <w:r w:rsidR="00B97A2C">
        <w:rPr>
          <w:rFonts w:ascii="Arial Narrow" w:hAnsi="Arial Narrow" w:cs="Arial"/>
          <w:iCs/>
          <w:sz w:val="18"/>
          <w:szCs w:val="22"/>
          <w:lang w:eastAsia="en-US"/>
        </w:rPr>
        <w:t xml:space="preserve"> </w:t>
      </w:r>
      <w:r w:rsidR="00B97A2C" w:rsidRPr="003F632D">
        <w:rPr>
          <w:rFonts w:ascii="Arial Narrow" w:hAnsi="Arial Narrow" w:cs="Arial"/>
          <w:iCs/>
          <w:sz w:val="18"/>
          <w:szCs w:val="22"/>
          <w:vertAlign w:val="superscript"/>
          <w:lang w:eastAsia="en-US"/>
        </w:rPr>
        <w:fldChar w:fldCharType="begin"/>
      </w:r>
      <w:r w:rsidR="00B97A2C" w:rsidRPr="003F632D">
        <w:rPr>
          <w:rFonts w:ascii="Arial Narrow" w:hAnsi="Arial Narrow" w:cs="Arial"/>
          <w:iCs/>
          <w:sz w:val="18"/>
          <w:szCs w:val="22"/>
          <w:vertAlign w:val="superscript"/>
          <w:lang w:eastAsia="en-US"/>
        </w:rPr>
        <w:instrText xml:space="preserve"> NOTEREF _Ref71020247 \h </w:instrText>
      </w:r>
      <w:r w:rsidR="00B97A2C">
        <w:rPr>
          <w:rFonts w:ascii="Arial Narrow" w:hAnsi="Arial Narrow" w:cs="Arial"/>
          <w:iCs/>
          <w:sz w:val="18"/>
          <w:szCs w:val="22"/>
          <w:vertAlign w:val="superscript"/>
          <w:lang w:eastAsia="en-US"/>
        </w:rPr>
        <w:instrText xml:space="preserve"> \* MERGEFORMAT </w:instrText>
      </w:r>
      <w:r w:rsidR="00B97A2C" w:rsidRPr="003F632D">
        <w:rPr>
          <w:rFonts w:ascii="Arial Narrow" w:hAnsi="Arial Narrow" w:cs="Arial"/>
          <w:iCs/>
          <w:sz w:val="18"/>
          <w:szCs w:val="22"/>
          <w:vertAlign w:val="superscript"/>
          <w:lang w:eastAsia="en-US"/>
        </w:rPr>
      </w:r>
      <w:r w:rsidR="00B97A2C" w:rsidRPr="003F632D">
        <w:rPr>
          <w:rFonts w:ascii="Arial Narrow" w:hAnsi="Arial Narrow" w:cs="Arial"/>
          <w:iCs/>
          <w:sz w:val="18"/>
          <w:szCs w:val="22"/>
          <w:vertAlign w:val="superscript"/>
          <w:lang w:eastAsia="en-US"/>
        </w:rPr>
        <w:fldChar w:fldCharType="separate"/>
      </w:r>
      <w:r w:rsidR="003D2F4E">
        <w:rPr>
          <w:rFonts w:ascii="Arial Narrow" w:hAnsi="Arial Narrow" w:cs="Arial"/>
          <w:iCs/>
          <w:sz w:val="18"/>
          <w:szCs w:val="22"/>
          <w:vertAlign w:val="superscript"/>
          <w:lang w:eastAsia="en-US"/>
        </w:rPr>
        <w:t>26</w:t>
      </w:r>
      <w:r w:rsidR="00B97A2C" w:rsidRPr="003F632D">
        <w:rPr>
          <w:rFonts w:ascii="Arial Narrow" w:hAnsi="Arial Narrow" w:cs="Arial"/>
          <w:iCs/>
          <w:sz w:val="18"/>
          <w:szCs w:val="22"/>
          <w:vertAlign w:val="superscript"/>
          <w:lang w:eastAsia="en-US"/>
        </w:rPr>
        <w:fldChar w:fldCharType="end"/>
      </w:r>
      <w:r w:rsidRPr="008C327B">
        <w:rPr>
          <w:rFonts w:ascii="Arial Narrow" w:hAnsi="Arial Narrow" w:cs="Arial"/>
          <w:sz w:val="18"/>
          <w:szCs w:val="22"/>
          <w:lang w:eastAsia="en-US"/>
        </w:rPr>
        <w:t xml:space="preserve"> </w:t>
      </w:r>
    </w:p>
    <w:p w14:paraId="79BF8822" w14:textId="77777777" w:rsidR="008C522C" w:rsidRPr="008C522C" w:rsidRDefault="008C522C" w:rsidP="008C522C">
      <w:pPr>
        <w:widowControl w:val="0"/>
        <w:snapToGrid w:val="0"/>
        <w:jc w:val="both"/>
        <w:rPr>
          <w:rFonts w:ascii="Arial Narrow" w:hAnsi="Arial Narrow" w:cs="Arial"/>
          <w:sz w:val="18"/>
          <w:szCs w:val="22"/>
          <w:lang w:eastAsia="en-US"/>
        </w:rPr>
      </w:pPr>
      <w:r w:rsidRPr="008C522C">
        <w:rPr>
          <w:rFonts w:ascii="Arial Narrow" w:hAnsi="Arial Narrow" w:cs="Arial"/>
          <w:sz w:val="18"/>
          <w:szCs w:val="22"/>
          <w:lang w:eastAsia="en-US"/>
        </w:rPr>
        <w:t xml:space="preserve">CI = confidence interval; HR = hazard ratio; </w:t>
      </w:r>
      <w:proofErr w:type="spellStart"/>
      <w:r w:rsidRPr="008C522C">
        <w:rPr>
          <w:rFonts w:ascii="Arial Narrow" w:hAnsi="Arial Narrow" w:cs="Arial"/>
          <w:sz w:val="18"/>
          <w:szCs w:val="22"/>
          <w:lang w:eastAsia="en-US"/>
        </w:rPr>
        <w:t>rehosp</w:t>
      </w:r>
      <w:proofErr w:type="spellEnd"/>
      <w:r w:rsidRPr="008C522C">
        <w:rPr>
          <w:rFonts w:ascii="Arial Narrow" w:hAnsi="Arial Narrow" w:cs="Arial"/>
          <w:sz w:val="18"/>
          <w:szCs w:val="22"/>
          <w:lang w:eastAsia="en-US"/>
        </w:rPr>
        <w:t xml:space="preserve"> = rehospitalisation; TAVR = transcatheter aortic valve replacement</w:t>
      </w:r>
    </w:p>
    <w:p w14:paraId="43D66ECC" w14:textId="77777777" w:rsidR="008C522C" w:rsidRPr="008C522C" w:rsidRDefault="008C522C" w:rsidP="008C522C">
      <w:pPr>
        <w:keepNext/>
        <w:widowControl w:val="0"/>
        <w:snapToGrid w:val="0"/>
        <w:jc w:val="both"/>
      </w:pPr>
      <w:r w:rsidRPr="008C522C">
        <w:rPr>
          <w:rFonts w:ascii="Arial Narrow" w:hAnsi="Arial Narrow" w:cs="Arial"/>
          <w:noProof/>
          <w:sz w:val="18"/>
          <w:szCs w:val="22"/>
        </w:rPr>
        <w:lastRenderedPageBreak/>
        <w:drawing>
          <wp:inline distT="0" distB="0" distL="0" distR="0" wp14:anchorId="4B037192" wp14:editId="1DB530B7">
            <wp:extent cx="3667125" cy="2245129"/>
            <wp:effectExtent l="0" t="0" r="0" b="3175"/>
            <wp:docPr id="3" name="Picture 3" descr="Kaplan-Meier curves for all-cause death in the PARTNER 3 at 2-years follo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7C434F.tmp"/>
                    <pic:cNvPicPr/>
                  </pic:nvPicPr>
                  <pic:blipFill>
                    <a:blip r:embed="rId30">
                      <a:extLst>
                        <a:ext uri="{28A0092B-C50C-407E-A947-70E740481C1C}">
                          <a14:useLocalDpi xmlns:a14="http://schemas.microsoft.com/office/drawing/2010/main" val="0"/>
                        </a:ext>
                      </a:extLst>
                    </a:blip>
                    <a:stretch>
                      <a:fillRect/>
                    </a:stretch>
                  </pic:blipFill>
                  <pic:spPr>
                    <a:xfrm>
                      <a:off x="0" y="0"/>
                      <a:ext cx="3698872" cy="2264565"/>
                    </a:xfrm>
                    <a:prstGeom prst="rect">
                      <a:avLst/>
                    </a:prstGeom>
                  </pic:spPr>
                </pic:pic>
              </a:graphicData>
            </a:graphic>
          </wp:inline>
        </w:drawing>
      </w:r>
    </w:p>
    <w:p w14:paraId="14655810" w14:textId="6212C418" w:rsidR="008C522C" w:rsidRPr="008C522C" w:rsidRDefault="008C522C" w:rsidP="008C522C">
      <w:pPr>
        <w:keepNext/>
        <w:spacing w:after="40"/>
        <w:jc w:val="both"/>
        <w:outlineLvl w:val="4"/>
        <w:rPr>
          <w:rFonts w:ascii="Arial Narrow" w:hAnsi="Arial Narrow" w:cs="Arial"/>
          <w:b/>
          <w:bCs/>
          <w:iCs/>
          <w:sz w:val="20"/>
          <w:lang w:eastAsia="en-US"/>
        </w:rPr>
      </w:pPr>
      <w:bookmarkStart w:id="20" w:name="_Ref65232718"/>
      <w:r w:rsidRPr="008C522C">
        <w:rPr>
          <w:rFonts w:ascii="Arial Narrow" w:hAnsi="Arial Narrow" w:cs="Arial"/>
          <w:b/>
          <w:bCs/>
          <w:iCs/>
          <w:sz w:val="20"/>
          <w:lang w:eastAsia="en-US"/>
        </w:rPr>
        <w:t xml:space="preserve">Figure </w:t>
      </w:r>
      <w:r w:rsidRPr="008C522C">
        <w:rPr>
          <w:rFonts w:ascii="Arial Narrow" w:hAnsi="Arial Narrow" w:cs="Arial"/>
          <w:b/>
          <w:bCs/>
          <w:iCs/>
          <w:sz w:val="20"/>
          <w:lang w:eastAsia="en-US"/>
        </w:rPr>
        <w:fldChar w:fldCharType="begin"/>
      </w:r>
      <w:r w:rsidRPr="008C522C">
        <w:rPr>
          <w:rFonts w:ascii="Arial Narrow" w:hAnsi="Arial Narrow" w:cs="Arial"/>
          <w:b/>
          <w:bCs/>
          <w:iCs/>
          <w:sz w:val="20"/>
          <w:lang w:eastAsia="en-US"/>
        </w:rPr>
        <w:instrText xml:space="preserve"> SEQ Figure \* ARABIC </w:instrText>
      </w:r>
      <w:r w:rsidRPr="008C522C">
        <w:rPr>
          <w:rFonts w:ascii="Arial Narrow" w:hAnsi="Arial Narrow" w:cs="Arial"/>
          <w:b/>
          <w:bCs/>
          <w:iCs/>
          <w:sz w:val="20"/>
          <w:lang w:eastAsia="en-US"/>
        </w:rPr>
        <w:fldChar w:fldCharType="separate"/>
      </w:r>
      <w:r w:rsidR="003D2F4E">
        <w:rPr>
          <w:rFonts w:ascii="Arial Narrow" w:hAnsi="Arial Narrow" w:cs="Arial"/>
          <w:b/>
          <w:bCs/>
          <w:iCs/>
          <w:noProof/>
          <w:sz w:val="20"/>
          <w:lang w:eastAsia="en-US"/>
        </w:rPr>
        <w:t>4</w:t>
      </w:r>
      <w:r w:rsidRPr="008C522C">
        <w:rPr>
          <w:rFonts w:ascii="Arial Narrow" w:hAnsi="Arial Narrow" w:cs="Arial"/>
          <w:b/>
          <w:bCs/>
          <w:iCs/>
          <w:noProof/>
          <w:sz w:val="20"/>
          <w:lang w:eastAsia="en-US"/>
        </w:rPr>
        <w:fldChar w:fldCharType="end"/>
      </w:r>
      <w:bookmarkEnd w:id="20"/>
      <w:r w:rsidRPr="008C522C">
        <w:rPr>
          <w:rFonts w:ascii="Arial Narrow" w:hAnsi="Arial Narrow" w:cs="Arial"/>
          <w:b/>
          <w:bCs/>
          <w:iCs/>
          <w:sz w:val="20"/>
          <w:lang w:eastAsia="en-US"/>
        </w:rPr>
        <w:tab/>
        <w:t>Kaplan-Meier curves for all-cause death in the PARTNER 3 at 2-years follow-up</w:t>
      </w:r>
    </w:p>
    <w:p w14:paraId="0EF00A06" w14:textId="48606C95" w:rsidR="008C522C" w:rsidRPr="008C522C" w:rsidRDefault="008C522C" w:rsidP="008C522C">
      <w:pPr>
        <w:widowControl w:val="0"/>
        <w:snapToGrid w:val="0"/>
        <w:jc w:val="both"/>
        <w:rPr>
          <w:rFonts w:ascii="Arial Narrow" w:eastAsia="Calibri" w:hAnsi="Arial Narrow" w:cs="Arial"/>
          <w:sz w:val="18"/>
          <w:szCs w:val="22"/>
          <w:lang w:eastAsia="en-US"/>
        </w:rPr>
      </w:pPr>
      <w:r w:rsidRPr="008C522C">
        <w:rPr>
          <w:rFonts w:ascii="Arial Narrow" w:eastAsia="Calibri" w:hAnsi="Arial Narrow" w:cs="Arial"/>
          <w:sz w:val="18"/>
          <w:szCs w:val="22"/>
          <w:lang w:eastAsia="en-US"/>
        </w:rPr>
        <w:t>Source: Slide 13 of Mack et al. (2020)</w:t>
      </w:r>
      <w:r w:rsidR="00B97A2C">
        <w:rPr>
          <w:rFonts w:ascii="Arial Narrow" w:eastAsia="Calibri" w:hAnsi="Arial Narrow" w:cs="Arial"/>
          <w:sz w:val="18"/>
          <w:szCs w:val="22"/>
          <w:lang w:eastAsia="en-US"/>
        </w:rPr>
        <w:t xml:space="preserve"> </w:t>
      </w:r>
      <w:r w:rsidR="00B97A2C" w:rsidRPr="003F632D">
        <w:rPr>
          <w:rFonts w:ascii="Arial Narrow" w:eastAsia="Calibri" w:hAnsi="Arial Narrow" w:cs="Arial"/>
          <w:sz w:val="18"/>
          <w:szCs w:val="22"/>
          <w:vertAlign w:val="superscript"/>
          <w:lang w:eastAsia="en-US"/>
        </w:rPr>
        <w:fldChar w:fldCharType="begin"/>
      </w:r>
      <w:r w:rsidR="00B97A2C" w:rsidRPr="003F632D">
        <w:rPr>
          <w:rFonts w:ascii="Arial Narrow" w:eastAsia="Calibri" w:hAnsi="Arial Narrow" w:cs="Arial"/>
          <w:sz w:val="18"/>
          <w:szCs w:val="22"/>
          <w:vertAlign w:val="superscript"/>
          <w:lang w:eastAsia="en-US"/>
        </w:rPr>
        <w:instrText xml:space="preserve"> NOTEREF _Ref71020247 \h </w:instrText>
      </w:r>
      <w:r w:rsidR="00B97A2C">
        <w:rPr>
          <w:rFonts w:ascii="Arial Narrow" w:eastAsia="Calibri" w:hAnsi="Arial Narrow" w:cs="Arial"/>
          <w:sz w:val="18"/>
          <w:szCs w:val="22"/>
          <w:vertAlign w:val="superscript"/>
          <w:lang w:eastAsia="en-US"/>
        </w:rPr>
        <w:instrText xml:space="preserve"> \* MERGEFORMAT </w:instrText>
      </w:r>
      <w:r w:rsidR="00B97A2C" w:rsidRPr="003F632D">
        <w:rPr>
          <w:rFonts w:ascii="Arial Narrow" w:eastAsia="Calibri" w:hAnsi="Arial Narrow" w:cs="Arial"/>
          <w:sz w:val="18"/>
          <w:szCs w:val="22"/>
          <w:vertAlign w:val="superscript"/>
          <w:lang w:eastAsia="en-US"/>
        </w:rPr>
      </w:r>
      <w:r w:rsidR="00B97A2C" w:rsidRPr="003F632D">
        <w:rPr>
          <w:rFonts w:ascii="Arial Narrow" w:eastAsia="Calibri" w:hAnsi="Arial Narrow" w:cs="Arial"/>
          <w:sz w:val="18"/>
          <w:szCs w:val="22"/>
          <w:vertAlign w:val="superscript"/>
          <w:lang w:eastAsia="en-US"/>
        </w:rPr>
        <w:fldChar w:fldCharType="separate"/>
      </w:r>
      <w:r w:rsidR="003D2F4E">
        <w:rPr>
          <w:rFonts w:ascii="Arial Narrow" w:eastAsia="Calibri" w:hAnsi="Arial Narrow" w:cs="Arial"/>
          <w:sz w:val="18"/>
          <w:szCs w:val="22"/>
          <w:vertAlign w:val="superscript"/>
          <w:lang w:eastAsia="en-US"/>
        </w:rPr>
        <w:t>26</w:t>
      </w:r>
      <w:r w:rsidR="00B97A2C" w:rsidRPr="003F632D">
        <w:rPr>
          <w:rFonts w:ascii="Arial Narrow" w:eastAsia="Calibri" w:hAnsi="Arial Narrow" w:cs="Arial"/>
          <w:sz w:val="18"/>
          <w:szCs w:val="22"/>
          <w:vertAlign w:val="superscript"/>
          <w:lang w:eastAsia="en-US"/>
        </w:rPr>
        <w:fldChar w:fldCharType="end"/>
      </w:r>
    </w:p>
    <w:p w14:paraId="29BD421A" w14:textId="77777777" w:rsidR="008C522C" w:rsidRPr="008C522C" w:rsidRDefault="008C522C" w:rsidP="0085555A">
      <w:pPr>
        <w:widowControl w:val="0"/>
        <w:snapToGrid w:val="0"/>
        <w:spacing w:after="240"/>
        <w:jc w:val="both"/>
        <w:rPr>
          <w:rFonts w:ascii="Arial Narrow" w:eastAsia="Calibri" w:hAnsi="Arial Narrow" w:cs="Arial"/>
          <w:sz w:val="18"/>
          <w:szCs w:val="22"/>
          <w:lang w:eastAsia="en-US"/>
        </w:rPr>
      </w:pPr>
      <w:r w:rsidRPr="008C522C">
        <w:rPr>
          <w:rFonts w:ascii="Arial Narrow" w:eastAsia="Calibri" w:hAnsi="Arial Narrow" w:cs="Arial"/>
          <w:sz w:val="18"/>
          <w:szCs w:val="22"/>
          <w:lang w:eastAsia="en-US"/>
        </w:rPr>
        <w:t>CI = confidence interval; HR = hazard ratio; TAVR = transcatheter aortic valve replacement</w:t>
      </w:r>
    </w:p>
    <w:p w14:paraId="24959752" w14:textId="77777777" w:rsidR="008C522C" w:rsidRPr="008C522C" w:rsidRDefault="008C522C" w:rsidP="008C522C">
      <w:pPr>
        <w:keepNext/>
        <w:keepLines/>
        <w:jc w:val="both"/>
        <w:rPr>
          <w:rFonts w:ascii="Arial Narrow" w:hAnsi="Arial Narrow" w:cs="Arial"/>
          <w:sz w:val="20"/>
          <w:lang w:eastAsia="en-US"/>
        </w:rPr>
      </w:pPr>
      <w:r w:rsidRPr="008C522C">
        <w:rPr>
          <w:rFonts w:ascii="Arial Narrow" w:hAnsi="Arial Narrow" w:cs="Arial"/>
          <w:noProof/>
          <w:sz w:val="20"/>
        </w:rPr>
        <w:drawing>
          <wp:inline distT="0" distB="0" distL="0" distR="0" wp14:anchorId="5D6655F6" wp14:editId="23236453">
            <wp:extent cx="3714750" cy="2353718"/>
            <wp:effectExtent l="0" t="0" r="0" b="8890"/>
            <wp:docPr id="5" name="Picture 5" descr="Kaplan-Meier curves for the composite outcome of all-cause death or disabling stroke in the PARTNER 3 at 2-years follo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7C44DE.tmp"/>
                    <pic:cNvPicPr/>
                  </pic:nvPicPr>
                  <pic:blipFill>
                    <a:blip r:embed="rId31">
                      <a:extLst>
                        <a:ext uri="{28A0092B-C50C-407E-A947-70E740481C1C}">
                          <a14:useLocalDpi xmlns:a14="http://schemas.microsoft.com/office/drawing/2010/main" val="0"/>
                        </a:ext>
                      </a:extLst>
                    </a:blip>
                    <a:stretch>
                      <a:fillRect/>
                    </a:stretch>
                  </pic:blipFill>
                  <pic:spPr>
                    <a:xfrm>
                      <a:off x="0" y="0"/>
                      <a:ext cx="3727558" cy="2361833"/>
                    </a:xfrm>
                    <a:prstGeom prst="rect">
                      <a:avLst/>
                    </a:prstGeom>
                  </pic:spPr>
                </pic:pic>
              </a:graphicData>
            </a:graphic>
          </wp:inline>
        </w:drawing>
      </w:r>
    </w:p>
    <w:p w14:paraId="19DAF497" w14:textId="729BD9B6" w:rsidR="008C522C" w:rsidRPr="008C522C" w:rsidRDefault="008C522C" w:rsidP="00A502DF">
      <w:pPr>
        <w:pStyle w:val="Caption"/>
      </w:pPr>
      <w:bookmarkStart w:id="21" w:name="_Ref65232721"/>
      <w:r w:rsidRPr="008C522C">
        <w:t xml:space="preserve">Figure </w:t>
      </w:r>
      <w:fldSimple w:instr=" SEQ Figure \* ARABIC ">
        <w:r w:rsidR="003D2F4E">
          <w:rPr>
            <w:noProof/>
          </w:rPr>
          <w:t>5</w:t>
        </w:r>
      </w:fldSimple>
      <w:bookmarkEnd w:id="21"/>
      <w:r w:rsidR="00A502DF">
        <w:rPr>
          <w:noProof/>
        </w:rPr>
        <w:tab/>
      </w:r>
      <w:r w:rsidRPr="008C522C">
        <w:t>Kaplan-Meier curves for the composite outcome of all-cause death or disabling stroke in the PARTNER 3 at 2-years follow-up</w:t>
      </w:r>
    </w:p>
    <w:p w14:paraId="7FE6097C" w14:textId="315BC16C" w:rsidR="008C522C" w:rsidRPr="008C522C" w:rsidRDefault="008C522C" w:rsidP="008C522C">
      <w:pPr>
        <w:widowControl w:val="0"/>
        <w:snapToGrid w:val="0"/>
        <w:jc w:val="both"/>
        <w:rPr>
          <w:rFonts w:ascii="Arial Narrow" w:eastAsia="Calibri" w:hAnsi="Arial Narrow" w:cs="Arial"/>
          <w:sz w:val="18"/>
          <w:szCs w:val="22"/>
          <w:lang w:eastAsia="en-US"/>
        </w:rPr>
      </w:pPr>
      <w:r w:rsidRPr="008C522C">
        <w:rPr>
          <w:rFonts w:ascii="Arial Narrow" w:eastAsia="Calibri" w:hAnsi="Arial Narrow" w:cs="Arial"/>
          <w:sz w:val="18"/>
          <w:szCs w:val="22"/>
          <w:lang w:eastAsia="en-US"/>
        </w:rPr>
        <w:t>Source: Slide 19 of Mack et al. (2020)</w:t>
      </w:r>
      <w:r w:rsidR="00B97A2C">
        <w:rPr>
          <w:rFonts w:ascii="Arial Narrow" w:eastAsia="Calibri" w:hAnsi="Arial Narrow" w:cs="Arial"/>
          <w:sz w:val="18"/>
          <w:szCs w:val="22"/>
          <w:lang w:eastAsia="en-US"/>
        </w:rPr>
        <w:t xml:space="preserve"> </w:t>
      </w:r>
      <w:r w:rsidR="00B97A2C" w:rsidRPr="003F632D">
        <w:rPr>
          <w:rFonts w:ascii="Arial Narrow" w:eastAsia="Calibri" w:hAnsi="Arial Narrow" w:cs="Arial"/>
          <w:sz w:val="18"/>
          <w:szCs w:val="22"/>
          <w:vertAlign w:val="superscript"/>
          <w:lang w:eastAsia="en-US"/>
        </w:rPr>
        <w:fldChar w:fldCharType="begin"/>
      </w:r>
      <w:r w:rsidR="00B97A2C" w:rsidRPr="003F632D">
        <w:rPr>
          <w:rFonts w:ascii="Arial Narrow" w:eastAsia="Calibri" w:hAnsi="Arial Narrow" w:cs="Arial"/>
          <w:sz w:val="18"/>
          <w:szCs w:val="22"/>
          <w:vertAlign w:val="superscript"/>
          <w:lang w:eastAsia="en-US"/>
        </w:rPr>
        <w:instrText xml:space="preserve"> NOTEREF _Ref71020247 \h </w:instrText>
      </w:r>
      <w:r w:rsidR="00B97A2C">
        <w:rPr>
          <w:rFonts w:ascii="Arial Narrow" w:eastAsia="Calibri" w:hAnsi="Arial Narrow" w:cs="Arial"/>
          <w:sz w:val="18"/>
          <w:szCs w:val="22"/>
          <w:vertAlign w:val="superscript"/>
          <w:lang w:eastAsia="en-US"/>
        </w:rPr>
        <w:instrText xml:space="preserve"> \* MERGEFORMAT </w:instrText>
      </w:r>
      <w:r w:rsidR="00B97A2C" w:rsidRPr="003F632D">
        <w:rPr>
          <w:rFonts w:ascii="Arial Narrow" w:eastAsia="Calibri" w:hAnsi="Arial Narrow" w:cs="Arial"/>
          <w:sz w:val="18"/>
          <w:szCs w:val="22"/>
          <w:vertAlign w:val="superscript"/>
          <w:lang w:eastAsia="en-US"/>
        </w:rPr>
      </w:r>
      <w:r w:rsidR="00B97A2C" w:rsidRPr="003F632D">
        <w:rPr>
          <w:rFonts w:ascii="Arial Narrow" w:eastAsia="Calibri" w:hAnsi="Arial Narrow" w:cs="Arial"/>
          <w:sz w:val="18"/>
          <w:szCs w:val="22"/>
          <w:vertAlign w:val="superscript"/>
          <w:lang w:eastAsia="en-US"/>
        </w:rPr>
        <w:fldChar w:fldCharType="separate"/>
      </w:r>
      <w:r w:rsidR="003D2F4E">
        <w:rPr>
          <w:rFonts w:ascii="Arial Narrow" w:eastAsia="Calibri" w:hAnsi="Arial Narrow" w:cs="Arial"/>
          <w:sz w:val="18"/>
          <w:szCs w:val="22"/>
          <w:vertAlign w:val="superscript"/>
          <w:lang w:eastAsia="en-US"/>
        </w:rPr>
        <w:t>26</w:t>
      </w:r>
      <w:r w:rsidR="00B97A2C" w:rsidRPr="003F632D">
        <w:rPr>
          <w:rFonts w:ascii="Arial Narrow" w:eastAsia="Calibri" w:hAnsi="Arial Narrow" w:cs="Arial"/>
          <w:sz w:val="18"/>
          <w:szCs w:val="22"/>
          <w:vertAlign w:val="superscript"/>
          <w:lang w:eastAsia="en-US"/>
        </w:rPr>
        <w:fldChar w:fldCharType="end"/>
      </w:r>
    </w:p>
    <w:p w14:paraId="3706E8F0" w14:textId="77777777" w:rsidR="008C522C" w:rsidRPr="008C522C" w:rsidRDefault="008C522C" w:rsidP="008C522C">
      <w:pPr>
        <w:widowControl w:val="0"/>
        <w:snapToGrid w:val="0"/>
        <w:jc w:val="both"/>
        <w:rPr>
          <w:rFonts w:ascii="Arial Narrow" w:eastAsia="Calibri" w:hAnsi="Arial Narrow" w:cs="Arial"/>
          <w:sz w:val="18"/>
          <w:szCs w:val="22"/>
          <w:lang w:eastAsia="en-US"/>
        </w:rPr>
      </w:pPr>
      <w:r w:rsidRPr="008C522C">
        <w:rPr>
          <w:rFonts w:ascii="Arial Narrow" w:eastAsia="Calibri" w:hAnsi="Arial Narrow" w:cs="Arial"/>
          <w:sz w:val="18"/>
          <w:szCs w:val="22"/>
          <w:lang w:eastAsia="en-US"/>
        </w:rPr>
        <w:t>CI = confidence interval; HR = hazard ratio; TAVR = transcatheter aortic valve replacement</w:t>
      </w:r>
    </w:p>
    <w:p w14:paraId="11FEF057" w14:textId="77777777" w:rsidR="003D2F4E" w:rsidRPr="003D2F4E" w:rsidRDefault="008C522C" w:rsidP="003D2F4E">
      <w:pPr>
        <w:keepNext/>
        <w:keepLines/>
        <w:spacing w:before="240"/>
        <w:outlineLvl w:val="1"/>
        <w:rPr>
          <w:bCs/>
          <w:i/>
          <w:szCs w:val="26"/>
        </w:rPr>
      </w:pPr>
      <w:r w:rsidRPr="008C522C">
        <w:rPr>
          <w:bCs/>
          <w:i/>
          <w:szCs w:val="26"/>
        </w:rPr>
        <w:t>TAVI-BEV vs. TAVI-SEV</w:t>
      </w:r>
      <w:r w:rsidRPr="008C522C">
        <w:fldChar w:fldCharType="begin"/>
      </w:r>
      <w:r w:rsidRPr="008C522C">
        <w:instrText xml:space="preserve"> REF _Ref60310713 \h  \* MERGEFORMAT </w:instrText>
      </w:r>
      <w:r w:rsidRPr="008C522C">
        <w:fldChar w:fldCharType="separate"/>
      </w:r>
    </w:p>
    <w:p w14:paraId="15F74FBF" w14:textId="4BBB1A2B" w:rsidR="00571DB8" w:rsidRPr="00571DB8" w:rsidRDefault="003D2F4E" w:rsidP="00571DB8">
      <w:pPr>
        <w:spacing w:before="240"/>
        <w:rPr>
          <w:iCs/>
        </w:rPr>
      </w:pPr>
      <w:r w:rsidRPr="003D2F4E">
        <w:t>Table 9</w:t>
      </w:r>
      <w:r w:rsidR="008C522C" w:rsidRPr="008C522C">
        <w:fldChar w:fldCharType="end"/>
      </w:r>
      <w:r w:rsidR="008C522C" w:rsidRPr="008C522C">
        <w:t xml:space="preserve"> presents the indirect comparison, conducted during the evaluation, between TAVI</w:t>
      </w:r>
      <w:r w:rsidR="008C522C" w:rsidRPr="008C522C">
        <w:noBreakHyphen/>
        <w:t xml:space="preserve">BEV (PARTNER 3) and TAVI-SEV (EVOLUT), via the common comparator SAVR. </w:t>
      </w:r>
      <w:r w:rsidR="008C522C" w:rsidRPr="008C522C">
        <w:rPr>
          <w:iCs/>
        </w:rPr>
        <w:t>The commentary considered the results suggested there were no statistically significant differences in efficacy between TAVI-BEV and TAVI-SEV in terms of the rates of death, disabling stroke or stroke. However, patients treated with TAVI-SEV were significantly more likely to require a permanent pacemaker.</w:t>
      </w:r>
      <w:bookmarkStart w:id="22" w:name="_Ref60310713"/>
      <w:r w:rsidR="00571DB8">
        <w:rPr>
          <w:rFonts w:ascii="Arial Narrow" w:hAnsi="Arial Narrow" w:cs="Tahoma"/>
          <w:b/>
          <w:bCs/>
          <w:iCs/>
          <w:sz w:val="20"/>
        </w:rPr>
        <w:br w:type="page"/>
      </w:r>
    </w:p>
    <w:p w14:paraId="63671349" w14:textId="5308DC46" w:rsidR="008C522C" w:rsidRPr="008C522C" w:rsidRDefault="008C522C" w:rsidP="0085555A">
      <w:pPr>
        <w:spacing w:before="240"/>
        <w:rPr>
          <w:rFonts w:ascii="Arial Narrow" w:hAnsi="Arial Narrow" w:cs="Tahoma"/>
          <w:b/>
          <w:bCs/>
          <w:iCs/>
          <w:sz w:val="20"/>
        </w:rPr>
      </w:pPr>
      <w:r w:rsidRPr="008C522C">
        <w:rPr>
          <w:rFonts w:ascii="Arial Narrow" w:hAnsi="Arial Narrow" w:cs="Tahoma"/>
          <w:b/>
          <w:bCs/>
          <w:iCs/>
          <w:sz w:val="20"/>
        </w:rPr>
        <w:lastRenderedPageBreak/>
        <w:t xml:space="preserve">Table </w:t>
      </w:r>
      <w:r w:rsidRPr="008C522C">
        <w:rPr>
          <w:rFonts w:ascii="Arial Narrow" w:hAnsi="Arial Narrow" w:cs="Tahoma"/>
          <w:b/>
          <w:sz w:val="20"/>
          <w:shd w:val="clear" w:color="auto" w:fill="E6E6E6"/>
        </w:rPr>
        <w:fldChar w:fldCharType="begin"/>
      </w:r>
      <w:r w:rsidRPr="008C522C">
        <w:rPr>
          <w:rFonts w:ascii="Arial Narrow" w:hAnsi="Arial Narrow" w:cs="Tahoma"/>
          <w:b/>
          <w:bCs/>
          <w:iCs/>
          <w:sz w:val="20"/>
        </w:rPr>
        <w:instrText xml:space="preserve"> SEQ Table \* ARABIC </w:instrText>
      </w:r>
      <w:r w:rsidRPr="008C522C">
        <w:rPr>
          <w:rFonts w:ascii="Arial Narrow" w:hAnsi="Arial Narrow" w:cs="Tahoma"/>
          <w:b/>
          <w:sz w:val="20"/>
          <w:shd w:val="clear" w:color="auto" w:fill="E6E6E6"/>
        </w:rPr>
        <w:fldChar w:fldCharType="separate"/>
      </w:r>
      <w:r w:rsidR="003D2F4E">
        <w:rPr>
          <w:rFonts w:ascii="Arial Narrow" w:hAnsi="Arial Narrow" w:cs="Tahoma"/>
          <w:b/>
          <w:bCs/>
          <w:iCs/>
          <w:noProof/>
          <w:sz w:val="20"/>
        </w:rPr>
        <w:t>9</w:t>
      </w:r>
      <w:r w:rsidRPr="008C522C">
        <w:rPr>
          <w:rFonts w:ascii="Arial Narrow" w:hAnsi="Arial Narrow" w:cs="Tahoma"/>
          <w:b/>
          <w:sz w:val="20"/>
          <w:shd w:val="clear" w:color="auto" w:fill="E6E6E6"/>
        </w:rPr>
        <w:fldChar w:fldCharType="end"/>
      </w:r>
      <w:bookmarkEnd w:id="22"/>
      <w:r w:rsidRPr="008C522C">
        <w:rPr>
          <w:rFonts w:ascii="Arial Narrow" w:hAnsi="Arial Narrow" w:cs="Tahoma"/>
          <w:b/>
          <w:bCs/>
          <w:iCs/>
          <w:sz w:val="20"/>
        </w:rPr>
        <w:tab/>
        <w:t xml:space="preserve">Indirect comparison between TAVI-BEV (PARTNER 3) and TAVI-SEV (EVOLUT), with SAVR as the common comparator </w:t>
      </w:r>
    </w:p>
    <w:tbl>
      <w:tblPr>
        <w:tblStyle w:val="TableGrid"/>
        <w:tblW w:w="5003" w:type="pct"/>
        <w:tblLayout w:type="fixed"/>
        <w:tblLook w:val="04A0" w:firstRow="1" w:lastRow="0" w:firstColumn="1" w:lastColumn="0" w:noHBand="0" w:noVBand="1"/>
        <w:tblDescription w:val="Indirect comparison between TAVI-BEV (PARTNER 3) and TAVI-SEV (EVOLUT), with SAVR as the common comparator "/>
      </w:tblPr>
      <w:tblGrid>
        <w:gridCol w:w="2420"/>
        <w:gridCol w:w="2198"/>
        <w:gridCol w:w="2198"/>
        <w:gridCol w:w="2205"/>
      </w:tblGrid>
      <w:tr w:rsidR="008C522C" w:rsidRPr="008C522C" w14:paraId="538CCC11" w14:textId="77777777" w:rsidTr="005819C3">
        <w:trPr>
          <w:trHeight w:val="20"/>
        </w:trPr>
        <w:tc>
          <w:tcPr>
            <w:tcW w:w="1342" w:type="pct"/>
            <w:noWrap/>
            <w:hideMark/>
          </w:tcPr>
          <w:p w14:paraId="045BB9AE" w14:textId="77777777" w:rsidR="008C522C" w:rsidRPr="008C522C" w:rsidRDefault="008C522C" w:rsidP="008C522C">
            <w:pPr>
              <w:rPr>
                <w:rFonts w:ascii="Arial Narrow" w:hAnsi="Arial Narrow"/>
                <w:b/>
                <w:bCs/>
                <w:iCs/>
                <w:sz w:val="20"/>
              </w:rPr>
            </w:pPr>
            <w:r w:rsidRPr="008C522C">
              <w:rPr>
                <w:rFonts w:ascii="Arial Narrow" w:hAnsi="Arial Narrow"/>
                <w:b/>
                <w:bCs/>
                <w:iCs/>
                <w:sz w:val="20"/>
              </w:rPr>
              <w:t>Outcome</w:t>
            </w:r>
          </w:p>
        </w:tc>
        <w:tc>
          <w:tcPr>
            <w:tcW w:w="1218" w:type="pct"/>
          </w:tcPr>
          <w:p w14:paraId="4DEEF9BD"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RD (95% CI)</w:t>
            </w:r>
          </w:p>
          <w:p w14:paraId="63EFA3F8"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TAVI-BEV (PARTNER 3)</w:t>
            </w:r>
          </w:p>
        </w:tc>
        <w:tc>
          <w:tcPr>
            <w:tcW w:w="1218" w:type="pct"/>
          </w:tcPr>
          <w:p w14:paraId="7B7258E7"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RD (95% CI)</w:t>
            </w:r>
          </w:p>
          <w:p w14:paraId="6CC980C3"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TAVI-SEV (EVOLUT)</w:t>
            </w:r>
          </w:p>
        </w:tc>
        <w:tc>
          <w:tcPr>
            <w:tcW w:w="1222" w:type="pct"/>
          </w:tcPr>
          <w:p w14:paraId="095DB9F2"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 xml:space="preserve">Indirect comparison </w:t>
            </w:r>
          </w:p>
          <w:p w14:paraId="6BB32B30"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RD (95% CI)</w:t>
            </w:r>
          </w:p>
        </w:tc>
      </w:tr>
      <w:tr w:rsidR="008C522C" w:rsidRPr="008C522C" w14:paraId="7D07F60C" w14:textId="77777777" w:rsidTr="005819C3">
        <w:trPr>
          <w:trHeight w:val="20"/>
        </w:trPr>
        <w:tc>
          <w:tcPr>
            <w:tcW w:w="5000" w:type="pct"/>
            <w:gridSpan w:val="4"/>
            <w:noWrap/>
          </w:tcPr>
          <w:p w14:paraId="5B7D9D4A" w14:textId="77777777" w:rsidR="008C522C" w:rsidRPr="008C522C" w:rsidRDefault="008C522C" w:rsidP="008C522C">
            <w:pPr>
              <w:rPr>
                <w:rFonts w:ascii="Arial Narrow" w:hAnsi="Arial Narrow"/>
                <w:b/>
                <w:bCs/>
                <w:iCs/>
                <w:sz w:val="20"/>
              </w:rPr>
            </w:pPr>
            <w:r w:rsidRPr="008C522C">
              <w:rPr>
                <w:rFonts w:ascii="Arial Narrow" w:hAnsi="Arial Narrow" w:cs="Tahoma"/>
                <w:b/>
                <w:bCs/>
                <w:sz w:val="20"/>
              </w:rPr>
              <w:t>Outcomes at 30-days</w:t>
            </w:r>
          </w:p>
        </w:tc>
      </w:tr>
      <w:tr w:rsidR="008C522C" w:rsidRPr="008C522C" w14:paraId="5599830F" w14:textId="77777777" w:rsidTr="005819C3">
        <w:trPr>
          <w:trHeight w:val="20"/>
        </w:trPr>
        <w:tc>
          <w:tcPr>
            <w:tcW w:w="1342" w:type="pct"/>
            <w:noWrap/>
            <w:hideMark/>
          </w:tcPr>
          <w:p w14:paraId="35772638" w14:textId="77777777" w:rsidR="008C522C" w:rsidRPr="008C522C" w:rsidRDefault="008C522C" w:rsidP="008C522C">
            <w:pPr>
              <w:rPr>
                <w:rFonts w:ascii="Arial Narrow" w:hAnsi="Arial Narrow"/>
                <w:iCs/>
                <w:sz w:val="20"/>
              </w:rPr>
            </w:pPr>
            <w:r w:rsidRPr="008C522C">
              <w:rPr>
                <w:rFonts w:ascii="Arial Narrow" w:hAnsi="Arial Narrow"/>
                <w:iCs/>
                <w:sz w:val="20"/>
              </w:rPr>
              <w:t>Mortality</w:t>
            </w:r>
          </w:p>
        </w:tc>
        <w:tc>
          <w:tcPr>
            <w:tcW w:w="1218" w:type="pct"/>
          </w:tcPr>
          <w:p w14:paraId="3701EF90" w14:textId="77777777" w:rsidR="008C522C" w:rsidRPr="008C522C" w:rsidRDefault="008C522C" w:rsidP="008C522C">
            <w:pPr>
              <w:jc w:val="center"/>
              <w:rPr>
                <w:rFonts w:ascii="Arial Narrow" w:hAnsi="Arial Narrow"/>
                <w:iCs/>
                <w:sz w:val="20"/>
              </w:rPr>
            </w:pPr>
            <w:r w:rsidRPr="008C522C">
              <w:rPr>
                <w:rFonts w:ascii="Arial Narrow" w:hAnsi="Arial Narrow"/>
                <w:iCs/>
                <w:sz w:val="20"/>
              </w:rPr>
              <w:t>-0.7% (-1.8%, 0.4%)</w:t>
            </w:r>
          </w:p>
        </w:tc>
        <w:tc>
          <w:tcPr>
            <w:tcW w:w="1218" w:type="pct"/>
          </w:tcPr>
          <w:p w14:paraId="60502A26" w14:textId="58AB38AD" w:rsidR="008C522C" w:rsidRPr="008C522C" w:rsidRDefault="008C522C" w:rsidP="00F86003">
            <w:pPr>
              <w:jc w:val="center"/>
              <w:rPr>
                <w:rFonts w:ascii="Arial Narrow" w:hAnsi="Arial Narrow"/>
                <w:iCs/>
                <w:sz w:val="20"/>
              </w:rPr>
            </w:pPr>
            <w:r w:rsidRPr="008C522C">
              <w:rPr>
                <w:rFonts w:ascii="Arial Narrow" w:hAnsi="Arial Narrow"/>
                <w:iCs/>
                <w:sz w:val="20"/>
              </w:rPr>
              <w:t>-0.8% (-1.9%, 0.2%)</w:t>
            </w:r>
          </w:p>
        </w:tc>
        <w:tc>
          <w:tcPr>
            <w:tcW w:w="1222" w:type="pct"/>
          </w:tcPr>
          <w:p w14:paraId="7E6DCE8A" w14:textId="77777777" w:rsidR="008C522C" w:rsidRPr="008C522C" w:rsidRDefault="008C522C" w:rsidP="008C522C">
            <w:pPr>
              <w:jc w:val="center"/>
              <w:rPr>
                <w:rFonts w:ascii="Arial Narrow" w:hAnsi="Arial Narrow"/>
                <w:iCs/>
                <w:sz w:val="20"/>
              </w:rPr>
            </w:pPr>
            <w:r w:rsidRPr="008C522C">
              <w:rPr>
                <w:rFonts w:ascii="Arial Narrow" w:hAnsi="Arial Narrow"/>
                <w:iCs/>
                <w:sz w:val="20"/>
              </w:rPr>
              <w:t>0.1% (-1.4%, 1.6%)</w:t>
            </w:r>
          </w:p>
        </w:tc>
      </w:tr>
      <w:tr w:rsidR="008C522C" w:rsidRPr="008C522C" w14:paraId="3D25919A" w14:textId="77777777" w:rsidTr="005819C3">
        <w:trPr>
          <w:trHeight w:val="20"/>
        </w:trPr>
        <w:tc>
          <w:tcPr>
            <w:tcW w:w="1342" w:type="pct"/>
            <w:noWrap/>
            <w:hideMark/>
          </w:tcPr>
          <w:p w14:paraId="7D45CB42" w14:textId="77777777" w:rsidR="008C522C" w:rsidRPr="008C522C" w:rsidRDefault="008C522C" w:rsidP="008C522C">
            <w:pPr>
              <w:rPr>
                <w:rFonts w:ascii="Arial Narrow" w:hAnsi="Arial Narrow"/>
                <w:iCs/>
                <w:sz w:val="20"/>
              </w:rPr>
            </w:pPr>
            <w:r w:rsidRPr="008C522C">
              <w:rPr>
                <w:rFonts w:ascii="Arial Narrow" w:hAnsi="Arial Narrow"/>
                <w:iCs/>
                <w:sz w:val="20"/>
              </w:rPr>
              <w:t>Stroke</w:t>
            </w:r>
          </w:p>
        </w:tc>
        <w:tc>
          <w:tcPr>
            <w:tcW w:w="1218" w:type="pct"/>
          </w:tcPr>
          <w:p w14:paraId="7993A9FF" w14:textId="5D3C3931" w:rsidR="008C522C" w:rsidRPr="008C522C" w:rsidRDefault="008C522C" w:rsidP="006C596F">
            <w:pPr>
              <w:jc w:val="center"/>
              <w:rPr>
                <w:rFonts w:ascii="Arial Narrow" w:hAnsi="Arial Narrow"/>
                <w:iCs/>
                <w:sz w:val="20"/>
              </w:rPr>
            </w:pPr>
            <w:r w:rsidRPr="008C522C">
              <w:rPr>
                <w:rFonts w:ascii="Arial Narrow" w:hAnsi="Arial Narrow"/>
                <w:iCs/>
                <w:sz w:val="20"/>
              </w:rPr>
              <w:t>-</w:t>
            </w:r>
            <w:r w:rsidRPr="008C522C">
              <w:rPr>
                <w:rFonts w:ascii="Arial Narrow" w:hAnsi="Arial Narrow"/>
                <w:b/>
                <w:bCs/>
                <w:iCs/>
                <w:sz w:val="20"/>
              </w:rPr>
              <w:t>1.8% (-3.4%, -0.3%)</w:t>
            </w:r>
          </w:p>
        </w:tc>
        <w:tc>
          <w:tcPr>
            <w:tcW w:w="1218" w:type="pct"/>
          </w:tcPr>
          <w:p w14:paraId="30ED81C4" w14:textId="77777777" w:rsidR="008C522C" w:rsidRPr="008C522C" w:rsidRDefault="008C522C" w:rsidP="008C522C">
            <w:pPr>
              <w:jc w:val="center"/>
              <w:rPr>
                <w:rFonts w:ascii="Arial Narrow" w:hAnsi="Arial Narrow"/>
                <w:iCs/>
                <w:sz w:val="20"/>
              </w:rPr>
            </w:pPr>
            <w:r w:rsidRPr="008C522C">
              <w:rPr>
                <w:rFonts w:ascii="Arial Narrow" w:hAnsi="Arial Narrow"/>
                <w:iCs/>
                <w:sz w:val="20"/>
              </w:rPr>
              <w:t>0% (-1.9%, 1.9%)</w:t>
            </w:r>
          </w:p>
        </w:tc>
        <w:tc>
          <w:tcPr>
            <w:tcW w:w="1222" w:type="pct"/>
          </w:tcPr>
          <w:p w14:paraId="229805DC" w14:textId="77777777" w:rsidR="008C522C" w:rsidRPr="008C522C" w:rsidRDefault="008C522C" w:rsidP="008C522C">
            <w:pPr>
              <w:jc w:val="center"/>
              <w:rPr>
                <w:rFonts w:ascii="Arial Narrow" w:hAnsi="Arial Narrow"/>
                <w:iCs/>
                <w:sz w:val="20"/>
              </w:rPr>
            </w:pPr>
            <w:r w:rsidRPr="008C522C">
              <w:rPr>
                <w:rFonts w:ascii="Arial Narrow" w:hAnsi="Arial Narrow"/>
                <w:iCs/>
                <w:sz w:val="20"/>
              </w:rPr>
              <w:t>-1.8% (-4.3%, 0.6%)</w:t>
            </w:r>
          </w:p>
        </w:tc>
      </w:tr>
      <w:tr w:rsidR="008C522C" w:rsidRPr="008C522C" w14:paraId="7CCAFDF4" w14:textId="77777777" w:rsidTr="005819C3">
        <w:trPr>
          <w:trHeight w:val="20"/>
        </w:trPr>
        <w:tc>
          <w:tcPr>
            <w:tcW w:w="1342" w:type="pct"/>
            <w:noWrap/>
            <w:hideMark/>
          </w:tcPr>
          <w:p w14:paraId="654FA220" w14:textId="77777777" w:rsidR="008C522C" w:rsidRPr="008C522C" w:rsidRDefault="008C522C" w:rsidP="008C522C">
            <w:pPr>
              <w:rPr>
                <w:rFonts w:ascii="Arial Narrow" w:hAnsi="Arial Narrow"/>
                <w:iCs/>
                <w:sz w:val="20"/>
              </w:rPr>
            </w:pPr>
            <w:r w:rsidRPr="008C522C">
              <w:rPr>
                <w:rFonts w:ascii="Arial Narrow" w:hAnsi="Arial Narrow"/>
                <w:iCs/>
                <w:sz w:val="20"/>
              </w:rPr>
              <w:t>Disabling stroke</w:t>
            </w:r>
          </w:p>
        </w:tc>
        <w:tc>
          <w:tcPr>
            <w:tcW w:w="1218" w:type="pct"/>
          </w:tcPr>
          <w:p w14:paraId="3B0B9605" w14:textId="77777777" w:rsidR="008C522C" w:rsidRPr="008C522C" w:rsidRDefault="008C522C" w:rsidP="008C522C">
            <w:pPr>
              <w:jc w:val="center"/>
              <w:rPr>
                <w:rFonts w:ascii="Arial Narrow" w:hAnsi="Arial Narrow"/>
                <w:iCs/>
                <w:sz w:val="20"/>
              </w:rPr>
            </w:pPr>
            <w:r w:rsidRPr="008C522C">
              <w:rPr>
                <w:rFonts w:ascii="Arial Narrow" w:hAnsi="Arial Narrow"/>
                <w:iCs/>
                <w:sz w:val="20"/>
              </w:rPr>
              <w:t>-0.4% (-1.1%, 0.2%)</w:t>
            </w:r>
          </w:p>
        </w:tc>
        <w:tc>
          <w:tcPr>
            <w:tcW w:w="1218" w:type="pct"/>
          </w:tcPr>
          <w:p w14:paraId="468702FA"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-1.2% (-2.4%, -0.2)</w:t>
            </w:r>
          </w:p>
        </w:tc>
        <w:tc>
          <w:tcPr>
            <w:tcW w:w="1222" w:type="pct"/>
          </w:tcPr>
          <w:p w14:paraId="4489FD66" w14:textId="77777777" w:rsidR="008C522C" w:rsidRPr="008C522C" w:rsidRDefault="008C522C" w:rsidP="008C522C">
            <w:pPr>
              <w:jc w:val="center"/>
              <w:rPr>
                <w:rFonts w:ascii="Arial Narrow" w:hAnsi="Arial Narrow"/>
                <w:iCs/>
                <w:sz w:val="20"/>
              </w:rPr>
            </w:pPr>
            <w:r w:rsidRPr="008C522C">
              <w:rPr>
                <w:rFonts w:ascii="Arial Narrow" w:hAnsi="Arial Narrow"/>
                <w:iCs/>
                <w:sz w:val="20"/>
              </w:rPr>
              <w:t>0.8% (-0.5%, 2.0%)</w:t>
            </w:r>
          </w:p>
        </w:tc>
      </w:tr>
      <w:tr w:rsidR="008C522C" w:rsidRPr="008C522C" w14:paraId="22714727" w14:textId="77777777" w:rsidTr="005819C3">
        <w:trPr>
          <w:trHeight w:val="20"/>
        </w:trPr>
        <w:tc>
          <w:tcPr>
            <w:tcW w:w="1342" w:type="pct"/>
            <w:noWrap/>
            <w:hideMark/>
          </w:tcPr>
          <w:p w14:paraId="127D79EC" w14:textId="77777777" w:rsidR="008C522C" w:rsidRPr="008C522C" w:rsidRDefault="008C522C" w:rsidP="008C522C">
            <w:pPr>
              <w:rPr>
                <w:rFonts w:ascii="Arial Narrow" w:hAnsi="Arial Narrow"/>
                <w:iCs/>
                <w:sz w:val="20"/>
              </w:rPr>
            </w:pPr>
            <w:r w:rsidRPr="008C522C">
              <w:rPr>
                <w:rFonts w:ascii="Arial Narrow" w:hAnsi="Arial Narrow"/>
                <w:iCs/>
                <w:sz w:val="20"/>
              </w:rPr>
              <w:t>Mortality or disabling stroke</w:t>
            </w:r>
          </w:p>
        </w:tc>
        <w:tc>
          <w:tcPr>
            <w:tcW w:w="1218" w:type="pct"/>
          </w:tcPr>
          <w:p w14:paraId="72BB0502" w14:textId="77777777" w:rsidR="008C522C" w:rsidRPr="008C522C" w:rsidRDefault="008C522C" w:rsidP="008C522C">
            <w:pPr>
              <w:jc w:val="center"/>
              <w:rPr>
                <w:rFonts w:ascii="Arial Narrow" w:hAnsi="Arial Narrow"/>
                <w:iCs/>
                <w:sz w:val="20"/>
              </w:rPr>
            </w:pPr>
            <w:r w:rsidRPr="008C522C">
              <w:rPr>
                <w:rFonts w:ascii="Arial Narrow" w:hAnsi="Arial Narrow"/>
                <w:iCs/>
                <w:sz w:val="20"/>
              </w:rPr>
              <w:t>-0.9% (-2.1%, 0.3%)</w:t>
            </w:r>
          </w:p>
        </w:tc>
        <w:tc>
          <w:tcPr>
            <w:tcW w:w="1218" w:type="pct"/>
          </w:tcPr>
          <w:p w14:paraId="0BBC195D"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-1.8% (-3.2%, -0.5%)</w:t>
            </w:r>
          </w:p>
        </w:tc>
        <w:tc>
          <w:tcPr>
            <w:tcW w:w="1222" w:type="pct"/>
          </w:tcPr>
          <w:p w14:paraId="4A25AD2C" w14:textId="77777777" w:rsidR="008C522C" w:rsidRPr="008C522C" w:rsidRDefault="008C522C" w:rsidP="008C522C">
            <w:pPr>
              <w:jc w:val="center"/>
              <w:rPr>
                <w:rFonts w:ascii="Arial Narrow" w:hAnsi="Arial Narrow"/>
                <w:iCs/>
                <w:sz w:val="20"/>
              </w:rPr>
            </w:pPr>
            <w:r w:rsidRPr="008C522C">
              <w:rPr>
                <w:rFonts w:ascii="Arial Narrow" w:hAnsi="Arial Narrow"/>
                <w:iCs/>
                <w:sz w:val="20"/>
              </w:rPr>
              <w:t>0.9% (-0.9%, 2.7%)</w:t>
            </w:r>
          </w:p>
        </w:tc>
      </w:tr>
      <w:tr w:rsidR="008C522C" w:rsidRPr="008C522C" w14:paraId="06086015" w14:textId="77777777" w:rsidTr="005819C3">
        <w:trPr>
          <w:trHeight w:val="65"/>
        </w:trPr>
        <w:tc>
          <w:tcPr>
            <w:tcW w:w="1342" w:type="pct"/>
            <w:noWrap/>
            <w:hideMark/>
          </w:tcPr>
          <w:p w14:paraId="6EC378A9" w14:textId="77777777" w:rsidR="008C522C" w:rsidRPr="008C522C" w:rsidRDefault="008C522C" w:rsidP="008C522C">
            <w:pPr>
              <w:rPr>
                <w:rFonts w:ascii="Arial Narrow" w:hAnsi="Arial Narrow"/>
                <w:iCs/>
                <w:sz w:val="20"/>
              </w:rPr>
            </w:pPr>
            <w:r w:rsidRPr="008C522C">
              <w:rPr>
                <w:rFonts w:ascii="Arial Narrow" w:hAnsi="Arial Narrow"/>
                <w:iCs/>
                <w:sz w:val="20"/>
              </w:rPr>
              <w:t>New permanent pacemaker</w:t>
            </w:r>
          </w:p>
        </w:tc>
        <w:tc>
          <w:tcPr>
            <w:tcW w:w="1218" w:type="pct"/>
          </w:tcPr>
          <w:p w14:paraId="5BF8CEE6" w14:textId="77777777" w:rsidR="008C522C" w:rsidRPr="008C522C" w:rsidRDefault="008C522C" w:rsidP="008C522C">
            <w:pPr>
              <w:jc w:val="center"/>
              <w:rPr>
                <w:rFonts w:ascii="Arial Narrow" w:hAnsi="Arial Narrow"/>
                <w:iCs/>
                <w:sz w:val="20"/>
              </w:rPr>
            </w:pPr>
            <w:r w:rsidRPr="008C522C">
              <w:rPr>
                <w:rFonts w:ascii="Arial Narrow" w:hAnsi="Arial Narrow"/>
                <w:iCs/>
                <w:sz w:val="20"/>
              </w:rPr>
              <w:t>2.5% (-0.3%, 5.3%)</w:t>
            </w:r>
          </w:p>
        </w:tc>
        <w:tc>
          <w:tcPr>
            <w:tcW w:w="1218" w:type="pct"/>
          </w:tcPr>
          <w:p w14:paraId="73262FC8"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11.3% (8.0%, 14.7%)</w:t>
            </w:r>
          </w:p>
        </w:tc>
        <w:tc>
          <w:tcPr>
            <w:tcW w:w="1222" w:type="pct"/>
          </w:tcPr>
          <w:p w14:paraId="1B0410E2" w14:textId="463FDCD4" w:rsidR="008C522C" w:rsidRPr="008C522C" w:rsidRDefault="008C522C" w:rsidP="00E16337">
            <w:pPr>
              <w:jc w:val="center"/>
              <w:rPr>
                <w:rFonts w:ascii="Arial Narrow" w:hAnsi="Arial Narrow"/>
                <w:b/>
                <w:bCs/>
                <w:iCs/>
                <w:sz w:val="20"/>
              </w:rPr>
            </w:pPr>
            <w:r w:rsidRPr="008C522C">
              <w:rPr>
                <w:rFonts w:ascii="Arial Narrow" w:hAnsi="Arial Narrow"/>
                <w:b/>
                <w:bCs/>
                <w:iCs/>
                <w:sz w:val="20"/>
              </w:rPr>
              <w:t>-8.8% (-13.1%, -4.5%)</w:t>
            </w:r>
          </w:p>
        </w:tc>
      </w:tr>
      <w:tr w:rsidR="008C522C" w:rsidRPr="008C522C" w14:paraId="5961C0E4" w14:textId="77777777" w:rsidTr="005819C3">
        <w:trPr>
          <w:trHeight w:val="20"/>
        </w:trPr>
        <w:tc>
          <w:tcPr>
            <w:tcW w:w="1342" w:type="pct"/>
            <w:noWrap/>
            <w:hideMark/>
          </w:tcPr>
          <w:p w14:paraId="0A5ABF07" w14:textId="77777777" w:rsidR="008C522C" w:rsidRPr="008C522C" w:rsidRDefault="008C522C" w:rsidP="008C522C">
            <w:pPr>
              <w:rPr>
                <w:rFonts w:ascii="Arial Narrow" w:hAnsi="Arial Narrow"/>
                <w:iCs/>
                <w:sz w:val="20"/>
              </w:rPr>
            </w:pPr>
            <w:r w:rsidRPr="008C522C">
              <w:rPr>
                <w:rFonts w:ascii="Arial Narrow" w:hAnsi="Arial Narrow"/>
                <w:iCs/>
                <w:sz w:val="20"/>
              </w:rPr>
              <w:t>New atrial fibrillation</w:t>
            </w:r>
          </w:p>
        </w:tc>
        <w:tc>
          <w:tcPr>
            <w:tcW w:w="1218" w:type="pct"/>
          </w:tcPr>
          <w:p w14:paraId="565F2843" w14:textId="2DBFB13C" w:rsidR="008C522C" w:rsidRPr="008C522C" w:rsidRDefault="008C522C" w:rsidP="00223624">
            <w:pPr>
              <w:jc w:val="center"/>
              <w:rPr>
                <w:rFonts w:ascii="Arial Narrow" w:hAnsi="Arial Narrow"/>
                <w:b/>
                <w:bCs/>
                <w:iCs/>
                <w:sz w:val="20"/>
              </w:rPr>
            </w:pPr>
            <w:r w:rsidRPr="008C522C">
              <w:rPr>
                <w:rFonts w:ascii="Arial Narrow" w:hAnsi="Arial Narrow"/>
                <w:b/>
                <w:bCs/>
                <w:iCs/>
                <w:sz w:val="20"/>
              </w:rPr>
              <w:t>-</w:t>
            </w:r>
            <w:r w:rsidR="00E16337" w:rsidRPr="008C522C">
              <w:rPr>
                <w:rFonts w:ascii="Arial Narrow" w:hAnsi="Arial Narrow"/>
                <w:b/>
                <w:bCs/>
                <w:iCs/>
                <w:sz w:val="20"/>
              </w:rPr>
              <w:t>2</w:t>
            </w:r>
            <w:r w:rsidR="00E16337">
              <w:rPr>
                <w:rFonts w:ascii="Arial Narrow" w:hAnsi="Arial Narrow"/>
                <w:b/>
                <w:bCs/>
                <w:iCs/>
                <w:sz w:val="20"/>
              </w:rPr>
              <w:t>7</w:t>
            </w:r>
            <w:r w:rsidRPr="008C522C">
              <w:rPr>
                <w:rFonts w:ascii="Arial Narrow" w:hAnsi="Arial Narrow"/>
                <w:b/>
                <w:bCs/>
                <w:iCs/>
                <w:sz w:val="20"/>
              </w:rPr>
              <w:t>.7% (-3</w:t>
            </w:r>
            <w:r w:rsidR="00E16337">
              <w:rPr>
                <w:rFonts w:ascii="Arial Narrow" w:hAnsi="Arial Narrow"/>
                <w:b/>
                <w:bCs/>
                <w:iCs/>
                <w:sz w:val="20"/>
              </w:rPr>
              <w:t>2</w:t>
            </w:r>
            <w:r w:rsidRPr="008C522C">
              <w:rPr>
                <w:rFonts w:ascii="Arial Narrow" w:hAnsi="Arial Narrow"/>
                <w:b/>
                <w:bCs/>
                <w:iCs/>
                <w:sz w:val="20"/>
              </w:rPr>
              <w:t>.</w:t>
            </w:r>
            <w:r w:rsidR="00223624">
              <w:rPr>
                <w:rFonts w:ascii="Arial Narrow" w:hAnsi="Arial Narrow"/>
                <w:b/>
                <w:bCs/>
                <w:iCs/>
                <w:sz w:val="20"/>
              </w:rPr>
              <w:t>3</w:t>
            </w:r>
            <w:r w:rsidRPr="008C522C">
              <w:rPr>
                <w:rFonts w:ascii="Arial Narrow" w:hAnsi="Arial Narrow"/>
                <w:b/>
                <w:bCs/>
                <w:iCs/>
                <w:sz w:val="20"/>
              </w:rPr>
              <w:t>%, -23.</w:t>
            </w:r>
            <w:r w:rsidR="00E16337">
              <w:rPr>
                <w:rFonts w:ascii="Arial Narrow" w:hAnsi="Arial Narrow"/>
                <w:b/>
                <w:bCs/>
                <w:iCs/>
                <w:sz w:val="20"/>
              </w:rPr>
              <w:t>1</w:t>
            </w:r>
            <w:r w:rsidRPr="008C522C">
              <w:rPr>
                <w:rFonts w:ascii="Arial Narrow" w:hAnsi="Arial Narrow"/>
                <w:b/>
                <w:bCs/>
                <w:iCs/>
                <w:sz w:val="20"/>
              </w:rPr>
              <w:t>%)</w:t>
            </w:r>
          </w:p>
        </w:tc>
        <w:tc>
          <w:tcPr>
            <w:tcW w:w="1218" w:type="pct"/>
          </w:tcPr>
          <w:p w14:paraId="1B987F70"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-27.7% (-31.8%, -23.6%)</w:t>
            </w:r>
          </w:p>
        </w:tc>
        <w:tc>
          <w:tcPr>
            <w:tcW w:w="1222" w:type="pct"/>
          </w:tcPr>
          <w:p w14:paraId="445DB125" w14:textId="5F08CF33" w:rsidR="008C522C" w:rsidRPr="008C522C" w:rsidRDefault="00E16337" w:rsidP="008C522C">
            <w:pPr>
              <w:jc w:val="center"/>
              <w:rPr>
                <w:rFonts w:ascii="Arial Narrow" w:hAnsi="Arial Narrow"/>
                <w:iCs/>
                <w:sz w:val="20"/>
              </w:rPr>
            </w:pPr>
            <w:r w:rsidRPr="00E16337">
              <w:rPr>
                <w:rFonts w:ascii="Arial Narrow" w:hAnsi="Arial Narrow"/>
                <w:iCs/>
                <w:sz w:val="20"/>
              </w:rPr>
              <w:t>0.0% (-6.2%, 6.2%)</w:t>
            </w:r>
          </w:p>
        </w:tc>
      </w:tr>
      <w:tr w:rsidR="008C522C" w:rsidRPr="008C522C" w14:paraId="768FD86A" w14:textId="77777777" w:rsidTr="005819C3">
        <w:trPr>
          <w:trHeight w:val="20"/>
        </w:trPr>
        <w:tc>
          <w:tcPr>
            <w:tcW w:w="1342" w:type="pct"/>
            <w:noWrap/>
            <w:hideMark/>
          </w:tcPr>
          <w:p w14:paraId="1631CC9D" w14:textId="77777777" w:rsidR="008C522C" w:rsidRPr="008C522C" w:rsidRDefault="008C522C" w:rsidP="008C522C">
            <w:pPr>
              <w:rPr>
                <w:rFonts w:ascii="Arial Narrow" w:hAnsi="Arial Narrow"/>
                <w:iCs/>
                <w:sz w:val="20"/>
              </w:rPr>
            </w:pPr>
            <w:r w:rsidRPr="008C522C">
              <w:rPr>
                <w:rFonts w:ascii="Arial Narrow" w:hAnsi="Arial Narrow"/>
                <w:iCs/>
                <w:sz w:val="20"/>
              </w:rPr>
              <w:t>Aortic valve reintervention</w:t>
            </w:r>
          </w:p>
        </w:tc>
        <w:tc>
          <w:tcPr>
            <w:tcW w:w="1218" w:type="pct"/>
          </w:tcPr>
          <w:p w14:paraId="0F835816" w14:textId="77777777" w:rsidR="008C522C" w:rsidRPr="008C522C" w:rsidRDefault="008C522C" w:rsidP="008C522C">
            <w:pPr>
              <w:jc w:val="center"/>
              <w:rPr>
                <w:rFonts w:ascii="Arial Narrow" w:hAnsi="Arial Narrow"/>
                <w:iCs/>
                <w:sz w:val="20"/>
              </w:rPr>
            </w:pPr>
            <w:r w:rsidRPr="008C522C">
              <w:rPr>
                <w:rFonts w:ascii="Arial Narrow" w:hAnsi="Arial Narrow"/>
                <w:iCs/>
                <w:sz w:val="20"/>
              </w:rPr>
              <w:t xml:space="preserve">0% </w:t>
            </w:r>
          </w:p>
        </w:tc>
        <w:tc>
          <w:tcPr>
            <w:tcW w:w="1218" w:type="pct"/>
          </w:tcPr>
          <w:p w14:paraId="3CD70E8C" w14:textId="314BC2CC" w:rsidR="008C522C" w:rsidRPr="008C522C" w:rsidRDefault="008C522C" w:rsidP="00104E0B">
            <w:pPr>
              <w:jc w:val="center"/>
              <w:rPr>
                <w:rFonts w:ascii="Arial Narrow" w:hAnsi="Arial Narrow"/>
                <w:iCs/>
                <w:sz w:val="20"/>
              </w:rPr>
            </w:pPr>
            <w:r w:rsidRPr="008C522C">
              <w:rPr>
                <w:rFonts w:ascii="Arial Narrow" w:hAnsi="Arial Narrow"/>
                <w:iCs/>
                <w:sz w:val="20"/>
              </w:rPr>
              <w:t xml:space="preserve">0.0 </w:t>
            </w:r>
            <w:r w:rsidR="00FF6040">
              <w:rPr>
                <w:rFonts w:ascii="Arial Narrow" w:hAnsi="Arial Narrow"/>
                <w:iCs/>
                <w:sz w:val="20"/>
              </w:rPr>
              <w:t>(</w:t>
            </w:r>
            <w:r w:rsidRPr="008C522C">
              <w:rPr>
                <w:rFonts w:ascii="Arial Narrow" w:hAnsi="Arial Narrow"/>
                <w:iCs/>
                <w:sz w:val="20"/>
              </w:rPr>
              <w:t>-0.</w:t>
            </w:r>
            <w:r w:rsidR="00104E0B">
              <w:rPr>
                <w:rFonts w:ascii="Arial Narrow" w:hAnsi="Arial Narrow"/>
                <w:iCs/>
                <w:sz w:val="20"/>
              </w:rPr>
              <w:t>7</w:t>
            </w:r>
            <w:r w:rsidR="00104E0B" w:rsidRPr="008C522C">
              <w:rPr>
                <w:rFonts w:ascii="Arial Narrow" w:hAnsi="Arial Narrow"/>
                <w:iCs/>
                <w:sz w:val="20"/>
              </w:rPr>
              <w:t xml:space="preserve"> </w:t>
            </w:r>
            <w:r w:rsidRPr="008C522C">
              <w:rPr>
                <w:rFonts w:ascii="Arial Narrow" w:hAnsi="Arial Narrow"/>
                <w:iCs/>
                <w:sz w:val="20"/>
              </w:rPr>
              <w:t>to 0.7)</w:t>
            </w:r>
          </w:p>
        </w:tc>
        <w:tc>
          <w:tcPr>
            <w:tcW w:w="1222" w:type="pct"/>
          </w:tcPr>
          <w:p w14:paraId="2155E06F" w14:textId="77777777" w:rsidR="008C522C" w:rsidRPr="008C522C" w:rsidRDefault="008C522C" w:rsidP="008C522C">
            <w:pPr>
              <w:jc w:val="center"/>
              <w:rPr>
                <w:rFonts w:ascii="Arial Narrow" w:hAnsi="Arial Narrow"/>
                <w:iCs/>
                <w:sz w:val="20"/>
              </w:rPr>
            </w:pPr>
            <w:r w:rsidRPr="008C522C">
              <w:rPr>
                <w:rFonts w:ascii="Arial Narrow" w:hAnsi="Arial Narrow"/>
                <w:iCs/>
                <w:sz w:val="20"/>
              </w:rPr>
              <w:t>0% (-0.7%, 0.7%)</w:t>
            </w:r>
          </w:p>
        </w:tc>
      </w:tr>
      <w:tr w:rsidR="008C522C" w:rsidRPr="008C522C" w14:paraId="2DE8BD52" w14:textId="77777777" w:rsidTr="005819C3">
        <w:trPr>
          <w:trHeight w:val="20"/>
        </w:trPr>
        <w:tc>
          <w:tcPr>
            <w:tcW w:w="5000" w:type="pct"/>
            <w:gridSpan w:val="4"/>
            <w:noWrap/>
          </w:tcPr>
          <w:p w14:paraId="076E4F66" w14:textId="77777777" w:rsidR="008C522C" w:rsidRPr="008C522C" w:rsidRDefault="008C522C" w:rsidP="008C522C">
            <w:pPr>
              <w:rPr>
                <w:rFonts w:ascii="Arial Narrow" w:hAnsi="Arial Narrow"/>
                <w:b/>
                <w:bCs/>
                <w:iCs/>
                <w:sz w:val="20"/>
              </w:rPr>
            </w:pPr>
            <w:r w:rsidRPr="008C522C">
              <w:rPr>
                <w:rFonts w:ascii="Arial Narrow" w:hAnsi="Arial Narrow"/>
                <w:b/>
                <w:bCs/>
                <w:iCs/>
                <w:sz w:val="20"/>
              </w:rPr>
              <w:t>Outcomes at 1-year follow-up</w:t>
            </w:r>
          </w:p>
        </w:tc>
      </w:tr>
      <w:tr w:rsidR="008C522C" w:rsidRPr="008C522C" w14:paraId="1E9E6CC6" w14:textId="77777777" w:rsidTr="005819C3">
        <w:trPr>
          <w:trHeight w:val="20"/>
        </w:trPr>
        <w:tc>
          <w:tcPr>
            <w:tcW w:w="1342" w:type="pct"/>
            <w:noWrap/>
            <w:hideMark/>
          </w:tcPr>
          <w:p w14:paraId="54B3AE48" w14:textId="77777777" w:rsidR="008C522C" w:rsidRPr="008C522C" w:rsidRDefault="008C522C" w:rsidP="008C522C">
            <w:pPr>
              <w:rPr>
                <w:rFonts w:ascii="Arial Narrow" w:hAnsi="Arial Narrow"/>
                <w:iCs/>
                <w:sz w:val="20"/>
              </w:rPr>
            </w:pPr>
            <w:r w:rsidRPr="008C522C">
              <w:rPr>
                <w:rFonts w:ascii="Arial Narrow" w:hAnsi="Arial Narrow"/>
                <w:iCs/>
                <w:sz w:val="20"/>
              </w:rPr>
              <w:t>Mortality</w:t>
            </w:r>
          </w:p>
        </w:tc>
        <w:tc>
          <w:tcPr>
            <w:tcW w:w="1218" w:type="pct"/>
          </w:tcPr>
          <w:p w14:paraId="0C31E28A" w14:textId="77777777" w:rsidR="008C522C" w:rsidRPr="008C522C" w:rsidRDefault="008C522C" w:rsidP="008C522C">
            <w:pPr>
              <w:jc w:val="center"/>
              <w:rPr>
                <w:rFonts w:ascii="Arial Narrow" w:hAnsi="Arial Narrow"/>
                <w:iCs/>
                <w:sz w:val="20"/>
              </w:rPr>
            </w:pPr>
            <w:r w:rsidRPr="008C522C">
              <w:rPr>
                <w:rFonts w:ascii="Arial Narrow" w:hAnsi="Arial Narrow"/>
                <w:iCs/>
                <w:sz w:val="20"/>
              </w:rPr>
              <w:t>-1.4% (-3.1%, 0.3%)</w:t>
            </w:r>
          </w:p>
        </w:tc>
        <w:tc>
          <w:tcPr>
            <w:tcW w:w="1218" w:type="pct"/>
          </w:tcPr>
          <w:p w14:paraId="70CC8E90" w14:textId="746FC003" w:rsidR="008C522C" w:rsidRPr="008C522C" w:rsidRDefault="008C522C" w:rsidP="00F86003">
            <w:pPr>
              <w:jc w:val="center"/>
              <w:rPr>
                <w:rFonts w:ascii="Arial Narrow" w:hAnsi="Arial Narrow"/>
                <w:iCs/>
                <w:sz w:val="20"/>
              </w:rPr>
            </w:pPr>
            <w:r w:rsidRPr="008C522C">
              <w:rPr>
                <w:rFonts w:ascii="Arial Narrow" w:hAnsi="Arial Narrow"/>
                <w:iCs/>
                <w:sz w:val="20"/>
              </w:rPr>
              <w:t>-0.6% (-2.</w:t>
            </w:r>
            <w:r w:rsidR="00F86003">
              <w:rPr>
                <w:rFonts w:ascii="Arial Narrow" w:hAnsi="Arial Narrow"/>
                <w:iCs/>
                <w:sz w:val="20"/>
              </w:rPr>
              <w:t>3</w:t>
            </w:r>
            <w:r w:rsidRPr="008C522C">
              <w:rPr>
                <w:rFonts w:ascii="Arial Narrow" w:hAnsi="Arial Narrow"/>
                <w:iCs/>
                <w:sz w:val="20"/>
              </w:rPr>
              <w:t>%, 1.</w:t>
            </w:r>
            <w:r w:rsidR="00F86003">
              <w:rPr>
                <w:rFonts w:ascii="Arial Narrow" w:hAnsi="Arial Narrow"/>
                <w:iCs/>
                <w:sz w:val="20"/>
              </w:rPr>
              <w:t>1</w:t>
            </w:r>
            <w:r w:rsidRPr="008C522C">
              <w:rPr>
                <w:rFonts w:ascii="Arial Narrow" w:hAnsi="Arial Narrow"/>
                <w:iCs/>
                <w:sz w:val="20"/>
              </w:rPr>
              <w:t>%)</w:t>
            </w:r>
          </w:p>
        </w:tc>
        <w:tc>
          <w:tcPr>
            <w:tcW w:w="1222" w:type="pct"/>
          </w:tcPr>
          <w:p w14:paraId="7286209F" w14:textId="77777777" w:rsidR="008C522C" w:rsidRPr="008C522C" w:rsidRDefault="008C522C" w:rsidP="008C522C">
            <w:pPr>
              <w:jc w:val="center"/>
              <w:rPr>
                <w:rFonts w:ascii="Arial Narrow" w:hAnsi="Arial Narrow"/>
                <w:iCs/>
                <w:sz w:val="20"/>
              </w:rPr>
            </w:pPr>
            <w:r w:rsidRPr="008C522C">
              <w:rPr>
                <w:rFonts w:ascii="Arial Narrow" w:hAnsi="Arial Narrow"/>
                <w:iCs/>
                <w:sz w:val="20"/>
              </w:rPr>
              <w:t>-0.8% (-3.2%, 1.6%)</w:t>
            </w:r>
          </w:p>
        </w:tc>
      </w:tr>
      <w:tr w:rsidR="008C522C" w:rsidRPr="008C522C" w14:paraId="7C607505" w14:textId="77777777" w:rsidTr="005819C3">
        <w:trPr>
          <w:trHeight w:val="20"/>
        </w:trPr>
        <w:tc>
          <w:tcPr>
            <w:tcW w:w="1342" w:type="pct"/>
            <w:noWrap/>
            <w:hideMark/>
          </w:tcPr>
          <w:p w14:paraId="3EBFA8E5" w14:textId="77777777" w:rsidR="008C522C" w:rsidRPr="008C522C" w:rsidRDefault="008C522C" w:rsidP="008C522C">
            <w:pPr>
              <w:rPr>
                <w:rFonts w:ascii="Arial Narrow" w:hAnsi="Arial Narrow"/>
                <w:iCs/>
                <w:sz w:val="20"/>
              </w:rPr>
            </w:pPr>
            <w:r w:rsidRPr="008C522C">
              <w:rPr>
                <w:rFonts w:ascii="Arial Narrow" w:hAnsi="Arial Narrow"/>
                <w:iCs/>
                <w:sz w:val="20"/>
              </w:rPr>
              <w:t>Stroke</w:t>
            </w:r>
          </w:p>
        </w:tc>
        <w:tc>
          <w:tcPr>
            <w:tcW w:w="1218" w:type="pct"/>
          </w:tcPr>
          <w:p w14:paraId="59BF1F2C" w14:textId="77777777" w:rsidR="008C522C" w:rsidRPr="008C522C" w:rsidRDefault="008C522C" w:rsidP="008C522C">
            <w:pPr>
              <w:jc w:val="center"/>
              <w:rPr>
                <w:rFonts w:ascii="Arial Narrow" w:hAnsi="Arial Narrow"/>
                <w:iCs/>
                <w:sz w:val="20"/>
              </w:rPr>
            </w:pPr>
            <w:r w:rsidRPr="008C522C">
              <w:rPr>
                <w:rFonts w:ascii="Arial Narrow" w:hAnsi="Arial Narrow"/>
                <w:iCs/>
                <w:sz w:val="20"/>
              </w:rPr>
              <w:t>-1.9% (-3.7%, 0.0%)</w:t>
            </w:r>
          </w:p>
        </w:tc>
        <w:tc>
          <w:tcPr>
            <w:tcW w:w="1218" w:type="pct"/>
          </w:tcPr>
          <w:p w14:paraId="141BCDDA" w14:textId="71CBAC0F" w:rsidR="008C522C" w:rsidRPr="008C522C" w:rsidRDefault="00FF6040" w:rsidP="008C522C">
            <w:pPr>
              <w:jc w:val="center"/>
              <w:rPr>
                <w:rFonts w:ascii="Arial Narrow" w:hAnsi="Arial Narrow"/>
                <w:iCs/>
                <w:sz w:val="20"/>
              </w:rPr>
            </w:pPr>
            <w:r>
              <w:rPr>
                <w:rFonts w:ascii="Arial Narrow" w:hAnsi="Arial Narrow"/>
                <w:iCs/>
                <w:sz w:val="20"/>
              </w:rPr>
              <w:t>-</w:t>
            </w:r>
            <w:r w:rsidRPr="008C522C">
              <w:rPr>
                <w:rFonts w:ascii="Arial Narrow" w:hAnsi="Arial Narrow"/>
                <w:iCs/>
                <w:sz w:val="20"/>
              </w:rPr>
              <w:t>0.2% (-2.4%, 1.9%)</w:t>
            </w:r>
          </w:p>
        </w:tc>
        <w:tc>
          <w:tcPr>
            <w:tcW w:w="1222" w:type="pct"/>
          </w:tcPr>
          <w:p w14:paraId="09B4E922" w14:textId="77777777" w:rsidR="008C522C" w:rsidRPr="008C522C" w:rsidRDefault="008C522C" w:rsidP="008C522C">
            <w:pPr>
              <w:jc w:val="center"/>
              <w:rPr>
                <w:rFonts w:ascii="Arial Narrow" w:hAnsi="Arial Narrow"/>
                <w:iCs/>
                <w:sz w:val="20"/>
              </w:rPr>
            </w:pPr>
            <w:r w:rsidRPr="008C522C">
              <w:rPr>
                <w:rFonts w:ascii="Arial Narrow" w:hAnsi="Arial Narrow"/>
                <w:iCs/>
                <w:sz w:val="20"/>
              </w:rPr>
              <w:t>-1.7% (-4.5%, 1.1%)</w:t>
            </w:r>
          </w:p>
        </w:tc>
      </w:tr>
      <w:tr w:rsidR="008C522C" w:rsidRPr="008C522C" w14:paraId="368F5C70" w14:textId="77777777" w:rsidTr="005819C3">
        <w:trPr>
          <w:trHeight w:val="20"/>
        </w:trPr>
        <w:tc>
          <w:tcPr>
            <w:tcW w:w="1342" w:type="pct"/>
            <w:noWrap/>
            <w:hideMark/>
          </w:tcPr>
          <w:p w14:paraId="1B763F73" w14:textId="77777777" w:rsidR="008C522C" w:rsidRPr="008C522C" w:rsidRDefault="008C522C" w:rsidP="008C522C">
            <w:pPr>
              <w:rPr>
                <w:rFonts w:ascii="Arial Narrow" w:hAnsi="Arial Narrow"/>
                <w:iCs/>
                <w:sz w:val="20"/>
              </w:rPr>
            </w:pPr>
            <w:r w:rsidRPr="008C522C">
              <w:rPr>
                <w:rFonts w:ascii="Arial Narrow" w:hAnsi="Arial Narrow"/>
                <w:iCs/>
                <w:sz w:val="20"/>
              </w:rPr>
              <w:t>Disabling stroke</w:t>
            </w:r>
          </w:p>
        </w:tc>
        <w:tc>
          <w:tcPr>
            <w:tcW w:w="1218" w:type="pct"/>
          </w:tcPr>
          <w:p w14:paraId="226CD15B" w14:textId="77777777" w:rsidR="008C522C" w:rsidRPr="008C522C" w:rsidRDefault="008C522C" w:rsidP="008C522C">
            <w:pPr>
              <w:jc w:val="center"/>
              <w:rPr>
                <w:rFonts w:ascii="Arial Narrow" w:hAnsi="Arial Narrow"/>
                <w:iCs/>
                <w:sz w:val="20"/>
              </w:rPr>
            </w:pPr>
            <w:r w:rsidRPr="008C522C">
              <w:rPr>
                <w:rFonts w:ascii="Arial Narrow" w:hAnsi="Arial Narrow"/>
                <w:iCs/>
                <w:sz w:val="20"/>
              </w:rPr>
              <w:t>-0.7% (-1.6%; 0.3%)</w:t>
            </w:r>
          </w:p>
        </w:tc>
        <w:tc>
          <w:tcPr>
            <w:tcW w:w="1218" w:type="pct"/>
          </w:tcPr>
          <w:p w14:paraId="43A85AD6" w14:textId="547F6A13" w:rsidR="008C522C" w:rsidRPr="008C522C" w:rsidRDefault="00F86003" w:rsidP="00F86003">
            <w:pPr>
              <w:jc w:val="center"/>
              <w:rPr>
                <w:rFonts w:ascii="Arial Narrow" w:hAnsi="Arial Narrow"/>
                <w:iCs/>
                <w:sz w:val="20"/>
              </w:rPr>
            </w:pPr>
            <w:r w:rsidRPr="00F86003">
              <w:rPr>
                <w:rFonts w:ascii="Arial Narrow" w:hAnsi="Arial Narrow"/>
                <w:iCs/>
                <w:sz w:val="20"/>
              </w:rPr>
              <w:t>-1.6% (-2.9%, -0.3%)</w:t>
            </w:r>
          </w:p>
        </w:tc>
        <w:tc>
          <w:tcPr>
            <w:tcW w:w="1222" w:type="pct"/>
          </w:tcPr>
          <w:p w14:paraId="2CB1A839" w14:textId="43FA462D" w:rsidR="00E6433E" w:rsidRPr="008C522C" w:rsidRDefault="008C522C">
            <w:pPr>
              <w:jc w:val="center"/>
              <w:rPr>
                <w:rFonts w:ascii="Arial Narrow" w:hAnsi="Arial Narrow"/>
                <w:iCs/>
                <w:sz w:val="20"/>
              </w:rPr>
            </w:pPr>
            <w:r w:rsidRPr="008C522C">
              <w:rPr>
                <w:rFonts w:ascii="Arial Narrow" w:hAnsi="Arial Narrow"/>
                <w:iCs/>
                <w:sz w:val="20"/>
              </w:rPr>
              <w:t>0.9% (-0.7%, 2.5%)</w:t>
            </w:r>
          </w:p>
        </w:tc>
      </w:tr>
      <w:tr w:rsidR="008C522C" w:rsidRPr="008C522C" w14:paraId="392011BB" w14:textId="77777777" w:rsidTr="005819C3">
        <w:trPr>
          <w:trHeight w:val="20"/>
        </w:trPr>
        <w:tc>
          <w:tcPr>
            <w:tcW w:w="1342" w:type="pct"/>
            <w:noWrap/>
            <w:hideMark/>
          </w:tcPr>
          <w:p w14:paraId="34DA0456" w14:textId="77777777" w:rsidR="008C522C" w:rsidRPr="008C522C" w:rsidRDefault="008C522C" w:rsidP="008C522C">
            <w:pPr>
              <w:rPr>
                <w:rFonts w:ascii="Arial Narrow" w:hAnsi="Arial Narrow"/>
                <w:iCs/>
                <w:sz w:val="20"/>
              </w:rPr>
            </w:pPr>
            <w:r w:rsidRPr="008C522C">
              <w:rPr>
                <w:rFonts w:ascii="Arial Narrow" w:hAnsi="Arial Narrow"/>
                <w:iCs/>
                <w:sz w:val="20"/>
              </w:rPr>
              <w:t>Mortality or disabling stroke</w:t>
            </w:r>
          </w:p>
        </w:tc>
        <w:tc>
          <w:tcPr>
            <w:tcW w:w="1218" w:type="pct"/>
          </w:tcPr>
          <w:p w14:paraId="2AE5344E"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-1.9% (-3.6%, -0.1%)</w:t>
            </w:r>
          </w:p>
        </w:tc>
        <w:tc>
          <w:tcPr>
            <w:tcW w:w="1218" w:type="pct"/>
          </w:tcPr>
          <w:p w14:paraId="36145EBE" w14:textId="5F0ACEEE" w:rsidR="008C522C" w:rsidRPr="008C522C" w:rsidRDefault="008C522C" w:rsidP="00806F3E">
            <w:pPr>
              <w:jc w:val="center"/>
              <w:rPr>
                <w:rFonts w:ascii="Arial Narrow" w:hAnsi="Arial Narrow"/>
                <w:iCs/>
                <w:sz w:val="20"/>
              </w:rPr>
            </w:pPr>
            <w:r w:rsidRPr="008C522C">
              <w:rPr>
                <w:rFonts w:ascii="Arial Narrow" w:hAnsi="Arial Narrow"/>
                <w:iCs/>
                <w:sz w:val="20"/>
              </w:rPr>
              <w:t>-1.</w:t>
            </w:r>
            <w:r w:rsidR="00E75492">
              <w:rPr>
                <w:rFonts w:ascii="Arial Narrow" w:hAnsi="Arial Narrow"/>
                <w:iCs/>
                <w:sz w:val="20"/>
              </w:rPr>
              <w:t>8</w:t>
            </w:r>
            <w:r w:rsidRPr="008C522C">
              <w:rPr>
                <w:rFonts w:ascii="Arial Narrow" w:hAnsi="Arial Narrow"/>
                <w:iCs/>
                <w:sz w:val="20"/>
              </w:rPr>
              <w:t>% (-</w:t>
            </w:r>
            <w:r w:rsidR="00EC708B">
              <w:rPr>
                <w:rFonts w:ascii="Arial Narrow" w:hAnsi="Arial Narrow"/>
                <w:iCs/>
                <w:sz w:val="20"/>
              </w:rPr>
              <w:t>3.7</w:t>
            </w:r>
            <w:r w:rsidRPr="008C522C">
              <w:rPr>
                <w:rFonts w:ascii="Arial Narrow" w:hAnsi="Arial Narrow"/>
                <w:iCs/>
                <w:sz w:val="20"/>
              </w:rPr>
              <w:t>%, 0.</w:t>
            </w:r>
            <w:r w:rsidR="00EC708B">
              <w:rPr>
                <w:rFonts w:ascii="Arial Narrow" w:hAnsi="Arial Narrow"/>
                <w:iCs/>
                <w:sz w:val="20"/>
              </w:rPr>
              <w:t>3</w:t>
            </w:r>
            <w:r w:rsidRPr="008C522C">
              <w:rPr>
                <w:rFonts w:ascii="Arial Narrow" w:hAnsi="Arial Narrow"/>
                <w:iCs/>
                <w:sz w:val="20"/>
              </w:rPr>
              <w:t>%)</w:t>
            </w:r>
          </w:p>
        </w:tc>
        <w:tc>
          <w:tcPr>
            <w:tcW w:w="1222" w:type="pct"/>
          </w:tcPr>
          <w:p w14:paraId="468360A9" w14:textId="77777777" w:rsidR="008C522C" w:rsidRPr="008C522C" w:rsidRDefault="008C522C" w:rsidP="008C522C">
            <w:pPr>
              <w:jc w:val="center"/>
              <w:rPr>
                <w:rFonts w:ascii="Arial Narrow" w:hAnsi="Arial Narrow"/>
                <w:iCs/>
                <w:sz w:val="20"/>
              </w:rPr>
            </w:pPr>
            <w:r w:rsidRPr="008C522C">
              <w:rPr>
                <w:rFonts w:ascii="Arial Narrow" w:hAnsi="Arial Narrow"/>
                <w:iCs/>
                <w:sz w:val="20"/>
              </w:rPr>
              <w:t>-0.2% (-2.8%, 2.5%)</w:t>
            </w:r>
          </w:p>
        </w:tc>
      </w:tr>
      <w:tr w:rsidR="008C522C" w:rsidRPr="008C522C" w14:paraId="7C7FF402" w14:textId="77777777" w:rsidTr="005819C3">
        <w:trPr>
          <w:trHeight w:val="20"/>
        </w:trPr>
        <w:tc>
          <w:tcPr>
            <w:tcW w:w="1342" w:type="pct"/>
            <w:noWrap/>
            <w:hideMark/>
          </w:tcPr>
          <w:p w14:paraId="1E5500B6" w14:textId="77777777" w:rsidR="008C522C" w:rsidRPr="008C522C" w:rsidRDefault="008C522C" w:rsidP="008C522C">
            <w:pPr>
              <w:rPr>
                <w:rFonts w:ascii="Arial Narrow" w:hAnsi="Arial Narrow"/>
                <w:iCs/>
                <w:sz w:val="20"/>
              </w:rPr>
            </w:pPr>
            <w:r w:rsidRPr="008C522C">
              <w:rPr>
                <w:rFonts w:ascii="Arial Narrow" w:hAnsi="Arial Narrow"/>
                <w:iCs/>
                <w:sz w:val="20"/>
              </w:rPr>
              <w:t>New permanent pacemaker</w:t>
            </w:r>
          </w:p>
        </w:tc>
        <w:tc>
          <w:tcPr>
            <w:tcW w:w="1218" w:type="pct"/>
          </w:tcPr>
          <w:p w14:paraId="3E090E6C" w14:textId="77777777" w:rsidR="008C522C" w:rsidRPr="008C522C" w:rsidRDefault="008C522C" w:rsidP="008C522C">
            <w:pPr>
              <w:jc w:val="center"/>
              <w:rPr>
                <w:rFonts w:ascii="Arial Narrow" w:hAnsi="Arial Narrow"/>
                <w:iCs/>
                <w:sz w:val="20"/>
              </w:rPr>
            </w:pPr>
            <w:r w:rsidRPr="008C522C">
              <w:rPr>
                <w:rFonts w:ascii="Arial Narrow" w:hAnsi="Arial Narrow"/>
                <w:iCs/>
                <w:sz w:val="20"/>
              </w:rPr>
              <w:t>2.0% (-1.1%, 5.1%)</w:t>
            </w:r>
          </w:p>
        </w:tc>
        <w:tc>
          <w:tcPr>
            <w:tcW w:w="1218" w:type="pct"/>
          </w:tcPr>
          <w:p w14:paraId="7C7B29EF"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12.6 (9.2%, 16.2%)</w:t>
            </w:r>
          </w:p>
        </w:tc>
        <w:tc>
          <w:tcPr>
            <w:tcW w:w="1222" w:type="pct"/>
          </w:tcPr>
          <w:p w14:paraId="1C04BAD3" w14:textId="109D467D" w:rsidR="008C522C" w:rsidRPr="008C522C" w:rsidRDefault="008C522C">
            <w:pPr>
              <w:jc w:val="center"/>
              <w:rPr>
                <w:rFonts w:ascii="Arial Narrow" w:hAnsi="Arial Narrow"/>
                <w:b/>
                <w:bCs/>
                <w:iCs/>
                <w:sz w:val="20"/>
              </w:rPr>
            </w:pPr>
            <w:r w:rsidRPr="008C522C">
              <w:rPr>
                <w:rFonts w:ascii="Arial Narrow" w:hAnsi="Arial Narrow"/>
                <w:b/>
                <w:bCs/>
                <w:iCs/>
                <w:sz w:val="20"/>
              </w:rPr>
              <w:t>-10.7% (-15.3%, -6.1%)</w:t>
            </w:r>
          </w:p>
        </w:tc>
      </w:tr>
      <w:tr w:rsidR="008C522C" w:rsidRPr="008C522C" w14:paraId="76006C33" w14:textId="77777777" w:rsidTr="005819C3">
        <w:trPr>
          <w:trHeight w:val="20"/>
        </w:trPr>
        <w:tc>
          <w:tcPr>
            <w:tcW w:w="1342" w:type="pct"/>
            <w:noWrap/>
            <w:hideMark/>
          </w:tcPr>
          <w:p w14:paraId="53C0FC3E" w14:textId="77777777" w:rsidR="008C522C" w:rsidRPr="008C522C" w:rsidRDefault="008C522C" w:rsidP="008C522C">
            <w:pPr>
              <w:rPr>
                <w:rFonts w:ascii="Arial Narrow" w:hAnsi="Arial Narrow"/>
                <w:iCs/>
                <w:sz w:val="20"/>
              </w:rPr>
            </w:pPr>
            <w:r w:rsidRPr="008C522C">
              <w:rPr>
                <w:rFonts w:ascii="Arial Narrow" w:hAnsi="Arial Narrow"/>
                <w:iCs/>
                <w:sz w:val="20"/>
              </w:rPr>
              <w:t>New atrial fibrillation</w:t>
            </w:r>
          </w:p>
        </w:tc>
        <w:tc>
          <w:tcPr>
            <w:tcW w:w="1218" w:type="pct"/>
          </w:tcPr>
          <w:p w14:paraId="2D99B8C2" w14:textId="7F3A6879" w:rsidR="008C522C" w:rsidRPr="008C522C" w:rsidRDefault="008C522C">
            <w:pPr>
              <w:jc w:val="center"/>
              <w:rPr>
                <w:rFonts w:ascii="Arial Narrow" w:hAnsi="Arial Narrow"/>
                <w:b/>
                <w:bCs/>
                <w:iCs/>
                <w:sz w:val="20"/>
              </w:rPr>
            </w:pPr>
            <w:r w:rsidRPr="008C522C">
              <w:rPr>
                <w:rFonts w:ascii="Arial Narrow" w:hAnsi="Arial Narrow"/>
                <w:b/>
                <w:bCs/>
                <w:iCs/>
                <w:sz w:val="20"/>
              </w:rPr>
              <w:t>-</w:t>
            </w:r>
            <w:r w:rsidR="00E16337" w:rsidRPr="008C522C">
              <w:rPr>
                <w:rFonts w:ascii="Arial Narrow" w:hAnsi="Arial Narrow"/>
                <w:b/>
                <w:bCs/>
                <w:iCs/>
                <w:sz w:val="20"/>
              </w:rPr>
              <w:t>2</w:t>
            </w:r>
            <w:r w:rsidR="00E16337">
              <w:rPr>
                <w:rFonts w:ascii="Arial Narrow" w:hAnsi="Arial Narrow"/>
                <w:b/>
                <w:bCs/>
                <w:iCs/>
                <w:sz w:val="20"/>
              </w:rPr>
              <w:t>7</w:t>
            </w:r>
            <w:r w:rsidRPr="008C522C">
              <w:rPr>
                <w:rFonts w:ascii="Arial Narrow" w:hAnsi="Arial Narrow"/>
                <w:b/>
                <w:bCs/>
                <w:iCs/>
                <w:sz w:val="20"/>
              </w:rPr>
              <w:t>.</w:t>
            </w:r>
            <w:r w:rsidR="00E16337">
              <w:rPr>
                <w:rFonts w:ascii="Arial Narrow" w:hAnsi="Arial Narrow"/>
                <w:b/>
                <w:bCs/>
                <w:iCs/>
                <w:sz w:val="20"/>
              </w:rPr>
              <w:t>2</w:t>
            </w:r>
            <w:r w:rsidRPr="008C522C">
              <w:rPr>
                <w:rFonts w:ascii="Arial Narrow" w:hAnsi="Arial Narrow"/>
                <w:b/>
                <w:bCs/>
                <w:iCs/>
                <w:sz w:val="20"/>
              </w:rPr>
              <w:t>% (-</w:t>
            </w:r>
            <w:r w:rsidR="00E16337">
              <w:rPr>
                <w:rFonts w:ascii="Arial Narrow" w:hAnsi="Arial Narrow"/>
                <w:b/>
                <w:bCs/>
                <w:iCs/>
                <w:sz w:val="20"/>
              </w:rPr>
              <w:t>32</w:t>
            </w:r>
            <w:r w:rsidRPr="008C522C">
              <w:rPr>
                <w:rFonts w:ascii="Arial Narrow" w:hAnsi="Arial Narrow"/>
                <w:b/>
                <w:bCs/>
                <w:iCs/>
                <w:sz w:val="20"/>
              </w:rPr>
              <w:t>.</w:t>
            </w:r>
            <w:r w:rsidR="00E16337">
              <w:rPr>
                <w:rFonts w:ascii="Arial Narrow" w:hAnsi="Arial Narrow"/>
                <w:b/>
                <w:bCs/>
                <w:iCs/>
                <w:sz w:val="20"/>
              </w:rPr>
              <w:t>0</w:t>
            </w:r>
            <w:r w:rsidRPr="008C522C">
              <w:rPr>
                <w:rFonts w:ascii="Arial Narrow" w:hAnsi="Arial Narrow"/>
                <w:b/>
                <w:bCs/>
                <w:iCs/>
                <w:sz w:val="20"/>
              </w:rPr>
              <w:t>%, -</w:t>
            </w:r>
            <w:r w:rsidR="00E16337">
              <w:rPr>
                <w:rFonts w:ascii="Arial Narrow" w:hAnsi="Arial Narrow"/>
                <w:b/>
                <w:bCs/>
                <w:iCs/>
                <w:sz w:val="20"/>
              </w:rPr>
              <w:t>22.4</w:t>
            </w:r>
            <w:r w:rsidRPr="008C522C">
              <w:rPr>
                <w:rFonts w:ascii="Arial Narrow" w:hAnsi="Arial Narrow"/>
                <w:b/>
                <w:bCs/>
                <w:iCs/>
                <w:sz w:val="20"/>
              </w:rPr>
              <w:t>%)</w:t>
            </w:r>
          </w:p>
        </w:tc>
        <w:tc>
          <w:tcPr>
            <w:tcW w:w="1218" w:type="pct"/>
          </w:tcPr>
          <w:p w14:paraId="7D51A2F8" w14:textId="77777777" w:rsidR="008C522C" w:rsidRPr="008C522C" w:rsidRDefault="008C522C" w:rsidP="008C522C">
            <w:pPr>
              <w:jc w:val="center"/>
              <w:rPr>
                <w:rFonts w:ascii="Arial Narrow" w:hAnsi="Arial Narrow"/>
                <w:b/>
                <w:bCs/>
                <w:iCs/>
                <w:sz w:val="20"/>
              </w:rPr>
            </w:pPr>
            <w:r w:rsidRPr="008C522C">
              <w:rPr>
                <w:rFonts w:ascii="Arial Narrow" w:hAnsi="Arial Narrow"/>
                <w:b/>
                <w:bCs/>
                <w:iCs/>
                <w:sz w:val="20"/>
              </w:rPr>
              <w:t>-28.5 (-32.8%, -24.1%)</w:t>
            </w:r>
          </w:p>
        </w:tc>
        <w:tc>
          <w:tcPr>
            <w:tcW w:w="1222" w:type="pct"/>
          </w:tcPr>
          <w:p w14:paraId="3FE602A6" w14:textId="652F64D6" w:rsidR="008C522C" w:rsidRPr="008C522C" w:rsidRDefault="00E16337" w:rsidP="008C522C">
            <w:pPr>
              <w:jc w:val="center"/>
              <w:rPr>
                <w:rFonts w:ascii="Arial Narrow" w:hAnsi="Arial Narrow"/>
                <w:iCs/>
                <w:sz w:val="20"/>
              </w:rPr>
            </w:pPr>
            <w:r w:rsidRPr="00E16337">
              <w:rPr>
                <w:rFonts w:ascii="Arial Narrow" w:hAnsi="Arial Narrow"/>
                <w:iCs/>
                <w:sz w:val="20"/>
              </w:rPr>
              <w:t>1.3% (-5.1%, 7.7%)</w:t>
            </w:r>
          </w:p>
        </w:tc>
      </w:tr>
      <w:tr w:rsidR="008C522C" w:rsidRPr="008C522C" w14:paraId="4CE0F32D" w14:textId="77777777" w:rsidTr="005819C3">
        <w:trPr>
          <w:trHeight w:val="20"/>
        </w:trPr>
        <w:tc>
          <w:tcPr>
            <w:tcW w:w="1342" w:type="pct"/>
            <w:noWrap/>
            <w:hideMark/>
          </w:tcPr>
          <w:p w14:paraId="0943CED3" w14:textId="77777777" w:rsidR="008C522C" w:rsidRPr="008C522C" w:rsidRDefault="008C522C" w:rsidP="008C522C">
            <w:pPr>
              <w:rPr>
                <w:rFonts w:ascii="Arial Narrow" w:hAnsi="Arial Narrow"/>
                <w:iCs/>
                <w:sz w:val="20"/>
              </w:rPr>
            </w:pPr>
            <w:r w:rsidRPr="008C522C">
              <w:rPr>
                <w:rFonts w:ascii="Arial Narrow" w:hAnsi="Arial Narrow"/>
                <w:iCs/>
                <w:sz w:val="20"/>
              </w:rPr>
              <w:t>Aortic valve reintervention</w:t>
            </w:r>
          </w:p>
        </w:tc>
        <w:tc>
          <w:tcPr>
            <w:tcW w:w="1218" w:type="pct"/>
          </w:tcPr>
          <w:p w14:paraId="09623685" w14:textId="77777777" w:rsidR="008C522C" w:rsidRPr="008C522C" w:rsidRDefault="008C522C" w:rsidP="008C522C">
            <w:pPr>
              <w:jc w:val="center"/>
              <w:rPr>
                <w:rFonts w:ascii="Arial Narrow" w:hAnsi="Arial Narrow"/>
                <w:iCs/>
                <w:sz w:val="20"/>
              </w:rPr>
            </w:pPr>
            <w:r w:rsidRPr="008C522C">
              <w:rPr>
                <w:rFonts w:ascii="Arial Narrow" w:hAnsi="Arial Narrow" w:cs="Tahoma"/>
                <w:sz w:val="20"/>
              </w:rPr>
              <w:t>0.2% (-0.8%, 1.1%)</w:t>
            </w:r>
          </w:p>
        </w:tc>
        <w:tc>
          <w:tcPr>
            <w:tcW w:w="1218" w:type="pct"/>
          </w:tcPr>
          <w:p w14:paraId="17D232D5" w14:textId="00C39599" w:rsidR="008C522C" w:rsidRPr="008C522C" w:rsidRDefault="008C522C" w:rsidP="001D0E2A">
            <w:pPr>
              <w:jc w:val="center"/>
              <w:rPr>
                <w:rFonts w:ascii="Arial Narrow" w:hAnsi="Arial Narrow"/>
                <w:iCs/>
                <w:sz w:val="20"/>
              </w:rPr>
            </w:pPr>
            <w:r w:rsidRPr="008C522C">
              <w:rPr>
                <w:rFonts w:ascii="Arial Narrow" w:hAnsi="Arial Narrow"/>
                <w:iCs/>
                <w:sz w:val="20"/>
              </w:rPr>
              <w:t>0.</w:t>
            </w:r>
            <w:r w:rsidR="001D0E2A">
              <w:rPr>
                <w:rFonts w:ascii="Arial Narrow" w:hAnsi="Arial Narrow"/>
                <w:iCs/>
                <w:sz w:val="20"/>
              </w:rPr>
              <w:t>1</w:t>
            </w:r>
            <w:r w:rsidRPr="008C522C">
              <w:rPr>
                <w:rFonts w:ascii="Arial Narrow" w:hAnsi="Arial Narrow"/>
                <w:iCs/>
                <w:sz w:val="20"/>
              </w:rPr>
              <w:t>% (-</w:t>
            </w:r>
            <w:r w:rsidR="001D0E2A">
              <w:rPr>
                <w:rFonts w:ascii="Arial Narrow" w:hAnsi="Arial Narrow"/>
                <w:iCs/>
                <w:sz w:val="20"/>
              </w:rPr>
              <w:t>0</w:t>
            </w:r>
            <w:r w:rsidRPr="008C522C">
              <w:rPr>
                <w:rFonts w:ascii="Arial Narrow" w:hAnsi="Arial Narrow"/>
                <w:iCs/>
                <w:sz w:val="20"/>
              </w:rPr>
              <w:t>.</w:t>
            </w:r>
            <w:r w:rsidR="001D0E2A">
              <w:rPr>
                <w:rFonts w:ascii="Arial Narrow" w:hAnsi="Arial Narrow"/>
                <w:iCs/>
                <w:sz w:val="20"/>
              </w:rPr>
              <w:t>7</w:t>
            </w:r>
            <w:r w:rsidRPr="008C522C">
              <w:rPr>
                <w:rFonts w:ascii="Arial Narrow" w:hAnsi="Arial Narrow"/>
                <w:iCs/>
                <w:sz w:val="20"/>
              </w:rPr>
              <w:t>, 0.9%)</w:t>
            </w:r>
          </w:p>
        </w:tc>
        <w:tc>
          <w:tcPr>
            <w:tcW w:w="1222" w:type="pct"/>
          </w:tcPr>
          <w:p w14:paraId="75F4D6CA" w14:textId="77777777" w:rsidR="008C522C" w:rsidRPr="008C522C" w:rsidRDefault="008C522C" w:rsidP="008C522C">
            <w:pPr>
              <w:jc w:val="center"/>
              <w:rPr>
                <w:rFonts w:ascii="Arial Narrow" w:hAnsi="Arial Narrow"/>
                <w:iCs/>
                <w:sz w:val="20"/>
              </w:rPr>
            </w:pPr>
            <w:r w:rsidRPr="008C522C">
              <w:rPr>
                <w:rFonts w:ascii="Arial Narrow" w:hAnsi="Arial Narrow"/>
                <w:iCs/>
                <w:sz w:val="20"/>
              </w:rPr>
              <w:t>0.1% (-1.2%, 1.3%)</w:t>
            </w:r>
          </w:p>
        </w:tc>
      </w:tr>
    </w:tbl>
    <w:p w14:paraId="6CDDDF7C" w14:textId="77777777" w:rsidR="008C522C" w:rsidRPr="008C522C" w:rsidRDefault="008C522C" w:rsidP="008C522C">
      <w:pPr>
        <w:widowControl w:val="0"/>
        <w:snapToGrid w:val="0"/>
        <w:jc w:val="both"/>
        <w:rPr>
          <w:rFonts w:ascii="Arial Narrow" w:eastAsia="Calibri" w:hAnsi="Arial Narrow" w:cs="Arial"/>
          <w:sz w:val="18"/>
          <w:szCs w:val="22"/>
          <w:lang w:eastAsia="en-US"/>
        </w:rPr>
      </w:pPr>
      <w:r w:rsidRPr="008C522C">
        <w:rPr>
          <w:rFonts w:ascii="Arial Narrow" w:eastAsia="Calibri" w:hAnsi="Arial Narrow" w:cs="Arial"/>
          <w:sz w:val="18"/>
          <w:szCs w:val="22"/>
          <w:lang w:eastAsia="en-US"/>
        </w:rPr>
        <w:t xml:space="preserve">Abbreviations: CI = confidence interval, TAVI-BEV = transcatheter aortic valve implantation – balloon-expandable valve, TAVI-SEV = transcatheter aortic valve implantation – self-expandable valve; RD = risk difference, </w:t>
      </w:r>
      <w:r w:rsidRPr="008C522C">
        <w:rPr>
          <w:rFonts w:ascii="Arial Narrow" w:eastAsia="Calibri" w:hAnsi="Arial Narrow" w:cs="Arial"/>
          <w:b/>
          <w:bCs/>
          <w:sz w:val="18"/>
          <w:szCs w:val="22"/>
          <w:lang w:eastAsia="en-US"/>
        </w:rPr>
        <w:t xml:space="preserve">Bold </w:t>
      </w:r>
      <w:r w:rsidRPr="008C522C">
        <w:rPr>
          <w:rFonts w:ascii="Arial Narrow" w:eastAsia="Calibri" w:hAnsi="Arial Narrow" w:cs="Arial"/>
          <w:sz w:val="18"/>
          <w:szCs w:val="22"/>
          <w:lang w:eastAsia="en-US"/>
        </w:rPr>
        <w:t>= statistically significant at p-value ≤ 0.05 or 95% Bayesian confidence interval if the difference outcomes did not cross the threshold of zero</w:t>
      </w:r>
    </w:p>
    <w:p w14:paraId="16D38598" w14:textId="77777777" w:rsidR="008C522C" w:rsidRPr="008C522C" w:rsidRDefault="008C522C" w:rsidP="008C522C">
      <w:pPr>
        <w:widowControl w:val="0"/>
        <w:snapToGrid w:val="0"/>
        <w:jc w:val="both"/>
        <w:rPr>
          <w:rFonts w:ascii="Arial Narrow" w:eastAsia="Calibri" w:hAnsi="Arial Narrow" w:cs="Arial"/>
          <w:sz w:val="18"/>
          <w:szCs w:val="22"/>
          <w:lang w:eastAsia="en-US"/>
        </w:rPr>
      </w:pPr>
      <w:r w:rsidRPr="008C522C">
        <w:rPr>
          <w:rFonts w:ascii="Arial Narrow" w:eastAsia="Calibri" w:hAnsi="Arial Narrow" w:cs="Arial"/>
          <w:sz w:val="18"/>
          <w:szCs w:val="22"/>
          <w:lang w:eastAsia="en-US"/>
        </w:rPr>
        <w:t xml:space="preserve">Source: Constructed during evaluation </w:t>
      </w:r>
    </w:p>
    <w:p w14:paraId="0EA71818" w14:textId="7F912EFF" w:rsidR="008C522C" w:rsidRPr="0085555A" w:rsidRDefault="008C522C" w:rsidP="0085555A">
      <w:pPr>
        <w:tabs>
          <w:tab w:val="left" w:pos="720"/>
          <w:tab w:val="left" w:pos="1140"/>
        </w:tabs>
        <w:spacing w:before="240"/>
        <w:rPr>
          <w:color w:val="3366FF"/>
          <w:szCs w:val="24"/>
        </w:rPr>
      </w:pPr>
      <w:r w:rsidRPr="00750CDD">
        <w:rPr>
          <w:b/>
        </w:rPr>
        <w:t xml:space="preserve">Clinical claim </w:t>
      </w:r>
    </w:p>
    <w:p w14:paraId="217C807A" w14:textId="061EBFCB" w:rsidR="008C522C" w:rsidRPr="008C522C" w:rsidRDefault="008C522C" w:rsidP="00216CC9">
      <w:pPr>
        <w:pStyle w:val="Heading2"/>
      </w:pPr>
      <w:r w:rsidRPr="008C522C">
        <w:t>TAVI-BEV vs. SAVR</w:t>
      </w:r>
    </w:p>
    <w:p w14:paraId="4059834A" w14:textId="77777777" w:rsidR="008C522C" w:rsidRPr="008C522C" w:rsidRDefault="008C522C" w:rsidP="008C522C">
      <w:r w:rsidRPr="008C522C">
        <w:t>The commentary considered the clinical data presented by the ADAR suggested that TAVI-BEV is superior in the short-term to SAVR, in terms of stroke and mortality. However, this clinical benefit reduces after one-year. As TAVI-BEV is also associated with a greater incidence of paravalvular leaks, left bundle-branch block, and uncertain valve durability, longer-term data are required to assess these clinical implications. These issues are particularly pertinent to young and low-risk patients, with longer life expectancy, who generally have very positive outcomes with SAVR and for whom TAVI devices are not currently recommended by clinical guidelines.</w:t>
      </w:r>
    </w:p>
    <w:p w14:paraId="5931B91C" w14:textId="10629B87" w:rsidR="008C522C" w:rsidRPr="008C522C" w:rsidRDefault="008C522C" w:rsidP="00216CC9">
      <w:pPr>
        <w:pStyle w:val="Heading2"/>
      </w:pPr>
      <w:r w:rsidRPr="008C522C">
        <w:t>TAVI-BEV vs. TAVI-SEV</w:t>
      </w:r>
    </w:p>
    <w:p w14:paraId="40859525" w14:textId="3774CDC1" w:rsidR="00BC1364" w:rsidRPr="0085555A" w:rsidRDefault="008C522C" w:rsidP="0085555A">
      <w:r w:rsidRPr="008C522C">
        <w:t>The ADAR made no clinical claim for TAVI-BEV compared to TAVI-SEV, on the basis that there were no direct clinical trials and too much clinical heterogeneity between studies to conduct an indirect comparison. The commentary considered that this was not reasonable. The indirect comparison showed that there were no significant differences between TAVI-BEV and TAVI-SEV in terms of key efficacy outcomes, death, disabling stroke and all stroke (disabling and non-disabling). Compared to TAVI-BEV, patients receiving TAVI-SEV had higher rates of new permanent pacemaker.</w:t>
      </w:r>
    </w:p>
    <w:p w14:paraId="5FB78382" w14:textId="77777777" w:rsidR="00BC1364" w:rsidRPr="00F715D1" w:rsidRDefault="00BC1364" w:rsidP="00F715D1">
      <w:pPr>
        <w:pStyle w:val="Heading1"/>
      </w:pPr>
      <w:r w:rsidRPr="00F715D1">
        <w:t>Economic evaluation</w:t>
      </w:r>
    </w:p>
    <w:p w14:paraId="1E3CEE9E" w14:textId="77777777" w:rsidR="00096559" w:rsidRPr="00096559" w:rsidRDefault="00096559" w:rsidP="00096559">
      <w:r w:rsidRPr="00096559">
        <w:t xml:space="preserve">The ADAR presented two cost-utility analyses (CUAs): a primary comparison of TAVI-BEV with SAVR and a secondary comparison of TAVI-BEV with TAVI-SEV. The commentary considered that the CUA was appropriate for the comparison with SAVR. </w:t>
      </w:r>
    </w:p>
    <w:p w14:paraId="28FB8381" w14:textId="00DD9F4C" w:rsidR="00096559" w:rsidRPr="00096559" w:rsidRDefault="00096559" w:rsidP="0085555A">
      <w:pPr>
        <w:spacing w:before="240"/>
      </w:pPr>
      <w:r w:rsidRPr="00FF57EF">
        <w:t xml:space="preserve">The commentary noted that although the ADAR proposed a higher prosthesis benefit of </w:t>
      </w:r>
      <w:r w:rsidRPr="00FF57EF">
        <w:rPr>
          <w:b/>
        </w:rPr>
        <w:t>$</w:t>
      </w:r>
      <w:r w:rsidR="00484EA3" w:rsidRPr="00FF57EF">
        <w:rPr>
          <w:b/>
        </w:rPr>
        <w:t>redacted</w:t>
      </w:r>
      <w:r w:rsidR="00484EA3" w:rsidRPr="00FF57EF">
        <w:t xml:space="preserve"> </w:t>
      </w:r>
      <w:r w:rsidRPr="00FF57EF">
        <w:t>compared with the current benefit of $22,900, the ADAR did not justify this higher price and the ADAR made no explicit clinical claim against TAVI-SEV, which would warrant this price premium.</w:t>
      </w:r>
    </w:p>
    <w:p w14:paraId="57087A1F" w14:textId="2264599B" w:rsidR="00096559" w:rsidRPr="00096559" w:rsidRDefault="00096559" w:rsidP="0085555A">
      <w:pPr>
        <w:spacing w:before="240"/>
      </w:pPr>
      <w:r w:rsidRPr="00096559">
        <w:lastRenderedPageBreak/>
        <w:t xml:space="preserve">A summary of the key characteristics of the economic evaluation is given in </w:t>
      </w:r>
      <w:r w:rsidRPr="00096559">
        <w:rPr>
          <w:shd w:val="clear" w:color="auto" w:fill="E6E6E6"/>
        </w:rPr>
        <w:fldChar w:fldCharType="begin"/>
      </w:r>
      <w:r w:rsidRPr="00096559">
        <w:instrText xml:space="preserve"> REF _Ref395196756 \h  \* MERGEFORMAT </w:instrText>
      </w:r>
      <w:r w:rsidRPr="00096559">
        <w:rPr>
          <w:shd w:val="clear" w:color="auto" w:fill="E6E6E6"/>
        </w:rPr>
      </w:r>
      <w:r w:rsidRPr="00096559">
        <w:rPr>
          <w:shd w:val="clear" w:color="auto" w:fill="E6E6E6"/>
        </w:rPr>
        <w:fldChar w:fldCharType="separate"/>
      </w:r>
      <w:r w:rsidR="003D2F4E" w:rsidRPr="003D2F4E">
        <w:t>Table 10</w:t>
      </w:r>
      <w:r w:rsidRPr="00096559">
        <w:rPr>
          <w:shd w:val="clear" w:color="auto" w:fill="E6E6E6"/>
        </w:rPr>
        <w:fldChar w:fldCharType="end"/>
      </w:r>
      <w:r w:rsidRPr="00096559">
        <w:t>.</w:t>
      </w:r>
    </w:p>
    <w:p w14:paraId="292A6B29" w14:textId="4262DC42" w:rsidR="00096559" w:rsidRPr="00096559" w:rsidRDefault="00096559" w:rsidP="00964AB0">
      <w:pPr>
        <w:keepNext/>
        <w:keepLines/>
        <w:spacing w:before="240"/>
        <w:jc w:val="both"/>
        <w:rPr>
          <w:rFonts w:ascii="Arial Narrow" w:hAnsi="Arial Narrow" w:cs="Tahoma"/>
          <w:b/>
          <w:bCs/>
          <w:sz w:val="20"/>
          <w:szCs w:val="22"/>
        </w:rPr>
      </w:pPr>
      <w:bookmarkStart w:id="23" w:name="_Ref395196756"/>
      <w:bookmarkStart w:id="24" w:name="_Toc399251139"/>
      <w:r w:rsidRPr="00096559">
        <w:rPr>
          <w:rFonts w:ascii="Arial Narrow" w:hAnsi="Arial Narrow" w:cs="Tahoma"/>
          <w:b/>
          <w:bCs/>
          <w:sz w:val="20"/>
          <w:szCs w:val="22"/>
        </w:rPr>
        <w:t xml:space="preserve">Table </w:t>
      </w:r>
      <w:r w:rsidRPr="00096559">
        <w:rPr>
          <w:rFonts w:ascii="Arial Narrow" w:hAnsi="Arial Narrow" w:cs="Tahoma"/>
          <w:b/>
          <w:bCs/>
          <w:sz w:val="20"/>
          <w:szCs w:val="22"/>
          <w:shd w:val="clear" w:color="auto" w:fill="E6E6E6"/>
        </w:rPr>
        <w:fldChar w:fldCharType="begin"/>
      </w:r>
      <w:r w:rsidRPr="00096559">
        <w:rPr>
          <w:rFonts w:ascii="Arial Narrow" w:hAnsi="Arial Narrow" w:cs="Tahoma"/>
          <w:b/>
          <w:bCs/>
          <w:sz w:val="20"/>
          <w:szCs w:val="22"/>
        </w:rPr>
        <w:instrText>SEQ Table \* ARABIC</w:instrText>
      </w:r>
      <w:r w:rsidRPr="00096559">
        <w:rPr>
          <w:rFonts w:ascii="Arial Narrow" w:hAnsi="Arial Narrow" w:cs="Tahoma"/>
          <w:b/>
          <w:bCs/>
          <w:sz w:val="20"/>
          <w:szCs w:val="22"/>
          <w:shd w:val="clear" w:color="auto" w:fill="E6E6E6"/>
        </w:rPr>
        <w:fldChar w:fldCharType="separate"/>
      </w:r>
      <w:r w:rsidR="003D2F4E">
        <w:rPr>
          <w:rFonts w:ascii="Arial Narrow" w:hAnsi="Arial Narrow" w:cs="Tahoma"/>
          <w:b/>
          <w:bCs/>
          <w:noProof/>
          <w:sz w:val="20"/>
          <w:szCs w:val="22"/>
        </w:rPr>
        <w:t>10</w:t>
      </w:r>
      <w:r w:rsidRPr="00096559">
        <w:rPr>
          <w:rFonts w:ascii="Arial Narrow" w:hAnsi="Arial Narrow" w:cs="Tahoma"/>
          <w:b/>
          <w:bCs/>
          <w:sz w:val="20"/>
          <w:szCs w:val="22"/>
          <w:shd w:val="clear" w:color="auto" w:fill="E6E6E6"/>
        </w:rPr>
        <w:fldChar w:fldCharType="end"/>
      </w:r>
      <w:bookmarkEnd w:id="23"/>
      <w:r w:rsidRPr="00096559">
        <w:rPr>
          <w:rFonts w:ascii="Arial Narrow" w:hAnsi="Arial Narrow" w:cs="Tahoma"/>
          <w:b/>
          <w:bCs/>
          <w:sz w:val="20"/>
          <w:szCs w:val="22"/>
        </w:rPr>
        <w:tab/>
        <w:t>Summary of the economic evaluation</w:t>
      </w:r>
      <w:bookmarkEnd w:id="24"/>
      <w:r w:rsidRPr="00096559">
        <w:rPr>
          <w:rFonts w:ascii="Arial Narrow" w:hAnsi="Arial Narrow" w:cs="Tahoma"/>
          <w:b/>
          <w:bCs/>
          <w:sz w:val="20"/>
          <w:szCs w:val="22"/>
        </w:rPr>
        <w:t xml:space="preserve"> </w:t>
      </w:r>
    </w:p>
    <w:tbl>
      <w:tblPr>
        <w:tblStyle w:val="TableGrid21"/>
        <w:tblW w:w="0" w:type="auto"/>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2409"/>
        <w:gridCol w:w="6607"/>
      </w:tblGrid>
      <w:tr w:rsidR="00096559" w:rsidRPr="00096559" w14:paraId="49FA4308" w14:textId="77777777" w:rsidTr="008924F7">
        <w:trPr>
          <w:cnfStyle w:val="100000000000" w:firstRow="1" w:lastRow="0" w:firstColumn="0" w:lastColumn="0" w:oddVBand="0" w:evenVBand="0" w:oddHBand="0" w:evenHBand="0" w:firstRowFirstColumn="0" w:firstRowLastColumn="0" w:lastRowFirstColumn="0" w:lastRowLastColumn="0"/>
          <w:trHeight w:val="20"/>
          <w:tblHeader/>
        </w:trPr>
        <w:tc>
          <w:tcPr>
            <w:tcW w:w="2410" w:type="dxa"/>
          </w:tcPr>
          <w:p w14:paraId="5B5DC142" w14:textId="77777777" w:rsidR="00096559" w:rsidRPr="00096559" w:rsidRDefault="00096559" w:rsidP="00096559">
            <w:pPr>
              <w:keepNext/>
              <w:keepLines/>
              <w:rPr>
                <w:rFonts w:ascii="Arial Narrow" w:hAnsi="Arial Narrow" w:cs="Tahoma"/>
                <w:sz w:val="20"/>
              </w:rPr>
            </w:pPr>
            <w:r w:rsidRPr="00096559">
              <w:rPr>
                <w:rFonts w:ascii="Arial Narrow" w:hAnsi="Arial Narrow" w:cs="Tahoma"/>
                <w:sz w:val="20"/>
              </w:rPr>
              <w:t>Perspective</w:t>
            </w:r>
          </w:p>
        </w:tc>
        <w:tc>
          <w:tcPr>
            <w:tcW w:w="6611" w:type="dxa"/>
          </w:tcPr>
          <w:p w14:paraId="36CBF81D" w14:textId="77777777" w:rsidR="00096559" w:rsidRPr="00096559" w:rsidRDefault="00096559" w:rsidP="00096559">
            <w:pPr>
              <w:keepNext/>
              <w:keepLines/>
              <w:rPr>
                <w:rFonts w:ascii="Arial Narrow" w:hAnsi="Arial Narrow" w:cs="Tahoma"/>
                <w:sz w:val="20"/>
              </w:rPr>
            </w:pPr>
            <w:r w:rsidRPr="00096559">
              <w:rPr>
                <w:rFonts w:ascii="Arial Narrow" w:hAnsi="Arial Narrow" w:cs="Tahoma"/>
                <w:sz w:val="20"/>
              </w:rPr>
              <w:t>Australian health-care system perspective</w:t>
            </w:r>
          </w:p>
        </w:tc>
      </w:tr>
      <w:tr w:rsidR="00096559" w:rsidRPr="00096559" w14:paraId="5C14FB9A" w14:textId="77777777" w:rsidTr="008924F7">
        <w:trPr>
          <w:trHeight w:val="20"/>
        </w:trPr>
        <w:tc>
          <w:tcPr>
            <w:tcW w:w="2410" w:type="dxa"/>
          </w:tcPr>
          <w:p w14:paraId="20EA6339" w14:textId="77777777" w:rsidR="00096559" w:rsidRPr="00096559" w:rsidRDefault="00096559" w:rsidP="00096559">
            <w:pPr>
              <w:keepNext/>
              <w:keepLines/>
              <w:rPr>
                <w:rFonts w:cs="Tahoma"/>
                <w:sz w:val="20"/>
              </w:rPr>
            </w:pPr>
            <w:r w:rsidRPr="00096559">
              <w:rPr>
                <w:rFonts w:cs="Tahoma"/>
                <w:sz w:val="20"/>
              </w:rPr>
              <w:t>Comparator</w:t>
            </w:r>
          </w:p>
        </w:tc>
        <w:tc>
          <w:tcPr>
            <w:tcW w:w="6611" w:type="dxa"/>
          </w:tcPr>
          <w:p w14:paraId="5AED48F6" w14:textId="77777777" w:rsidR="00096559" w:rsidRPr="00096559" w:rsidRDefault="00096559" w:rsidP="00096559">
            <w:pPr>
              <w:keepNext/>
              <w:keepLines/>
              <w:rPr>
                <w:rFonts w:cs="Tahoma"/>
                <w:sz w:val="20"/>
              </w:rPr>
            </w:pPr>
            <w:r w:rsidRPr="00096559">
              <w:rPr>
                <w:rFonts w:cs="Tahoma"/>
                <w:sz w:val="20"/>
              </w:rPr>
              <w:t>Main comparator was SAVR. The ADAR presented a supplementary comparison with the secondary comparator, TAVI-SEV</w:t>
            </w:r>
          </w:p>
        </w:tc>
      </w:tr>
      <w:tr w:rsidR="00096559" w:rsidRPr="00096559" w14:paraId="47A0BC7C" w14:textId="77777777" w:rsidTr="008924F7">
        <w:trPr>
          <w:trHeight w:val="20"/>
        </w:trPr>
        <w:tc>
          <w:tcPr>
            <w:tcW w:w="2410" w:type="dxa"/>
          </w:tcPr>
          <w:p w14:paraId="2C0534EA" w14:textId="77777777" w:rsidR="00096559" w:rsidRPr="00096559" w:rsidRDefault="00096559" w:rsidP="00096559">
            <w:pPr>
              <w:keepNext/>
              <w:keepLines/>
              <w:rPr>
                <w:rFonts w:cs="Tahoma"/>
                <w:sz w:val="20"/>
              </w:rPr>
            </w:pPr>
            <w:r w:rsidRPr="00096559">
              <w:rPr>
                <w:rFonts w:cs="Tahoma"/>
                <w:sz w:val="20"/>
              </w:rPr>
              <w:t>Type of economic evaluation</w:t>
            </w:r>
          </w:p>
        </w:tc>
        <w:tc>
          <w:tcPr>
            <w:tcW w:w="6611" w:type="dxa"/>
          </w:tcPr>
          <w:p w14:paraId="5ECBB30C" w14:textId="77777777" w:rsidR="00096559" w:rsidRPr="00096559" w:rsidRDefault="00096559" w:rsidP="00096559">
            <w:pPr>
              <w:keepNext/>
              <w:keepLines/>
              <w:rPr>
                <w:rFonts w:cs="Tahoma"/>
                <w:sz w:val="20"/>
              </w:rPr>
            </w:pPr>
            <w:r w:rsidRPr="00096559">
              <w:rPr>
                <w:rFonts w:cs="Tahoma"/>
                <w:sz w:val="20"/>
              </w:rPr>
              <w:t>Cost-utility analysis</w:t>
            </w:r>
          </w:p>
        </w:tc>
      </w:tr>
      <w:tr w:rsidR="00096559" w:rsidRPr="00096559" w14:paraId="09795F0A" w14:textId="77777777" w:rsidTr="008924F7">
        <w:trPr>
          <w:trHeight w:val="20"/>
        </w:trPr>
        <w:tc>
          <w:tcPr>
            <w:tcW w:w="2410" w:type="dxa"/>
          </w:tcPr>
          <w:p w14:paraId="7C6BB4D0" w14:textId="77777777" w:rsidR="00096559" w:rsidRPr="00096559" w:rsidRDefault="00096559" w:rsidP="00096559">
            <w:pPr>
              <w:keepNext/>
              <w:rPr>
                <w:rFonts w:cs="Tahoma"/>
                <w:sz w:val="20"/>
              </w:rPr>
            </w:pPr>
            <w:r w:rsidRPr="00096559">
              <w:rPr>
                <w:rFonts w:cs="Tahoma"/>
                <w:sz w:val="20"/>
              </w:rPr>
              <w:t>Sources of evidence</w:t>
            </w:r>
          </w:p>
        </w:tc>
        <w:tc>
          <w:tcPr>
            <w:tcW w:w="6611" w:type="dxa"/>
          </w:tcPr>
          <w:p w14:paraId="4B04929D" w14:textId="77777777" w:rsidR="00096559" w:rsidRPr="00096559" w:rsidRDefault="00096559" w:rsidP="00096559">
            <w:pPr>
              <w:keepNext/>
              <w:rPr>
                <w:rFonts w:cs="Tahoma"/>
                <w:sz w:val="20"/>
              </w:rPr>
            </w:pPr>
            <w:r w:rsidRPr="00096559">
              <w:rPr>
                <w:rFonts w:cs="Tahoma"/>
                <w:sz w:val="20"/>
              </w:rPr>
              <w:t>Clinical data from PARTNER 3 and data from AIHW and ABS</w:t>
            </w:r>
          </w:p>
        </w:tc>
      </w:tr>
      <w:tr w:rsidR="00096559" w:rsidRPr="00096559" w14:paraId="6E91D1EF" w14:textId="77777777" w:rsidTr="008924F7">
        <w:trPr>
          <w:trHeight w:val="20"/>
        </w:trPr>
        <w:tc>
          <w:tcPr>
            <w:tcW w:w="2410" w:type="dxa"/>
            <w:hideMark/>
          </w:tcPr>
          <w:p w14:paraId="103FB97C" w14:textId="77777777" w:rsidR="00096559" w:rsidRPr="00096559" w:rsidRDefault="00096559" w:rsidP="00096559">
            <w:pPr>
              <w:keepNext/>
              <w:rPr>
                <w:rFonts w:cs="Tahoma"/>
                <w:sz w:val="20"/>
              </w:rPr>
            </w:pPr>
            <w:r w:rsidRPr="00096559">
              <w:rPr>
                <w:rFonts w:cs="Tahoma"/>
                <w:sz w:val="20"/>
              </w:rPr>
              <w:t>Time horizon</w:t>
            </w:r>
          </w:p>
        </w:tc>
        <w:tc>
          <w:tcPr>
            <w:tcW w:w="6611" w:type="dxa"/>
            <w:hideMark/>
          </w:tcPr>
          <w:p w14:paraId="77BB7C05" w14:textId="77777777" w:rsidR="00096559" w:rsidRPr="00096559" w:rsidRDefault="00096559" w:rsidP="00096559">
            <w:pPr>
              <w:keepNext/>
              <w:rPr>
                <w:rFonts w:cs="Tahoma"/>
                <w:sz w:val="20"/>
              </w:rPr>
            </w:pPr>
            <w:r w:rsidRPr="00096559">
              <w:rPr>
                <w:rFonts w:cs="Tahoma"/>
                <w:sz w:val="20"/>
              </w:rPr>
              <w:t xml:space="preserve">10 years (base-case). </w:t>
            </w:r>
          </w:p>
        </w:tc>
      </w:tr>
      <w:tr w:rsidR="00096559" w:rsidRPr="00096559" w14:paraId="7E8DFE51" w14:textId="77777777" w:rsidTr="008924F7">
        <w:trPr>
          <w:trHeight w:val="20"/>
        </w:trPr>
        <w:tc>
          <w:tcPr>
            <w:tcW w:w="2410" w:type="dxa"/>
            <w:hideMark/>
          </w:tcPr>
          <w:p w14:paraId="6B2FC36B" w14:textId="77777777" w:rsidR="00096559" w:rsidRPr="00096559" w:rsidRDefault="00096559" w:rsidP="00096559">
            <w:pPr>
              <w:keepNext/>
              <w:rPr>
                <w:rFonts w:cs="Tahoma"/>
                <w:sz w:val="20"/>
              </w:rPr>
            </w:pPr>
            <w:r w:rsidRPr="00096559">
              <w:rPr>
                <w:rFonts w:cs="Tahoma"/>
                <w:sz w:val="20"/>
              </w:rPr>
              <w:t>Outcomes</w:t>
            </w:r>
          </w:p>
        </w:tc>
        <w:tc>
          <w:tcPr>
            <w:tcW w:w="6611" w:type="dxa"/>
          </w:tcPr>
          <w:p w14:paraId="2268DAFB" w14:textId="77777777" w:rsidR="00096559" w:rsidRPr="00096559" w:rsidRDefault="00096559" w:rsidP="00096559">
            <w:pPr>
              <w:keepNext/>
              <w:numPr>
                <w:ilvl w:val="0"/>
                <w:numId w:val="34"/>
              </w:numPr>
              <w:ind w:left="182" w:hanging="142"/>
              <w:jc w:val="both"/>
              <w:rPr>
                <w:rFonts w:cs="Tahoma"/>
                <w:sz w:val="20"/>
              </w:rPr>
            </w:pPr>
            <w:r w:rsidRPr="00096559">
              <w:rPr>
                <w:rFonts w:cs="Tahoma"/>
                <w:sz w:val="20"/>
              </w:rPr>
              <w:t>Stroke – non-fatal and fatal</w:t>
            </w:r>
          </w:p>
          <w:p w14:paraId="2BA59372" w14:textId="77777777" w:rsidR="00096559" w:rsidRPr="00096559" w:rsidRDefault="00096559" w:rsidP="00096559">
            <w:pPr>
              <w:keepNext/>
              <w:numPr>
                <w:ilvl w:val="0"/>
                <w:numId w:val="34"/>
              </w:numPr>
              <w:ind w:left="182" w:hanging="142"/>
              <w:jc w:val="both"/>
              <w:rPr>
                <w:rFonts w:cs="Tahoma"/>
                <w:sz w:val="20"/>
              </w:rPr>
            </w:pPr>
            <w:r w:rsidRPr="00096559">
              <w:rPr>
                <w:rFonts w:cs="Tahoma"/>
                <w:sz w:val="20"/>
              </w:rPr>
              <w:t>Deaths from causes other than stroke</w:t>
            </w:r>
          </w:p>
          <w:p w14:paraId="0A16421A" w14:textId="77777777" w:rsidR="00096559" w:rsidRPr="00096559" w:rsidRDefault="00096559" w:rsidP="00096559">
            <w:pPr>
              <w:keepNext/>
              <w:numPr>
                <w:ilvl w:val="0"/>
                <w:numId w:val="34"/>
              </w:numPr>
              <w:ind w:left="182" w:hanging="142"/>
              <w:jc w:val="both"/>
              <w:rPr>
                <w:rFonts w:cs="Tahoma"/>
                <w:sz w:val="20"/>
              </w:rPr>
            </w:pPr>
            <w:r w:rsidRPr="00096559">
              <w:rPr>
                <w:rFonts w:cs="Tahoma"/>
                <w:sz w:val="20"/>
              </w:rPr>
              <w:t>Life years lived</w:t>
            </w:r>
          </w:p>
          <w:p w14:paraId="12F29014" w14:textId="77777777" w:rsidR="00096559" w:rsidRPr="00096559" w:rsidRDefault="00096559" w:rsidP="00096559">
            <w:pPr>
              <w:keepNext/>
              <w:numPr>
                <w:ilvl w:val="0"/>
                <w:numId w:val="34"/>
              </w:numPr>
              <w:ind w:left="182" w:hanging="142"/>
              <w:jc w:val="both"/>
              <w:rPr>
                <w:rFonts w:cs="Tahoma"/>
                <w:sz w:val="20"/>
              </w:rPr>
            </w:pPr>
            <w:r w:rsidRPr="00096559">
              <w:rPr>
                <w:rFonts w:cs="Tahoma"/>
                <w:sz w:val="20"/>
              </w:rPr>
              <w:t>Quality-adjusted life-years lived</w:t>
            </w:r>
          </w:p>
        </w:tc>
      </w:tr>
      <w:tr w:rsidR="00096559" w:rsidRPr="00096559" w14:paraId="291E1D38" w14:textId="77777777" w:rsidTr="008924F7">
        <w:trPr>
          <w:trHeight w:val="20"/>
        </w:trPr>
        <w:tc>
          <w:tcPr>
            <w:tcW w:w="2410" w:type="dxa"/>
          </w:tcPr>
          <w:p w14:paraId="28626C54" w14:textId="77777777" w:rsidR="00096559" w:rsidRPr="00096559" w:rsidRDefault="00096559" w:rsidP="00096559">
            <w:pPr>
              <w:keepNext/>
              <w:rPr>
                <w:rFonts w:cs="Tahoma"/>
                <w:sz w:val="20"/>
              </w:rPr>
            </w:pPr>
            <w:r w:rsidRPr="00096559">
              <w:rPr>
                <w:rFonts w:cs="Tahoma"/>
                <w:sz w:val="20"/>
              </w:rPr>
              <w:t>Adverse events</w:t>
            </w:r>
          </w:p>
        </w:tc>
        <w:tc>
          <w:tcPr>
            <w:tcW w:w="6611" w:type="dxa"/>
          </w:tcPr>
          <w:p w14:paraId="62E29294" w14:textId="77777777" w:rsidR="00096559" w:rsidRPr="00096559" w:rsidRDefault="00096559" w:rsidP="00096559">
            <w:pPr>
              <w:keepNext/>
              <w:numPr>
                <w:ilvl w:val="0"/>
                <w:numId w:val="34"/>
              </w:numPr>
              <w:ind w:left="182" w:hanging="142"/>
              <w:jc w:val="both"/>
              <w:rPr>
                <w:rFonts w:cs="Tahoma"/>
                <w:sz w:val="20"/>
              </w:rPr>
            </w:pPr>
            <w:r w:rsidRPr="00096559">
              <w:rPr>
                <w:rFonts w:cs="Tahoma"/>
                <w:sz w:val="20"/>
              </w:rPr>
              <w:t>Life-threatening or disabling bleeding, major vascular complications, acute kidney injury, myocardial infarction, new atrial fibrillation, new permanent pacemaker, aortic valve re-intervention, paravalvular leaks and new left bundle branch block</w:t>
            </w:r>
          </w:p>
        </w:tc>
      </w:tr>
      <w:tr w:rsidR="00096559" w:rsidRPr="00096559" w14:paraId="2ED7104C" w14:textId="77777777" w:rsidTr="008924F7">
        <w:trPr>
          <w:trHeight w:val="20"/>
        </w:trPr>
        <w:tc>
          <w:tcPr>
            <w:tcW w:w="2410" w:type="dxa"/>
            <w:hideMark/>
          </w:tcPr>
          <w:p w14:paraId="0353C4F0" w14:textId="77777777" w:rsidR="00096559" w:rsidRPr="00096559" w:rsidRDefault="00096559" w:rsidP="00096559">
            <w:pPr>
              <w:keepNext/>
              <w:rPr>
                <w:rFonts w:cs="Tahoma"/>
                <w:sz w:val="20"/>
              </w:rPr>
            </w:pPr>
            <w:r w:rsidRPr="00096559">
              <w:rPr>
                <w:rFonts w:cs="Tahoma"/>
                <w:sz w:val="20"/>
              </w:rPr>
              <w:t>Methods used to generate results</w:t>
            </w:r>
          </w:p>
        </w:tc>
        <w:tc>
          <w:tcPr>
            <w:tcW w:w="6611" w:type="dxa"/>
          </w:tcPr>
          <w:p w14:paraId="3FB6EBA0" w14:textId="77777777" w:rsidR="00096559" w:rsidRPr="00096559" w:rsidRDefault="00096559" w:rsidP="00096559">
            <w:pPr>
              <w:keepNext/>
              <w:rPr>
                <w:rFonts w:cs="Tahoma"/>
                <w:sz w:val="20"/>
              </w:rPr>
            </w:pPr>
            <w:r w:rsidRPr="00096559">
              <w:rPr>
                <w:rFonts w:cs="Tahoma"/>
                <w:sz w:val="20"/>
              </w:rPr>
              <w:t>Decision analysis</w:t>
            </w:r>
          </w:p>
          <w:p w14:paraId="677A3B0E" w14:textId="77777777" w:rsidR="00096559" w:rsidRPr="00096559" w:rsidRDefault="00096559" w:rsidP="00096559">
            <w:pPr>
              <w:keepNext/>
              <w:rPr>
                <w:rFonts w:cs="Tahoma"/>
                <w:sz w:val="20"/>
              </w:rPr>
            </w:pPr>
            <w:r w:rsidRPr="00096559">
              <w:rPr>
                <w:rFonts w:cs="Tahoma"/>
                <w:sz w:val="20"/>
              </w:rPr>
              <w:t>Markov state-transition modelling</w:t>
            </w:r>
          </w:p>
          <w:p w14:paraId="57388870" w14:textId="77777777" w:rsidR="00096559" w:rsidRPr="00096559" w:rsidRDefault="00096559" w:rsidP="00096559">
            <w:pPr>
              <w:keepNext/>
              <w:rPr>
                <w:rFonts w:cs="Tahoma"/>
                <w:sz w:val="20"/>
              </w:rPr>
            </w:pPr>
            <w:r w:rsidRPr="00096559">
              <w:rPr>
                <w:rFonts w:cs="Tahoma"/>
                <w:sz w:val="20"/>
              </w:rPr>
              <w:t>Cohort expected value analysis</w:t>
            </w:r>
          </w:p>
        </w:tc>
      </w:tr>
      <w:tr w:rsidR="00096559" w:rsidRPr="00096559" w14:paraId="5BAFF7C8" w14:textId="77777777" w:rsidTr="008924F7">
        <w:trPr>
          <w:trHeight w:val="624"/>
        </w:trPr>
        <w:tc>
          <w:tcPr>
            <w:tcW w:w="2410" w:type="dxa"/>
          </w:tcPr>
          <w:p w14:paraId="0B9904C3" w14:textId="77777777" w:rsidR="00096559" w:rsidRPr="00096559" w:rsidRDefault="00096559" w:rsidP="00096559">
            <w:pPr>
              <w:keepNext/>
              <w:rPr>
                <w:rFonts w:cs="Tahoma"/>
                <w:sz w:val="20"/>
              </w:rPr>
            </w:pPr>
            <w:r w:rsidRPr="00096559">
              <w:rPr>
                <w:rFonts w:cs="Tahoma"/>
                <w:sz w:val="20"/>
              </w:rPr>
              <w:t>Health states</w:t>
            </w:r>
          </w:p>
        </w:tc>
        <w:tc>
          <w:tcPr>
            <w:tcW w:w="6611" w:type="dxa"/>
          </w:tcPr>
          <w:p w14:paraId="08585574" w14:textId="77777777" w:rsidR="00096559" w:rsidRPr="00096559" w:rsidRDefault="00096559" w:rsidP="00096559">
            <w:pPr>
              <w:keepNext/>
              <w:numPr>
                <w:ilvl w:val="0"/>
                <w:numId w:val="35"/>
              </w:numPr>
              <w:ind w:left="323" w:hanging="323"/>
              <w:jc w:val="both"/>
              <w:rPr>
                <w:rFonts w:cs="Tahoma"/>
                <w:sz w:val="20"/>
              </w:rPr>
            </w:pPr>
            <w:r w:rsidRPr="00096559">
              <w:rPr>
                <w:rFonts w:cs="Tahoma"/>
                <w:sz w:val="20"/>
              </w:rPr>
              <w:t xml:space="preserve">Alive, without stroke </w:t>
            </w:r>
          </w:p>
          <w:p w14:paraId="3FD307DA" w14:textId="77777777" w:rsidR="00096559" w:rsidRPr="00096559" w:rsidRDefault="00096559" w:rsidP="00096559">
            <w:pPr>
              <w:keepNext/>
              <w:numPr>
                <w:ilvl w:val="0"/>
                <w:numId w:val="35"/>
              </w:numPr>
              <w:ind w:left="323" w:hanging="323"/>
              <w:jc w:val="both"/>
              <w:rPr>
                <w:rFonts w:cs="Tahoma"/>
                <w:sz w:val="20"/>
              </w:rPr>
            </w:pPr>
            <w:r w:rsidRPr="00096559">
              <w:rPr>
                <w:rFonts w:cs="Tahoma"/>
                <w:sz w:val="20"/>
              </w:rPr>
              <w:t xml:space="preserve">Alive with stroke </w:t>
            </w:r>
          </w:p>
          <w:p w14:paraId="1DE0FF54" w14:textId="77777777" w:rsidR="00096559" w:rsidRPr="00096559" w:rsidRDefault="00096559" w:rsidP="00096559">
            <w:pPr>
              <w:keepNext/>
              <w:numPr>
                <w:ilvl w:val="0"/>
                <w:numId w:val="35"/>
              </w:numPr>
              <w:ind w:left="323" w:hanging="323"/>
              <w:jc w:val="both"/>
              <w:rPr>
                <w:rFonts w:cs="Tahoma"/>
                <w:sz w:val="20"/>
              </w:rPr>
            </w:pPr>
            <w:r w:rsidRPr="00096559">
              <w:rPr>
                <w:rFonts w:cs="Tahoma"/>
                <w:sz w:val="20"/>
              </w:rPr>
              <w:t>Dead</w:t>
            </w:r>
            <w:r w:rsidRPr="00096559">
              <w:rPr>
                <w:rFonts w:cs="Tahoma"/>
                <w:b/>
                <w:bCs/>
                <w:sz w:val="20"/>
              </w:rPr>
              <w:t xml:space="preserve"> </w:t>
            </w:r>
          </w:p>
        </w:tc>
      </w:tr>
      <w:tr w:rsidR="00096559" w:rsidRPr="00096559" w14:paraId="2A0A69C3" w14:textId="77777777" w:rsidTr="008924F7">
        <w:trPr>
          <w:trHeight w:val="20"/>
        </w:trPr>
        <w:tc>
          <w:tcPr>
            <w:tcW w:w="2410" w:type="dxa"/>
            <w:hideMark/>
          </w:tcPr>
          <w:p w14:paraId="08C18B53" w14:textId="77777777" w:rsidR="00096559" w:rsidRPr="00096559" w:rsidRDefault="00096559" w:rsidP="00096559">
            <w:pPr>
              <w:keepNext/>
              <w:rPr>
                <w:rFonts w:cs="Tahoma"/>
                <w:sz w:val="20"/>
              </w:rPr>
            </w:pPr>
            <w:r w:rsidRPr="00096559">
              <w:rPr>
                <w:rFonts w:cs="Tahoma"/>
                <w:sz w:val="20"/>
              </w:rPr>
              <w:t>Cycle length</w:t>
            </w:r>
          </w:p>
        </w:tc>
        <w:tc>
          <w:tcPr>
            <w:tcW w:w="6611" w:type="dxa"/>
          </w:tcPr>
          <w:p w14:paraId="040AB690" w14:textId="77777777" w:rsidR="00096559" w:rsidRPr="00096559" w:rsidRDefault="00096559" w:rsidP="00096559">
            <w:pPr>
              <w:keepNext/>
              <w:rPr>
                <w:rFonts w:cs="Tahoma"/>
                <w:sz w:val="20"/>
              </w:rPr>
            </w:pPr>
            <w:r w:rsidRPr="00096559">
              <w:rPr>
                <w:rFonts w:cs="Tahoma"/>
                <w:sz w:val="20"/>
              </w:rPr>
              <w:t>30-days</w:t>
            </w:r>
          </w:p>
        </w:tc>
      </w:tr>
      <w:tr w:rsidR="00096559" w:rsidRPr="00096559" w14:paraId="5431A371" w14:textId="77777777" w:rsidTr="008924F7">
        <w:trPr>
          <w:trHeight w:val="20"/>
        </w:trPr>
        <w:tc>
          <w:tcPr>
            <w:tcW w:w="2410" w:type="dxa"/>
            <w:hideMark/>
          </w:tcPr>
          <w:p w14:paraId="6C882133" w14:textId="77777777" w:rsidR="00096559" w:rsidRPr="00096559" w:rsidRDefault="00096559" w:rsidP="00096559">
            <w:pPr>
              <w:keepNext/>
              <w:rPr>
                <w:rFonts w:cs="Tahoma"/>
                <w:sz w:val="20"/>
              </w:rPr>
            </w:pPr>
            <w:r w:rsidRPr="00096559">
              <w:rPr>
                <w:rFonts w:cs="Tahoma"/>
                <w:sz w:val="20"/>
              </w:rPr>
              <w:t>Discount rate</w:t>
            </w:r>
          </w:p>
        </w:tc>
        <w:tc>
          <w:tcPr>
            <w:tcW w:w="6611" w:type="dxa"/>
          </w:tcPr>
          <w:p w14:paraId="3D6E86AE" w14:textId="77777777" w:rsidR="00096559" w:rsidRPr="00096559" w:rsidRDefault="00096559" w:rsidP="00096559">
            <w:pPr>
              <w:keepNext/>
              <w:rPr>
                <w:rFonts w:cs="Tahoma"/>
                <w:sz w:val="20"/>
              </w:rPr>
            </w:pPr>
            <w:r w:rsidRPr="00096559">
              <w:rPr>
                <w:rFonts w:cs="Tahoma"/>
                <w:sz w:val="20"/>
              </w:rPr>
              <w:t xml:space="preserve">5% </w:t>
            </w:r>
          </w:p>
        </w:tc>
      </w:tr>
      <w:tr w:rsidR="00096559" w:rsidRPr="00096559" w14:paraId="15618191" w14:textId="77777777" w:rsidTr="008924F7">
        <w:trPr>
          <w:trHeight w:val="20"/>
        </w:trPr>
        <w:tc>
          <w:tcPr>
            <w:tcW w:w="2410" w:type="dxa"/>
            <w:hideMark/>
          </w:tcPr>
          <w:p w14:paraId="0F5804EA" w14:textId="77777777" w:rsidR="00096559" w:rsidRPr="00096559" w:rsidRDefault="00096559" w:rsidP="00096559">
            <w:pPr>
              <w:keepNext/>
              <w:rPr>
                <w:rFonts w:cs="Tahoma"/>
                <w:sz w:val="20"/>
              </w:rPr>
            </w:pPr>
            <w:r w:rsidRPr="00096559">
              <w:rPr>
                <w:rFonts w:cs="Tahoma"/>
                <w:sz w:val="20"/>
              </w:rPr>
              <w:t>Software packages used</w:t>
            </w:r>
          </w:p>
        </w:tc>
        <w:tc>
          <w:tcPr>
            <w:tcW w:w="6611" w:type="dxa"/>
          </w:tcPr>
          <w:p w14:paraId="3EC136D6" w14:textId="77777777" w:rsidR="00096559" w:rsidRPr="00096559" w:rsidRDefault="00096559" w:rsidP="00096559">
            <w:pPr>
              <w:keepNext/>
              <w:rPr>
                <w:rFonts w:cs="Tahoma"/>
                <w:sz w:val="20"/>
              </w:rPr>
            </w:pPr>
            <w:r w:rsidRPr="00096559">
              <w:rPr>
                <w:rFonts w:cs="Tahoma"/>
                <w:sz w:val="20"/>
              </w:rPr>
              <w:t xml:space="preserve">Microsoft Excel </w:t>
            </w:r>
          </w:p>
        </w:tc>
      </w:tr>
    </w:tbl>
    <w:p w14:paraId="58B458A3" w14:textId="77777777" w:rsidR="00096559" w:rsidRPr="00096559" w:rsidRDefault="00096559" w:rsidP="00096559">
      <w:pPr>
        <w:keepNext/>
        <w:keepLines/>
        <w:jc w:val="both"/>
        <w:rPr>
          <w:rFonts w:ascii="Arial Narrow" w:hAnsi="Arial Narrow" w:cs="Arial"/>
          <w:sz w:val="20"/>
          <w:lang w:eastAsia="en-US"/>
        </w:rPr>
      </w:pPr>
      <w:r w:rsidRPr="00096559">
        <w:rPr>
          <w:rFonts w:ascii="Arial Narrow" w:hAnsi="Arial Narrow" w:cs="Arial"/>
          <w:sz w:val="18"/>
          <w:szCs w:val="18"/>
          <w:lang w:eastAsia="en-US"/>
        </w:rPr>
        <w:t xml:space="preserve">Abbreviations: ABS = Australian Bureau of Statistics; AIHW = Australian Institute of Health and Welfare; </w:t>
      </w:r>
      <w:r w:rsidRPr="00096559">
        <w:rPr>
          <w:rFonts w:ascii="Arial Narrow" w:hAnsi="Arial Narrow" w:cs="Arial"/>
          <w:sz w:val="20"/>
          <w:lang w:eastAsia="en-US"/>
        </w:rPr>
        <w:t xml:space="preserve">SAVR = surgical aortic valve replacement; TAVI-BEV = transcatheter aortic valve implantation – balloon-expandable valve system; TAVI-SEV = transcatheter aortic valve implantation – self-expandable valve system. </w:t>
      </w:r>
    </w:p>
    <w:p w14:paraId="19B95190" w14:textId="77777777" w:rsidR="00096559" w:rsidRPr="00096559" w:rsidRDefault="00096559" w:rsidP="00096559">
      <w:pPr>
        <w:keepNext/>
        <w:keepLines/>
        <w:jc w:val="both"/>
        <w:rPr>
          <w:rFonts w:ascii="Arial Narrow" w:hAnsi="Arial Narrow" w:cs="Arial"/>
          <w:sz w:val="18"/>
          <w:szCs w:val="18"/>
          <w:lang w:eastAsia="en-US"/>
        </w:rPr>
      </w:pPr>
      <w:r w:rsidRPr="00096559">
        <w:rPr>
          <w:rFonts w:ascii="Arial Narrow" w:hAnsi="Arial Narrow" w:cs="Arial"/>
          <w:sz w:val="18"/>
          <w:szCs w:val="18"/>
          <w:lang w:eastAsia="en-US"/>
        </w:rPr>
        <w:t>Source: Table D-2, p 86 of the ADAR</w:t>
      </w:r>
    </w:p>
    <w:p w14:paraId="03368FDD" w14:textId="3E350A75" w:rsidR="00096559" w:rsidRPr="00096559" w:rsidRDefault="00096559" w:rsidP="0085555A">
      <w:pPr>
        <w:spacing w:before="240"/>
      </w:pPr>
      <w:r w:rsidRPr="00096559">
        <w:t>The commentary highlighted the following key issues with the ADAR’s economic evaluation for the TAVI-B</w:t>
      </w:r>
      <w:r w:rsidR="00750CDD">
        <w:t>EV versus SAVR comparison were:</w:t>
      </w:r>
    </w:p>
    <w:p w14:paraId="5F39C8F5" w14:textId="77777777" w:rsidR="00096559" w:rsidRPr="00096559" w:rsidRDefault="00096559" w:rsidP="00096559">
      <w:pPr>
        <w:numPr>
          <w:ilvl w:val="0"/>
          <w:numId w:val="36"/>
        </w:numPr>
        <w:contextualSpacing/>
      </w:pPr>
      <w:r w:rsidRPr="00096559">
        <w:t xml:space="preserve">The Markov traces demonstrated that the ADAR’s economic model substantially overestimated TAVI-BEV’s survival benefit and protection against stroke when compared with the 2-year follow-up </w:t>
      </w:r>
      <w:proofErr w:type="gramStart"/>
      <w:r w:rsidRPr="00096559">
        <w:t>data;</w:t>
      </w:r>
      <w:proofErr w:type="gramEnd"/>
    </w:p>
    <w:p w14:paraId="46DF3746" w14:textId="77777777" w:rsidR="00096559" w:rsidRPr="00096559" w:rsidRDefault="00096559" w:rsidP="00096559">
      <w:pPr>
        <w:numPr>
          <w:ilvl w:val="0"/>
          <w:numId w:val="36"/>
        </w:numPr>
        <w:contextualSpacing/>
      </w:pPr>
      <w:r w:rsidRPr="00096559">
        <w:t xml:space="preserve">The ADAR estimated the hospitalisation cost of treatment with TAVI-BEV based on the ratio of hospital stay for patients in PARTNER 3 (TAVI-BEV = 3-days </w:t>
      </w:r>
      <w:r w:rsidRPr="00096559">
        <w:rPr>
          <w:i/>
        </w:rPr>
        <w:t>vs.</w:t>
      </w:r>
      <w:r w:rsidRPr="00096559">
        <w:t xml:space="preserve"> SAVR = 7-days). The weighted average length of stay for the SAVR DRG codes was 11 days. Hence, there is considerable uncertainty in the reduction in hospital costs that would be achieved with treatment with TAVI-</w:t>
      </w:r>
      <w:proofErr w:type="gramStart"/>
      <w:r w:rsidRPr="00096559">
        <w:t>BEV;</w:t>
      </w:r>
      <w:proofErr w:type="gramEnd"/>
    </w:p>
    <w:p w14:paraId="7C5841DB" w14:textId="77777777" w:rsidR="00096559" w:rsidRPr="00096559" w:rsidRDefault="00096559" w:rsidP="00096559">
      <w:pPr>
        <w:numPr>
          <w:ilvl w:val="0"/>
          <w:numId w:val="36"/>
        </w:numPr>
        <w:contextualSpacing/>
      </w:pPr>
      <w:r w:rsidRPr="00096559">
        <w:t xml:space="preserve">Consistent with MSAC 1603 (intermediate-risk patients), the ADAR used the weighted-average cost of all SAVR DRG codes to calculate the cost of SAVR and TAVI-BEV. This was not appropriate as low-risk patients are unlikely to experience major </w:t>
      </w:r>
      <w:proofErr w:type="gramStart"/>
      <w:r w:rsidRPr="00096559">
        <w:t>complications;</w:t>
      </w:r>
      <w:proofErr w:type="gramEnd"/>
    </w:p>
    <w:p w14:paraId="60E36F0F" w14:textId="7486EFE7" w:rsidR="00096559" w:rsidRPr="00096559" w:rsidRDefault="00096559" w:rsidP="00096559">
      <w:pPr>
        <w:numPr>
          <w:ilvl w:val="0"/>
          <w:numId w:val="36"/>
        </w:numPr>
        <w:contextualSpacing/>
      </w:pPr>
      <w:r w:rsidRPr="00096559">
        <w:t>The ADAR included MBS costs but did not include the cost of the prosthesis or the cost of hospital stay for private patients. This was not appropriate, as the MSAC guidelines recommend a health-care perspective be adopted (p</w:t>
      </w:r>
      <w:r w:rsidR="00CD0C84">
        <w:t>88</w:t>
      </w:r>
      <w:r w:rsidRPr="00096559">
        <w:t xml:space="preserve"> of the </w:t>
      </w:r>
      <w:hyperlink r:id="rId32" w:history="1">
        <w:r w:rsidRPr="00CD0C84">
          <w:rPr>
            <w:rStyle w:val="Hyperlink"/>
          </w:rPr>
          <w:t>MSAC guidelines</w:t>
        </w:r>
      </w:hyperlink>
      <w:r w:rsidRPr="00096559">
        <w:t>);</w:t>
      </w:r>
    </w:p>
    <w:p w14:paraId="10288013" w14:textId="77777777" w:rsidR="00096559" w:rsidRPr="00096559" w:rsidRDefault="00096559" w:rsidP="00096559">
      <w:pPr>
        <w:numPr>
          <w:ilvl w:val="0"/>
          <w:numId w:val="36"/>
        </w:numPr>
        <w:contextualSpacing/>
      </w:pPr>
      <w:r w:rsidRPr="00096559">
        <w:t>The ADAR’s economic model did not distinguish between disabling (</w:t>
      </w:r>
      <w:proofErr w:type="spellStart"/>
      <w:r w:rsidRPr="00096559">
        <w:t>mRS</w:t>
      </w:r>
      <w:proofErr w:type="spellEnd"/>
      <w:r w:rsidRPr="00096559">
        <w:t> ≥ 2) and non-disabling strokes (</w:t>
      </w:r>
      <w:proofErr w:type="spellStart"/>
      <w:r w:rsidRPr="00096559">
        <w:t>mRS</w:t>
      </w:r>
      <w:proofErr w:type="spellEnd"/>
      <w:r w:rsidRPr="00096559">
        <w:t xml:space="preserve"> &lt; 2). As only strokes with a </w:t>
      </w:r>
      <w:proofErr w:type="spellStart"/>
      <w:r w:rsidRPr="00096559">
        <w:t>mRS</w:t>
      </w:r>
      <w:proofErr w:type="spellEnd"/>
      <w:r w:rsidRPr="00096559">
        <w:t xml:space="preserve"> ≥ 2 result in significant disability, the clinical meaningfulness of any stroke as an outcome was uncertain. </w:t>
      </w:r>
      <w:r w:rsidRPr="00096559">
        <w:lastRenderedPageBreak/>
        <w:t xml:space="preserve">Further, this is a deviation from previous TAVI applications (MSAC 1603 and 1361) that used major/disabling stroke as a clinical </w:t>
      </w:r>
      <w:proofErr w:type="gramStart"/>
      <w:r w:rsidRPr="00096559">
        <w:t>outcome;</w:t>
      </w:r>
      <w:proofErr w:type="gramEnd"/>
    </w:p>
    <w:p w14:paraId="7CC60269" w14:textId="77777777" w:rsidR="00096559" w:rsidRPr="00096559" w:rsidRDefault="00096559" w:rsidP="00096559">
      <w:pPr>
        <w:numPr>
          <w:ilvl w:val="0"/>
          <w:numId w:val="36"/>
        </w:numPr>
        <w:contextualSpacing/>
      </w:pPr>
      <w:r w:rsidRPr="00096559">
        <w:t>The ADAR overestimated the cost of treating stroke and underestimated the utility of patients in the ‘Alive, with Stroke’ state. This favoured TAVI-</w:t>
      </w:r>
      <w:proofErr w:type="gramStart"/>
      <w:r w:rsidRPr="00096559">
        <w:t>BEV;</w:t>
      </w:r>
      <w:proofErr w:type="gramEnd"/>
    </w:p>
    <w:p w14:paraId="5357681C" w14:textId="77777777" w:rsidR="00096559" w:rsidRPr="00096559" w:rsidRDefault="00096559" w:rsidP="00096559">
      <w:pPr>
        <w:numPr>
          <w:ilvl w:val="0"/>
          <w:numId w:val="36"/>
        </w:numPr>
        <w:contextualSpacing/>
      </w:pPr>
      <w:r w:rsidRPr="00096559">
        <w:t xml:space="preserve">The ADAR’s economic model did not consider the loss in utility and increased rates of mortality and other complications for patients requiring aortic reintervention. Further, the ADAR assumed patients would only be at risk for up to 1-year after the index procedure. This was not reasonable. Particularly, considering that TAVI devices have uncertain </w:t>
      </w:r>
      <w:proofErr w:type="gramStart"/>
      <w:r w:rsidRPr="00096559">
        <w:t>durability;</w:t>
      </w:r>
      <w:proofErr w:type="gramEnd"/>
    </w:p>
    <w:p w14:paraId="5B41DEA6" w14:textId="77777777" w:rsidR="00096559" w:rsidRPr="00096559" w:rsidRDefault="00096559" w:rsidP="00096559">
      <w:pPr>
        <w:numPr>
          <w:ilvl w:val="0"/>
          <w:numId w:val="36"/>
        </w:numPr>
        <w:contextualSpacing/>
      </w:pPr>
      <w:r w:rsidRPr="00096559">
        <w:t>The ADAR assumed TAVI-BEV to be equivalent to SAVR in terms of major vascular complications, stage 2 or 3 acute kidney injury, myocardial infarction, new permanent pacemaker and paravalvular leaks. The direction of bias resulting from the assumption of equivalence of these adverse events is unknown, given that relative to SAVR, TAVI-BEV is significantly inferior for left bundle branch block and paravalvular leaks, numerically inferior for rates of new permanent pacemaker and vascular complications, and numerically superior for rates myocardial infarction and acute kidney injury; and</w:t>
      </w:r>
    </w:p>
    <w:p w14:paraId="09077667" w14:textId="77777777" w:rsidR="00096559" w:rsidRPr="00096559" w:rsidRDefault="00096559" w:rsidP="00096559">
      <w:pPr>
        <w:numPr>
          <w:ilvl w:val="0"/>
          <w:numId w:val="36"/>
        </w:numPr>
        <w:contextualSpacing/>
      </w:pPr>
      <w:r w:rsidRPr="00096559">
        <w:t xml:space="preserve">No </w:t>
      </w:r>
      <w:proofErr w:type="spellStart"/>
      <w:r w:rsidRPr="00096559">
        <w:t>disutilities</w:t>
      </w:r>
      <w:proofErr w:type="spellEnd"/>
      <w:r w:rsidRPr="00096559">
        <w:t xml:space="preserve"> were applied to adverse events.</w:t>
      </w:r>
    </w:p>
    <w:p w14:paraId="3432505C" w14:textId="35F337B0" w:rsidR="003D2F4E" w:rsidRPr="00964AB0" w:rsidRDefault="00096559" w:rsidP="00A7538F">
      <w:pPr>
        <w:keepNext/>
        <w:keepLines/>
        <w:spacing w:before="240" w:after="120"/>
        <w:outlineLvl w:val="1"/>
      </w:pPr>
      <w:r w:rsidRPr="00096559">
        <w:rPr>
          <w:bCs/>
          <w:i/>
          <w:szCs w:val="26"/>
        </w:rPr>
        <w:t>TAVI-BEV vs. SAVR</w:t>
      </w:r>
      <w:r w:rsidRPr="00096559">
        <w:fldChar w:fldCharType="begin"/>
      </w:r>
      <w:r w:rsidRPr="00096559">
        <w:instrText xml:space="preserve"> REF _Ref60310988 \h  \* MERGEFORMAT </w:instrText>
      </w:r>
      <w:r w:rsidRPr="00096559">
        <w:fldChar w:fldCharType="separate"/>
      </w:r>
    </w:p>
    <w:p w14:paraId="05E73330" w14:textId="35F337B0" w:rsidR="00964AB0" w:rsidRPr="00964AB0" w:rsidRDefault="003D2F4E" w:rsidP="00A7538F">
      <w:r w:rsidRPr="003D2F4E">
        <w:t>Table 11</w:t>
      </w:r>
      <w:r w:rsidR="00096559" w:rsidRPr="00096559">
        <w:fldChar w:fldCharType="end"/>
      </w:r>
      <w:r w:rsidR="00096559" w:rsidRPr="00096559">
        <w:t xml:space="preserve"> presents the ADARs and commentary’s revised results of the economic evaluation comparing TAVI-BEV with SAVR using the current benefit for TAVI BEV of $22,932 (revised base case) and ADARs proposal for higher benefit of </w:t>
      </w:r>
      <w:r w:rsidR="00096559" w:rsidRPr="00E75B03">
        <w:rPr>
          <w:b/>
        </w:rPr>
        <w:t>$</w:t>
      </w:r>
      <w:r w:rsidR="00484EA3" w:rsidRPr="00E75B03">
        <w:rPr>
          <w:b/>
        </w:rPr>
        <w:t>redacted</w:t>
      </w:r>
      <w:r w:rsidR="00E75B03" w:rsidRPr="00E75B03" w:rsidDel="00E75B03">
        <w:t xml:space="preserve"> </w:t>
      </w:r>
      <w:r w:rsidR="00096559" w:rsidRPr="00096559">
        <w:t>(scenario analysis</w:t>
      </w:r>
      <w:r w:rsidR="00964AB0">
        <w:t> </w:t>
      </w:r>
      <w:r w:rsidR="00096559" w:rsidRPr="00096559">
        <w:t>1).</w:t>
      </w:r>
      <w:bookmarkStart w:id="25" w:name="_Ref60310988"/>
      <w:bookmarkStart w:id="26" w:name="_Ref72309915"/>
    </w:p>
    <w:p w14:paraId="3D219641" w14:textId="3B4635FA" w:rsidR="00096559" w:rsidRPr="00096559" w:rsidRDefault="00096559" w:rsidP="0085555A">
      <w:pPr>
        <w:keepNext/>
        <w:keepLines/>
        <w:spacing w:before="240"/>
        <w:jc w:val="both"/>
        <w:rPr>
          <w:rFonts w:ascii="Arial Narrow" w:hAnsi="Arial Narrow" w:cs="Tahoma"/>
          <w:b/>
          <w:bCs/>
          <w:sz w:val="20"/>
          <w:szCs w:val="22"/>
        </w:rPr>
      </w:pPr>
      <w:r w:rsidRPr="00096559">
        <w:rPr>
          <w:rFonts w:ascii="Arial Narrow" w:hAnsi="Arial Narrow" w:cs="Tahoma"/>
          <w:b/>
          <w:bCs/>
          <w:sz w:val="20"/>
          <w:szCs w:val="22"/>
        </w:rPr>
        <w:t xml:space="preserve">Table </w:t>
      </w:r>
      <w:r w:rsidRPr="00096559">
        <w:rPr>
          <w:rFonts w:ascii="Arial Narrow" w:hAnsi="Arial Narrow" w:cs="Tahoma"/>
          <w:b/>
          <w:bCs/>
          <w:sz w:val="20"/>
          <w:szCs w:val="22"/>
          <w:shd w:val="clear" w:color="auto" w:fill="E6E6E6"/>
        </w:rPr>
        <w:fldChar w:fldCharType="begin"/>
      </w:r>
      <w:r w:rsidRPr="00096559">
        <w:rPr>
          <w:rFonts w:ascii="Arial Narrow" w:hAnsi="Arial Narrow" w:cs="Tahoma"/>
          <w:b/>
          <w:bCs/>
          <w:sz w:val="20"/>
          <w:szCs w:val="22"/>
        </w:rPr>
        <w:instrText>SEQ Table \* ARABIC</w:instrText>
      </w:r>
      <w:r w:rsidRPr="00096559">
        <w:rPr>
          <w:rFonts w:ascii="Arial Narrow" w:hAnsi="Arial Narrow" w:cs="Tahoma"/>
          <w:b/>
          <w:bCs/>
          <w:sz w:val="20"/>
          <w:szCs w:val="22"/>
          <w:shd w:val="clear" w:color="auto" w:fill="E6E6E6"/>
        </w:rPr>
        <w:fldChar w:fldCharType="separate"/>
      </w:r>
      <w:r w:rsidR="003D2F4E">
        <w:rPr>
          <w:rFonts w:ascii="Arial Narrow" w:hAnsi="Arial Narrow" w:cs="Tahoma"/>
          <w:b/>
          <w:bCs/>
          <w:noProof/>
          <w:sz w:val="20"/>
          <w:szCs w:val="22"/>
        </w:rPr>
        <w:t>11</w:t>
      </w:r>
      <w:r w:rsidRPr="00096559">
        <w:rPr>
          <w:rFonts w:ascii="Arial Narrow" w:hAnsi="Arial Narrow" w:cs="Tahoma"/>
          <w:b/>
          <w:bCs/>
          <w:sz w:val="20"/>
          <w:szCs w:val="22"/>
          <w:shd w:val="clear" w:color="auto" w:fill="E6E6E6"/>
        </w:rPr>
        <w:fldChar w:fldCharType="end"/>
      </w:r>
      <w:bookmarkEnd w:id="25"/>
      <w:bookmarkEnd w:id="26"/>
      <w:r w:rsidR="0085555A">
        <w:rPr>
          <w:rFonts w:ascii="Arial Narrow" w:hAnsi="Arial Narrow" w:cs="Tahoma"/>
          <w:b/>
          <w:bCs/>
          <w:sz w:val="20"/>
          <w:szCs w:val="22"/>
        </w:rPr>
        <w:tab/>
      </w:r>
      <w:r w:rsidRPr="00096559">
        <w:rPr>
          <w:rFonts w:ascii="Arial Narrow" w:hAnsi="Arial Narrow" w:cs="Tahoma"/>
          <w:b/>
          <w:bCs/>
          <w:sz w:val="20"/>
          <w:szCs w:val="22"/>
        </w:rPr>
        <w:t>Results of modelled economic evaluation comparing TAVI-BEV with SAVR, (revised) base case with 5% discounting</w:t>
      </w:r>
    </w:p>
    <w:tbl>
      <w:tblPr>
        <w:tblStyle w:val="TableGrid21"/>
        <w:tblW w:w="9185" w:type="dxa"/>
        <w:tblInd w:w="-5" w:type="dxa"/>
        <w:tblLayout w:type="fixed"/>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843"/>
        <w:gridCol w:w="1468"/>
        <w:gridCol w:w="1468"/>
        <w:gridCol w:w="1469"/>
        <w:gridCol w:w="1468"/>
        <w:gridCol w:w="1469"/>
      </w:tblGrid>
      <w:tr w:rsidR="00096559" w:rsidRPr="00096559" w14:paraId="2C65F0C5" w14:textId="77777777" w:rsidTr="003915B9">
        <w:trPr>
          <w:cnfStyle w:val="100000000000" w:firstRow="1" w:lastRow="0" w:firstColumn="0" w:lastColumn="0" w:oddVBand="0" w:evenVBand="0" w:oddHBand="0" w:evenHBand="0" w:firstRowFirstColumn="0" w:firstRowLastColumn="0" w:lastRowFirstColumn="0" w:lastRowLastColumn="0"/>
          <w:trHeight w:val="170"/>
          <w:tblHeader/>
        </w:trPr>
        <w:tc>
          <w:tcPr>
            <w:tcW w:w="1843" w:type="dxa"/>
            <w:tcBorders>
              <w:bottom w:val="single" w:sz="4" w:space="0" w:color="auto"/>
            </w:tcBorders>
            <w:vAlign w:val="center"/>
          </w:tcPr>
          <w:p w14:paraId="4C8E0A23" w14:textId="77777777" w:rsidR="00096559" w:rsidRPr="00096559" w:rsidRDefault="00096559" w:rsidP="00A7538F">
            <w:pPr>
              <w:keepNext/>
              <w:keepLines/>
              <w:spacing w:before="0" w:after="0"/>
              <w:rPr>
                <w:rFonts w:ascii="Arial Narrow" w:hAnsi="Arial Narrow" w:cs="Tahoma"/>
                <w:b/>
                <w:sz w:val="20"/>
              </w:rPr>
            </w:pPr>
            <w:r w:rsidRPr="00096559">
              <w:rPr>
                <w:rFonts w:ascii="Arial Narrow" w:hAnsi="Arial Narrow" w:cs="Tahoma"/>
                <w:b/>
                <w:sz w:val="20"/>
              </w:rPr>
              <w:t xml:space="preserve">Cost-utility analysis </w:t>
            </w:r>
          </w:p>
        </w:tc>
        <w:tc>
          <w:tcPr>
            <w:tcW w:w="1468" w:type="dxa"/>
            <w:tcBorders>
              <w:bottom w:val="single" w:sz="4" w:space="0" w:color="auto"/>
            </w:tcBorders>
            <w:vAlign w:val="center"/>
          </w:tcPr>
          <w:p w14:paraId="0027C858" w14:textId="77777777" w:rsidR="00096559" w:rsidRPr="00096559" w:rsidRDefault="00096559" w:rsidP="00A7538F">
            <w:pPr>
              <w:keepNext/>
              <w:keepLines/>
              <w:spacing w:before="0" w:after="0"/>
              <w:jc w:val="center"/>
              <w:rPr>
                <w:rFonts w:ascii="Arial Narrow" w:hAnsi="Arial Narrow" w:cs="Tahoma"/>
                <w:b/>
                <w:sz w:val="20"/>
              </w:rPr>
            </w:pPr>
            <w:r w:rsidRPr="00096559">
              <w:rPr>
                <w:rFonts w:ascii="Arial Narrow" w:hAnsi="Arial Narrow" w:cs="Tahoma"/>
                <w:b/>
                <w:sz w:val="20"/>
              </w:rPr>
              <w:t xml:space="preserve">Cost </w:t>
            </w:r>
            <w:r w:rsidRPr="00096559">
              <w:rPr>
                <w:rFonts w:ascii="Arial Narrow" w:hAnsi="Arial Narrow" w:cs="Tahoma"/>
                <w:b/>
                <w:sz w:val="20"/>
                <w:vertAlign w:val="superscript"/>
              </w:rPr>
              <w:t>a b</w:t>
            </w:r>
          </w:p>
        </w:tc>
        <w:tc>
          <w:tcPr>
            <w:tcW w:w="1468" w:type="dxa"/>
            <w:tcBorders>
              <w:bottom w:val="single" w:sz="4" w:space="0" w:color="auto"/>
            </w:tcBorders>
            <w:vAlign w:val="center"/>
          </w:tcPr>
          <w:p w14:paraId="113D9377" w14:textId="77777777" w:rsidR="00096559" w:rsidRPr="00096559" w:rsidRDefault="00096559" w:rsidP="00A7538F">
            <w:pPr>
              <w:keepNext/>
              <w:keepLines/>
              <w:spacing w:before="0" w:after="0"/>
              <w:jc w:val="center"/>
              <w:rPr>
                <w:rFonts w:ascii="Arial Narrow" w:hAnsi="Arial Narrow" w:cs="Tahoma"/>
                <w:b/>
                <w:sz w:val="20"/>
              </w:rPr>
            </w:pPr>
            <w:r w:rsidRPr="00096559">
              <w:rPr>
                <w:rFonts w:ascii="Arial Narrow" w:hAnsi="Arial Narrow" w:cs="Tahoma"/>
                <w:b/>
                <w:sz w:val="20"/>
              </w:rPr>
              <w:t>Incremental cost</w:t>
            </w:r>
          </w:p>
        </w:tc>
        <w:tc>
          <w:tcPr>
            <w:tcW w:w="1469" w:type="dxa"/>
            <w:tcBorders>
              <w:bottom w:val="single" w:sz="4" w:space="0" w:color="auto"/>
            </w:tcBorders>
            <w:vAlign w:val="center"/>
          </w:tcPr>
          <w:p w14:paraId="024EF841" w14:textId="77777777" w:rsidR="00096559" w:rsidRPr="00096559" w:rsidRDefault="00096559" w:rsidP="00A7538F">
            <w:pPr>
              <w:keepNext/>
              <w:keepLines/>
              <w:spacing w:before="0" w:after="0"/>
              <w:jc w:val="center"/>
              <w:rPr>
                <w:rFonts w:ascii="Arial Narrow" w:hAnsi="Arial Narrow" w:cs="Tahoma"/>
                <w:b/>
                <w:sz w:val="20"/>
              </w:rPr>
            </w:pPr>
            <w:r w:rsidRPr="00096559">
              <w:rPr>
                <w:rFonts w:ascii="Arial Narrow" w:hAnsi="Arial Narrow" w:cs="Tahoma"/>
                <w:b/>
                <w:sz w:val="20"/>
              </w:rPr>
              <w:t>Effectiveness (QALYs)</w:t>
            </w:r>
          </w:p>
        </w:tc>
        <w:tc>
          <w:tcPr>
            <w:tcW w:w="1468" w:type="dxa"/>
            <w:tcBorders>
              <w:bottom w:val="single" w:sz="4" w:space="0" w:color="auto"/>
            </w:tcBorders>
            <w:vAlign w:val="center"/>
          </w:tcPr>
          <w:p w14:paraId="2A96840D" w14:textId="77777777" w:rsidR="00096559" w:rsidRPr="00096559" w:rsidRDefault="00096559" w:rsidP="00A7538F">
            <w:pPr>
              <w:keepNext/>
              <w:keepLines/>
              <w:spacing w:before="0" w:after="0"/>
              <w:jc w:val="center"/>
              <w:rPr>
                <w:rFonts w:ascii="Arial Narrow" w:hAnsi="Arial Narrow" w:cs="Tahoma"/>
                <w:b/>
                <w:sz w:val="20"/>
              </w:rPr>
            </w:pPr>
            <w:r w:rsidRPr="00096559">
              <w:rPr>
                <w:rFonts w:ascii="Arial Narrow" w:hAnsi="Arial Narrow" w:cs="Tahoma"/>
                <w:b/>
                <w:sz w:val="20"/>
              </w:rPr>
              <w:t>Incremental effectiveness</w:t>
            </w:r>
          </w:p>
        </w:tc>
        <w:tc>
          <w:tcPr>
            <w:tcW w:w="1469" w:type="dxa"/>
            <w:tcBorders>
              <w:bottom w:val="single" w:sz="4" w:space="0" w:color="auto"/>
            </w:tcBorders>
            <w:vAlign w:val="center"/>
          </w:tcPr>
          <w:p w14:paraId="6B54B9B9" w14:textId="77777777" w:rsidR="00096559" w:rsidRPr="00096559" w:rsidRDefault="00096559" w:rsidP="00A7538F">
            <w:pPr>
              <w:keepNext/>
              <w:keepLines/>
              <w:spacing w:before="0" w:after="0"/>
              <w:jc w:val="center"/>
              <w:rPr>
                <w:rFonts w:ascii="Arial Narrow" w:hAnsi="Arial Narrow" w:cs="Tahoma"/>
                <w:b/>
                <w:sz w:val="20"/>
              </w:rPr>
            </w:pPr>
            <w:r w:rsidRPr="00096559">
              <w:rPr>
                <w:rFonts w:ascii="Arial Narrow" w:hAnsi="Arial Narrow" w:cs="Tahoma"/>
                <w:b/>
                <w:sz w:val="20"/>
              </w:rPr>
              <w:t>ICER</w:t>
            </w:r>
          </w:p>
        </w:tc>
      </w:tr>
      <w:tr w:rsidR="00096559" w:rsidRPr="00096559" w14:paraId="71E599AD" w14:textId="77777777" w:rsidTr="003915B9">
        <w:trPr>
          <w:cnfStyle w:val="100000000000" w:firstRow="1" w:lastRow="0" w:firstColumn="0" w:lastColumn="0" w:oddVBand="0" w:evenVBand="0" w:oddHBand="0" w:evenHBand="0" w:firstRowFirstColumn="0" w:firstRowLastColumn="0" w:lastRowFirstColumn="0" w:lastRowLastColumn="0"/>
          <w:trHeight w:val="170"/>
          <w:tblHeader/>
        </w:trPr>
        <w:tc>
          <w:tcPr>
            <w:tcW w:w="9185" w:type="dxa"/>
            <w:gridSpan w:val="6"/>
            <w:tcBorders>
              <w:bottom w:val="single" w:sz="4" w:space="0" w:color="auto"/>
            </w:tcBorders>
          </w:tcPr>
          <w:p w14:paraId="5DD28FDA" w14:textId="77777777" w:rsidR="00096559" w:rsidRPr="00096559" w:rsidRDefault="00096559" w:rsidP="00A7538F">
            <w:pPr>
              <w:keepNext/>
              <w:keepLines/>
              <w:spacing w:before="0" w:after="0"/>
              <w:rPr>
                <w:rFonts w:ascii="Arial Narrow" w:hAnsi="Arial Narrow" w:cs="Tahoma"/>
                <w:b/>
                <w:sz w:val="20"/>
              </w:rPr>
            </w:pPr>
            <w:r w:rsidRPr="00096559">
              <w:rPr>
                <w:rFonts w:ascii="Arial Narrow" w:hAnsi="Arial Narrow" w:cs="Tahoma"/>
                <w:b/>
                <w:sz w:val="20"/>
              </w:rPr>
              <w:t>Results as presented by the ADAR</w:t>
            </w:r>
          </w:p>
        </w:tc>
      </w:tr>
      <w:tr w:rsidR="00096559" w:rsidRPr="00096559" w14:paraId="5478C46A" w14:textId="77777777" w:rsidTr="003915B9">
        <w:trPr>
          <w:cnfStyle w:val="100000000000" w:firstRow="1" w:lastRow="0" w:firstColumn="0" w:lastColumn="0" w:oddVBand="0" w:evenVBand="0" w:oddHBand="0" w:evenHBand="0" w:firstRowFirstColumn="0" w:firstRowLastColumn="0" w:lastRowFirstColumn="0" w:lastRowLastColumn="0"/>
          <w:trHeight w:val="170"/>
          <w:tblHeader/>
        </w:trPr>
        <w:tc>
          <w:tcPr>
            <w:tcW w:w="1843" w:type="dxa"/>
            <w:tcBorders>
              <w:bottom w:val="single" w:sz="4" w:space="0" w:color="auto"/>
            </w:tcBorders>
          </w:tcPr>
          <w:p w14:paraId="104568E1" w14:textId="77777777" w:rsidR="00096559" w:rsidRPr="00484EA3" w:rsidRDefault="00096559" w:rsidP="00A7538F">
            <w:pPr>
              <w:keepNext/>
              <w:keepLines/>
              <w:spacing w:before="0" w:after="0"/>
              <w:rPr>
                <w:rFonts w:ascii="Arial Narrow" w:hAnsi="Arial Narrow" w:cs="Tahoma"/>
                <w:sz w:val="20"/>
              </w:rPr>
            </w:pPr>
            <w:r w:rsidRPr="00484EA3">
              <w:rPr>
                <w:rFonts w:ascii="Arial Narrow" w:hAnsi="Arial Narrow" w:cs="Tahoma"/>
                <w:sz w:val="20"/>
              </w:rPr>
              <w:t>TAVI-BEV</w:t>
            </w:r>
          </w:p>
        </w:tc>
        <w:tc>
          <w:tcPr>
            <w:tcW w:w="1468" w:type="dxa"/>
            <w:tcBorders>
              <w:bottom w:val="single" w:sz="4" w:space="0" w:color="auto"/>
            </w:tcBorders>
          </w:tcPr>
          <w:p w14:paraId="51D529EC" w14:textId="41FEEFE5" w:rsidR="00096559" w:rsidRPr="00E75B03" w:rsidRDefault="00096559" w:rsidP="00A7538F">
            <w:pPr>
              <w:keepNext/>
              <w:keepLines/>
              <w:spacing w:before="0" w:after="0"/>
              <w:jc w:val="center"/>
              <w:rPr>
                <w:rFonts w:ascii="Arial Narrow" w:hAnsi="Arial Narrow" w:cs="Tahoma"/>
                <w:b/>
                <w:sz w:val="20"/>
              </w:rPr>
            </w:pPr>
            <w:r w:rsidRPr="00E75B03">
              <w:rPr>
                <w:rFonts w:ascii="Arial Narrow" w:hAnsi="Arial Narrow" w:cs="Tahoma"/>
                <w:b/>
                <w:sz w:val="20"/>
              </w:rPr>
              <w:t>$</w:t>
            </w:r>
            <w:r w:rsidR="00484EA3" w:rsidRPr="00E75B03">
              <w:rPr>
                <w:rFonts w:ascii="Arial Narrow" w:hAnsi="Arial Narrow" w:cs="Tahoma"/>
                <w:b/>
                <w:sz w:val="20"/>
              </w:rPr>
              <w:t>redacted</w:t>
            </w:r>
          </w:p>
        </w:tc>
        <w:tc>
          <w:tcPr>
            <w:tcW w:w="1468" w:type="dxa"/>
            <w:vMerge w:val="restart"/>
            <w:vAlign w:val="center"/>
          </w:tcPr>
          <w:p w14:paraId="79B626AF" w14:textId="635A8D52" w:rsidR="00096559" w:rsidRPr="00E75B03" w:rsidRDefault="00484EA3" w:rsidP="00A7538F">
            <w:pPr>
              <w:keepNext/>
              <w:keepLines/>
              <w:spacing w:before="0" w:after="0"/>
              <w:jc w:val="center"/>
              <w:rPr>
                <w:rFonts w:ascii="Arial Narrow" w:hAnsi="Arial Narrow" w:cs="Tahoma"/>
                <w:sz w:val="20"/>
              </w:rPr>
            </w:pPr>
            <w:r w:rsidRPr="00E75B03">
              <w:rPr>
                <w:rFonts w:ascii="Arial Narrow" w:hAnsi="Arial Narrow" w:cs="Tahoma"/>
                <w:b/>
                <w:sz w:val="20"/>
              </w:rPr>
              <w:t>$redacted</w:t>
            </w:r>
          </w:p>
        </w:tc>
        <w:tc>
          <w:tcPr>
            <w:tcW w:w="1469" w:type="dxa"/>
            <w:tcBorders>
              <w:bottom w:val="single" w:sz="4" w:space="0" w:color="auto"/>
            </w:tcBorders>
            <w:vAlign w:val="center"/>
          </w:tcPr>
          <w:p w14:paraId="5BF7139D" w14:textId="16BFFDDE" w:rsidR="00096559" w:rsidRPr="00E75B03" w:rsidRDefault="00484EA3" w:rsidP="00A7538F">
            <w:pPr>
              <w:keepNext/>
              <w:keepLines/>
              <w:spacing w:before="0" w:after="0"/>
              <w:jc w:val="center"/>
              <w:rPr>
                <w:rFonts w:ascii="Arial Narrow" w:hAnsi="Arial Narrow" w:cs="Tahoma"/>
                <w:sz w:val="20"/>
              </w:rPr>
            </w:pPr>
            <w:r w:rsidRPr="00E75B03">
              <w:rPr>
                <w:rFonts w:ascii="Arial Narrow" w:hAnsi="Arial Narrow" w:cs="Tahoma"/>
                <w:b/>
                <w:sz w:val="20"/>
              </w:rPr>
              <w:t>redacted</w:t>
            </w:r>
          </w:p>
        </w:tc>
        <w:tc>
          <w:tcPr>
            <w:tcW w:w="1468" w:type="dxa"/>
            <w:vMerge w:val="restart"/>
            <w:vAlign w:val="center"/>
          </w:tcPr>
          <w:p w14:paraId="30B85A9C" w14:textId="2C8EA0E3" w:rsidR="00096559" w:rsidRPr="00E75B03" w:rsidRDefault="00484EA3" w:rsidP="00A7538F">
            <w:pPr>
              <w:keepNext/>
              <w:keepLines/>
              <w:spacing w:before="0" w:after="0"/>
              <w:jc w:val="center"/>
              <w:rPr>
                <w:rFonts w:ascii="Arial Narrow" w:hAnsi="Arial Narrow" w:cs="Tahoma"/>
                <w:sz w:val="20"/>
              </w:rPr>
            </w:pPr>
            <w:r w:rsidRPr="00E75B03">
              <w:rPr>
                <w:rFonts w:ascii="Arial Narrow" w:hAnsi="Arial Narrow" w:cs="Tahoma"/>
                <w:b/>
                <w:sz w:val="20"/>
              </w:rPr>
              <w:t>redacted</w:t>
            </w:r>
          </w:p>
        </w:tc>
        <w:tc>
          <w:tcPr>
            <w:tcW w:w="1469" w:type="dxa"/>
            <w:vMerge w:val="restart"/>
            <w:vAlign w:val="center"/>
          </w:tcPr>
          <w:p w14:paraId="2B78CDB8" w14:textId="71AA1152" w:rsidR="00096559" w:rsidRPr="00E75B03" w:rsidRDefault="00E75B03" w:rsidP="00A7538F">
            <w:pPr>
              <w:keepNext/>
              <w:keepLines/>
              <w:spacing w:before="0" w:after="0"/>
              <w:jc w:val="center"/>
              <w:rPr>
                <w:rFonts w:ascii="Arial Narrow" w:hAnsi="Arial Narrow" w:cs="Tahoma"/>
                <w:sz w:val="20"/>
              </w:rPr>
            </w:pPr>
            <w:r w:rsidRPr="00E75B03">
              <w:rPr>
                <w:rFonts w:cs="Tahoma"/>
                <w:b/>
                <w:sz w:val="20"/>
              </w:rPr>
              <w:t>$</w:t>
            </w:r>
            <w:r w:rsidRPr="00DF2628">
              <w:rPr>
                <w:rFonts w:ascii="Arial Narrow" w:hAnsi="Arial Narrow" w:cs="Tahoma"/>
                <w:b/>
                <w:sz w:val="20"/>
              </w:rPr>
              <w:t>redacted</w:t>
            </w:r>
            <w:r w:rsidR="00096559" w:rsidRPr="00E75B03">
              <w:rPr>
                <w:rFonts w:ascii="Arial Narrow" w:hAnsi="Arial Narrow" w:cs="Tahoma"/>
                <w:sz w:val="20"/>
              </w:rPr>
              <w:t xml:space="preserve"> </w:t>
            </w:r>
          </w:p>
        </w:tc>
      </w:tr>
      <w:tr w:rsidR="00096559" w:rsidRPr="00096559" w14:paraId="460C1BE7" w14:textId="77777777" w:rsidTr="003915B9">
        <w:trPr>
          <w:cnfStyle w:val="100000000000" w:firstRow="1" w:lastRow="0" w:firstColumn="0" w:lastColumn="0" w:oddVBand="0" w:evenVBand="0" w:oddHBand="0" w:evenHBand="0" w:firstRowFirstColumn="0" w:firstRowLastColumn="0" w:lastRowFirstColumn="0" w:lastRowLastColumn="0"/>
          <w:trHeight w:val="170"/>
          <w:tblHeader/>
        </w:trPr>
        <w:tc>
          <w:tcPr>
            <w:tcW w:w="1843" w:type="dxa"/>
            <w:tcBorders>
              <w:bottom w:val="single" w:sz="4" w:space="0" w:color="auto"/>
            </w:tcBorders>
          </w:tcPr>
          <w:p w14:paraId="3813F5AB" w14:textId="77777777" w:rsidR="00096559" w:rsidRPr="00484EA3" w:rsidRDefault="00096559" w:rsidP="00A7538F">
            <w:pPr>
              <w:keepNext/>
              <w:keepLines/>
              <w:spacing w:before="0" w:after="0"/>
              <w:rPr>
                <w:rFonts w:ascii="Arial Narrow" w:hAnsi="Arial Narrow" w:cs="Tahoma"/>
                <w:sz w:val="20"/>
              </w:rPr>
            </w:pPr>
            <w:r w:rsidRPr="00484EA3">
              <w:rPr>
                <w:rFonts w:ascii="Arial Narrow" w:hAnsi="Arial Narrow" w:cs="Tahoma"/>
                <w:sz w:val="20"/>
              </w:rPr>
              <w:t>SAVR</w:t>
            </w:r>
          </w:p>
        </w:tc>
        <w:tc>
          <w:tcPr>
            <w:tcW w:w="1468" w:type="dxa"/>
            <w:tcBorders>
              <w:bottom w:val="single" w:sz="4" w:space="0" w:color="auto"/>
            </w:tcBorders>
          </w:tcPr>
          <w:p w14:paraId="70C46ED2" w14:textId="403A3BCC" w:rsidR="00096559" w:rsidRPr="00E75B03" w:rsidRDefault="00484EA3" w:rsidP="00A7538F">
            <w:pPr>
              <w:keepNext/>
              <w:keepLines/>
              <w:spacing w:before="0" w:after="0"/>
              <w:jc w:val="center"/>
              <w:rPr>
                <w:rFonts w:ascii="Arial Narrow" w:hAnsi="Arial Narrow" w:cs="Tahoma"/>
                <w:sz w:val="20"/>
              </w:rPr>
            </w:pPr>
            <w:r w:rsidRPr="00E75B03">
              <w:rPr>
                <w:rFonts w:ascii="Arial Narrow" w:hAnsi="Arial Narrow" w:cs="Tahoma"/>
                <w:b/>
                <w:sz w:val="20"/>
              </w:rPr>
              <w:t>$redacted</w:t>
            </w:r>
          </w:p>
        </w:tc>
        <w:tc>
          <w:tcPr>
            <w:tcW w:w="1468" w:type="dxa"/>
            <w:vMerge/>
            <w:tcBorders>
              <w:bottom w:val="single" w:sz="4" w:space="0" w:color="auto"/>
            </w:tcBorders>
            <w:vAlign w:val="center"/>
          </w:tcPr>
          <w:p w14:paraId="3ADC55FE" w14:textId="77777777" w:rsidR="00096559" w:rsidRPr="00E75B03" w:rsidRDefault="00096559" w:rsidP="00A7538F">
            <w:pPr>
              <w:keepNext/>
              <w:keepLines/>
              <w:spacing w:before="0" w:after="0"/>
              <w:jc w:val="center"/>
              <w:rPr>
                <w:rFonts w:ascii="Arial Narrow" w:hAnsi="Arial Narrow" w:cs="Tahoma"/>
                <w:sz w:val="20"/>
              </w:rPr>
            </w:pPr>
          </w:p>
        </w:tc>
        <w:tc>
          <w:tcPr>
            <w:tcW w:w="1469" w:type="dxa"/>
            <w:tcBorders>
              <w:bottom w:val="single" w:sz="4" w:space="0" w:color="auto"/>
            </w:tcBorders>
            <w:vAlign w:val="center"/>
          </w:tcPr>
          <w:p w14:paraId="31DBB3BC" w14:textId="248F6136" w:rsidR="00096559" w:rsidRPr="00E75B03" w:rsidRDefault="00484EA3" w:rsidP="00A7538F">
            <w:pPr>
              <w:keepNext/>
              <w:keepLines/>
              <w:spacing w:before="0" w:after="0"/>
              <w:jc w:val="center"/>
              <w:rPr>
                <w:rFonts w:ascii="Arial Narrow" w:hAnsi="Arial Narrow" w:cs="Tahoma"/>
                <w:sz w:val="20"/>
              </w:rPr>
            </w:pPr>
            <w:r w:rsidRPr="00E75B03">
              <w:rPr>
                <w:rFonts w:ascii="Arial Narrow" w:hAnsi="Arial Narrow" w:cs="Tahoma"/>
                <w:b/>
                <w:sz w:val="20"/>
              </w:rPr>
              <w:t>redacted</w:t>
            </w:r>
          </w:p>
        </w:tc>
        <w:tc>
          <w:tcPr>
            <w:tcW w:w="1468" w:type="dxa"/>
            <w:vMerge/>
            <w:tcBorders>
              <w:bottom w:val="single" w:sz="4" w:space="0" w:color="auto"/>
            </w:tcBorders>
            <w:vAlign w:val="center"/>
          </w:tcPr>
          <w:p w14:paraId="548B118E" w14:textId="77777777" w:rsidR="00096559" w:rsidRPr="00E75B03" w:rsidRDefault="00096559" w:rsidP="00A7538F">
            <w:pPr>
              <w:keepNext/>
              <w:keepLines/>
              <w:spacing w:before="0" w:after="0"/>
              <w:jc w:val="center"/>
              <w:rPr>
                <w:rFonts w:ascii="Arial Narrow" w:hAnsi="Arial Narrow" w:cs="Tahoma"/>
                <w:sz w:val="20"/>
              </w:rPr>
            </w:pPr>
          </w:p>
        </w:tc>
        <w:tc>
          <w:tcPr>
            <w:tcW w:w="1469" w:type="dxa"/>
            <w:vMerge/>
            <w:tcBorders>
              <w:bottom w:val="single" w:sz="4" w:space="0" w:color="auto"/>
            </w:tcBorders>
            <w:vAlign w:val="center"/>
          </w:tcPr>
          <w:p w14:paraId="762D61C1" w14:textId="77777777" w:rsidR="00096559" w:rsidRPr="00E75B03" w:rsidRDefault="00096559" w:rsidP="00A7538F">
            <w:pPr>
              <w:keepNext/>
              <w:keepLines/>
              <w:spacing w:before="0" w:after="0"/>
              <w:jc w:val="center"/>
              <w:rPr>
                <w:rFonts w:ascii="Arial Narrow" w:hAnsi="Arial Narrow" w:cs="Tahoma"/>
                <w:sz w:val="20"/>
              </w:rPr>
            </w:pPr>
          </w:p>
        </w:tc>
      </w:tr>
      <w:tr w:rsidR="00096559" w:rsidRPr="00096559" w14:paraId="1D14C00C" w14:textId="77777777" w:rsidTr="003915B9">
        <w:trPr>
          <w:trHeight w:val="170"/>
        </w:trPr>
        <w:tc>
          <w:tcPr>
            <w:tcW w:w="9185" w:type="dxa"/>
            <w:gridSpan w:val="6"/>
            <w:tcBorders>
              <w:bottom w:val="single" w:sz="4" w:space="0" w:color="auto"/>
            </w:tcBorders>
            <w:vAlign w:val="center"/>
          </w:tcPr>
          <w:p w14:paraId="5997513F" w14:textId="77777777" w:rsidR="00096559" w:rsidRPr="00E75B03" w:rsidRDefault="00096559" w:rsidP="00A7538F">
            <w:pPr>
              <w:keepNext/>
              <w:keepLines/>
              <w:spacing w:before="0" w:after="0"/>
              <w:rPr>
                <w:rFonts w:cs="Tahoma"/>
                <w:b/>
                <w:sz w:val="20"/>
              </w:rPr>
            </w:pPr>
            <w:r w:rsidRPr="00E75B03">
              <w:rPr>
                <w:rFonts w:cs="Tahoma"/>
                <w:b/>
                <w:bCs/>
                <w:sz w:val="20"/>
              </w:rPr>
              <w:t xml:space="preserve">Revised base case </w:t>
            </w:r>
            <w:r w:rsidRPr="00E75B03">
              <w:rPr>
                <w:rFonts w:cs="Tahoma"/>
                <w:b/>
                <w:bCs/>
                <w:sz w:val="20"/>
                <w:vertAlign w:val="superscript"/>
              </w:rPr>
              <w:t>c</w:t>
            </w:r>
            <w:r w:rsidRPr="00E75B03">
              <w:rPr>
                <w:rFonts w:cs="Tahoma"/>
                <w:b/>
                <w:bCs/>
                <w:sz w:val="20"/>
              </w:rPr>
              <w:t>: using the cost of TAVI-BEV from the July 2020 Prostheses List</w:t>
            </w:r>
          </w:p>
        </w:tc>
      </w:tr>
      <w:tr w:rsidR="00484EA3" w:rsidRPr="00096559" w14:paraId="2FAC9B33" w14:textId="77777777" w:rsidTr="00E75B03">
        <w:trPr>
          <w:trHeight w:val="170"/>
        </w:trPr>
        <w:tc>
          <w:tcPr>
            <w:tcW w:w="1843" w:type="dxa"/>
          </w:tcPr>
          <w:p w14:paraId="40183DE3" w14:textId="77777777" w:rsidR="00484EA3" w:rsidRPr="00484EA3" w:rsidRDefault="00484EA3" w:rsidP="00A7538F">
            <w:pPr>
              <w:keepNext/>
              <w:keepLines/>
              <w:spacing w:before="0" w:after="0"/>
              <w:rPr>
                <w:rFonts w:cs="Tahoma"/>
                <w:sz w:val="20"/>
              </w:rPr>
            </w:pPr>
            <w:r w:rsidRPr="00484EA3">
              <w:rPr>
                <w:rFonts w:cs="Tahoma"/>
                <w:sz w:val="20"/>
              </w:rPr>
              <w:t>TAVI-BEV</w:t>
            </w:r>
          </w:p>
        </w:tc>
        <w:tc>
          <w:tcPr>
            <w:tcW w:w="1468" w:type="dxa"/>
          </w:tcPr>
          <w:p w14:paraId="7D0B09C6" w14:textId="30349FF0" w:rsidR="00484EA3" w:rsidRPr="00E75B03" w:rsidRDefault="00484EA3" w:rsidP="00A7538F">
            <w:pPr>
              <w:keepNext/>
              <w:keepLines/>
              <w:spacing w:before="0" w:after="0"/>
              <w:jc w:val="center"/>
              <w:rPr>
                <w:rFonts w:cs="Tahoma"/>
                <w:i/>
                <w:iCs/>
                <w:sz w:val="20"/>
              </w:rPr>
            </w:pPr>
            <w:r w:rsidRPr="00E75B03">
              <w:rPr>
                <w:rFonts w:cs="Tahoma"/>
                <w:b/>
                <w:sz w:val="20"/>
              </w:rPr>
              <w:t>$redacted</w:t>
            </w:r>
          </w:p>
        </w:tc>
        <w:tc>
          <w:tcPr>
            <w:tcW w:w="1468" w:type="dxa"/>
            <w:vMerge w:val="restart"/>
            <w:vAlign w:val="center"/>
          </w:tcPr>
          <w:p w14:paraId="2B82E8BE" w14:textId="29D5F1BB" w:rsidR="00484EA3" w:rsidRPr="00E75B03" w:rsidRDefault="00484EA3" w:rsidP="00A7538F">
            <w:pPr>
              <w:keepNext/>
              <w:keepLines/>
              <w:spacing w:before="0" w:after="0"/>
              <w:jc w:val="center"/>
              <w:rPr>
                <w:rFonts w:cs="Tahoma"/>
                <w:i/>
                <w:iCs/>
                <w:sz w:val="20"/>
              </w:rPr>
            </w:pPr>
            <w:r w:rsidRPr="00E75B03">
              <w:rPr>
                <w:rFonts w:cs="Tahoma"/>
                <w:b/>
                <w:sz w:val="20"/>
              </w:rPr>
              <w:t>$redacted</w:t>
            </w:r>
          </w:p>
        </w:tc>
        <w:tc>
          <w:tcPr>
            <w:tcW w:w="1469" w:type="dxa"/>
          </w:tcPr>
          <w:p w14:paraId="58278595" w14:textId="2484A33F" w:rsidR="00484EA3" w:rsidRPr="00E75B03" w:rsidRDefault="00484EA3" w:rsidP="00A7538F">
            <w:pPr>
              <w:keepNext/>
              <w:keepLines/>
              <w:spacing w:before="0" w:after="0"/>
              <w:jc w:val="center"/>
              <w:rPr>
                <w:rFonts w:cs="Tahoma"/>
                <w:sz w:val="20"/>
              </w:rPr>
            </w:pPr>
            <w:r w:rsidRPr="00E75B03">
              <w:rPr>
                <w:rFonts w:cs="Tahoma"/>
                <w:b/>
                <w:sz w:val="20"/>
              </w:rPr>
              <w:t>redacted</w:t>
            </w:r>
          </w:p>
        </w:tc>
        <w:tc>
          <w:tcPr>
            <w:tcW w:w="1468" w:type="dxa"/>
            <w:vMerge w:val="restart"/>
            <w:vAlign w:val="center"/>
          </w:tcPr>
          <w:p w14:paraId="7F3C86AF" w14:textId="68DFA9EF" w:rsidR="00484EA3" w:rsidRPr="00E75B03" w:rsidRDefault="00484EA3" w:rsidP="00A7538F">
            <w:pPr>
              <w:keepNext/>
              <w:keepLines/>
              <w:spacing w:before="0" w:after="0"/>
              <w:jc w:val="center"/>
              <w:rPr>
                <w:rFonts w:cs="Tahoma"/>
                <w:sz w:val="20"/>
              </w:rPr>
            </w:pPr>
            <w:r w:rsidRPr="00E75B03">
              <w:rPr>
                <w:rFonts w:cs="Tahoma"/>
                <w:b/>
                <w:sz w:val="20"/>
              </w:rPr>
              <w:t>redacted</w:t>
            </w:r>
          </w:p>
        </w:tc>
        <w:tc>
          <w:tcPr>
            <w:tcW w:w="1469" w:type="dxa"/>
            <w:vMerge w:val="restart"/>
            <w:vAlign w:val="center"/>
          </w:tcPr>
          <w:p w14:paraId="576DF068" w14:textId="38EF2861" w:rsidR="00484EA3" w:rsidRPr="00E75B03" w:rsidRDefault="00E75B03" w:rsidP="00A7538F">
            <w:pPr>
              <w:keepNext/>
              <w:keepLines/>
              <w:spacing w:before="0" w:after="0"/>
              <w:jc w:val="center"/>
              <w:rPr>
                <w:rFonts w:cs="Tahoma"/>
                <w:i/>
                <w:iCs/>
                <w:sz w:val="20"/>
              </w:rPr>
            </w:pPr>
            <w:r w:rsidRPr="00E75B03">
              <w:rPr>
                <w:rFonts w:cs="Tahoma"/>
                <w:b/>
                <w:sz w:val="20"/>
              </w:rPr>
              <w:t>$redacted</w:t>
            </w:r>
            <w:r w:rsidRPr="00E75B03" w:rsidDel="00E75B03">
              <w:rPr>
                <w:rFonts w:cs="Tahoma"/>
                <w:i/>
                <w:iCs/>
                <w:sz w:val="20"/>
              </w:rPr>
              <w:t xml:space="preserve"> </w:t>
            </w:r>
          </w:p>
        </w:tc>
      </w:tr>
      <w:tr w:rsidR="00484EA3" w:rsidRPr="00096559" w14:paraId="058ACC44" w14:textId="77777777" w:rsidTr="00E75B03">
        <w:trPr>
          <w:trHeight w:val="170"/>
        </w:trPr>
        <w:tc>
          <w:tcPr>
            <w:tcW w:w="1843" w:type="dxa"/>
          </w:tcPr>
          <w:p w14:paraId="0BCAD011" w14:textId="77777777" w:rsidR="00484EA3" w:rsidRPr="00484EA3" w:rsidRDefault="00484EA3" w:rsidP="00A7538F">
            <w:pPr>
              <w:keepNext/>
              <w:keepLines/>
              <w:spacing w:before="0" w:after="0"/>
              <w:rPr>
                <w:rFonts w:cs="Tahoma"/>
                <w:sz w:val="20"/>
              </w:rPr>
            </w:pPr>
            <w:r w:rsidRPr="00484EA3">
              <w:rPr>
                <w:rFonts w:cs="Tahoma"/>
                <w:sz w:val="20"/>
              </w:rPr>
              <w:t>SAVR</w:t>
            </w:r>
          </w:p>
        </w:tc>
        <w:tc>
          <w:tcPr>
            <w:tcW w:w="1468" w:type="dxa"/>
          </w:tcPr>
          <w:p w14:paraId="7E9CDC29" w14:textId="1E35505F" w:rsidR="00484EA3" w:rsidRPr="00E75B03" w:rsidRDefault="00484EA3" w:rsidP="00A7538F">
            <w:pPr>
              <w:keepNext/>
              <w:keepLines/>
              <w:spacing w:before="0" w:after="0"/>
              <w:jc w:val="center"/>
              <w:rPr>
                <w:rFonts w:cs="Tahoma"/>
                <w:i/>
                <w:iCs/>
                <w:sz w:val="20"/>
              </w:rPr>
            </w:pPr>
            <w:r w:rsidRPr="00E75B03">
              <w:rPr>
                <w:rFonts w:cs="Tahoma"/>
                <w:b/>
                <w:sz w:val="20"/>
              </w:rPr>
              <w:t>$redacted</w:t>
            </w:r>
          </w:p>
        </w:tc>
        <w:tc>
          <w:tcPr>
            <w:tcW w:w="1468" w:type="dxa"/>
            <w:vMerge/>
            <w:vAlign w:val="center"/>
          </w:tcPr>
          <w:p w14:paraId="62B715BE" w14:textId="77777777" w:rsidR="00484EA3" w:rsidRPr="00E75B03" w:rsidRDefault="00484EA3" w:rsidP="00A7538F">
            <w:pPr>
              <w:keepNext/>
              <w:keepLines/>
              <w:spacing w:before="0" w:after="0"/>
              <w:jc w:val="center"/>
              <w:rPr>
                <w:rFonts w:cs="Tahoma"/>
                <w:sz w:val="20"/>
              </w:rPr>
            </w:pPr>
          </w:p>
        </w:tc>
        <w:tc>
          <w:tcPr>
            <w:tcW w:w="1469" w:type="dxa"/>
          </w:tcPr>
          <w:p w14:paraId="24C9F5D0" w14:textId="1BBB4007" w:rsidR="00484EA3" w:rsidRPr="00E75B03" w:rsidRDefault="00484EA3" w:rsidP="00A7538F">
            <w:pPr>
              <w:keepNext/>
              <w:keepLines/>
              <w:spacing w:before="0" w:after="0"/>
              <w:jc w:val="center"/>
              <w:rPr>
                <w:rFonts w:cs="Tahoma"/>
                <w:sz w:val="20"/>
              </w:rPr>
            </w:pPr>
            <w:r w:rsidRPr="00E75B03">
              <w:rPr>
                <w:rFonts w:cs="Tahoma"/>
                <w:b/>
                <w:sz w:val="20"/>
              </w:rPr>
              <w:t>redacted</w:t>
            </w:r>
          </w:p>
        </w:tc>
        <w:tc>
          <w:tcPr>
            <w:tcW w:w="1468" w:type="dxa"/>
            <w:vMerge/>
            <w:vAlign w:val="center"/>
          </w:tcPr>
          <w:p w14:paraId="72E7F397" w14:textId="77777777" w:rsidR="00484EA3" w:rsidRPr="00E75B03" w:rsidRDefault="00484EA3" w:rsidP="00A7538F">
            <w:pPr>
              <w:keepNext/>
              <w:keepLines/>
              <w:spacing w:before="0" w:after="0"/>
              <w:jc w:val="center"/>
              <w:rPr>
                <w:rFonts w:cs="Tahoma"/>
                <w:sz w:val="20"/>
              </w:rPr>
            </w:pPr>
          </w:p>
        </w:tc>
        <w:tc>
          <w:tcPr>
            <w:tcW w:w="1469" w:type="dxa"/>
            <w:vMerge/>
            <w:vAlign w:val="center"/>
          </w:tcPr>
          <w:p w14:paraId="4778EF8D" w14:textId="77777777" w:rsidR="00484EA3" w:rsidRPr="00E75B03" w:rsidRDefault="00484EA3" w:rsidP="00A7538F">
            <w:pPr>
              <w:keepNext/>
              <w:keepLines/>
              <w:spacing w:before="0" w:after="0"/>
              <w:jc w:val="center"/>
              <w:rPr>
                <w:rFonts w:cs="Tahoma"/>
                <w:sz w:val="20"/>
              </w:rPr>
            </w:pPr>
          </w:p>
        </w:tc>
      </w:tr>
      <w:tr w:rsidR="00096559" w:rsidRPr="00096559" w14:paraId="61483A0F" w14:textId="77777777" w:rsidTr="003915B9">
        <w:trPr>
          <w:trHeight w:val="170"/>
          <w:tblHeader/>
        </w:trPr>
        <w:tc>
          <w:tcPr>
            <w:tcW w:w="9185" w:type="dxa"/>
            <w:gridSpan w:val="6"/>
            <w:tcBorders>
              <w:bottom w:val="single" w:sz="4" w:space="0" w:color="auto"/>
            </w:tcBorders>
            <w:vAlign w:val="center"/>
          </w:tcPr>
          <w:p w14:paraId="38CB1097" w14:textId="459F86D9" w:rsidR="00096559" w:rsidRPr="00E75B03" w:rsidRDefault="00096559" w:rsidP="00A7538F">
            <w:pPr>
              <w:keepNext/>
              <w:keepLines/>
              <w:spacing w:before="0" w:after="0"/>
              <w:rPr>
                <w:rFonts w:cs="Tahoma"/>
                <w:b/>
                <w:sz w:val="20"/>
              </w:rPr>
            </w:pPr>
            <w:r w:rsidRPr="00E75B03">
              <w:rPr>
                <w:rFonts w:cs="Tahoma"/>
                <w:b/>
                <w:bCs/>
                <w:sz w:val="20"/>
              </w:rPr>
              <w:t xml:space="preserve">Scenario analysis 1 </w:t>
            </w:r>
            <w:r w:rsidRPr="00E75B03">
              <w:rPr>
                <w:rFonts w:cs="Tahoma"/>
                <w:b/>
                <w:bCs/>
                <w:sz w:val="20"/>
                <w:vertAlign w:val="superscript"/>
              </w:rPr>
              <w:t>d</w:t>
            </w:r>
            <w:r w:rsidRPr="00E75B03">
              <w:rPr>
                <w:rFonts w:cs="Tahoma"/>
                <w:b/>
                <w:bCs/>
                <w:sz w:val="20"/>
              </w:rPr>
              <w:t xml:space="preserve">: using the ADAR’s proposed cost of </w:t>
            </w:r>
            <w:r w:rsidR="00484EA3" w:rsidRPr="00E75B03">
              <w:rPr>
                <w:rFonts w:cs="Tahoma"/>
                <w:b/>
                <w:sz w:val="20"/>
              </w:rPr>
              <w:t>$redacted</w:t>
            </w:r>
            <w:r w:rsidR="00484EA3" w:rsidRPr="00E75B03" w:rsidDel="00484EA3">
              <w:rPr>
                <w:rFonts w:cs="Tahoma"/>
                <w:b/>
                <w:bCs/>
                <w:sz w:val="20"/>
              </w:rPr>
              <w:t xml:space="preserve"> </w:t>
            </w:r>
            <w:r w:rsidRPr="00E75B03">
              <w:rPr>
                <w:rFonts w:cs="Tahoma"/>
                <w:b/>
                <w:bCs/>
                <w:sz w:val="20"/>
              </w:rPr>
              <w:t>for TAVI-BEV</w:t>
            </w:r>
          </w:p>
        </w:tc>
      </w:tr>
      <w:tr w:rsidR="00484EA3" w:rsidRPr="00096559" w14:paraId="00DAA741" w14:textId="77777777" w:rsidTr="00E75B03">
        <w:trPr>
          <w:trHeight w:val="170"/>
        </w:trPr>
        <w:tc>
          <w:tcPr>
            <w:tcW w:w="1843" w:type="dxa"/>
          </w:tcPr>
          <w:p w14:paraId="2AE83D0C" w14:textId="77777777" w:rsidR="00484EA3" w:rsidRPr="00484EA3" w:rsidRDefault="00484EA3" w:rsidP="00A7538F">
            <w:pPr>
              <w:keepNext/>
              <w:keepLines/>
              <w:spacing w:before="0" w:after="0"/>
              <w:rPr>
                <w:rFonts w:cs="Tahoma"/>
                <w:sz w:val="20"/>
              </w:rPr>
            </w:pPr>
            <w:r w:rsidRPr="00484EA3">
              <w:rPr>
                <w:rFonts w:cs="Tahoma"/>
                <w:sz w:val="20"/>
              </w:rPr>
              <w:t>TAVI-BEV</w:t>
            </w:r>
          </w:p>
        </w:tc>
        <w:tc>
          <w:tcPr>
            <w:tcW w:w="1468" w:type="dxa"/>
          </w:tcPr>
          <w:p w14:paraId="2A7AC8E8" w14:textId="3C56A690" w:rsidR="00484EA3" w:rsidRPr="00E75B03" w:rsidRDefault="00484EA3" w:rsidP="00A7538F">
            <w:pPr>
              <w:keepNext/>
              <w:keepLines/>
              <w:spacing w:before="0" w:after="0"/>
              <w:jc w:val="center"/>
              <w:rPr>
                <w:rFonts w:cs="Tahoma"/>
                <w:i/>
                <w:iCs/>
                <w:sz w:val="20"/>
              </w:rPr>
            </w:pPr>
            <w:r w:rsidRPr="00E75B03">
              <w:rPr>
                <w:rFonts w:cs="Tahoma"/>
                <w:b/>
                <w:sz w:val="20"/>
              </w:rPr>
              <w:t>$redacted</w:t>
            </w:r>
          </w:p>
        </w:tc>
        <w:tc>
          <w:tcPr>
            <w:tcW w:w="1468" w:type="dxa"/>
            <w:vMerge w:val="restart"/>
            <w:vAlign w:val="center"/>
          </w:tcPr>
          <w:p w14:paraId="437A3410" w14:textId="27DDFFF7" w:rsidR="00484EA3" w:rsidRPr="00E75B03" w:rsidRDefault="00484EA3" w:rsidP="00A7538F">
            <w:pPr>
              <w:keepNext/>
              <w:keepLines/>
              <w:spacing w:before="0" w:after="0"/>
              <w:jc w:val="center"/>
              <w:rPr>
                <w:rFonts w:cs="Tahoma"/>
                <w:i/>
                <w:iCs/>
                <w:sz w:val="20"/>
              </w:rPr>
            </w:pPr>
            <w:r w:rsidRPr="00E75B03">
              <w:rPr>
                <w:rFonts w:cs="Tahoma"/>
                <w:b/>
                <w:sz w:val="20"/>
              </w:rPr>
              <w:t>$redacted</w:t>
            </w:r>
          </w:p>
        </w:tc>
        <w:tc>
          <w:tcPr>
            <w:tcW w:w="1469" w:type="dxa"/>
          </w:tcPr>
          <w:p w14:paraId="422C241A" w14:textId="1D5BC1DD" w:rsidR="00484EA3" w:rsidRPr="00E75B03" w:rsidRDefault="00484EA3" w:rsidP="00A7538F">
            <w:pPr>
              <w:keepNext/>
              <w:keepLines/>
              <w:spacing w:before="0" w:after="0"/>
              <w:jc w:val="center"/>
              <w:rPr>
                <w:rFonts w:cs="Tahoma"/>
                <w:sz w:val="20"/>
              </w:rPr>
            </w:pPr>
            <w:r w:rsidRPr="00E75B03">
              <w:rPr>
                <w:rFonts w:cs="Tahoma"/>
                <w:b/>
                <w:sz w:val="20"/>
              </w:rPr>
              <w:t>redacted</w:t>
            </w:r>
          </w:p>
        </w:tc>
        <w:tc>
          <w:tcPr>
            <w:tcW w:w="1468" w:type="dxa"/>
            <w:vMerge w:val="restart"/>
            <w:vAlign w:val="center"/>
          </w:tcPr>
          <w:p w14:paraId="3271CE91" w14:textId="65B931FE" w:rsidR="00484EA3" w:rsidRPr="00E75B03" w:rsidRDefault="00484EA3" w:rsidP="00A7538F">
            <w:pPr>
              <w:keepNext/>
              <w:keepLines/>
              <w:spacing w:before="0" w:after="0"/>
              <w:jc w:val="center"/>
              <w:rPr>
                <w:rFonts w:cs="Tahoma"/>
                <w:sz w:val="20"/>
              </w:rPr>
            </w:pPr>
            <w:r w:rsidRPr="00E75B03">
              <w:rPr>
                <w:rFonts w:cs="Tahoma"/>
                <w:b/>
                <w:sz w:val="20"/>
              </w:rPr>
              <w:t>redacted</w:t>
            </w:r>
          </w:p>
        </w:tc>
        <w:tc>
          <w:tcPr>
            <w:tcW w:w="1469" w:type="dxa"/>
            <w:vMerge w:val="restart"/>
            <w:vAlign w:val="center"/>
          </w:tcPr>
          <w:p w14:paraId="67534714" w14:textId="34F90602" w:rsidR="00484EA3" w:rsidRPr="00E75B03" w:rsidRDefault="00E75B03" w:rsidP="00A7538F">
            <w:pPr>
              <w:keepNext/>
              <w:keepLines/>
              <w:spacing w:before="0" w:after="0"/>
              <w:jc w:val="center"/>
              <w:rPr>
                <w:rFonts w:cs="Tahoma"/>
                <w:i/>
                <w:iCs/>
                <w:sz w:val="20"/>
              </w:rPr>
            </w:pPr>
            <w:r w:rsidRPr="00E75B03">
              <w:rPr>
                <w:rFonts w:cs="Tahoma"/>
                <w:b/>
                <w:sz w:val="20"/>
              </w:rPr>
              <w:t>$redacted</w:t>
            </w:r>
            <w:r w:rsidRPr="00E75B03" w:rsidDel="00E75B03">
              <w:rPr>
                <w:rFonts w:cs="Tahoma"/>
                <w:i/>
                <w:iCs/>
                <w:sz w:val="20"/>
              </w:rPr>
              <w:t xml:space="preserve"> </w:t>
            </w:r>
          </w:p>
        </w:tc>
      </w:tr>
      <w:tr w:rsidR="00484EA3" w:rsidRPr="00096559" w14:paraId="0F091ECB" w14:textId="77777777" w:rsidTr="00E75B03">
        <w:trPr>
          <w:trHeight w:val="170"/>
        </w:trPr>
        <w:tc>
          <w:tcPr>
            <w:tcW w:w="1843" w:type="dxa"/>
          </w:tcPr>
          <w:p w14:paraId="5F4F2C0C" w14:textId="77777777" w:rsidR="00484EA3" w:rsidRPr="00484EA3" w:rsidRDefault="00484EA3" w:rsidP="00A7538F">
            <w:pPr>
              <w:keepNext/>
              <w:keepLines/>
              <w:spacing w:before="0" w:after="0"/>
              <w:rPr>
                <w:rFonts w:cs="Tahoma"/>
                <w:sz w:val="20"/>
              </w:rPr>
            </w:pPr>
            <w:r w:rsidRPr="00484EA3">
              <w:rPr>
                <w:rFonts w:cs="Tahoma"/>
                <w:sz w:val="20"/>
              </w:rPr>
              <w:t>SAVR</w:t>
            </w:r>
          </w:p>
        </w:tc>
        <w:tc>
          <w:tcPr>
            <w:tcW w:w="1468" w:type="dxa"/>
          </w:tcPr>
          <w:p w14:paraId="7B59B47B" w14:textId="7AC7CD1A" w:rsidR="00484EA3" w:rsidRPr="00E75B03" w:rsidRDefault="00484EA3" w:rsidP="00A7538F">
            <w:pPr>
              <w:keepNext/>
              <w:keepLines/>
              <w:spacing w:before="0" w:after="0"/>
              <w:jc w:val="center"/>
              <w:rPr>
                <w:rFonts w:cs="Tahoma"/>
                <w:i/>
                <w:iCs/>
                <w:sz w:val="20"/>
              </w:rPr>
            </w:pPr>
            <w:r w:rsidRPr="00E75B03">
              <w:rPr>
                <w:rFonts w:cs="Tahoma"/>
                <w:b/>
                <w:sz w:val="20"/>
              </w:rPr>
              <w:t>$redacted</w:t>
            </w:r>
          </w:p>
        </w:tc>
        <w:tc>
          <w:tcPr>
            <w:tcW w:w="1468" w:type="dxa"/>
            <w:vMerge/>
            <w:vAlign w:val="center"/>
          </w:tcPr>
          <w:p w14:paraId="3B6DBC1C" w14:textId="77777777" w:rsidR="00484EA3" w:rsidRPr="00E75B03" w:rsidRDefault="00484EA3" w:rsidP="00A7538F">
            <w:pPr>
              <w:keepNext/>
              <w:keepLines/>
              <w:spacing w:before="0" w:after="0"/>
              <w:jc w:val="center"/>
              <w:rPr>
                <w:rFonts w:cs="Tahoma"/>
                <w:i/>
                <w:iCs/>
                <w:sz w:val="20"/>
              </w:rPr>
            </w:pPr>
          </w:p>
        </w:tc>
        <w:tc>
          <w:tcPr>
            <w:tcW w:w="1469" w:type="dxa"/>
          </w:tcPr>
          <w:p w14:paraId="7BD64786" w14:textId="1C799886" w:rsidR="00484EA3" w:rsidRPr="00E75B03" w:rsidRDefault="00484EA3" w:rsidP="00A7538F">
            <w:pPr>
              <w:keepNext/>
              <w:keepLines/>
              <w:spacing w:before="0" w:after="0"/>
              <w:jc w:val="center"/>
              <w:rPr>
                <w:rFonts w:cs="Tahoma"/>
                <w:sz w:val="20"/>
              </w:rPr>
            </w:pPr>
            <w:r w:rsidRPr="00E75B03">
              <w:rPr>
                <w:rFonts w:cs="Tahoma"/>
                <w:b/>
                <w:sz w:val="20"/>
              </w:rPr>
              <w:t>redacted</w:t>
            </w:r>
          </w:p>
        </w:tc>
        <w:tc>
          <w:tcPr>
            <w:tcW w:w="1468" w:type="dxa"/>
            <w:vMerge/>
            <w:vAlign w:val="center"/>
          </w:tcPr>
          <w:p w14:paraId="6682D936" w14:textId="77777777" w:rsidR="00484EA3" w:rsidRPr="00096559" w:rsidRDefault="00484EA3" w:rsidP="00A7538F">
            <w:pPr>
              <w:keepNext/>
              <w:keepLines/>
              <w:spacing w:before="0" w:after="0"/>
              <w:jc w:val="center"/>
              <w:rPr>
                <w:rFonts w:cs="Tahoma"/>
                <w:sz w:val="20"/>
              </w:rPr>
            </w:pPr>
          </w:p>
        </w:tc>
        <w:tc>
          <w:tcPr>
            <w:tcW w:w="1469" w:type="dxa"/>
            <w:vMerge/>
            <w:vAlign w:val="center"/>
          </w:tcPr>
          <w:p w14:paraId="44D3DE6F" w14:textId="77777777" w:rsidR="00484EA3" w:rsidRPr="00096559" w:rsidRDefault="00484EA3" w:rsidP="00A7538F">
            <w:pPr>
              <w:keepNext/>
              <w:keepLines/>
              <w:spacing w:before="0" w:after="0"/>
              <w:jc w:val="center"/>
              <w:rPr>
                <w:rFonts w:cs="Tahoma"/>
                <w:sz w:val="20"/>
              </w:rPr>
            </w:pPr>
          </w:p>
        </w:tc>
      </w:tr>
    </w:tbl>
    <w:p w14:paraId="6BEF1CBF" w14:textId="77777777" w:rsidR="00096559" w:rsidRPr="00E90A7C" w:rsidRDefault="00096559" w:rsidP="00096559">
      <w:pPr>
        <w:widowControl w:val="0"/>
        <w:snapToGrid w:val="0"/>
        <w:jc w:val="both"/>
        <w:rPr>
          <w:rFonts w:ascii="Arial Narrow" w:hAnsi="Arial Narrow" w:cs="Arial"/>
          <w:sz w:val="18"/>
          <w:szCs w:val="22"/>
          <w:lang w:eastAsia="en-US"/>
        </w:rPr>
      </w:pPr>
      <w:r w:rsidRPr="00484EA3">
        <w:rPr>
          <w:rFonts w:ascii="Arial Narrow" w:hAnsi="Arial Narrow" w:cs="Arial"/>
          <w:sz w:val="18"/>
          <w:szCs w:val="22"/>
          <w:lang w:eastAsia="en-US"/>
        </w:rPr>
        <w:t xml:space="preserve">Abbreviations: ADAR = applicant developed assessment report, ICER = incremental cost-effectiveness ratio; QALY = quality-adjusted life </w:t>
      </w:r>
      <w:r w:rsidRPr="00E90A7C">
        <w:rPr>
          <w:rFonts w:ascii="Arial Narrow" w:hAnsi="Arial Narrow" w:cs="Arial"/>
          <w:sz w:val="18"/>
          <w:szCs w:val="22"/>
          <w:lang w:eastAsia="en-US"/>
        </w:rPr>
        <w:t xml:space="preserve">year; SAVR = surgical aortic valve replacement; TAVI-BEV = transcatheter aortic valve; </w:t>
      </w:r>
      <w:r w:rsidRPr="00E90A7C">
        <w:rPr>
          <w:rFonts w:ascii="Arial Narrow" w:hAnsi="Arial Narrow" w:cs="Arial"/>
          <w:i/>
          <w:iCs/>
          <w:sz w:val="18"/>
          <w:szCs w:val="22"/>
          <w:lang w:eastAsia="en-US"/>
        </w:rPr>
        <w:t xml:space="preserve">italics </w:t>
      </w:r>
      <w:r w:rsidRPr="00E90A7C">
        <w:rPr>
          <w:rFonts w:ascii="Arial Narrow" w:hAnsi="Arial Narrow" w:cs="Arial"/>
          <w:sz w:val="18"/>
          <w:szCs w:val="22"/>
          <w:lang w:eastAsia="en-US"/>
        </w:rPr>
        <w:t xml:space="preserve">= presented by the evaluation </w:t>
      </w:r>
    </w:p>
    <w:p w14:paraId="4F2EC4C5" w14:textId="77777777" w:rsidR="00096559" w:rsidRPr="00E90A7C" w:rsidRDefault="00096559" w:rsidP="00096559">
      <w:pPr>
        <w:widowControl w:val="0"/>
        <w:snapToGrid w:val="0"/>
        <w:jc w:val="both"/>
        <w:rPr>
          <w:rFonts w:ascii="Arial Narrow" w:hAnsi="Arial Narrow" w:cs="Arial"/>
          <w:sz w:val="18"/>
          <w:szCs w:val="22"/>
          <w:lang w:eastAsia="en-US"/>
        </w:rPr>
      </w:pPr>
      <w:r w:rsidRPr="00E90A7C">
        <w:rPr>
          <w:rFonts w:ascii="Arial Narrow" w:hAnsi="Arial Narrow" w:cs="Arial"/>
          <w:sz w:val="18"/>
          <w:szCs w:val="22"/>
          <w:vertAlign w:val="superscript"/>
          <w:lang w:eastAsia="en-US"/>
        </w:rPr>
        <w:t xml:space="preserve">a </w:t>
      </w:r>
      <w:r w:rsidRPr="00E90A7C">
        <w:rPr>
          <w:rFonts w:ascii="Arial Narrow" w:hAnsi="Arial Narrow" w:cs="Arial"/>
          <w:sz w:val="18"/>
          <w:szCs w:val="22"/>
          <w:lang w:eastAsia="en-US"/>
        </w:rPr>
        <w:t>Hospital and prosthesis costs for private patients were included by the evaluation</w:t>
      </w:r>
    </w:p>
    <w:p w14:paraId="503F9D4C" w14:textId="4F57FCBE" w:rsidR="00096559" w:rsidRPr="00E90A7C" w:rsidRDefault="00096559" w:rsidP="00096559">
      <w:pPr>
        <w:widowControl w:val="0"/>
        <w:snapToGrid w:val="0"/>
        <w:jc w:val="both"/>
        <w:rPr>
          <w:rFonts w:ascii="Arial Narrow" w:hAnsi="Arial Narrow" w:cs="Arial"/>
          <w:sz w:val="18"/>
          <w:szCs w:val="22"/>
          <w:lang w:eastAsia="en-US"/>
        </w:rPr>
      </w:pPr>
      <w:r w:rsidRPr="00E90A7C">
        <w:rPr>
          <w:rFonts w:ascii="Arial Narrow" w:hAnsi="Arial Narrow" w:cs="Arial"/>
          <w:sz w:val="18"/>
          <w:szCs w:val="22"/>
          <w:vertAlign w:val="superscript"/>
          <w:lang w:eastAsia="en-US"/>
        </w:rPr>
        <w:t xml:space="preserve">b </w:t>
      </w:r>
      <w:r w:rsidRPr="00E90A7C">
        <w:rPr>
          <w:rFonts w:ascii="Arial Narrow" w:hAnsi="Arial Narrow" w:cs="Arial"/>
          <w:sz w:val="18"/>
          <w:szCs w:val="22"/>
          <w:lang w:eastAsia="en-US"/>
        </w:rPr>
        <w:t>Note: in cells “</w:t>
      </w:r>
      <w:proofErr w:type="spellStart"/>
      <w:proofErr w:type="gramStart"/>
      <w:r w:rsidRPr="00E90A7C">
        <w:rPr>
          <w:rFonts w:ascii="Arial Narrow" w:hAnsi="Arial Narrow" w:cs="Arial"/>
          <w:sz w:val="18"/>
          <w:szCs w:val="22"/>
          <w:lang w:eastAsia="en-US"/>
        </w:rPr>
        <w:t>OtherCost</w:t>
      </w:r>
      <w:proofErr w:type="spellEnd"/>
      <w:r w:rsidRPr="00E90A7C">
        <w:rPr>
          <w:rFonts w:ascii="Arial Narrow" w:hAnsi="Arial Narrow" w:cs="Arial"/>
          <w:sz w:val="18"/>
          <w:szCs w:val="22"/>
          <w:lang w:eastAsia="en-US"/>
        </w:rPr>
        <w:t>!$</w:t>
      </w:r>
      <w:proofErr w:type="gramEnd"/>
      <w:r w:rsidRPr="00E90A7C">
        <w:rPr>
          <w:rFonts w:ascii="Arial Narrow" w:hAnsi="Arial Narrow" w:cs="Arial"/>
          <w:sz w:val="18"/>
          <w:szCs w:val="22"/>
          <w:lang w:eastAsia="en-US"/>
        </w:rPr>
        <w:t xml:space="preserve">A$5:$AB$65” the cost of </w:t>
      </w:r>
      <w:r w:rsidR="00484EA3" w:rsidRPr="00E90A7C">
        <w:rPr>
          <w:rFonts w:ascii="Arial Narrow" w:hAnsi="Arial Narrow" w:cs="Arial"/>
          <w:b/>
          <w:sz w:val="18"/>
          <w:szCs w:val="22"/>
          <w:lang w:eastAsia="en-US"/>
        </w:rPr>
        <w:t>$redacted</w:t>
      </w:r>
      <w:r w:rsidR="00484EA3" w:rsidRPr="00E90A7C" w:rsidDel="00484EA3">
        <w:rPr>
          <w:rFonts w:ascii="Arial Narrow" w:hAnsi="Arial Narrow" w:cs="Arial"/>
          <w:sz w:val="18"/>
          <w:szCs w:val="22"/>
          <w:lang w:eastAsia="en-US"/>
        </w:rPr>
        <w:t xml:space="preserve"> </w:t>
      </w:r>
      <w:r w:rsidRPr="00E90A7C">
        <w:rPr>
          <w:rFonts w:ascii="Arial Narrow" w:hAnsi="Arial Narrow" w:cs="Arial"/>
          <w:sz w:val="18"/>
          <w:szCs w:val="22"/>
          <w:lang w:eastAsia="en-US"/>
        </w:rPr>
        <w:t>was applied to each cycle instead of</w:t>
      </w:r>
      <w:r w:rsidR="00E75B03" w:rsidRPr="00E90A7C">
        <w:rPr>
          <w:rFonts w:ascii="Arial Narrow" w:hAnsi="Arial Narrow" w:cs="Arial"/>
          <w:sz w:val="18"/>
          <w:szCs w:val="22"/>
          <w:lang w:eastAsia="en-US"/>
        </w:rPr>
        <w:t xml:space="preserve"> </w:t>
      </w:r>
      <w:r w:rsidR="00484EA3" w:rsidRPr="00E90A7C">
        <w:rPr>
          <w:rFonts w:ascii="Arial Narrow" w:hAnsi="Arial Narrow" w:cs="Arial"/>
          <w:b/>
          <w:sz w:val="18"/>
          <w:szCs w:val="22"/>
          <w:lang w:eastAsia="en-US"/>
        </w:rPr>
        <w:t>$redacted</w:t>
      </w:r>
      <w:r w:rsidRPr="00E90A7C">
        <w:rPr>
          <w:rFonts w:ascii="Arial Narrow" w:hAnsi="Arial Narrow" w:cs="Arial"/>
          <w:sz w:val="18"/>
          <w:szCs w:val="22"/>
          <w:lang w:eastAsia="en-US"/>
        </w:rPr>
        <w:t>.</w:t>
      </w:r>
    </w:p>
    <w:p w14:paraId="33823D62" w14:textId="77777777" w:rsidR="00096559" w:rsidRPr="00E90A7C" w:rsidRDefault="00096559" w:rsidP="00096559">
      <w:pPr>
        <w:keepNext/>
        <w:keepLines/>
        <w:jc w:val="both"/>
        <w:rPr>
          <w:rFonts w:ascii="Arial Narrow" w:hAnsi="Arial Narrow" w:cs="Calibri"/>
          <w:sz w:val="18"/>
          <w:szCs w:val="18"/>
          <w:lang w:eastAsia="en-US"/>
        </w:rPr>
      </w:pPr>
      <w:r w:rsidRPr="00E90A7C">
        <w:rPr>
          <w:rFonts w:ascii="Arial Narrow" w:hAnsi="Arial Narrow" w:cs="Calibri"/>
          <w:sz w:val="18"/>
          <w:szCs w:val="18"/>
          <w:vertAlign w:val="superscript"/>
          <w:lang w:eastAsia="en-US"/>
        </w:rPr>
        <w:t>c</w:t>
      </w:r>
      <w:r w:rsidRPr="00E90A7C">
        <w:rPr>
          <w:rFonts w:ascii="Arial Narrow" w:hAnsi="Arial Narrow" w:cs="Calibri"/>
          <w:sz w:val="18"/>
          <w:szCs w:val="18"/>
          <w:lang w:eastAsia="en-US"/>
        </w:rPr>
        <w:t xml:space="preserve"> Revised base case assumptions include inclusion of prostheses costs and hospital stay costs for private patients, TAVI-BEV prosthesis cost of $22,932, as per the July 2020 Prostheses List</w:t>
      </w:r>
    </w:p>
    <w:p w14:paraId="2679AB19" w14:textId="4323823A" w:rsidR="00096559" w:rsidRPr="00E90A7C" w:rsidRDefault="00096559" w:rsidP="00096559">
      <w:pPr>
        <w:keepNext/>
        <w:keepLines/>
        <w:jc w:val="both"/>
        <w:rPr>
          <w:rFonts w:ascii="Arial Narrow" w:hAnsi="Arial Narrow" w:cs="Calibri"/>
          <w:sz w:val="18"/>
          <w:szCs w:val="18"/>
          <w:lang w:eastAsia="en-US"/>
        </w:rPr>
      </w:pPr>
      <w:r w:rsidRPr="00E90A7C">
        <w:rPr>
          <w:rFonts w:ascii="Arial Narrow" w:hAnsi="Arial Narrow" w:cs="Calibri"/>
          <w:sz w:val="18"/>
          <w:szCs w:val="18"/>
          <w:vertAlign w:val="superscript"/>
          <w:lang w:eastAsia="en-US"/>
        </w:rPr>
        <w:t>d</w:t>
      </w:r>
      <w:r w:rsidRPr="00E90A7C">
        <w:rPr>
          <w:rFonts w:ascii="Arial Narrow" w:hAnsi="Arial Narrow" w:cs="Calibri"/>
          <w:sz w:val="18"/>
          <w:szCs w:val="18"/>
          <w:lang w:eastAsia="en-US"/>
        </w:rPr>
        <w:t xml:space="preserve"> Scenario analysis 1 assumptions include: inclusion of prostheses costs and hospital stay costs for private patients, TAVI-BEV prosthesis cost of </w:t>
      </w:r>
      <w:r w:rsidR="00484EA3" w:rsidRPr="00E90A7C">
        <w:rPr>
          <w:rFonts w:ascii="Arial Narrow" w:hAnsi="Arial Narrow" w:cs="Arial"/>
          <w:b/>
          <w:sz w:val="18"/>
          <w:szCs w:val="22"/>
          <w:lang w:eastAsia="en-US"/>
        </w:rPr>
        <w:t>$redacted</w:t>
      </w:r>
      <w:r w:rsidRPr="00E90A7C">
        <w:rPr>
          <w:rFonts w:ascii="Arial Narrow" w:hAnsi="Arial Narrow" w:cs="Calibri"/>
          <w:sz w:val="18"/>
          <w:szCs w:val="18"/>
          <w:lang w:eastAsia="en-US"/>
        </w:rPr>
        <w:t>, as per the ADAR</w:t>
      </w:r>
    </w:p>
    <w:p w14:paraId="24A5B766" w14:textId="77777777" w:rsidR="00096559" w:rsidRPr="00096559" w:rsidRDefault="00096559" w:rsidP="00096559">
      <w:pPr>
        <w:widowControl w:val="0"/>
        <w:snapToGrid w:val="0"/>
        <w:jc w:val="both"/>
        <w:rPr>
          <w:rFonts w:ascii="Arial Narrow" w:hAnsi="Arial Narrow" w:cs="Calibri"/>
          <w:sz w:val="18"/>
          <w:szCs w:val="22"/>
          <w:lang w:eastAsia="en-US"/>
        </w:rPr>
      </w:pPr>
      <w:r w:rsidRPr="00E90A7C">
        <w:rPr>
          <w:rFonts w:ascii="Arial Narrow" w:hAnsi="Arial Narrow" w:cs="Arial"/>
          <w:sz w:val="18"/>
          <w:szCs w:val="22"/>
          <w:lang w:eastAsia="en-US"/>
        </w:rPr>
        <w:t>Source: Table D-18, p 118 of the ADAR</w:t>
      </w:r>
    </w:p>
    <w:p w14:paraId="762B6407" w14:textId="726AA574" w:rsidR="00E02D6D" w:rsidRPr="00E9166E" w:rsidRDefault="00096559" w:rsidP="00A7538F">
      <w:pPr>
        <w:spacing w:before="240" w:after="240"/>
      </w:pPr>
      <w:r w:rsidRPr="00096559">
        <w:t>The sensitivity analyses found that treatment with TAVI-BEV was the dominant treatment option in most scenarios (see</w:t>
      </w:r>
      <w:r w:rsidR="00246FFA">
        <w:t xml:space="preserve"> </w:t>
      </w:r>
      <w:r w:rsidR="00246FFA">
        <w:fldChar w:fldCharType="begin"/>
      </w:r>
      <w:r w:rsidR="00246FFA">
        <w:instrText xml:space="preserve"> REF _Ref73544972 \h </w:instrText>
      </w:r>
      <w:r w:rsidR="00246FFA">
        <w:fldChar w:fldCharType="separate"/>
      </w:r>
      <w:r w:rsidR="003D2F4E">
        <w:t xml:space="preserve">Figure </w:t>
      </w:r>
      <w:r w:rsidR="003D2F4E">
        <w:rPr>
          <w:noProof/>
        </w:rPr>
        <w:t>6</w:t>
      </w:r>
      <w:r w:rsidR="00246FFA">
        <w:fldChar w:fldCharType="end"/>
      </w:r>
      <w:r w:rsidRPr="00096559">
        <w:t xml:space="preserve">). This included changes in utility values, procedural cost of SAVR, the ratio of public to private patients, updating the model with the 2-year follow-up data, the inclusion of only disabling strokes, baseline prevalence of strokes, the efficacy of treatment and changes to the relative risk ratio of stroke and death for patients who have had prior strokes. The exception was when the hospitalisation costs for treatment with TAVI-BEV were adjusted based on the length of hospital stay for TAVI-BEV versus SAVR </w:t>
      </w:r>
      <w:r w:rsidRPr="00964AB0">
        <w:t xml:space="preserve">patients. Changing the ratio of hospital-stay between TAVI-BEV and SAVR patients </w:t>
      </w:r>
      <w:r w:rsidRPr="00964AB0">
        <w:lastRenderedPageBreak/>
        <w:t xml:space="preserve">from </w:t>
      </w:r>
      <w:r w:rsidR="002800B7" w:rsidRPr="00964AB0">
        <w:rPr>
          <w:b/>
        </w:rPr>
        <w:t>REDACTED</w:t>
      </w:r>
      <w:r w:rsidRPr="00964AB0">
        <w:t xml:space="preserve">. Assuming </w:t>
      </w:r>
      <w:r w:rsidR="005E3AA3" w:rsidRPr="00964AB0">
        <w:rPr>
          <w:b/>
        </w:rPr>
        <w:t>REDACTED</w:t>
      </w:r>
      <w:r w:rsidRPr="00964AB0">
        <w:t xml:space="preserve"> in the length of stay between TAVI-BEV and SAVR patients resulted in an ICER of </w:t>
      </w:r>
      <w:r w:rsidRPr="00964AB0">
        <w:rPr>
          <w:b/>
        </w:rPr>
        <w:t>$</w:t>
      </w:r>
      <w:r w:rsidR="00166DFD" w:rsidRPr="00964AB0">
        <w:rPr>
          <w:b/>
        </w:rPr>
        <w:t>redacted</w:t>
      </w:r>
      <w:r w:rsidRPr="00964AB0">
        <w:t xml:space="preserve"> per QALY.</w:t>
      </w:r>
    </w:p>
    <w:p w14:paraId="0AC66862" w14:textId="77777777" w:rsidR="00E02D6D" w:rsidRDefault="00360FBB" w:rsidP="00E02D6D">
      <w:pPr>
        <w:keepNext/>
        <w:keepLines/>
        <w:jc w:val="both"/>
      </w:pPr>
      <w:bookmarkStart w:id="27" w:name="_Ref60308140"/>
      <w:r>
        <w:rPr>
          <w:rFonts w:ascii="Arial Narrow" w:hAnsi="Arial Narrow" w:cs="Tahoma"/>
          <w:b/>
          <w:bCs/>
          <w:noProof/>
          <w:sz w:val="20"/>
          <w:szCs w:val="22"/>
        </w:rPr>
        <w:drawing>
          <wp:inline distT="0" distB="0" distL="0" distR="0" wp14:anchorId="4ADF7A96" wp14:editId="6AFA42D7">
            <wp:extent cx="5427878" cy="3078965"/>
            <wp:effectExtent l="0" t="0" r="1905" b="7620"/>
            <wp:docPr id="4" name="Picture 4" descr="Tornado diagram showing changes on the ICER/QALY of different scenario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5C86AB.tmp"/>
                    <pic:cNvPicPr/>
                  </pic:nvPicPr>
                  <pic:blipFill>
                    <a:blip r:embed="rId33">
                      <a:extLst>
                        <a:ext uri="{28A0092B-C50C-407E-A947-70E740481C1C}">
                          <a14:useLocalDpi xmlns:a14="http://schemas.microsoft.com/office/drawing/2010/main" val="0"/>
                        </a:ext>
                      </a:extLst>
                    </a:blip>
                    <a:stretch>
                      <a:fillRect/>
                    </a:stretch>
                  </pic:blipFill>
                  <pic:spPr>
                    <a:xfrm>
                      <a:off x="0" y="0"/>
                      <a:ext cx="5444905" cy="3088624"/>
                    </a:xfrm>
                    <a:prstGeom prst="rect">
                      <a:avLst/>
                    </a:prstGeom>
                  </pic:spPr>
                </pic:pic>
              </a:graphicData>
            </a:graphic>
          </wp:inline>
        </w:drawing>
      </w:r>
    </w:p>
    <w:p w14:paraId="7174B624" w14:textId="3DD4983B" w:rsidR="00096559" w:rsidRPr="00096559" w:rsidRDefault="00E02D6D" w:rsidP="00A7538F">
      <w:pPr>
        <w:pStyle w:val="Caption"/>
        <w:spacing w:after="0"/>
        <w:rPr>
          <w:rFonts w:cs="Tahoma"/>
          <w:b w:val="0"/>
          <w:bCs w:val="0"/>
          <w:szCs w:val="22"/>
        </w:rPr>
      </w:pPr>
      <w:bookmarkStart w:id="28" w:name="_Ref73544972"/>
      <w:r>
        <w:t xml:space="preserve">Figure </w:t>
      </w:r>
      <w:fldSimple w:instr=" SEQ Figure \* ARABIC ">
        <w:r w:rsidR="003D2F4E">
          <w:rPr>
            <w:noProof/>
          </w:rPr>
          <w:t>6</w:t>
        </w:r>
      </w:fldSimple>
      <w:bookmarkEnd w:id="28"/>
      <w:r w:rsidRPr="00E02D6D">
        <w:rPr>
          <w:rFonts w:cs="Tahoma"/>
          <w:szCs w:val="22"/>
        </w:rPr>
        <w:t xml:space="preserve"> </w:t>
      </w:r>
      <w:r w:rsidRPr="00096559">
        <w:rPr>
          <w:rFonts w:cs="Tahoma"/>
          <w:szCs w:val="22"/>
        </w:rPr>
        <w:t>Tornado Diagram</w:t>
      </w:r>
      <w:r>
        <w:rPr>
          <w:rFonts w:cs="Tahoma"/>
          <w:szCs w:val="22"/>
        </w:rPr>
        <w:t xml:space="preserve"> </w:t>
      </w:r>
      <w:bookmarkEnd w:id="27"/>
      <w:r w:rsidR="00096559" w:rsidRPr="00096559">
        <w:rPr>
          <w:rFonts w:cs="Tahoma"/>
          <w:szCs w:val="22"/>
        </w:rPr>
        <w:tab/>
        <w:t xml:space="preserve"> </w:t>
      </w:r>
    </w:p>
    <w:p w14:paraId="257C7D37" w14:textId="77777777" w:rsidR="00096559" w:rsidRPr="00096559" w:rsidRDefault="00096559" w:rsidP="00A7538F">
      <w:pPr>
        <w:keepNext/>
        <w:keepLines/>
        <w:widowControl w:val="0"/>
        <w:snapToGrid w:val="0"/>
        <w:jc w:val="both"/>
        <w:rPr>
          <w:rFonts w:ascii="Arial Narrow" w:hAnsi="Arial Narrow" w:cs="Arial"/>
          <w:sz w:val="18"/>
          <w:szCs w:val="18"/>
          <w:lang w:eastAsia="en-US"/>
        </w:rPr>
      </w:pPr>
      <w:r w:rsidRPr="00096559">
        <w:rPr>
          <w:rFonts w:ascii="Arial Narrow" w:hAnsi="Arial Narrow" w:cs="Arial"/>
          <w:sz w:val="18"/>
          <w:szCs w:val="18"/>
          <w:lang w:eastAsia="en-US"/>
        </w:rPr>
        <w:t xml:space="preserve">Abbreviations: ICER = incremental cost-effectiveness ratio; QALY = quality adjusted life year; SAVR = surgical aortic valve replacement; SIR = standardised incidence ratio; standardised mortality ratio; TAVI-BEV = transcatheter aortic valve implantation - balloon-expandable valve </w:t>
      </w:r>
    </w:p>
    <w:p w14:paraId="33DC5D74" w14:textId="77777777" w:rsidR="00096559" w:rsidRPr="00096559" w:rsidRDefault="00096559" w:rsidP="00096559">
      <w:pPr>
        <w:spacing w:after="240" w:line="312" w:lineRule="auto"/>
        <w:jc w:val="both"/>
        <w:rPr>
          <w:rFonts w:ascii="Arial Narrow" w:hAnsi="Arial Narrow" w:cs="Tahoma"/>
          <w:sz w:val="18"/>
          <w:szCs w:val="18"/>
        </w:rPr>
      </w:pPr>
      <w:r w:rsidRPr="00096559">
        <w:rPr>
          <w:rFonts w:ascii="Arial Narrow" w:hAnsi="Arial Narrow" w:cs="Tahoma"/>
          <w:sz w:val="18"/>
          <w:szCs w:val="18"/>
        </w:rPr>
        <w:t>Source: constructed during the evaluation</w:t>
      </w:r>
    </w:p>
    <w:p w14:paraId="27FA0701" w14:textId="6CF8B3BC" w:rsidR="00096559" w:rsidRPr="00096559" w:rsidRDefault="002A715C" w:rsidP="00096559">
      <w:pPr>
        <w:keepNext/>
        <w:keepLines/>
        <w:outlineLvl w:val="1"/>
        <w:rPr>
          <w:bCs/>
          <w:i/>
          <w:szCs w:val="26"/>
        </w:rPr>
      </w:pPr>
      <w:r>
        <w:rPr>
          <w:bCs/>
          <w:i/>
          <w:szCs w:val="26"/>
        </w:rPr>
        <w:t>TAVI-BEV vs. TAVI-SEV</w:t>
      </w:r>
    </w:p>
    <w:p w14:paraId="3DEB7F5D" w14:textId="5575F3C5" w:rsidR="00096559" w:rsidRPr="00096559" w:rsidRDefault="00096559" w:rsidP="00096559">
      <w:r w:rsidRPr="00096559">
        <w:fldChar w:fldCharType="begin"/>
      </w:r>
      <w:r w:rsidRPr="00096559">
        <w:instrText xml:space="preserve"> REF _Ref60308077 \h  \* MERGEFORMAT </w:instrText>
      </w:r>
      <w:r w:rsidRPr="00096559">
        <w:fldChar w:fldCharType="separate"/>
      </w:r>
      <w:r w:rsidR="003D2F4E" w:rsidRPr="003D2F4E">
        <w:t>Table 12</w:t>
      </w:r>
      <w:r w:rsidRPr="00096559">
        <w:fldChar w:fldCharType="end"/>
      </w:r>
      <w:r w:rsidRPr="00096559">
        <w:t xml:space="preserve"> presents the ADARs and commentary’s revised results of the secondary economic evaluation comparing TAVI-BEV with TAVI-SEV.</w:t>
      </w:r>
    </w:p>
    <w:p w14:paraId="29E0E1FB" w14:textId="5265876B" w:rsidR="00096559" w:rsidRPr="00096559" w:rsidRDefault="00096559" w:rsidP="0085555A">
      <w:pPr>
        <w:keepNext/>
        <w:keepLines/>
        <w:spacing w:before="240"/>
        <w:jc w:val="both"/>
        <w:rPr>
          <w:rFonts w:ascii="Arial Narrow" w:hAnsi="Arial Narrow" w:cs="Tahoma"/>
          <w:b/>
          <w:bCs/>
          <w:sz w:val="20"/>
          <w:szCs w:val="22"/>
        </w:rPr>
      </w:pPr>
      <w:bookmarkStart w:id="29" w:name="_Ref60308077"/>
      <w:r w:rsidRPr="00096559">
        <w:rPr>
          <w:rFonts w:ascii="Arial Narrow" w:hAnsi="Arial Narrow" w:cs="Tahoma"/>
          <w:b/>
          <w:bCs/>
          <w:sz w:val="20"/>
          <w:szCs w:val="22"/>
        </w:rPr>
        <w:t xml:space="preserve">Table </w:t>
      </w:r>
      <w:r w:rsidRPr="00096559">
        <w:rPr>
          <w:rFonts w:ascii="Arial Narrow" w:hAnsi="Arial Narrow" w:cs="Tahoma"/>
          <w:b/>
          <w:bCs/>
          <w:sz w:val="20"/>
          <w:szCs w:val="22"/>
          <w:shd w:val="clear" w:color="auto" w:fill="E6E6E6"/>
        </w:rPr>
        <w:fldChar w:fldCharType="begin"/>
      </w:r>
      <w:r w:rsidRPr="00096559">
        <w:rPr>
          <w:rFonts w:ascii="Arial Narrow" w:hAnsi="Arial Narrow" w:cs="Tahoma"/>
          <w:b/>
          <w:bCs/>
          <w:sz w:val="20"/>
          <w:szCs w:val="22"/>
        </w:rPr>
        <w:instrText>SEQ Table \* ARABIC</w:instrText>
      </w:r>
      <w:r w:rsidRPr="00096559">
        <w:rPr>
          <w:rFonts w:ascii="Arial Narrow" w:hAnsi="Arial Narrow" w:cs="Tahoma"/>
          <w:b/>
          <w:bCs/>
          <w:sz w:val="20"/>
          <w:szCs w:val="22"/>
          <w:shd w:val="clear" w:color="auto" w:fill="E6E6E6"/>
        </w:rPr>
        <w:fldChar w:fldCharType="separate"/>
      </w:r>
      <w:r w:rsidR="003D2F4E">
        <w:rPr>
          <w:rFonts w:ascii="Arial Narrow" w:hAnsi="Arial Narrow" w:cs="Tahoma"/>
          <w:b/>
          <w:bCs/>
          <w:noProof/>
          <w:sz w:val="20"/>
          <w:szCs w:val="22"/>
        </w:rPr>
        <w:t>12</w:t>
      </w:r>
      <w:r w:rsidRPr="00096559">
        <w:rPr>
          <w:rFonts w:ascii="Arial Narrow" w:hAnsi="Arial Narrow" w:cs="Tahoma"/>
          <w:b/>
          <w:bCs/>
          <w:sz w:val="20"/>
          <w:szCs w:val="22"/>
          <w:shd w:val="clear" w:color="auto" w:fill="E6E6E6"/>
        </w:rPr>
        <w:fldChar w:fldCharType="end"/>
      </w:r>
      <w:bookmarkEnd w:id="29"/>
      <w:r w:rsidR="0085555A">
        <w:rPr>
          <w:rFonts w:ascii="Arial Narrow" w:hAnsi="Arial Narrow" w:cs="Tahoma"/>
          <w:b/>
          <w:bCs/>
          <w:sz w:val="20"/>
          <w:szCs w:val="22"/>
        </w:rPr>
        <w:tab/>
      </w:r>
      <w:r w:rsidRPr="00096559">
        <w:rPr>
          <w:rFonts w:ascii="Arial Narrow" w:hAnsi="Arial Narrow" w:cs="Tahoma"/>
          <w:b/>
          <w:bCs/>
          <w:sz w:val="20"/>
          <w:szCs w:val="22"/>
        </w:rPr>
        <w:t xml:space="preserve">Results of modelled economic evaluation comparing TAVI-BEV with TAVI-SEV, revised base case and scenario analysis 1 with 5% discounting </w:t>
      </w:r>
    </w:p>
    <w:tbl>
      <w:tblPr>
        <w:tblStyle w:val="TableGrid22"/>
        <w:tblW w:w="9072" w:type="dxa"/>
        <w:tblInd w:w="-5" w:type="dxa"/>
        <w:tblLayout w:type="fixed"/>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993"/>
        <w:gridCol w:w="992"/>
        <w:gridCol w:w="1134"/>
        <w:gridCol w:w="1134"/>
        <w:gridCol w:w="1276"/>
        <w:gridCol w:w="1275"/>
        <w:gridCol w:w="1276"/>
        <w:gridCol w:w="992"/>
      </w:tblGrid>
      <w:tr w:rsidR="00096559" w:rsidRPr="00096559" w14:paraId="668FDDBC" w14:textId="77777777" w:rsidTr="00CC1ED3">
        <w:trPr>
          <w:cnfStyle w:val="100000000000" w:firstRow="1" w:lastRow="0" w:firstColumn="0" w:lastColumn="0" w:oddVBand="0" w:evenVBand="0" w:oddHBand="0" w:evenHBand="0" w:firstRowFirstColumn="0" w:firstRowLastColumn="0" w:lastRowFirstColumn="0" w:lastRowLastColumn="0"/>
          <w:trHeight w:val="20"/>
          <w:tblHeader/>
        </w:trPr>
        <w:tc>
          <w:tcPr>
            <w:tcW w:w="993" w:type="dxa"/>
          </w:tcPr>
          <w:p w14:paraId="334A1394" w14:textId="77777777" w:rsidR="00096559" w:rsidRPr="00096559" w:rsidRDefault="00096559" w:rsidP="00096559">
            <w:pPr>
              <w:keepNext/>
              <w:keepLines/>
              <w:rPr>
                <w:rFonts w:ascii="Arial Narrow" w:hAnsi="Arial Narrow" w:cs="Tahoma"/>
                <w:b/>
                <w:sz w:val="20"/>
                <w:szCs w:val="22"/>
              </w:rPr>
            </w:pPr>
            <w:r w:rsidRPr="00096559">
              <w:rPr>
                <w:rFonts w:ascii="Arial Narrow" w:hAnsi="Arial Narrow" w:cs="Tahoma"/>
                <w:b/>
                <w:sz w:val="20"/>
                <w:szCs w:val="22"/>
              </w:rPr>
              <w:t xml:space="preserve">Cost-utility analysis </w:t>
            </w:r>
          </w:p>
        </w:tc>
        <w:tc>
          <w:tcPr>
            <w:tcW w:w="992" w:type="dxa"/>
          </w:tcPr>
          <w:p w14:paraId="3BDDF3DA" w14:textId="77777777" w:rsidR="00096559" w:rsidRPr="00096559" w:rsidRDefault="00096559" w:rsidP="00096559">
            <w:pPr>
              <w:keepNext/>
              <w:keepLines/>
              <w:jc w:val="center"/>
              <w:rPr>
                <w:rFonts w:ascii="Arial Narrow" w:hAnsi="Arial Narrow" w:cs="Tahoma"/>
                <w:b/>
                <w:sz w:val="20"/>
                <w:szCs w:val="22"/>
              </w:rPr>
            </w:pPr>
            <w:r w:rsidRPr="00096559">
              <w:rPr>
                <w:rFonts w:ascii="Arial Narrow" w:hAnsi="Arial Narrow" w:cs="Tahoma"/>
                <w:b/>
                <w:sz w:val="20"/>
                <w:szCs w:val="22"/>
              </w:rPr>
              <w:t xml:space="preserve">Cost </w:t>
            </w:r>
            <w:r w:rsidRPr="00096559">
              <w:rPr>
                <w:rFonts w:ascii="Arial Narrow" w:hAnsi="Arial Narrow" w:cs="Tahoma"/>
                <w:sz w:val="20"/>
                <w:szCs w:val="22"/>
                <w:vertAlign w:val="superscript"/>
              </w:rPr>
              <w:t>a b</w:t>
            </w:r>
          </w:p>
        </w:tc>
        <w:tc>
          <w:tcPr>
            <w:tcW w:w="1134" w:type="dxa"/>
          </w:tcPr>
          <w:p w14:paraId="4CE0B8ED" w14:textId="77777777" w:rsidR="00096559" w:rsidRPr="00096559" w:rsidRDefault="00096559" w:rsidP="00096559">
            <w:pPr>
              <w:keepNext/>
              <w:keepLines/>
              <w:jc w:val="center"/>
              <w:rPr>
                <w:rFonts w:ascii="Arial Narrow" w:hAnsi="Arial Narrow" w:cs="Tahoma"/>
                <w:b/>
                <w:sz w:val="20"/>
                <w:szCs w:val="22"/>
              </w:rPr>
            </w:pPr>
            <w:r w:rsidRPr="00096559">
              <w:rPr>
                <w:rFonts w:ascii="Arial Narrow" w:hAnsi="Arial Narrow" w:cs="Tahoma"/>
                <w:b/>
                <w:sz w:val="20"/>
                <w:szCs w:val="22"/>
              </w:rPr>
              <w:t>Incremental cost</w:t>
            </w:r>
          </w:p>
        </w:tc>
        <w:tc>
          <w:tcPr>
            <w:tcW w:w="1134" w:type="dxa"/>
          </w:tcPr>
          <w:p w14:paraId="642347EB" w14:textId="77777777" w:rsidR="00096559" w:rsidRPr="00096559" w:rsidRDefault="00096559" w:rsidP="00096559">
            <w:pPr>
              <w:keepNext/>
              <w:keepLines/>
              <w:jc w:val="center"/>
              <w:rPr>
                <w:rFonts w:ascii="Arial Narrow" w:hAnsi="Arial Narrow" w:cs="Tahoma"/>
                <w:b/>
                <w:sz w:val="20"/>
                <w:szCs w:val="22"/>
              </w:rPr>
            </w:pPr>
            <w:r w:rsidRPr="00096559">
              <w:rPr>
                <w:rFonts w:ascii="Arial Narrow" w:hAnsi="Arial Narrow" w:cs="Tahoma"/>
                <w:b/>
                <w:sz w:val="20"/>
                <w:szCs w:val="22"/>
              </w:rPr>
              <w:t>Life years</w:t>
            </w:r>
          </w:p>
        </w:tc>
        <w:tc>
          <w:tcPr>
            <w:tcW w:w="1276" w:type="dxa"/>
          </w:tcPr>
          <w:p w14:paraId="388AEAD2" w14:textId="77777777" w:rsidR="00096559" w:rsidRPr="00096559" w:rsidRDefault="00096559" w:rsidP="00096559">
            <w:pPr>
              <w:keepNext/>
              <w:keepLines/>
              <w:jc w:val="center"/>
              <w:rPr>
                <w:rFonts w:ascii="Arial Narrow" w:hAnsi="Arial Narrow" w:cs="Tahoma"/>
                <w:b/>
                <w:sz w:val="20"/>
                <w:szCs w:val="22"/>
              </w:rPr>
            </w:pPr>
            <w:r w:rsidRPr="00096559">
              <w:rPr>
                <w:rFonts w:ascii="Arial Narrow" w:hAnsi="Arial Narrow" w:cs="Tahoma"/>
                <w:b/>
                <w:sz w:val="20"/>
                <w:szCs w:val="22"/>
              </w:rPr>
              <w:t>Incremental life years</w:t>
            </w:r>
          </w:p>
        </w:tc>
        <w:tc>
          <w:tcPr>
            <w:tcW w:w="1275" w:type="dxa"/>
          </w:tcPr>
          <w:p w14:paraId="445F5C12" w14:textId="77777777" w:rsidR="00096559" w:rsidRPr="00096559" w:rsidRDefault="00096559" w:rsidP="00096559">
            <w:pPr>
              <w:keepNext/>
              <w:keepLines/>
              <w:jc w:val="center"/>
              <w:rPr>
                <w:rFonts w:ascii="Arial Narrow" w:hAnsi="Arial Narrow" w:cs="Tahoma"/>
                <w:b/>
                <w:sz w:val="20"/>
                <w:szCs w:val="22"/>
              </w:rPr>
            </w:pPr>
            <w:r w:rsidRPr="00096559">
              <w:rPr>
                <w:rFonts w:ascii="Arial Narrow" w:hAnsi="Arial Narrow" w:cs="Tahoma"/>
                <w:b/>
                <w:sz w:val="20"/>
                <w:szCs w:val="22"/>
              </w:rPr>
              <w:t>Effectiveness (QALYs)</w:t>
            </w:r>
          </w:p>
        </w:tc>
        <w:tc>
          <w:tcPr>
            <w:tcW w:w="1276" w:type="dxa"/>
          </w:tcPr>
          <w:p w14:paraId="195BF9F4" w14:textId="77777777" w:rsidR="00096559" w:rsidRPr="00096559" w:rsidRDefault="00096559" w:rsidP="00096559">
            <w:pPr>
              <w:keepNext/>
              <w:keepLines/>
              <w:jc w:val="center"/>
              <w:rPr>
                <w:rFonts w:ascii="Arial Narrow" w:hAnsi="Arial Narrow" w:cs="Tahoma"/>
                <w:b/>
                <w:sz w:val="20"/>
                <w:szCs w:val="22"/>
              </w:rPr>
            </w:pPr>
            <w:r w:rsidRPr="00096559">
              <w:rPr>
                <w:rFonts w:ascii="Arial Narrow" w:hAnsi="Arial Narrow" w:cs="Tahoma"/>
                <w:b/>
                <w:sz w:val="20"/>
                <w:szCs w:val="22"/>
              </w:rPr>
              <w:t>Incremental effectiveness</w:t>
            </w:r>
          </w:p>
        </w:tc>
        <w:tc>
          <w:tcPr>
            <w:tcW w:w="992" w:type="dxa"/>
          </w:tcPr>
          <w:p w14:paraId="7890D031" w14:textId="77777777" w:rsidR="00096559" w:rsidRPr="00096559" w:rsidRDefault="00096559" w:rsidP="00096559">
            <w:pPr>
              <w:keepNext/>
              <w:keepLines/>
              <w:jc w:val="center"/>
              <w:rPr>
                <w:rFonts w:ascii="Arial Narrow" w:hAnsi="Arial Narrow" w:cs="Tahoma"/>
                <w:b/>
                <w:sz w:val="20"/>
                <w:szCs w:val="22"/>
              </w:rPr>
            </w:pPr>
            <w:r w:rsidRPr="00096559">
              <w:rPr>
                <w:rFonts w:ascii="Arial Narrow" w:hAnsi="Arial Narrow" w:cs="Tahoma"/>
                <w:b/>
                <w:sz w:val="20"/>
                <w:szCs w:val="22"/>
              </w:rPr>
              <w:t>ICER</w:t>
            </w:r>
          </w:p>
        </w:tc>
      </w:tr>
      <w:tr w:rsidR="00096559" w:rsidRPr="00096559" w14:paraId="35308761" w14:textId="77777777" w:rsidTr="003915B9">
        <w:trPr>
          <w:cnfStyle w:val="100000000000" w:firstRow="1" w:lastRow="0" w:firstColumn="0" w:lastColumn="0" w:oddVBand="0" w:evenVBand="0" w:oddHBand="0" w:evenHBand="0" w:firstRowFirstColumn="0" w:firstRowLastColumn="0" w:lastRowFirstColumn="0" w:lastRowLastColumn="0"/>
          <w:trHeight w:val="20"/>
          <w:tblHeader/>
        </w:trPr>
        <w:tc>
          <w:tcPr>
            <w:tcW w:w="9072" w:type="dxa"/>
            <w:gridSpan w:val="8"/>
          </w:tcPr>
          <w:p w14:paraId="383A71E7" w14:textId="77777777" w:rsidR="00096559" w:rsidRPr="00096559" w:rsidRDefault="00096559" w:rsidP="00096559">
            <w:pPr>
              <w:keepNext/>
              <w:keepLines/>
              <w:jc w:val="both"/>
              <w:rPr>
                <w:rFonts w:ascii="Arial Narrow" w:hAnsi="Arial Narrow" w:cs="Tahoma"/>
                <w:b/>
                <w:sz w:val="20"/>
                <w:szCs w:val="22"/>
              </w:rPr>
            </w:pPr>
            <w:r w:rsidRPr="00096559">
              <w:rPr>
                <w:rFonts w:ascii="Arial Narrow" w:hAnsi="Arial Narrow" w:cs="Tahoma"/>
                <w:b/>
                <w:sz w:val="20"/>
                <w:szCs w:val="22"/>
              </w:rPr>
              <w:t>Results as presented by the ADAR</w:t>
            </w:r>
          </w:p>
        </w:tc>
      </w:tr>
      <w:tr w:rsidR="00166DFD" w:rsidRPr="00E90A7C" w14:paraId="54854C0A" w14:textId="77777777" w:rsidTr="00E90A7C">
        <w:trPr>
          <w:cnfStyle w:val="100000000000" w:firstRow="1" w:lastRow="0" w:firstColumn="0" w:lastColumn="0" w:oddVBand="0" w:evenVBand="0" w:oddHBand="0" w:evenHBand="0" w:firstRowFirstColumn="0" w:firstRowLastColumn="0" w:lastRowFirstColumn="0" w:lastRowLastColumn="0"/>
          <w:trHeight w:val="20"/>
          <w:tblHeader/>
        </w:trPr>
        <w:tc>
          <w:tcPr>
            <w:tcW w:w="993" w:type="dxa"/>
            <w:vAlign w:val="center"/>
          </w:tcPr>
          <w:p w14:paraId="21C673A0" w14:textId="77777777" w:rsidR="00166DFD" w:rsidRPr="00E90A7C" w:rsidRDefault="00166DFD" w:rsidP="00166DFD">
            <w:pPr>
              <w:keepNext/>
              <w:keepLines/>
              <w:ind w:left="184" w:hanging="184"/>
              <w:jc w:val="center"/>
              <w:rPr>
                <w:rFonts w:ascii="Arial Narrow" w:hAnsi="Arial Narrow" w:cs="Tahoma"/>
                <w:bCs/>
                <w:sz w:val="20"/>
                <w:szCs w:val="22"/>
              </w:rPr>
            </w:pPr>
            <w:r w:rsidRPr="00E90A7C">
              <w:rPr>
                <w:rFonts w:ascii="Arial Narrow" w:hAnsi="Arial Narrow" w:cs="Tahoma"/>
                <w:sz w:val="20"/>
                <w:szCs w:val="22"/>
              </w:rPr>
              <w:t>TAVI-BEV</w:t>
            </w:r>
          </w:p>
        </w:tc>
        <w:tc>
          <w:tcPr>
            <w:tcW w:w="992" w:type="dxa"/>
          </w:tcPr>
          <w:p w14:paraId="554E7D5E" w14:textId="04A2F811" w:rsidR="00166DFD" w:rsidRPr="00E90A7C" w:rsidRDefault="00166DFD" w:rsidP="00166DFD">
            <w:pPr>
              <w:keepNext/>
              <w:keepLines/>
              <w:jc w:val="center"/>
              <w:rPr>
                <w:rFonts w:ascii="Arial Narrow" w:hAnsi="Arial Narrow" w:cs="Tahoma"/>
                <w:bCs/>
                <w:sz w:val="20"/>
                <w:szCs w:val="22"/>
              </w:rPr>
            </w:pPr>
            <w:r w:rsidRPr="00E90A7C">
              <w:rPr>
                <w:rFonts w:ascii="Arial Narrow" w:hAnsi="Arial Narrow" w:cs="Tahoma"/>
                <w:b/>
                <w:sz w:val="20"/>
              </w:rPr>
              <w:t>$redacted</w:t>
            </w:r>
          </w:p>
        </w:tc>
        <w:tc>
          <w:tcPr>
            <w:tcW w:w="1134" w:type="dxa"/>
            <w:vMerge w:val="restart"/>
            <w:vAlign w:val="center"/>
          </w:tcPr>
          <w:p w14:paraId="3F2C5A7D" w14:textId="72BB7C85" w:rsidR="00166DFD" w:rsidRPr="00E90A7C" w:rsidRDefault="00166DFD" w:rsidP="00166DFD">
            <w:pPr>
              <w:keepNext/>
              <w:keepLines/>
              <w:jc w:val="center"/>
              <w:rPr>
                <w:rFonts w:ascii="Arial Narrow" w:hAnsi="Arial Narrow" w:cs="Tahoma"/>
                <w:bCs/>
                <w:sz w:val="20"/>
                <w:szCs w:val="22"/>
              </w:rPr>
            </w:pPr>
            <w:r w:rsidRPr="00E90A7C">
              <w:rPr>
                <w:rFonts w:ascii="Arial Narrow" w:hAnsi="Arial Narrow" w:cs="Tahoma"/>
                <w:b/>
                <w:sz w:val="20"/>
              </w:rPr>
              <w:t>$redacted</w:t>
            </w:r>
          </w:p>
        </w:tc>
        <w:tc>
          <w:tcPr>
            <w:tcW w:w="1134" w:type="dxa"/>
          </w:tcPr>
          <w:p w14:paraId="239830FF" w14:textId="35385E60" w:rsidR="00166DFD" w:rsidRPr="00E90A7C" w:rsidRDefault="0007101C" w:rsidP="00166DFD">
            <w:pPr>
              <w:keepNext/>
              <w:keepLines/>
              <w:jc w:val="center"/>
              <w:rPr>
                <w:rFonts w:ascii="Arial Narrow" w:hAnsi="Arial Narrow" w:cs="Tahoma"/>
                <w:bCs/>
                <w:sz w:val="20"/>
                <w:szCs w:val="22"/>
              </w:rPr>
            </w:pPr>
            <w:r w:rsidRPr="00E90A7C">
              <w:rPr>
                <w:rFonts w:ascii="Arial Narrow" w:hAnsi="Arial Narrow" w:cs="Tahoma"/>
                <w:b/>
                <w:sz w:val="20"/>
              </w:rPr>
              <w:t>R</w:t>
            </w:r>
            <w:r w:rsidR="00166DFD" w:rsidRPr="00E90A7C">
              <w:rPr>
                <w:rFonts w:ascii="Arial Narrow" w:hAnsi="Arial Narrow" w:cs="Tahoma"/>
                <w:b/>
                <w:sz w:val="20"/>
              </w:rPr>
              <w:t>edacted</w:t>
            </w:r>
          </w:p>
        </w:tc>
        <w:tc>
          <w:tcPr>
            <w:tcW w:w="1276" w:type="dxa"/>
            <w:vMerge w:val="restart"/>
            <w:vAlign w:val="center"/>
          </w:tcPr>
          <w:p w14:paraId="209C7A55" w14:textId="59883BF7" w:rsidR="00166DFD" w:rsidRPr="00E90A7C" w:rsidRDefault="00166DFD" w:rsidP="00E90A7C">
            <w:pPr>
              <w:keepNext/>
              <w:keepLines/>
              <w:jc w:val="center"/>
              <w:rPr>
                <w:rFonts w:ascii="Arial Narrow" w:hAnsi="Arial Narrow" w:cs="Tahoma"/>
                <w:bCs/>
                <w:sz w:val="20"/>
                <w:szCs w:val="22"/>
              </w:rPr>
            </w:pPr>
            <w:r w:rsidRPr="00E90A7C">
              <w:rPr>
                <w:rFonts w:ascii="Arial Narrow" w:hAnsi="Arial Narrow" w:cs="Tahoma"/>
                <w:b/>
                <w:sz w:val="20"/>
              </w:rPr>
              <w:t>redacted</w:t>
            </w:r>
          </w:p>
        </w:tc>
        <w:tc>
          <w:tcPr>
            <w:tcW w:w="1275" w:type="dxa"/>
          </w:tcPr>
          <w:p w14:paraId="2E0DE499" w14:textId="5A714B98" w:rsidR="00166DFD" w:rsidRPr="00E90A7C" w:rsidRDefault="00166DFD" w:rsidP="00166DFD">
            <w:pPr>
              <w:keepNext/>
              <w:keepLines/>
              <w:jc w:val="center"/>
              <w:rPr>
                <w:rFonts w:ascii="Arial Narrow" w:hAnsi="Arial Narrow" w:cs="Tahoma"/>
                <w:bCs/>
                <w:sz w:val="20"/>
                <w:szCs w:val="22"/>
              </w:rPr>
            </w:pPr>
            <w:r w:rsidRPr="00E90A7C">
              <w:rPr>
                <w:rFonts w:ascii="Arial Narrow" w:hAnsi="Arial Narrow" w:cs="Tahoma"/>
                <w:b/>
                <w:sz w:val="20"/>
              </w:rPr>
              <w:t>redacted</w:t>
            </w:r>
          </w:p>
        </w:tc>
        <w:tc>
          <w:tcPr>
            <w:tcW w:w="1276" w:type="dxa"/>
            <w:vMerge w:val="restart"/>
            <w:vAlign w:val="center"/>
          </w:tcPr>
          <w:p w14:paraId="660793A0" w14:textId="476DF064" w:rsidR="00166DFD" w:rsidRPr="00E90A7C" w:rsidRDefault="00166DFD" w:rsidP="00166DFD">
            <w:pPr>
              <w:keepNext/>
              <w:keepLines/>
              <w:jc w:val="center"/>
              <w:rPr>
                <w:rFonts w:ascii="Arial Narrow" w:hAnsi="Arial Narrow" w:cs="Tahoma"/>
                <w:bCs/>
                <w:sz w:val="20"/>
                <w:szCs w:val="22"/>
              </w:rPr>
            </w:pPr>
            <w:r w:rsidRPr="00E90A7C">
              <w:rPr>
                <w:rFonts w:ascii="Arial Narrow" w:hAnsi="Arial Narrow" w:cs="Tahoma"/>
                <w:b/>
                <w:sz w:val="20"/>
              </w:rPr>
              <w:t>redacted</w:t>
            </w:r>
          </w:p>
        </w:tc>
        <w:tc>
          <w:tcPr>
            <w:tcW w:w="992" w:type="dxa"/>
            <w:vMerge w:val="restart"/>
            <w:vAlign w:val="center"/>
          </w:tcPr>
          <w:p w14:paraId="4BB75D5B" w14:textId="5FAC14ED" w:rsidR="00166DFD" w:rsidRPr="00E90A7C" w:rsidRDefault="00166DFD" w:rsidP="00166DFD">
            <w:pPr>
              <w:keepNext/>
              <w:keepLines/>
              <w:jc w:val="center"/>
              <w:rPr>
                <w:rFonts w:ascii="Arial Narrow" w:hAnsi="Arial Narrow" w:cs="Tahoma"/>
                <w:bCs/>
                <w:sz w:val="20"/>
                <w:szCs w:val="22"/>
              </w:rPr>
            </w:pPr>
            <w:r w:rsidRPr="00E90A7C">
              <w:rPr>
                <w:rFonts w:ascii="Arial Narrow" w:hAnsi="Arial Narrow" w:cs="Tahoma"/>
                <w:b/>
                <w:sz w:val="20"/>
              </w:rPr>
              <w:t>$redacted</w:t>
            </w:r>
          </w:p>
        </w:tc>
      </w:tr>
      <w:tr w:rsidR="00166DFD" w:rsidRPr="00E90A7C" w14:paraId="347B84F7" w14:textId="77777777" w:rsidTr="00CC1ED3">
        <w:trPr>
          <w:cnfStyle w:val="100000000000" w:firstRow="1" w:lastRow="0" w:firstColumn="0" w:lastColumn="0" w:oddVBand="0" w:evenVBand="0" w:oddHBand="0" w:evenHBand="0" w:firstRowFirstColumn="0" w:firstRowLastColumn="0" w:lastRowFirstColumn="0" w:lastRowLastColumn="0"/>
          <w:trHeight w:val="20"/>
          <w:tblHeader/>
        </w:trPr>
        <w:tc>
          <w:tcPr>
            <w:tcW w:w="993" w:type="dxa"/>
            <w:vAlign w:val="center"/>
          </w:tcPr>
          <w:p w14:paraId="18C30FA0" w14:textId="77777777" w:rsidR="00166DFD" w:rsidRPr="00E90A7C" w:rsidRDefault="00166DFD" w:rsidP="00166DFD">
            <w:pPr>
              <w:keepNext/>
              <w:keepLines/>
              <w:ind w:left="184" w:hanging="184"/>
              <w:jc w:val="center"/>
              <w:rPr>
                <w:rFonts w:ascii="Arial Narrow" w:hAnsi="Arial Narrow" w:cs="Tahoma"/>
                <w:bCs/>
                <w:sz w:val="20"/>
                <w:szCs w:val="22"/>
              </w:rPr>
            </w:pPr>
            <w:r w:rsidRPr="00E90A7C">
              <w:rPr>
                <w:rFonts w:ascii="Arial Narrow" w:hAnsi="Arial Narrow" w:cs="Tahoma"/>
                <w:sz w:val="20"/>
                <w:szCs w:val="22"/>
              </w:rPr>
              <w:t>TAVI-SEV</w:t>
            </w:r>
          </w:p>
        </w:tc>
        <w:tc>
          <w:tcPr>
            <w:tcW w:w="992" w:type="dxa"/>
          </w:tcPr>
          <w:p w14:paraId="0E3B277F" w14:textId="44404C9F" w:rsidR="00166DFD" w:rsidRPr="00E90A7C" w:rsidRDefault="00166DFD" w:rsidP="00166DFD">
            <w:pPr>
              <w:keepNext/>
              <w:keepLines/>
              <w:jc w:val="center"/>
              <w:rPr>
                <w:rFonts w:ascii="Arial Narrow" w:hAnsi="Arial Narrow" w:cs="Tahoma"/>
                <w:bCs/>
                <w:sz w:val="20"/>
                <w:szCs w:val="22"/>
              </w:rPr>
            </w:pPr>
            <w:r w:rsidRPr="00E90A7C">
              <w:rPr>
                <w:rFonts w:ascii="Arial Narrow" w:hAnsi="Arial Narrow" w:cs="Tahoma"/>
                <w:b/>
                <w:sz w:val="20"/>
              </w:rPr>
              <w:t>$redacted</w:t>
            </w:r>
          </w:p>
        </w:tc>
        <w:tc>
          <w:tcPr>
            <w:tcW w:w="1134" w:type="dxa"/>
            <w:vMerge/>
            <w:vAlign w:val="center"/>
          </w:tcPr>
          <w:p w14:paraId="0E66F9B9" w14:textId="77777777" w:rsidR="00166DFD" w:rsidRPr="00E90A7C" w:rsidRDefault="00166DFD" w:rsidP="00166DFD">
            <w:pPr>
              <w:keepNext/>
              <w:keepLines/>
              <w:jc w:val="center"/>
              <w:rPr>
                <w:rFonts w:ascii="Arial Narrow" w:hAnsi="Arial Narrow" w:cs="Tahoma"/>
                <w:bCs/>
                <w:sz w:val="20"/>
                <w:szCs w:val="22"/>
              </w:rPr>
            </w:pPr>
          </w:p>
        </w:tc>
        <w:tc>
          <w:tcPr>
            <w:tcW w:w="1134" w:type="dxa"/>
          </w:tcPr>
          <w:p w14:paraId="1F86E5BB" w14:textId="06E4E06F" w:rsidR="00166DFD" w:rsidRPr="00E90A7C" w:rsidRDefault="0007101C" w:rsidP="00166DFD">
            <w:pPr>
              <w:keepNext/>
              <w:keepLines/>
              <w:jc w:val="center"/>
              <w:rPr>
                <w:rFonts w:ascii="Arial Narrow" w:hAnsi="Arial Narrow" w:cs="Tahoma"/>
                <w:bCs/>
                <w:sz w:val="20"/>
                <w:szCs w:val="22"/>
              </w:rPr>
            </w:pPr>
            <w:r w:rsidRPr="00E90A7C">
              <w:rPr>
                <w:rFonts w:ascii="Arial Narrow" w:hAnsi="Arial Narrow" w:cs="Tahoma"/>
                <w:b/>
                <w:sz w:val="20"/>
              </w:rPr>
              <w:t>R</w:t>
            </w:r>
            <w:r w:rsidR="00166DFD" w:rsidRPr="00E90A7C">
              <w:rPr>
                <w:rFonts w:ascii="Arial Narrow" w:hAnsi="Arial Narrow" w:cs="Tahoma"/>
                <w:b/>
                <w:sz w:val="20"/>
              </w:rPr>
              <w:t>edacted</w:t>
            </w:r>
          </w:p>
        </w:tc>
        <w:tc>
          <w:tcPr>
            <w:tcW w:w="1276" w:type="dxa"/>
            <w:vMerge/>
          </w:tcPr>
          <w:p w14:paraId="15280144" w14:textId="77777777" w:rsidR="00166DFD" w:rsidRPr="00E90A7C" w:rsidRDefault="00166DFD" w:rsidP="00166DFD">
            <w:pPr>
              <w:keepNext/>
              <w:keepLines/>
              <w:jc w:val="center"/>
              <w:rPr>
                <w:rFonts w:ascii="Arial Narrow" w:hAnsi="Arial Narrow" w:cs="Tahoma"/>
                <w:bCs/>
                <w:sz w:val="20"/>
                <w:szCs w:val="22"/>
              </w:rPr>
            </w:pPr>
          </w:p>
        </w:tc>
        <w:tc>
          <w:tcPr>
            <w:tcW w:w="1275" w:type="dxa"/>
          </w:tcPr>
          <w:p w14:paraId="3AC5485F" w14:textId="77F170F2" w:rsidR="00166DFD" w:rsidRPr="00E90A7C" w:rsidRDefault="00166DFD" w:rsidP="00166DFD">
            <w:pPr>
              <w:keepNext/>
              <w:keepLines/>
              <w:jc w:val="center"/>
              <w:rPr>
                <w:rFonts w:ascii="Arial Narrow" w:hAnsi="Arial Narrow" w:cs="Tahoma"/>
                <w:bCs/>
                <w:sz w:val="20"/>
                <w:szCs w:val="22"/>
              </w:rPr>
            </w:pPr>
            <w:r w:rsidRPr="00E90A7C">
              <w:rPr>
                <w:rFonts w:ascii="Arial Narrow" w:hAnsi="Arial Narrow" w:cs="Tahoma"/>
                <w:b/>
                <w:sz w:val="20"/>
              </w:rPr>
              <w:t>redacted</w:t>
            </w:r>
          </w:p>
        </w:tc>
        <w:tc>
          <w:tcPr>
            <w:tcW w:w="1276" w:type="dxa"/>
            <w:vMerge/>
            <w:vAlign w:val="center"/>
          </w:tcPr>
          <w:p w14:paraId="3D7646F8" w14:textId="77777777" w:rsidR="00166DFD" w:rsidRPr="00E90A7C" w:rsidRDefault="00166DFD" w:rsidP="00166DFD">
            <w:pPr>
              <w:keepNext/>
              <w:keepLines/>
              <w:jc w:val="center"/>
              <w:rPr>
                <w:rFonts w:ascii="Arial Narrow" w:hAnsi="Arial Narrow" w:cs="Tahoma"/>
                <w:bCs/>
                <w:sz w:val="20"/>
                <w:szCs w:val="22"/>
              </w:rPr>
            </w:pPr>
          </w:p>
        </w:tc>
        <w:tc>
          <w:tcPr>
            <w:tcW w:w="992" w:type="dxa"/>
            <w:vMerge/>
            <w:vAlign w:val="center"/>
          </w:tcPr>
          <w:p w14:paraId="7D8D657E" w14:textId="77777777" w:rsidR="00166DFD" w:rsidRPr="00E90A7C" w:rsidRDefault="00166DFD" w:rsidP="00166DFD">
            <w:pPr>
              <w:keepNext/>
              <w:keepLines/>
              <w:jc w:val="center"/>
              <w:rPr>
                <w:rFonts w:ascii="Arial Narrow" w:hAnsi="Arial Narrow" w:cs="Tahoma"/>
                <w:bCs/>
                <w:sz w:val="20"/>
                <w:szCs w:val="22"/>
              </w:rPr>
            </w:pPr>
          </w:p>
        </w:tc>
      </w:tr>
      <w:tr w:rsidR="00096559" w:rsidRPr="00E90A7C" w14:paraId="43742B9C" w14:textId="77777777" w:rsidTr="003915B9">
        <w:trPr>
          <w:cnfStyle w:val="100000000000" w:firstRow="1" w:lastRow="0" w:firstColumn="0" w:lastColumn="0" w:oddVBand="0" w:evenVBand="0" w:oddHBand="0" w:evenHBand="0" w:firstRowFirstColumn="0" w:firstRowLastColumn="0" w:lastRowFirstColumn="0" w:lastRowLastColumn="0"/>
          <w:trHeight w:val="20"/>
          <w:tblHeader/>
        </w:trPr>
        <w:tc>
          <w:tcPr>
            <w:tcW w:w="9072" w:type="dxa"/>
            <w:gridSpan w:val="8"/>
            <w:vAlign w:val="center"/>
          </w:tcPr>
          <w:p w14:paraId="01A8CAAE" w14:textId="77777777" w:rsidR="00096559" w:rsidRPr="00E90A7C" w:rsidRDefault="00096559" w:rsidP="00096559">
            <w:pPr>
              <w:keepNext/>
              <w:keepLines/>
              <w:jc w:val="both"/>
              <w:rPr>
                <w:rFonts w:ascii="Arial Narrow" w:hAnsi="Arial Narrow" w:cs="Tahoma"/>
                <w:b/>
                <w:sz w:val="20"/>
                <w:szCs w:val="22"/>
              </w:rPr>
            </w:pPr>
            <w:r w:rsidRPr="00E90A7C">
              <w:rPr>
                <w:rFonts w:ascii="Arial Narrow" w:hAnsi="Arial Narrow" w:cs="Tahoma"/>
                <w:b/>
                <w:bCs/>
                <w:sz w:val="20"/>
                <w:szCs w:val="22"/>
              </w:rPr>
              <w:t>Revised base case: using the cost of TAVI-BEV from the July 2020 Prostheses List</w:t>
            </w:r>
          </w:p>
        </w:tc>
      </w:tr>
      <w:tr w:rsidR="00166DFD" w:rsidRPr="00E90A7C" w14:paraId="4AAF9C48" w14:textId="77777777" w:rsidTr="00E90A7C">
        <w:trPr>
          <w:trHeight w:val="20"/>
        </w:trPr>
        <w:tc>
          <w:tcPr>
            <w:tcW w:w="993" w:type="dxa"/>
            <w:vAlign w:val="center"/>
          </w:tcPr>
          <w:p w14:paraId="5AB9D491" w14:textId="77777777" w:rsidR="00166DFD" w:rsidRPr="00E90A7C" w:rsidRDefault="00166DFD" w:rsidP="00166DFD">
            <w:pPr>
              <w:keepNext/>
              <w:keepLines/>
              <w:jc w:val="center"/>
              <w:rPr>
                <w:rFonts w:cs="Tahoma"/>
                <w:sz w:val="20"/>
                <w:szCs w:val="22"/>
              </w:rPr>
            </w:pPr>
            <w:r w:rsidRPr="00E90A7C">
              <w:rPr>
                <w:rFonts w:cs="Tahoma"/>
                <w:sz w:val="20"/>
                <w:szCs w:val="22"/>
              </w:rPr>
              <w:t>TAVI-BEV</w:t>
            </w:r>
          </w:p>
        </w:tc>
        <w:tc>
          <w:tcPr>
            <w:tcW w:w="992" w:type="dxa"/>
          </w:tcPr>
          <w:p w14:paraId="261C9C43" w14:textId="7F22568A" w:rsidR="00166DFD" w:rsidRPr="00E90A7C" w:rsidRDefault="00166DFD" w:rsidP="00166DFD">
            <w:pPr>
              <w:keepNext/>
              <w:keepLines/>
              <w:jc w:val="center"/>
              <w:rPr>
                <w:rFonts w:cs="Tahoma"/>
                <w:i/>
                <w:iCs/>
                <w:sz w:val="20"/>
                <w:szCs w:val="22"/>
              </w:rPr>
            </w:pPr>
            <w:r w:rsidRPr="00E90A7C">
              <w:rPr>
                <w:rFonts w:cs="Tahoma"/>
                <w:b/>
                <w:sz w:val="20"/>
              </w:rPr>
              <w:t>$redacted</w:t>
            </w:r>
          </w:p>
        </w:tc>
        <w:tc>
          <w:tcPr>
            <w:tcW w:w="1134" w:type="dxa"/>
            <w:vMerge w:val="restart"/>
            <w:vAlign w:val="center"/>
          </w:tcPr>
          <w:p w14:paraId="32A38B29" w14:textId="4516E72E" w:rsidR="00166DFD" w:rsidRPr="00E90A7C" w:rsidRDefault="00166DFD" w:rsidP="00166DFD">
            <w:pPr>
              <w:keepNext/>
              <w:keepLines/>
              <w:jc w:val="center"/>
              <w:rPr>
                <w:rFonts w:cs="Tahoma"/>
                <w:i/>
                <w:iCs/>
                <w:sz w:val="20"/>
                <w:szCs w:val="22"/>
              </w:rPr>
            </w:pPr>
            <w:r w:rsidRPr="00E90A7C">
              <w:rPr>
                <w:rFonts w:cs="Tahoma"/>
                <w:b/>
                <w:sz w:val="20"/>
              </w:rPr>
              <w:t>$redacted</w:t>
            </w:r>
          </w:p>
        </w:tc>
        <w:tc>
          <w:tcPr>
            <w:tcW w:w="1134" w:type="dxa"/>
          </w:tcPr>
          <w:p w14:paraId="471E6F0C" w14:textId="51BC1432" w:rsidR="00166DFD" w:rsidRPr="00E90A7C" w:rsidRDefault="0007101C" w:rsidP="00166DFD">
            <w:pPr>
              <w:keepNext/>
              <w:keepLines/>
              <w:jc w:val="center"/>
              <w:rPr>
                <w:rFonts w:cs="Tahoma"/>
                <w:sz w:val="20"/>
                <w:szCs w:val="22"/>
              </w:rPr>
            </w:pPr>
            <w:r w:rsidRPr="00E90A7C">
              <w:rPr>
                <w:rFonts w:cs="Tahoma"/>
                <w:b/>
                <w:sz w:val="20"/>
              </w:rPr>
              <w:t>R</w:t>
            </w:r>
            <w:r w:rsidR="00166DFD" w:rsidRPr="00E90A7C">
              <w:rPr>
                <w:rFonts w:cs="Tahoma"/>
                <w:b/>
                <w:sz w:val="20"/>
              </w:rPr>
              <w:t>edacted</w:t>
            </w:r>
          </w:p>
        </w:tc>
        <w:tc>
          <w:tcPr>
            <w:tcW w:w="1276" w:type="dxa"/>
            <w:vMerge w:val="restart"/>
            <w:vAlign w:val="center"/>
          </w:tcPr>
          <w:p w14:paraId="75970050" w14:textId="5D67B628" w:rsidR="00166DFD" w:rsidRPr="00E90A7C" w:rsidRDefault="00166DFD" w:rsidP="00E90A7C">
            <w:pPr>
              <w:keepNext/>
              <w:keepLines/>
              <w:jc w:val="center"/>
              <w:rPr>
                <w:rFonts w:cs="Tahoma"/>
                <w:sz w:val="20"/>
                <w:szCs w:val="22"/>
              </w:rPr>
            </w:pPr>
            <w:r w:rsidRPr="00E90A7C">
              <w:rPr>
                <w:rFonts w:cs="Tahoma"/>
                <w:b/>
                <w:sz w:val="20"/>
              </w:rPr>
              <w:t>redacted</w:t>
            </w:r>
          </w:p>
        </w:tc>
        <w:tc>
          <w:tcPr>
            <w:tcW w:w="1275" w:type="dxa"/>
          </w:tcPr>
          <w:p w14:paraId="3CF3FEEA" w14:textId="6EC3FB2A" w:rsidR="00166DFD" w:rsidRPr="00E90A7C" w:rsidRDefault="00166DFD" w:rsidP="00166DFD">
            <w:pPr>
              <w:keepNext/>
              <w:keepLines/>
              <w:jc w:val="center"/>
              <w:rPr>
                <w:rFonts w:cs="Tahoma"/>
                <w:sz w:val="20"/>
                <w:szCs w:val="22"/>
              </w:rPr>
            </w:pPr>
            <w:r w:rsidRPr="00E90A7C">
              <w:rPr>
                <w:rFonts w:cs="Tahoma"/>
                <w:b/>
                <w:sz w:val="20"/>
              </w:rPr>
              <w:t>redacted</w:t>
            </w:r>
          </w:p>
        </w:tc>
        <w:tc>
          <w:tcPr>
            <w:tcW w:w="1276" w:type="dxa"/>
            <w:vMerge w:val="restart"/>
            <w:vAlign w:val="center"/>
          </w:tcPr>
          <w:p w14:paraId="7787289A" w14:textId="6F8763E7" w:rsidR="00166DFD" w:rsidRPr="00E90A7C" w:rsidRDefault="00166DFD" w:rsidP="00166DFD">
            <w:pPr>
              <w:keepNext/>
              <w:keepLines/>
              <w:jc w:val="center"/>
              <w:rPr>
                <w:rFonts w:cs="Tahoma"/>
                <w:sz w:val="20"/>
                <w:szCs w:val="22"/>
              </w:rPr>
            </w:pPr>
            <w:r w:rsidRPr="00E90A7C">
              <w:rPr>
                <w:rFonts w:cs="Tahoma"/>
                <w:b/>
                <w:sz w:val="20"/>
              </w:rPr>
              <w:t>redacted</w:t>
            </w:r>
          </w:p>
        </w:tc>
        <w:tc>
          <w:tcPr>
            <w:tcW w:w="992" w:type="dxa"/>
            <w:vMerge w:val="restart"/>
            <w:vAlign w:val="center"/>
          </w:tcPr>
          <w:p w14:paraId="172D94BC" w14:textId="03888238" w:rsidR="00166DFD" w:rsidRPr="00E90A7C" w:rsidRDefault="00CC1ED3" w:rsidP="00CC1ED3">
            <w:pPr>
              <w:keepNext/>
              <w:keepLines/>
              <w:jc w:val="center"/>
              <w:rPr>
                <w:rFonts w:cs="Tahoma"/>
                <w:sz w:val="20"/>
                <w:szCs w:val="22"/>
              </w:rPr>
            </w:pPr>
            <w:r w:rsidRPr="00E90A7C">
              <w:rPr>
                <w:rFonts w:cs="Tahoma"/>
                <w:b/>
                <w:sz w:val="20"/>
              </w:rPr>
              <w:t>$redacted</w:t>
            </w:r>
            <w:r w:rsidRPr="00E90A7C">
              <w:rPr>
                <w:rFonts w:cs="Tahoma"/>
                <w:sz w:val="20"/>
                <w:szCs w:val="22"/>
              </w:rPr>
              <w:t xml:space="preserve"> </w:t>
            </w:r>
          </w:p>
        </w:tc>
      </w:tr>
      <w:tr w:rsidR="00166DFD" w:rsidRPr="00E90A7C" w14:paraId="67E8B40D" w14:textId="77777777" w:rsidTr="00CC1ED3">
        <w:trPr>
          <w:trHeight w:val="20"/>
        </w:trPr>
        <w:tc>
          <w:tcPr>
            <w:tcW w:w="993" w:type="dxa"/>
            <w:vAlign w:val="center"/>
          </w:tcPr>
          <w:p w14:paraId="4E0B4189" w14:textId="77777777" w:rsidR="00166DFD" w:rsidRPr="00E90A7C" w:rsidRDefault="00166DFD" w:rsidP="00166DFD">
            <w:pPr>
              <w:keepNext/>
              <w:keepLines/>
              <w:jc w:val="center"/>
              <w:rPr>
                <w:rFonts w:cs="Tahoma"/>
                <w:sz w:val="20"/>
                <w:szCs w:val="22"/>
              </w:rPr>
            </w:pPr>
            <w:r w:rsidRPr="00E90A7C">
              <w:rPr>
                <w:rFonts w:cs="Tahoma"/>
                <w:sz w:val="20"/>
                <w:szCs w:val="22"/>
              </w:rPr>
              <w:t>TAVI-SEV</w:t>
            </w:r>
          </w:p>
        </w:tc>
        <w:tc>
          <w:tcPr>
            <w:tcW w:w="992" w:type="dxa"/>
          </w:tcPr>
          <w:p w14:paraId="20DDF445" w14:textId="6CD98D17" w:rsidR="00166DFD" w:rsidRPr="00E90A7C" w:rsidRDefault="00166DFD" w:rsidP="00166DFD">
            <w:pPr>
              <w:keepNext/>
              <w:keepLines/>
              <w:jc w:val="center"/>
              <w:rPr>
                <w:rFonts w:cs="Tahoma"/>
                <w:i/>
                <w:iCs/>
                <w:sz w:val="20"/>
                <w:szCs w:val="22"/>
              </w:rPr>
            </w:pPr>
            <w:r w:rsidRPr="00E90A7C">
              <w:rPr>
                <w:rFonts w:cs="Tahoma"/>
                <w:b/>
                <w:sz w:val="20"/>
              </w:rPr>
              <w:t>$redacted</w:t>
            </w:r>
          </w:p>
        </w:tc>
        <w:tc>
          <w:tcPr>
            <w:tcW w:w="1134" w:type="dxa"/>
            <w:vMerge/>
            <w:vAlign w:val="center"/>
          </w:tcPr>
          <w:p w14:paraId="7DF0CA30" w14:textId="77777777" w:rsidR="00166DFD" w:rsidRPr="00E90A7C" w:rsidRDefault="00166DFD" w:rsidP="00166DFD">
            <w:pPr>
              <w:keepNext/>
              <w:keepLines/>
              <w:jc w:val="center"/>
              <w:rPr>
                <w:rFonts w:cs="Tahoma"/>
                <w:i/>
                <w:iCs/>
                <w:sz w:val="20"/>
                <w:szCs w:val="22"/>
              </w:rPr>
            </w:pPr>
          </w:p>
        </w:tc>
        <w:tc>
          <w:tcPr>
            <w:tcW w:w="1134" w:type="dxa"/>
          </w:tcPr>
          <w:p w14:paraId="19898C73" w14:textId="6CDC0268" w:rsidR="00166DFD" w:rsidRPr="00E90A7C" w:rsidRDefault="0007101C" w:rsidP="00166DFD">
            <w:pPr>
              <w:keepNext/>
              <w:keepLines/>
              <w:jc w:val="center"/>
              <w:rPr>
                <w:rFonts w:cs="Tahoma"/>
                <w:sz w:val="20"/>
                <w:szCs w:val="22"/>
              </w:rPr>
            </w:pPr>
            <w:r w:rsidRPr="00E90A7C">
              <w:rPr>
                <w:rFonts w:cs="Tahoma"/>
                <w:b/>
                <w:sz w:val="20"/>
              </w:rPr>
              <w:t>R</w:t>
            </w:r>
            <w:r w:rsidR="00166DFD" w:rsidRPr="00E90A7C">
              <w:rPr>
                <w:rFonts w:cs="Tahoma"/>
                <w:b/>
                <w:sz w:val="20"/>
              </w:rPr>
              <w:t>edacted</w:t>
            </w:r>
          </w:p>
        </w:tc>
        <w:tc>
          <w:tcPr>
            <w:tcW w:w="1276" w:type="dxa"/>
            <w:vMerge/>
          </w:tcPr>
          <w:p w14:paraId="4CDDD8BD" w14:textId="77777777" w:rsidR="00166DFD" w:rsidRPr="00E90A7C" w:rsidRDefault="00166DFD" w:rsidP="00166DFD">
            <w:pPr>
              <w:keepNext/>
              <w:keepLines/>
              <w:jc w:val="center"/>
              <w:rPr>
                <w:rFonts w:cs="Tahoma"/>
                <w:sz w:val="20"/>
                <w:szCs w:val="22"/>
              </w:rPr>
            </w:pPr>
          </w:p>
        </w:tc>
        <w:tc>
          <w:tcPr>
            <w:tcW w:w="1275" w:type="dxa"/>
          </w:tcPr>
          <w:p w14:paraId="75D0B701" w14:textId="73977497" w:rsidR="00166DFD" w:rsidRPr="00E90A7C" w:rsidRDefault="00166DFD" w:rsidP="00166DFD">
            <w:pPr>
              <w:keepNext/>
              <w:keepLines/>
              <w:jc w:val="center"/>
              <w:rPr>
                <w:rFonts w:cs="Tahoma"/>
                <w:sz w:val="20"/>
                <w:szCs w:val="22"/>
              </w:rPr>
            </w:pPr>
            <w:r w:rsidRPr="00E90A7C">
              <w:rPr>
                <w:rFonts w:cs="Tahoma"/>
                <w:b/>
                <w:sz w:val="20"/>
              </w:rPr>
              <w:t>redacted</w:t>
            </w:r>
          </w:p>
        </w:tc>
        <w:tc>
          <w:tcPr>
            <w:tcW w:w="1276" w:type="dxa"/>
            <w:vMerge/>
            <w:vAlign w:val="center"/>
          </w:tcPr>
          <w:p w14:paraId="6309943A" w14:textId="77777777" w:rsidR="00166DFD" w:rsidRPr="00E90A7C" w:rsidRDefault="00166DFD" w:rsidP="00166DFD">
            <w:pPr>
              <w:keepNext/>
              <w:keepLines/>
              <w:jc w:val="center"/>
              <w:rPr>
                <w:rFonts w:cs="Tahoma"/>
                <w:sz w:val="20"/>
                <w:szCs w:val="22"/>
              </w:rPr>
            </w:pPr>
          </w:p>
        </w:tc>
        <w:tc>
          <w:tcPr>
            <w:tcW w:w="992" w:type="dxa"/>
            <w:vMerge/>
            <w:vAlign w:val="center"/>
          </w:tcPr>
          <w:p w14:paraId="01886072" w14:textId="77777777" w:rsidR="00166DFD" w:rsidRPr="00E90A7C" w:rsidRDefault="00166DFD" w:rsidP="00166DFD">
            <w:pPr>
              <w:keepNext/>
              <w:keepLines/>
              <w:jc w:val="center"/>
              <w:rPr>
                <w:rFonts w:cs="Tahoma"/>
                <w:sz w:val="20"/>
                <w:szCs w:val="22"/>
              </w:rPr>
            </w:pPr>
          </w:p>
        </w:tc>
      </w:tr>
      <w:tr w:rsidR="00096559" w:rsidRPr="00E90A7C" w14:paraId="55492910" w14:textId="77777777" w:rsidTr="003915B9">
        <w:trPr>
          <w:trHeight w:val="20"/>
        </w:trPr>
        <w:tc>
          <w:tcPr>
            <w:tcW w:w="9072" w:type="dxa"/>
            <w:gridSpan w:val="8"/>
            <w:vAlign w:val="center"/>
          </w:tcPr>
          <w:p w14:paraId="6550513B" w14:textId="1BE49693" w:rsidR="00096559" w:rsidRPr="00E90A7C" w:rsidRDefault="00096559" w:rsidP="00096559">
            <w:pPr>
              <w:keepNext/>
              <w:keepLines/>
              <w:rPr>
                <w:rFonts w:cs="Tahoma"/>
                <w:sz w:val="20"/>
                <w:szCs w:val="22"/>
              </w:rPr>
            </w:pPr>
            <w:r w:rsidRPr="00E90A7C">
              <w:rPr>
                <w:rFonts w:cs="Tahoma"/>
                <w:b/>
                <w:bCs/>
                <w:sz w:val="20"/>
                <w:szCs w:val="22"/>
              </w:rPr>
              <w:t xml:space="preserve">Scenario analysis 1: using ADAR’s proposed cost of </w:t>
            </w:r>
            <w:r w:rsidR="00166DFD" w:rsidRPr="00E90A7C">
              <w:rPr>
                <w:rFonts w:cs="Tahoma"/>
                <w:b/>
                <w:bCs/>
                <w:sz w:val="20"/>
                <w:szCs w:val="22"/>
              </w:rPr>
              <w:t xml:space="preserve">$redacted$ </w:t>
            </w:r>
            <w:r w:rsidRPr="00E90A7C">
              <w:rPr>
                <w:rFonts w:cs="Tahoma"/>
                <w:b/>
                <w:bCs/>
                <w:sz w:val="20"/>
                <w:szCs w:val="22"/>
              </w:rPr>
              <w:t>for TAVI-BEV</w:t>
            </w:r>
          </w:p>
        </w:tc>
      </w:tr>
      <w:tr w:rsidR="00166DFD" w:rsidRPr="00E90A7C" w14:paraId="7B057178" w14:textId="77777777" w:rsidTr="00E90A7C">
        <w:trPr>
          <w:trHeight w:val="20"/>
        </w:trPr>
        <w:tc>
          <w:tcPr>
            <w:tcW w:w="993" w:type="dxa"/>
            <w:vAlign w:val="center"/>
          </w:tcPr>
          <w:p w14:paraId="72B9227A" w14:textId="77777777" w:rsidR="00166DFD" w:rsidRPr="00E90A7C" w:rsidRDefault="00166DFD" w:rsidP="00166DFD">
            <w:pPr>
              <w:keepNext/>
              <w:keepLines/>
              <w:jc w:val="center"/>
              <w:rPr>
                <w:rFonts w:cs="Tahoma"/>
                <w:sz w:val="20"/>
              </w:rPr>
            </w:pPr>
            <w:r w:rsidRPr="00E90A7C">
              <w:rPr>
                <w:rFonts w:cs="Tahoma"/>
                <w:sz w:val="20"/>
              </w:rPr>
              <w:t>TAVI-BEV</w:t>
            </w:r>
          </w:p>
        </w:tc>
        <w:tc>
          <w:tcPr>
            <w:tcW w:w="992" w:type="dxa"/>
          </w:tcPr>
          <w:p w14:paraId="436C9017" w14:textId="616B0AA0" w:rsidR="00166DFD" w:rsidRPr="00E90A7C" w:rsidRDefault="00166DFD" w:rsidP="00166DFD">
            <w:pPr>
              <w:keepNext/>
              <w:keepLines/>
              <w:jc w:val="center"/>
              <w:rPr>
                <w:rFonts w:cs="Tahoma"/>
                <w:i/>
                <w:iCs/>
                <w:sz w:val="20"/>
              </w:rPr>
            </w:pPr>
            <w:r w:rsidRPr="00E90A7C">
              <w:rPr>
                <w:rFonts w:cs="Tahoma"/>
                <w:b/>
                <w:sz w:val="20"/>
              </w:rPr>
              <w:t>$redacted</w:t>
            </w:r>
          </w:p>
        </w:tc>
        <w:tc>
          <w:tcPr>
            <w:tcW w:w="1134" w:type="dxa"/>
            <w:vMerge w:val="restart"/>
            <w:vAlign w:val="center"/>
          </w:tcPr>
          <w:p w14:paraId="36E0A03E" w14:textId="2E5D769D" w:rsidR="00166DFD" w:rsidRPr="00E90A7C" w:rsidRDefault="00166DFD" w:rsidP="00166DFD">
            <w:pPr>
              <w:keepNext/>
              <w:keepLines/>
              <w:jc w:val="center"/>
              <w:rPr>
                <w:rFonts w:cs="Tahoma"/>
                <w:i/>
                <w:iCs/>
                <w:sz w:val="20"/>
              </w:rPr>
            </w:pPr>
            <w:r w:rsidRPr="00E90A7C">
              <w:rPr>
                <w:rFonts w:cs="Tahoma"/>
                <w:b/>
                <w:sz w:val="20"/>
              </w:rPr>
              <w:t>$redacted</w:t>
            </w:r>
          </w:p>
        </w:tc>
        <w:tc>
          <w:tcPr>
            <w:tcW w:w="1134" w:type="dxa"/>
          </w:tcPr>
          <w:p w14:paraId="627034DA" w14:textId="1740846B" w:rsidR="00166DFD" w:rsidRPr="00E90A7C" w:rsidRDefault="0007101C" w:rsidP="00166DFD">
            <w:pPr>
              <w:keepNext/>
              <w:keepLines/>
              <w:jc w:val="center"/>
              <w:rPr>
                <w:rFonts w:cs="Tahoma"/>
                <w:i/>
                <w:iCs/>
                <w:sz w:val="20"/>
              </w:rPr>
            </w:pPr>
            <w:r w:rsidRPr="00E90A7C">
              <w:rPr>
                <w:rFonts w:cs="Tahoma"/>
                <w:b/>
                <w:sz w:val="20"/>
              </w:rPr>
              <w:t>R</w:t>
            </w:r>
            <w:r w:rsidR="00166DFD" w:rsidRPr="00E90A7C">
              <w:rPr>
                <w:rFonts w:cs="Tahoma"/>
                <w:b/>
                <w:sz w:val="20"/>
              </w:rPr>
              <w:t>edacted</w:t>
            </w:r>
          </w:p>
        </w:tc>
        <w:tc>
          <w:tcPr>
            <w:tcW w:w="1276" w:type="dxa"/>
            <w:vMerge w:val="restart"/>
            <w:vAlign w:val="center"/>
          </w:tcPr>
          <w:p w14:paraId="05A8703B" w14:textId="4C564961" w:rsidR="00166DFD" w:rsidRPr="00E90A7C" w:rsidRDefault="00166DFD" w:rsidP="00E90A7C">
            <w:pPr>
              <w:keepNext/>
              <w:keepLines/>
              <w:jc w:val="center"/>
              <w:rPr>
                <w:rFonts w:cs="Tahoma"/>
                <w:sz w:val="20"/>
              </w:rPr>
            </w:pPr>
            <w:r w:rsidRPr="00E90A7C">
              <w:rPr>
                <w:rFonts w:cs="Tahoma"/>
                <w:b/>
                <w:sz w:val="20"/>
              </w:rPr>
              <w:t>redacted</w:t>
            </w:r>
          </w:p>
        </w:tc>
        <w:tc>
          <w:tcPr>
            <w:tcW w:w="1275" w:type="dxa"/>
          </w:tcPr>
          <w:p w14:paraId="29E64387" w14:textId="2549E216" w:rsidR="00166DFD" w:rsidRPr="00E90A7C" w:rsidRDefault="00166DFD" w:rsidP="00166DFD">
            <w:pPr>
              <w:keepNext/>
              <w:keepLines/>
              <w:jc w:val="center"/>
              <w:rPr>
                <w:rFonts w:cs="Tahoma"/>
                <w:sz w:val="20"/>
              </w:rPr>
            </w:pPr>
            <w:r w:rsidRPr="00E90A7C">
              <w:rPr>
                <w:rFonts w:cs="Tahoma"/>
                <w:b/>
                <w:sz w:val="20"/>
              </w:rPr>
              <w:t>redacted</w:t>
            </w:r>
          </w:p>
        </w:tc>
        <w:tc>
          <w:tcPr>
            <w:tcW w:w="1276" w:type="dxa"/>
            <w:vMerge w:val="restart"/>
            <w:vAlign w:val="center"/>
          </w:tcPr>
          <w:p w14:paraId="01B95F73" w14:textId="1E732349" w:rsidR="00166DFD" w:rsidRPr="00E90A7C" w:rsidRDefault="00166DFD" w:rsidP="00166DFD">
            <w:pPr>
              <w:keepNext/>
              <w:keepLines/>
              <w:jc w:val="center"/>
              <w:rPr>
                <w:rFonts w:cs="Tahoma"/>
                <w:sz w:val="20"/>
              </w:rPr>
            </w:pPr>
            <w:r w:rsidRPr="00E90A7C">
              <w:rPr>
                <w:rFonts w:cs="Tahoma"/>
                <w:b/>
                <w:sz w:val="20"/>
              </w:rPr>
              <w:t>redacted</w:t>
            </w:r>
          </w:p>
        </w:tc>
        <w:tc>
          <w:tcPr>
            <w:tcW w:w="992" w:type="dxa"/>
            <w:vMerge w:val="restart"/>
            <w:vAlign w:val="center"/>
          </w:tcPr>
          <w:p w14:paraId="3F8F643E" w14:textId="421D7153" w:rsidR="00166DFD" w:rsidRPr="00E90A7C" w:rsidRDefault="00166DFD" w:rsidP="00166DFD">
            <w:pPr>
              <w:keepNext/>
              <w:keepLines/>
              <w:jc w:val="center"/>
              <w:rPr>
                <w:rFonts w:cs="Tahoma"/>
                <w:sz w:val="20"/>
              </w:rPr>
            </w:pPr>
            <w:r w:rsidRPr="00E90A7C">
              <w:rPr>
                <w:rFonts w:cs="Tahoma"/>
                <w:b/>
                <w:sz w:val="20"/>
              </w:rPr>
              <w:t>$redacted</w:t>
            </w:r>
          </w:p>
        </w:tc>
      </w:tr>
      <w:tr w:rsidR="00166DFD" w:rsidRPr="00E90A7C" w14:paraId="457A1734" w14:textId="77777777" w:rsidTr="00CC1ED3">
        <w:trPr>
          <w:trHeight w:val="20"/>
        </w:trPr>
        <w:tc>
          <w:tcPr>
            <w:tcW w:w="993" w:type="dxa"/>
            <w:vAlign w:val="center"/>
          </w:tcPr>
          <w:p w14:paraId="1ADEFC5C" w14:textId="77777777" w:rsidR="00166DFD" w:rsidRPr="00E90A7C" w:rsidRDefault="00166DFD" w:rsidP="00166DFD">
            <w:pPr>
              <w:keepNext/>
              <w:keepLines/>
              <w:jc w:val="center"/>
              <w:rPr>
                <w:rFonts w:cs="Tahoma"/>
                <w:sz w:val="20"/>
              </w:rPr>
            </w:pPr>
            <w:r w:rsidRPr="00E90A7C">
              <w:rPr>
                <w:rFonts w:cs="Tahoma"/>
                <w:sz w:val="20"/>
              </w:rPr>
              <w:t>TAVI-SEV</w:t>
            </w:r>
          </w:p>
        </w:tc>
        <w:tc>
          <w:tcPr>
            <w:tcW w:w="992" w:type="dxa"/>
          </w:tcPr>
          <w:p w14:paraId="77842152" w14:textId="13FC82DE" w:rsidR="00166DFD" w:rsidRPr="00E90A7C" w:rsidRDefault="00166DFD" w:rsidP="00166DFD">
            <w:pPr>
              <w:keepNext/>
              <w:keepLines/>
              <w:jc w:val="center"/>
              <w:rPr>
                <w:rFonts w:cs="Tahoma"/>
                <w:i/>
                <w:iCs/>
                <w:sz w:val="20"/>
              </w:rPr>
            </w:pPr>
            <w:r w:rsidRPr="00E90A7C">
              <w:rPr>
                <w:rFonts w:cs="Tahoma"/>
                <w:b/>
                <w:sz w:val="20"/>
              </w:rPr>
              <w:t>$redacted</w:t>
            </w:r>
          </w:p>
        </w:tc>
        <w:tc>
          <w:tcPr>
            <w:tcW w:w="1134" w:type="dxa"/>
            <w:vMerge/>
            <w:vAlign w:val="center"/>
          </w:tcPr>
          <w:p w14:paraId="22FF4712" w14:textId="77777777" w:rsidR="00166DFD" w:rsidRPr="00E90A7C" w:rsidRDefault="00166DFD" w:rsidP="00166DFD">
            <w:pPr>
              <w:keepNext/>
              <w:keepLines/>
              <w:jc w:val="center"/>
              <w:rPr>
                <w:rFonts w:cs="Tahoma"/>
                <w:i/>
                <w:iCs/>
                <w:sz w:val="20"/>
              </w:rPr>
            </w:pPr>
          </w:p>
        </w:tc>
        <w:tc>
          <w:tcPr>
            <w:tcW w:w="1134" w:type="dxa"/>
          </w:tcPr>
          <w:p w14:paraId="36562FD1" w14:textId="17407B80" w:rsidR="00166DFD" w:rsidRPr="00E90A7C" w:rsidRDefault="0007101C" w:rsidP="00166DFD">
            <w:pPr>
              <w:keepNext/>
              <w:keepLines/>
              <w:jc w:val="center"/>
              <w:rPr>
                <w:rFonts w:cs="Tahoma"/>
                <w:i/>
                <w:iCs/>
                <w:sz w:val="20"/>
              </w:rPr>
            </w:pPr>
            <w:r w:rsidRPr="00E90A7C">
              <w:rPr>
                <w:rFonts w:cs="Tahoma"/>
                <w:b/>
                <w:sz w:val="20"/>
              </w:rPr>
              <w:t>R</w:t>
            </w:r>
            <w:r w:rsidR="00166DFD" w:rsidRPr="00E90A7C">
              <w:rPr>
                <w:rFonts w:cs="Tahoma"/>
                <w:b/>
                <w:sz w:val="20"/>
              </w:rPr>
              <w:t>edacted</w:t>
            </w:r>
          </w:p>
        </w:tc>
        <w:tc>
          <w:tcPr>
            <w:tcW w:w="1276" w:type="dxa"/>
            <w:vMerge/>
          </w:tcPr>
          <w:p w14:paraId="23753A32" w14:textId="77777777" w:rsidR="00166DFD" w:rsidRPr="00E90A7C" w:rsidRDefault="00166DFD" w:rsidP="00166DFD">
            <w:pPr>
              <w:keepNext/>
              <w:keepLines/>
              <w:jc w:val="center"/>
              <w:rPr>
                <w:rFonts w:cs="Tahoma"/>
                <w:sz w:val="20"/>
              </w:rPr>
            </w:pPr>
          </w:p>
        </w:tc>
        <w:tc>
          <w:tcPr>
            <w:tcW w:w="1275" w:type="dxa"/>
          </w:tcPr>
          <w:p w14:paraId="63465EC3" w14:textId="12CD77C8" w:rsidR="00166DFD" w:rsidRPr="00E90A7C" w:rsidRDefault="00166DFD" w:rsidP="00166DFD">
            <w:pPr>
              <w:keepNext/>
              <w:keepLines/>
              <w:jc w:val="center"/>
              <w:rPr>
                <w:rFonts w:cs="Tahoma"/>
                <w:sz w:val="20"/>
              </w:rPr>
            </w:pPr>
            <w:r w:rsidRPr="00E90A7C">
              <w:rPr>
                <w:rFonts w:cs="Tahoma"/>
                <w:b/>
                <w:sz w:val="20"/>
              </w:rPr>
              <w:t>redacted</w:t>
            </w:r>
          </w:p>
        </w:tc>
        <w:tc>
          <w:tcPr>
            <w:tcW w:w="1276" w:type="dxa"/>
            <w:vMerge/>
            <w:vAlign w:val="center"/>
          </w:tcPr>
          <w:p w14:paraId="1DAE4D70" w14:textId="77777777" w:rsidR="00166DFD" w:rsidRPr="00E90A7C" w:rsidRDefault="00166DFD" w:rsidP="00166DFD">
            <w:pPr>
              <w:keepNext/>
              <w:keepLines/>
              <w:jc w:val="center"/>
              <w:rPr>
                <w:rFonts w:cs="Tahoma"/>
                <w:sz w:val="20"/>
              </w:rPr>
            </w:pPr>
          </w:p>
        </w:tc>
        <w:tc>
          <w:tcPr>
            <w:tcW w:w="992" w:type="dxa"/>
            <w:vMerge/>
            <w:vAlign w:val="center"/>
          </w:tcPr>
          <w:p w14:paraId="42DD790F" w14:textId="77777777" w:rsidR="00166DFD" w:rsidRPr="00E90A7C" w:rsidRDefault="00166DFD" w:rsidP="00166DFD">
            <w:pPr>
              <w:keepNext/>
              <w:keepLines/>
              <w:jc w:val="center"/>
              <w:rPr>
                <w:rFonts w:cs="Tahoma"/>
                <w:sz w:val="20"/>
              </w:rPr>
            </w:pPr>
          </w:p>
        </w:tc>
      </w:tr>
    </w:tbl>
    <w:p w14:paraId="77D90F29" w14:textId="77777777" w:rsidR="00096559" w:rsidRPr="00CC1ED3" w:rsidRDefault="00096559" w:rsidP="00096559">
      <w:pPr>
        <w:keepNext/>
        <w:keepLines/>
        <w:widowControl w:val="0"/>
        <w:snapToGrid w:val="0"/>
        <w:jc w:val="both"/>
        <w:rPr>
          <w:rFonts w:ascii="Arial Narrow" w:hAnsi="Arial Narrow" w:cs="Arial"/>
          <w:sz w:val="18"/>
          <w:szCs w:val="22"/>
          <w:lang w:eastAsia="en-US"/>
        </w:rPr>
      </w:pPr>
      <w:r w:rsidRPr="00E90A7C">
        <w:rPr>
          <w:rFonts w:ascii="Arial Narrow" w:hAnsi="Arial Narrow" w:cs="Arial"/>
          <w:sz w:val="18"/>
          <w:szCs w:val="22"/>
          <w:lang w:eastAsia="en-US"/>
        </w:rPr>
        <w:t>Abbreviations: ADAR = applicant developed assessment report, ICER = incremental cost-effectiveness ratio; QALY = quality-a</w:t>
      </w:r>
      <w:r w:rsidRPr="00CC1ED3">
        <w:rPr>
          <w:rFonts w:ascii="Arial Narrow" w:hAnsi="Arial Narrow" w:cs="Arial"/>
          <w:sz w:val="18"/>
          <w:szCs w:val="22"/>
          <w:lang w:eastAsia="en-US"/>
        </w:rPr>
        <w:t xml:space="preserve">djusted life year; </w:t>
      </w:r>
      <w:r w:rsidRPr="00CC1ED3">
        <w:rPr>
          <w:rFonts w:ascii="Arial Narrow" w:hAnsi="Arial Narrow" w:cs="Arial"/>
          <w:sz w:val="18"/>
          <w:szCs w:val="18"/>
          <w:lang w:eastAsia="en-US"/>
        </w:rPr>
        <w:t>TAVI-BEV = transcatheter aortic valve implantation - balloon-expandable valve; TAVI-SEV = transcatheter aortic valve implantation - self-expanding valve</w:t>
      </w:r>
    </w:p>
    <w:p w14:paraId="5D279FF6" w14:textId="77777777" w:rsidR="00096559" w:rsidRPr="00CC1ED3" w:rsidRDefault="00096559" w:rsidP="00096559">
      <w:pPr>
        <w:widowControl w:val="0"/>
        <w:snapToGrid w:val="0"/>
        <w:jc w:val="both"/>
        <w:rPr>
          <w:rFonts w:ascii="Arial Narrow" w:hAnsi="Arial Narrow" w:cs="Arial"/>
          <w:sz w:val="18"/>
          <w:szCs w:val="22"/>
          <w:lang w:eastAsia="en-US"/>
        </w:rPr>
      </w:pPr>
      <w:r w:rsidRPr="00CC1ED3">
        <w:rPr>
          <w:rFonts w:ascii="Arial Narrow" w:hAnsi="Arial Narrow" w:cs="Arial"/>
          <w:sz w:val="18"/>
          <w:szCs w:val="22"/>
          <w:vertAlign w:val="superscript"/>
          <w:lang w:eastAsia="en-US"/>
        </w:rPr>
        <w:t xml:space="preserve">a </w:t>
      </w:r>
      <w:r w:rsidRPr="00CC1ED3">
        <w:rPr>
          <w:rFonts w:ascii="Arial Narrow" w:hAnsi="Arial Narrow" w:cs="Arial"/>
          <w:sz w:val="18"/>
          <w:szCs w:val="22"/>
          <w:lang w:eastAsia="en-US"/>
        </w:rPr>
        <w:t>Hospital and prosthesis costs for private patients were included by the evaluation</w:t>
      </w:r>
    </w:p>
    <w:p w14:paraId="54309B2C" w14:textId="735E001E" w:rsidR="00096559" w:rsidRPr="00CC1ED3" w:rsidRDefault="00096559" w:rsidP="00096559">
      <w:pPr>
        <w:widowControl w:val="0"/>
        <w:snapToGrid w:val="0"/>
        <w:jc w:val="both"/>
        <w:rPr>
          <w:rFonts w:ascii="Arial Narrow" w:hAnsi="Arial Narrow" w:cs="Arial"/>
          <w:sz w:val="18"/>
          <w:szCs w:val="22"/>
          <w:lang w:eastAsia="en-US"/>
        </w:rPr>
      </w:pPr>
      <w:r w:rsidRPr="00CC1ED3">
        <w:rPr>
          <w:rFonts w:ascii="Arial Narrow" w:hAnsi="Arial Narrow" w:cs="Arial"/>
          <w:sz w:val="18"/>
          <w:szCs w:val="22"/>
          <w:vertAlign w:val="superscript"/>
          <w:lang w:eastAsia="en-US"/>
        </w:rPr>
        <w:t xml:space="preserve">b </w:t>
      </w:r>
      <w:r w:rsidRPr="00CC1ED3">
        <w:rPr>
          <w:rFonts w:ascii="Arial Narrow" w:hAnsi="Arial Narrow" w:cs="Arial"/>
          <w:sz w:val="18"/>
          <w:szCs w:val="22"/>
          <w:lang w:eastAsia="en-US"/>
        </w:rPr>
        <w:t>Note: in cells “</w:t>
      </w:r>
      <w:proofErr w:type="spellStart"/>
      <w:proofErr w:type="gramStart"/>
      <w:r w:rsidRPr="00CC1ED3">
        <w:rPr>
          <w:rFonts w:ascii="Arial Narrow" w:hAnsi="Arial Narrow" w:cs="Arial"/>
          <w:sz w:val="18"/>
          <w:szCs w:val="22"/>
          <w:lang w:eastAsia="en-US"/>
        </w:rPr>
        <w:t>OtherCost</w:t>
      </w:r>
      <w:proofErr w:type="spellEnd"/>
      <w:r w:rsidRPr="00CC1ED3">
        <w:rPr>
          <w:rFonts w:ascii="Arial Narrow" w:hAnsi="Arial Narrow" w:cs="Arial"/>
          <w:sz w:val="18"/>
          <w:szCs w:val="22"/>
          <w:lang w:eastAsia="en-US"/>
        </w:rPr>
        <w:t>!$</w:t>
      </w:r>
      <w:proofErr w:type="gramEnd"/>
      <w:r w:rsidRPr="00CC1ED3">
        <w:rPr>
          <w:rFonts w:ascii="Arial Narrow" w:hAnsi="Arial Narrow" w:cs="Arial"/>
          <w:sz w:val="18"/>
          <w:szCs w:val="22"/>
          <w:lang w:eastAsia="en-US"/>
        </w:rPr>
        <w:t xml:space="preserve">A$5:$AB$65” the cost of </w:t>
      </w:r>
      <w:r w:rsidR="00166DFD" w:rsidRPr="00CC1ED3">
        <w:rPr>
          <w:rFonts w:ascii="Arial Narrow" w:hAnsi="Arial Narrow" w:cs="Arial"/>
          <w:b/>
          <w:sz w:val="18"/>
          <w:szCs w:val="22"/>
          <w:lang w:eastAsia="en-US"/>
        </w:rPr>
        <w:t>$redacted</w:t>
      </w:r>
      <w:r w:rsidR="00166DFD" w:rsidRPr="00CC1ED3" w:rsidDel="00166DFD">
        <w:rPr>
          <w:rFonts w:ascii="Arial Narrow" w:hAnsi="Arial Narrow" w:cs="Arial"/>
          <w:sz w:val="18"/>
          <w:szCs w:val="22"/>
          <w:lang w:eastAsia="en-US"/>
        </w:rPr>
        <w:t xml:space="preserve"> </w:t>
      </w:r>
      <w:r w:rsidRPr="00CC1ED3">
        <w:rPr>
          <w:rFonts w:ascii="Arial Narrow" w:hAnsi="Arial Narrow" w:cs="Arial"/>
          <w:sz w:val="18"/>
          <w:szCs w:val="22"/>
          <w:lang w:eastAsia="en-US"/>
        </w:rPr>
        <w:t xml:space="preserve">was applied to each cycle instead of </w:t>
      </w:r>
      <w:r w:rsidR="00166DFD" w:rsidRPr="00CC1ED3">
        <w:rPr>
          <w:rFonts w:ascii="Arial Narrow" w:hAnsi="Arial Narrow" w:cs="Arial"/>
          <w:b/>
          <w:sz w:val="18"/>
          <w:szCs w:val="22"/>
          <w:lang w:eastAsia="en-US"/>
        </w:rPr>
        <w:t>$redacted</w:t>
      </w:r>
    </w:p>
    <w:p w14:paraId="67BDDC05" w14:textId="77777777" w:rsidR="00096559" w:rsidRPr="00096559" w:rsidRDefault="00096559" w:rsidP="00096559">
      <w:pPr>
        <w:keepNext/>
        <w:keepLines/>
        <w:widowControl w:val="0"/>
        <w:snapToGrid w:val="0"/>
        <w:jc w:val="both"/>
        <w:rPr>
          <w:rFonts w:ascii="Arial Narrow" w:hAnsi="Arial Narrow" w:cs="Arial"/>
          <w:sz w:val="18"/>
          <w:szCs w:val="22"/>
          <w:lang w:eastAsia="en-US"/>
        </w:rPr>
      </w:pPr>
      <w:r w:rsidRPr="00CC1ED3">
        <w:rPr>
          <w:rFonts w:ascii="Arial Narrow" w:hAnsi="Arial Narrow" w:cs="Arial"/>
          <w:sz w:val="18"/>
          <w:szCs w:val="22"/>
          <w:lang w:eastAsia="en-US"/>
        </w:rPr>
        <w:t>Source: Table D-22, p 125 of the ADAR</w:t>
      </w:r>
    </w:p>
    <w:p w14:paraId="3B71DFDA" w14:textId="4C0125DB" w:rsidR="00096559" w:rsidRPr="002A715C" w:rsidRDefault="00096559" w:rsidP="0085555A">
      <w:pPr>
        <w:tabs>
          <w:tab w:val="left" w:pos="720"/>
          <w:tab w:val="left" w:pos="1140"/>
        </w:tabs>
        <w:spacing w:before="240"/>
        <w:rPr>
          <w:szCs w:val="24"/>
        </w:rPr>
      </w:pPr>
      <w:r w:rsidRPr="00096559">
        <w:t xml:space="preserve">The commentary highlighted that the comparison of TAVI-BEV with TAVI-SEV assumed TAVI-SEV has the same efficacy and safety risks (except permanent pacemaker </w:t>
      </w:r>
      <w:r w:rsidRPr="00096559">
        <w:lastRenderedPageBreak/>
        <w:t>implantation) as SAVR but ha</w:t>
      </w:r>
      <w:r w:rsidR="002A715C">
        <w:t>s</w:t>
      </w:r>
      <w:r w:rsidRPr="00096559">
        <w:t xml:space="preserve"> the same index hospitalisation cost as TAVI-BEV. The commentary considered that this assumption was not justified by the clinical evidence or appropriate. Further, the indirect comparison presented by the evaluation suggested that TAVI-SEV ha</w:t>
      </w:r>
      <w:r w:rsidR="002A715C">
        <w:t>s</w:t>
      </w:r>
      <w:r w:rsidRPr="00096559">
        <w:t xml:space="preserve"> similar efficacy (albeit the rates of new permanent pacemaker were higher with TAVI-SEV) to TAVI-BEV.</w:t>
      </w:r>
    </w:p>
    <w:p w14:paraId="1AA59154" w14:textId="77777777" w:rsidR="00BC1364" w:rsidRPr="00F715D1" w:rsidRDefault="00BC1364" w:rsidP="00F715D1">
      <w:pPr>
        <w:pStyle w:val="Heading1"/>
      </w:pPr>
      <w:r w:rsidRPr="00F715D1">
        <w:t>Financial/budgetary impacts</w:t>
      </w:r>
    </w:p>
    <w:p w14:paraId="5CC502E7" w14:textId="20721397" w:rsidR="00096559" w:rsidRPr="005B14F2" w:rsidRDefault="00096559" w:rsidP="00096559">
      <w:pPr>
        <w:rPr>
          <w:iCs/>
        </w:rPr>
      </w:pPr>
      <w:r w:rsidRPr="005B0F72">
        <w:t xml:space="preserve">The financial implications to the MBS and State and Territory Government Health Budgets due to MBS-listing TAVI-BEV are provided in </w:t>
      </w:r>
      <w:r w:rsidRPr="005B0F72">
        <w:fldChar w:fldCharType="begin"/>
      </w:r>
      <w:r w:rsidRPr="005B0F72">
        <w:instrText xml:space="preserve"> REF _Ref60320887 \h  \* MERGEFORMAT </w:instrText>
      </w:r>
      <w:r w:rsidRPr="005B0F72">
        <w:fldChar w:fldCharType="separate"/>
      </w:r>
      <w:r w:rsidR="003D2F4E" w:rsidRPr="003D2F4E">
        <w:t>Table 13</w:t>
      </w:r>
      <w:r w:rsidRPr="005B0F72">
        <w:fldChar w:fldCharType="end"/>
      </w:r>
      <w:r w:rsidRPr="005B0F72">
        <w:t xml:space="preserve">. As with </w:t>
      </w:r>
      <w:r>
        <w:t>the economic evaluation</w:t>
      </w:r>
      <w:r w:rsidRPr="005B0F72">
        <w:t xml:space="preserve">, the revised base case presented </w:t>
      </w:r>
      <w:r>
        <w:t xml:space="preserve">in the commentary </w:t>
      </w:r>
      <w:r w:rsidRPr="005B0F72">
        <w:t>used a TAVI-BEV prosthesis</w:t>
      </w:r>
      <w:r w:rsidRPr="005B0F72">
        <w:rPr>
          <w:i/>
          <w:iCs/>
        </w:rPr>
        <w:t xml:space="preserve"> </w:t>
      </w:r>
      <w:r w:rsidRPr="005B14F2">
        <w:rPr>
          <w:iCs/>
        </w:rPr>
        <w:t xml:space="preserve">price of $22,932 as per the July 2020 Prostheses list. A scenario analysis using the ADAR proposed </w:t>
      </w:r>
      <w:r w:rsidRPr="00CC1ED3">
        <w:rPr>
          <w:iCs/>
        </w:rPr>
        <w:t xml:space="preserve">price of </w:t>
      </w:r>
      <w:r w:rsidRPr="00CC1ED3">
        <w:rPr>
          <w:b/>
          <w:iCs/>
        </w:rPr>
        <w:t>$</w:t>
      </w:r>
      <w:r w:rsidR="00166DFD" w:rsidRPr="00CC1ED3">
        <w:rPr>
          <w:b/>
          <w:iCs/>
        </w:rPr>
        <w:t>redacted</w:t>
      </w:r>
      <w:r w:rsidRPr="00CC1ED3">
        <w:rPr>
          <w:iCs/>
        </w:rPr>
        <w:t xml:space="preserve"> is also presented</w:t>
      </w:r>
      <w:r w:rsidRPr="005B14F2">
        <w:rPr>
          <w:iCs/>
        </w:rPr>
        <w:t xml:space="preserve">. The </w:t>
      </w:r>
      <w:r>
        <w:rPr>
          <w:iCs/>
        </w:rPr>
        <w:t xml:space="preserve">commentary </w:t>
      </w:r>
      <w:r w:rsidRPr="005B14F2">
        <w:rPr>
          <w:iCs/>
        </w:rPr>
        <w:t>also included prosthesis and hospital costs for private patients.</w:t>
      </w:r>
    </w:p>
    <w:p w14:paraId="5211C4EB" w14:textId="63622689" w:rsidR="00096559" w:rsidRPr="005B0F72" w:rsidRDefault="00096559" w:rsidP="0085555A">
      <w:pPr>
        <w:keepNext/>
        <w:keepLines/>
        <w:spacing w:before="240"/>
        <w:jc w:val="both"/>
        <w:rPr>
          <w:rFonts w:ascii="Arial Narrow" w:hAnsi="Arial Narrow" w:cs="Tahoma"/>
          <w:b/>
          <w:bCs/>
          <w:sz w:val="20"/>
          <w:szCs w:val="22"/>
        </w:rPr>
      </w:pPr>
      <w:bookmarkStart w:id="30" w:name="_Ref60320887"/>
      <w:r w:rsidRPr="005B14F2">
        <w:rPr>
          <w:rFonts w:ascii="Arial Narrow" w:hAnsi="Arial Narrow" w:cs="Tahoma"/>
          <w:b/>
          <w:bCs/>
          <w:iCs/>
          <w:sz w:val="20"/>
          <w:szCs w:val="22"/>
        </w:rPr>
        <w:t xml:space="preserve">Table </w:t>
      </w:r>
      <w:r w:rsidRPr="005B14F2">
        <w:rPr>
          <w:rFonts w:ascii="Arial Narrow" w:hAnsi="Arial Narrow" w:cs="Tahoma"/>
          <w:b/>
          <w:bCs/>
          <w:sz w:val="20"/>
          <w:szCs w:val="22"/>
          <w:shd w:val="clear" w:color="auto" w:fill="E6E6E6"/>
        </w:rPr>
        <w:fldChar w:fldCharType="begin"/>
      </w:r>
      <w:r w:rsidRPr="005B14F2">
        <w:rPr>
          <w:rFonts w:ascii="Arial Narrow" w:hAnsi="Arial Narrow" w:cs="Tahoma"/>
          <w:b/>
          <w:bCs/>
          <w:iCs/>
          <w:sz w:val="20"/>
          <w:szCs w:val="22"/>
        </w:rPr>
        <w:instrText xml:space="preserve"> SEQ Table \* ARABIC </w:instrText>
      </w:r>
      <w:r w:rsidRPr="005B14F2">
        <w:rPr>
          <w:rFonts w:ascii="Arial Narrow" w:hAnsi="Arial Narrow" w:cs="Tahoma"/>
          <w:b/>
          <w:bCs/>
          <w:sz w:val="20"/>
          <w:szCs w:val="22"/>
          <w:shd w:val="clear" w:color="auto" w:fill="E6E6E6"/>
        </w:rPr>
        <w:fldChar w:fldCharType="separate"/>
      </w:r>
      <w:r w:rsidR="003D2F4E">
        <w:rPr>
          <w:rFonts w:ascii="Arial Narrow" w:hAnsi="Arial Narrow" w:cs="Tahoma"/>
          <w:b/>
          <w:bCs/>
          <w:iCs/>
          <w:noProof/>
          <w:sz w:val="20"/>
          <w:szCs w:val="22"/>
        </w:rPr>
        <w:t>13</w:t>
      </w:r>
      <w:r w:rsidRPr="005B14F2">
        <w:rPr>
          <w:rFonts w:ascii="Arial Narrow" w:hAnsi="Arial Narrow" w:cs="Tahoma"/>
          <w:b/>
          <w:bCs/>
          <w:sz w:val="20"/>
          <w:szCs w:val="22"/>
          <w:shd w:val="clear" w:color="auto" w:fill="E6E6E6"/>
        </w:rPr>
        <w:fldChar w:fldCharType="end"/>
      </w:r>
      <w:bookmarkEnd w:id="30"/>
      <w:r w:rsidR="0085555A">
        <w:rPr>
          <w:rFonts w:ascii="Arial Narrow" w:hAnsi="Arial Narrow" w:cs="Tahoma"/>
          <w:b/>
          <w:bCs/>
          <w:sz w:val="20"/>
          <w:szCs w:val="22"/>
        </w:rPr>
        <w:tab/>
      </w:r>
      <w:r w:rsidRPr="005B0F72">
        <w:rPr>
          <w:rFonts w:ascii="Arial Narrow" w:hAnsi="Arial Narrow" w:cs="Tahoma"/>
          <w:b/>
          <w:bCs/>
          <w:sz w:val="20"/>
          <w:szCs w:val="22"/>
        </w:rPr>
        <w:t>Net financial implications to the MBS and State and Territory Government Health Budgets due to MBS-listing of TAVI-BEV</w:t>
      </w:r>
    </w:p>
    <w:tbl>
      <w:tblPr>
        <w:tblStyle w:val="TableGrid"/>
        <w:tblW w:w="5343" w:type="pct"/>
        <w:tblLayout w:type="fixed"/>
        <w:tblLook w:val="04A0" w:firstRow="1" w:lastRow="0" w:firstColumn="1" w:lastColumn="0" w:noHBand="0" w:noVBand="1"/>
        <w:tblCaption w:val="Table 25 Total costs to the MBS associated with XXX"/>
        <w:tblDescription w:val="This table provides a summary of the financial impact of the proposed new medical service over the next five years."/>
      </w:tblPr>
      <w:tblGrid>
        <w:gridCol w:w="2411"/>
        <w:gridCol w:w="1203"/>
        <w:gridCol w:w="1204"/>
        <w:gridCol w:w="1204"/>
        <w:gridCol w:w="1204"/>
        <w:gridCol w:w="1204"/>
        <w:gridCol w:w="1204"/>
      </w:tblGrid>
      <w:tr w:rsidR="00096559" w:rsidRPr="005B0F72" w14:paraId="5FDA64E2" w14:textId="77777777" w:rsidTr="005819C3">
        <w:trPr>
          <w:trHeight w:val="20"/>
        </w:trPr>
        <w:tc>
          <w:tcPr>
            <w:tcW w:w="1251" w:type="pct"/>
          </w:tcPr>
          <w:p w14:paraId="0EBC4ECE" w14:textId="77777777" w:rsidR="00096559" w:rsidRPr="005B0F72" w:rsidRDefault="00096559" w:rsidP="003915B9">
            <w:pPr>
              <w:rPr>
                <w:rFonts w:ascii="Arial Narrow" w:hAnsi="Arial Narrow" w:cs="Tahoma"/>
                <w:b/>
                <w:sz w:val="20"/>
              </w:rPr>
            </w:pPr>
            <w:r w:rsidRPr="005B0F72">
              <w:rPr>
                <w:rFonts w:ascii="Arial Narrow" w:hAnsi="Arial Narrow" w:cs="Tahoma"/>
                <w:b/>
                <w:sz w:val="20"/>
              </w:rPr>
              <w:t>Parameter</w:t>
            </w:r>
          </w:p>
        </w:tc>
        <w:tc>
          <w:tcPr>
            <w:tcW w:w="624" w:type="pct"/>
          </w:tcPr>
          <w:p w14:paraId="6927E9BC" w14:textId="77777777" w:rsidR="00096559" w:rsidRPr="005B0F72" w:rsidRDefault="00096559" w:rsidP="003915B9">
            <w:pPr>
              <w:jc w:val="center"/>
              <w:rPr>
                <w:rFonts w:ascii="Arial Narrow" w:hAnsi="Arial Narrow" w:cs="Tahoma"/>
                <w:b/>
                <w:sz w:val="20"/>
              </w:rPr>
            </w:pPr>
            <w:r w:rsidRPr="005B0F72">
              <w:rPr>
                <w:rFonts w:ascii="Arial Narrow" w:hAnsi="Arial Narrow" w:cs="Tahoma"/>
                <w:b/>
                <w:bCs/>
                <w:sz w:val="20"/>
              </w:rPr>
              <w:t>2021</w:t>
            </w:r>
          </w:p>
        </w:tc>
        <w:tc>
          <w:tcPr>
            <w:tcW w:w="625" w:type="pct"/>
          </w:tcPr>
          <w:p w14:paraId="3B3EB447" w14:textId="77777777" w:rsidR="00096559" w:rsidRPr="005B0F72" w:rsidRDefault="00096559" w:rsidP="003915B9">
            <w:pPr>
              <w:jc w:val="center"/>
              <w:rPr>
                <w:rFonts w:ascii="Arial Narrow" w:hAnsi="Arial Narrow" w:cs="Tahoma"/>
                <w:b/>
                <w:sz w:val="20"/>
              </w:rPr>
            </w:pPr>
            <w:r w:rsidRPr="005B0F72">
              <w:rPr>
                <w:rFonts w:ascii="Arial Narrow" w:hAnsi="Arial Narrow" w:cs="Tahoma"/>
                <w:b/>
                <w:bCs/>
                <w:sz w:val="20"/>
              </w:rPr>
              <w:t>2022</w:t>
            </w:r>
          </w:p>
        </w:tc>
        <w:tc>
          <w:tcPr>
            <w:tcW w:w="625" w:type="pct"/>
          </w:tcPr>
          <w:p w14:paraId="6F96DF9B" w14:textId="77777777" w:rsidR="00096559" w:rsidRPr="005B0F72" w:rsidRDefault="00096559" w:rsidP="003915B9">
            <w:pPr>
              <w:jc w:val="center"/>
              <w:rPr>
                <w:rFonts w:ascii="Arial Narrow" w:hAnsi="Arial Narrow" w:cs="Tahoma"/>
                <w:b/>
                <w:sz w:val="20"/>
              </w:rPr>
            </w:pPr>
            <w:r w:rsidRPr="005B0F72">
              <w:rPr>
                <w:rFonts w:ascii="Arial Narrow" w:hAnsi="Arial Narrow" w:cs="Tahoma"/>
                <w:b/>
                <w:bCs/>
                <w:sz w:val="20"/>
              </w:rPr>
              <w:t>2023</w:t>
            </w:r>
          </w:p>
        </w:tc>
        <w:tc>
          <w:tcPr>
            <w:tcW w:w="625" w:type="pct"/>
          </w:tcPr>
          <w:p w14:paraId="0A0D3905" w14:textId="77777777" w:rsidR="00096559" w:rsidRPr="005B0F72" w:rsidRDefault="00096559" w:rsidP="003915B9">
            <w:pPr>
              <w:jc w:val="center"/>
              <w:rPr>
                <w:rFonts w:ascii="Arial Narrow" w:hAnsi="Arial Narrow" w:cs="Tahoma"/>
                <w:b/>
                <w:sz w:val="20"/>
              </w:rPr>
            </w:pPr>
            <w:r w:rsidRPr="005B0F72">
              <w:rPr>
                <w:rFonts w:ascii="Arial Narrow" w:hAnsi="Arial Narrow" w:cs="Tahoma"/>
                <w:b/>
                <w:bCs/>
                <w:sz w:val="20"/>
              </w:rPr>
              <w:t>2024</w:t>
            </w:r>
          </w:p>
        </w:tc>
        <w:tc>
          <w:tcPr>
            <w:tcW w:w="625" w:type="pct"/>
          </w:tcPr>
          <w:p w14:paraId="38512419" w14:textId="77777777" w:rsidR="00096559" w:rsidRPr="005B0F72" w:rsidRDefault="00096559" w:rsidP="003915B9">
            <w:pPr>
              <w:jc w:val="center"/>
              <w:rPr>
                <w:rFonts w:ascii="Arial Narrow" w:hAnsi="Arial Narrow" w:cs="Tahoma"/>
                <w:b/>
                <w:sz w:val="20"/>
              </w:rPr>
            </w:pPr>
            <w:r w:rsidRPr="005B0F72">
              <w:rPr>
                <w:rFonts w:ascii="Arial Narrow" w:hAnsi="Arial Narrow" w:cs="Tahoma"/>
                <w:b/>
                <w:bCs/>
                <w:sz w:val="20"/>
              </w:rPr>
              <w:t>2025</w:t>
            </w:r>
          </w:p>
        </w:tc>
        <w:tc>
          <w:tcPr>
            <w:tcW w:w="625" w:type="pct"/>
          </w:tcPr>
          <w:p w14:paraId="1BE29E2A" w14:textId="77777777" w:rsidR="00096559" w:rsidRPr="005B0F72" w:rsidRDefault="00096559" w:rsidP="003915B9">
            <w:pPr>
              <w:jc w:val="center"/>
              <w:rPr>
                <w:rFonts w:ascii="Arial Narrow" w:hAnsi="Arial Narrow" w:cs="Tahoma"/>
                <w:b/>
                <w:bCs/>
                <w:sz w:val="20"/>
              </w:rPr>
            </w:pPr>
            <w:r w:rsidRPr="005B0F72">
              <w:rPr>
                <w:rFonts w:ascii="Arial Narrow" w:hAnsi="Arial Narrow" w:cs="Tahoma"/>
                <w:b/>
                <w:bCs/>
                <w:sz w:val="20"/>
              </w:rPr>
              <w:t>Total</w:t>
            </w:r>
          </w:p>
        </w:tc>
      </w:tr>
      <w:tr w:rsidR="00096559" w:rsidRPr="005B0F72" w14:paraId="057D4445" w14:textId="77777777" w:rsidTr="005819C3">
        <w:trPr>
          <w:trHeight w:val="20"/>
        </w:trPr>
        <w:tc>
          <w:tcPr>
            <w:tcW w:w="5000" w:type="pct"/>
            <w:gridSpan w:val="7"/>
          </w:tcPr>
          <w:p w14:paraId="585D11B5" w14:textId="77777777" w:rsidR="00096559" w:rsidRPr="005B0F72" w:rsidRDefault="00096559" w:rsidP="003915B9">
            <w:pPr>
              <w:rPr>
                <w:rFonts w:ascii="Arial Narrow" w:hAnsi="Arial Narrow" w:cs="Tahoma"/>
                <w:sz w:val="20"/>
              </w:rPr>
            </w:pPr>
            <w:r w:rsidRPr="005B0F72">
              <w:rPr>
                <w:rFonts w:ascii="Arial Narrow" w:hAnsi="Arial Narrow" w:cs="Tahoma"/>
                <w:b/>
                <w:bCs/>
                <w:sz w:val="20"/>
              </w:rPr>
              <w:t>MBS</w:t>
            </w:r>
          </w:p>
        </w:tc>
      </w:tr>
      <w:tr w:rsidR="00CC1ED3" w:rsidRPr="005B0F72" w14:paraId="7CDBC1F4" w14:textId="77777777" w:rsidTr="005819C3">
        <w:trPr>
          <w:trHeight w:val="20"/>
        </w:trPr>
        <w:tc>
          <w:tcPr>
            <w:tcW w:w="1251" w:type="pct"/>
          </w:tcPr>
          <w:p w14:paraId="31B0B3AE" w14:textId="77777777" w:rsidR="00CC1ED3" w:rsidRPr="00166DFD" w:rsidRDefault="00CC1ED3" w:rsidP="00CC1ED3">
            <w:pPr>
              <w:rPr>
                <w:rFonts w:ascii="Arial Narrow" w:hAnsi="Arial Narrow" w:cs="Tahoma"/>
                <w:sz w:val="20"/>
              </w:rPr>
            </w:pPr>
            <w:r w:rsidRPr="00166DFD">
              <w:rPr>
                <w:rFonts w:ascii="Arial Narrow" w:hAnsi="Arial Narrow" w:cs="Tahoma"/>
                <w:sz w:val="20"/>
              </w:rPr>
              <w:t>Private patients (60.9%)</w:t>
            </w:r>
          </w:p>
        </w:tc>
        <w:tc>
          <w:tcPr>
            <w:tcW w:w="624" w:type="pct"/>
          </w:tcPr>
          <w:p w14:paraId="62E9DEEB" w14:textId="16CCB427" w:rsidR="00CC1ED3" w:rsidRPr="00DE3355" w:rsidRDefault="00CC1ED3" w:rsidP="00CC1ED3">
            <w:pPr>
              <w:jc w:val="center"/>
              <w:rPr>
                <w:rFonts w:ascii="Arial Narrow" w:hAnsi="Arial Narrow" w:cs="Tahoma"/>
                <w:sz w:val="20"/>
                <w:highlight w:val="yellow"/>
              </w:rPr>
            </w:pPr>
            <w:r w:rsidRPr="00CC1ED3">
              <w:rPr>
                <w:rFonts w:ascii="Arial Narrow" w:hAnsi="Arial Narrow" w:cs="Tahoma"/>
                <w:b/>
                <w:sz w:val="20"/>
              </w:rPr>
              <w:t>redacted</w:t>
            </w:r>
          </w:p>
        </w:tc>
        <w:tc>
          <w:tcPr>
            <w:tcW w:w="625" w:type="pct"/>
          </w:tcPr>
          <w:p w14:paraId="4119CCDD" w14:textId="7EA65FC9" w:rsidR="00CC1ED3" w:rsidRPr="00DE3355" w:rsidRDefault="00CC1ED3" w:rsidP="00CC1ED3">
            <w:pPr>
              <w:jc w:val="center"/>
              <w:rPr>
                <w:rFonts w:ascii="Arial Narrow" w:hAnsi="Arial Narrow" w:cs="Tahoma"/>
                <w:sz w:val="20"/>
                <w:highlight w:val="yellow"/>
              </w:rPr>
            </w:pPr>
            <w:r w:rsidRPr="00CC1ED3">
              <w:rPr>
                <w:rFonts w:ascii="Arial Narrow" w:hAnsi="Arial Narrow" w:cs="Tahoma"/>
                <w:b/>
                <w:sz w:val="20"/>
              </w:rPr>
              <w:t>redacted</w:t>
            </w:r>
          </w:p>
        </w:tc>
        <w:tc>
          <w:tcPr>
            <w:tcW w:w="625" w:type="pct"/>
          </w:tcPr>
          <w:p w14:paraId="15D51EEB" w14:textId="7B7197CC" w:rsidR="00CC1ED3" w:rsidRPr="00DE3355" w:rsidRDefault="00CC1ED3" w:rsidP="00CC1ED3">
            <w:pPr>
              <w:jc w:val="center"/>
              <w:rPr>
                <w:rFonts w:ascii="Arial Narrow" w:hAnsi="Arial Narrow" w:cs="Tahoma"/>
                <w:sz w:val="20"/>
                <w:highlight w:val="yellow"/>
              </w:rPr>
            </w:pPr>
            <w:r w:rsidRPr="00CA27B1">
              <w:rPr>
                <w:rFonts w:ascii="Arial Narrow" w:hAnsi="Arial Narrow" w:cs="Tahoma"/>
                <w:b/>
                <w:sz w:val="20"/>
              </w:rPr>
              <w:t>redacted</w:t>
            </w:r>
          </w:p>
        </w:tc>
        <w:tc>
          <w:tcPr>
            <w:tcW w:w="625" w:type="pct"/>
          </w:tcPr>
          <w:p w14:paraId="2C0FCEAD" w14:textId="5F7D9343" w:rsidR="00CC1ED3" w:rsidRPr="00DE3355" w:rsidRDefault="00CC1ED3" w:rsidP="00CC1ED3">
            <w:pPr>
              <w:jc w:val="center"/>
              <w:rPr>
                <w:rFonts w:ascii="Arial Narrow" w:hAnsi="Arial Narrow" w:cs="Tahoma"/>
                <w:sz w:val="20"/>
                <w:highlight w:val="yellow"/>
              </w:rPr>
            </w:pPr>
            <w:r w:rsidRPr="00CA27B1">
              <w:rPr>
                <w:rFonts w:ascii="Arial Narrow" w:hAnsi="Arial Narrow" w:cs="Tahoma"/>
                <w:b/>
                <w:sz w:val="20"/>
              </w:rPr>
              <w:t>redacted</w:t>
            </w:r>
          </w:p>
        </w:tc>
        <w:tc>
          <w:tcPr>
            <w:tcW w:w="625" w:type="pct"/>
          </w:tcPr>
          <w:p w14:paraId="75788A40" w14:textId="35E003ED" w:rsidR="00CC1ED3" w:rsidRPr="00DE3355" w:rsidRDefault="00CC1ED3" w:rsidP="00CC1ED3">
            <w:pPr>
              <w:jc w:val="center"/>
              <w:rPr>
                <w:rFonts w:ascii="Arial Narrow" w:hAnsi="Arial Narrow" w:cs="Tahoma"/>
                <w:sz w:val="20"/>
                <w:highlight w:val="yellow"/>
              </w:rPr>
            </w:pPr>
            <w:r w:rsidRPr="00CA27B1">
              <w:rPr>
                <w:rFonts w:ascii="Arial Narrow" w:hAnsi="Arial Narrow" w:cs="Tahoma"/>
                <w:b/>
                <w:sz w:val="20"/>
              </w:rPr>
              <w:t>redacted</w:t>
            </w:r>
          </w:p>
        </w:tc>
        <w:tc>
          <w:tcPr>
            <w:tcW w:w="625" w:type="pct"/>
          </w:tcPr>
          <w:p w14:paraId="2C5CBD6D" w14:textId="12B8CEBF" w:rsidR="00CC1ED3" w:rsidRPr="00DE3355" w:rsidRDefault="00CC1ED3" w:rsidP="00CC1ED3">
            <w:pPr>
              <w:jc w:val="center"/>
              <w:rPr>
                <w:rFonts w:ascii="Arial Narrow" w:hAnsi="Arial Narrow" w:cs="Tahoma"/>
                <w:sz w:val="20"/>
                <w:highlight w:val="yellow"/>
              </w:rPr>
            </w:pPr>
            <w:r w:rsidRPr="00CA27B1">
              <w:rPr>
                <w:rFonts w:ascii="Arial Narrow" w:hAnsi="Arial Narrow" w:cs="Tahoma"/>
                <w:b/>
                <w:sz w:val="20"/>
              </w:rPr>
              <w:t>redacted</w:t>
            </w:r>
          </w:p>
        </w:tc>
      </w:tr>
      <w:tr w:rsidR="00166DFD" w:rsidRPr="005B0F72" w14:paraId="2B2897D3" w14:textId="77777777" w:rsidTr="005819C3">
        <w:trPr>
          <w:trHeight w:val="20"/>
        </w:trPr>
        <w:tc>
          <w:tcPr>
            <w:tcW w:w="1251" w:type="pct"/>
          </w:tcPr>
          <w:p w14:paraId="15ACB929" w14:textId="6E92E7A1" w:rsidR="00166DFD" w:rsidRPr="00166DFD" w:rsidRDefault="00166DFD" w:rsidP="00A667ED">
            <w:pPr>
              <w:rPr>
                <w:rFonts w:ascii="Arial Narrow" w:hAnsi="Arial Narrow" w:cs="Tahoma"/>
                <w:sz w:val="20"/>
              </w:rPr>
            </w:pPr>
            <w:r w:rsidRPr="00166DFD">
              <w:rPr>
                <w:rFonts w:ascii="Arial Narrow" w:hAnsi="Arial Narrow" w:cs="Tahoma"/>
                <w:sz w:val="20"/>
              </w:rPr>
              <w:t>Cost to the MBS due to listing TAVI-BEV (75% fee)</w:t>
            </w:r>
            <w:r w:rsidRPr="00166DFD">
              <w:rPr>
                <w:rFonts w:ascii="Arial Narrow" w:hAnsi="Arial Narrow" w:cs="Tahoma"/>
                <w:sz w:val="20"/>
                <w:vertAlign w:val="superscript"/>
              </w:rPr>
              <w:t xml:space="preserve"> </w:t>
            </w:r>
          </w:p>
        </w:tc>
        <w:tc>
          <w:tcPr>
            <w:tcW w:w="624" w:type="pct"/>
          </w:tcPr>
          <w:p w14:paraId="1E4815C4" w14:textId="52AA3B83" w:rsidR="00166DFD" w:rsidRPr="00CC1ED3" w:rsidRDefault="00166DFD" w:rsidP="00CC1ED3">
            <w:pPr>
              <w:jc w:val="center"/>
              <w:rPr>
                <w:rFonts w:ascii="Arial Narrow" w:hAnsi="Arial Narrow" w:cs="Tahoma"/>
                <w:b/>
                <w:sz w:val="20"/>
              </w:rPr>
            </w:pPr>
            <w:r w:rsidRPr="00CC1ED3">
              <w:rPr>
                <w:rFonts w:ascii="Arial Narrow" w:hAnsi="Arial Narrow" w:cs="Tahoma"/>
                <w:b/>
                <w:sz w:val="20"/>
              </w:rPr>
              <w:t>$redacted</w:t>
            </w:r>
          </w:p>
        </w:tc>
        <w:tc>
          <w:tcPr>
            <w:tcW w:w="625" w:type="pct"/>
          </w:tcPr>
          <w:p w14:paraId="4E77B8B3" w14:textId="67BA04BA"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61F58337" w14:textId="497E02DD"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22B7CD2B" w14:textId="0240B6EC"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0046AB97" w14:textId="07B63F06"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32315F7A" w14:textId="759C8100"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r>
      <w:tr w:rsidR="00166DFD" w:rsidRPr="005B0F72" w14:paraId="1B63044E" w14:textId="77777777" w:rsidTr="005819C3">
        <w:trPr>
          <w:trHeight w:val="20"/>
        </w:trPr>
        <w:tc>
          <w:tcPr>
            <w:tcW w:w="1251" w:type="pct"/>
          </w:tcPr>
          <w:p w14:paraId="4F554CF9" w14:textId="46831D4D" w:rsidR="00166DFD" w:rsidRPr="00166DFD" w:rsidRDefault="00166DFD" w:rsidP="00A667ED">
            <w:pPr>
              <w:rPr>
                <w:rFonts w:ascii="Arial Narrow" w:hAnsi="Arial Narrow"/>
                <w:sz w:val="20"/>
              </w:rPr>
            </w:pPr>
            <w:r w:rsidRPr="00166DFD">
              <w:rPr>
                <w:rFonts w:ascii="Arial Narrow" w:hAnsi="Arial Narrow" w:cs="Tahoma"/>
                <w:sz w:val="20"/>
              </w:rPr>
              <w:t>C</w:t>
            </w:r>
            <w:r w:rsidR="00A667ED">
              <w:rPr>
                <w:rFonts w:ascii="Arial Narrow" w:hAnsi="Arial Narrow" w:cs="Tahoma"/>
                <w:sz w:val="20"/>
              </w:rPr>
              <w:t>ost</w:t>
            </w:r>
            <w:r w:rsidRPr="00166DFD">
              <w:rPr>
                <w:rFonts w:ascii="Arial Narrow" w:hAnsi="Arial Narrow" w:cs="Tahoma"/>
                <w:sz w:val="20"/>
              </w:rPr>
              <w:t xml:space="preserve"> to the MBS due to listing TAVI- BEV (75% fee) </w:t>
            </w:r>
          </w:p>
        </w:tc>
        <w:tc>
          <w:tcPr>
            <w:tcW w:w="624" w:type="pct"/>
          </w:tcPr>
          <w:p w14:paraId="1676C5B3" w14:textId="2DB51DD0"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658B2450" w14:textId="1845826A"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25FD0B6C" w14:textId="3DA8EBC8"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77ABF976" w14:textId="146A383E"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1B8E0BCC" w14:textId="49FC5B2B"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33674230" w14:textId="1B6C9D55"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r>
      <w:tr w:rsidR="00166DFD" w:rsidRPr="005B0F72" w14:paraId="5402BC98" w14:textId="77777777" w:rsidTr="005819C3">
        <w:trPr>
          <w:trHeight w:val="20"/>
        </w:trPr>
        <w:tc>
          <w:tcPr>
            <w:tcW w:w="1251" w:type="pct"/>
          </w:tcPr>
          <w:p w14:paraId="40A8E825" w14:textId="3C1537FD" w:rsidR="00166DFD" w:rsidRPr="00166DFD" w:rsidRDefault="00637CE9" w:rsidP="00166DFD">
            <w:pPr>
              <w:rPr>
                <w:rFonts w:ascii="Arial Narrow" w:hAnsi="Arial Narrow" w:cs="Tahoma"/>
                <w:sz w:val="20"/>
              </w:rPr>
            </w:pPr>
            <w:r>
              <w:rPr>
                <w:rFonts w:ascii="Arial Narrow" w:hAnsi="Arial Narrow" w:cs="Tahoma"/>
                <w:b/>
                <w:bCs/>
                <w:sz w:val="20"/>
              </w:rPr>
              <w:t xml:space="preserve">Net </w:t>
            </w:r>
            <w:r w:rsidR="00166DFD" w:rsidRPr="00166DFD">
              <w:rPr>
                <w:rFonts w:ascii="Arial Narrow" w:hAnsi="Arial Narrow" w:cs="Tahoma"/>
                <w:b/>
                <w:bCs/>
                <w:sz w:val="20"/>
              </w:rPr>
              <w:t>cost to the MBS</w:t>
            </w:r>
          </w:p>
        </w:tc>
        <w:tc>
          <w:tcPr>
            <w:tcW w:w="624" w:type="pct"/>
          </w:tcPr>
          <w:p w14:paraId="2ADEBC0B" w14:textId="4C87D94F"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3DE0BB5A" w14:textId="12A885D7"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71803EDD" w14:textId="66235049"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5FF895F3" w14:textId="73CBEFC9"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5E9D7A3F" w14:textId="71BAE81B"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5A679D19" w14:textId="2A6737D7"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r>
      <w:tr w:rsidR="00096559" w:rsidRPr="005B0F72" w14:paraId="02702C40" w14:textId="77777777" w:rsidTr="005819C3">
        <w:trPr>
          <w:trHeight w:val="20"/>
        </w:trPr>
        <w:tc>
          <w:tcPr>
            <w:tcW w:w="5000" w:type="pct"/>
            <w:gridSpan w:val="7"/>
          </w:tcPr>
          <w:p w14:paraId="0809FE5F" w14:textId="77777777" w:rsidR="00096559" w:rsidRPr="00166DFD" w:rsidRDefault="00096559" w:rsidP="003915B9">
            <w:pPr>
              <w:rPr>
                <w:rFonts w:ascii="Arial Narrow" w:hAnsi="Arial Narrow" w:cs="Tahoma"/>
                <w:sz w:val="20"/>
              </w:rPr>
            </w:pPr>
            <w:r w:rsidRPr="00166DFD">
              <w:rPr>
                <w:rFonts w:ascii="Arial Narrow" w:hAnsi="Arial Narrow" w:cs="Tahoma"/>
                <w:b/>
                <w:bCs/>
                <w:sz w:val="20"/>
              </w:rPr>
              <w:t>State and territory government health budgets</w:t>
            </w:r>
          </w:p>
        </w:tc>
      </w:tr>
      <w:tr w:rsidR="00CC1ED3" w:rsidRPr="005B0F72" w14:paraId="7F9A7AD6" w14:textId="77777777" w:rsidTr="005819C3">
        <w:trPr>
          <w:trHeight w:val="20"/>
        </w:trPr>
        <w:tc>
          <w:tcPr>
            <w:tcW w:w="1251" w:type="pct"/>
          </w:tcPr>
          <w:p w14:paraId="245E4D65" w14:textId="77777777" w:rsidR="00CC1ED3" w:rsidRPr="00166DFD" w:rsidRDefault="00CC1ED3" w:rsidP="00CC1ED3">
            <w:pPr>
              <w:rPr>
                <w:rFonts w:ascii="Arial Narrow" w:hAnsi="Arial Narrow" w:cs="Tahoma"/>
                <w:sz w:val="20"/>
              </w:rPr>
            </w:pPr>
            <w:r w:rsidRPr="00166DFD">
              <w:rPr>
                <w:rFonts w:ascii="Arial Narrow" w:hAnsi="Arial Narrow" w:cs="Tahoma"/>
                <w:sz w:val="20"/>
              </w:rPr>
              <w:t>Public patients (39.4%)</w:t>
            </w:r>
          </w:p>
        </w:tc>
        <w:tc>
          <w:tcPr>
            <w:tcW w:w="624" w:type="pct"/>
          </w:tcPr>
          <w:p w14:paraId="50CBF3BC" w14:textId="021E022A" w:rsidR="00CC1ED3" w:rsidRPr="00DE3355" w:rsidRDefault="00CC1ED3" w:rsidP="00CC1ED3">
            <w:pPr>
              <w:jc w:val="center"/>
              <w:rPr>
                <w:rFonts w:ascii="Arial Narrow" w:hAnsi="Arial Narrow" w:cs="Tahoma"/>
                <w:sz w:val="20"/>
                <w:highlight w:val="yellow"/>
              </w:rPr>
            </w:pPr>
            <w:r w:rsidRPr="008F17F7">
              <w:rPr>
                <w:rFonts w:ascii="Arial Narrow" w:hAnsi="Arial Narrow" w:cs="Tahoma"/>
                <w:b/>
                <w:sz w:val="20"/>
              </w:rPr>
              <w:t>redacted</w:t>
            </w:r>
          </w:p>
        </w:tc>
        <w:tc>
          <w:tcPr>
            <w:tcW w:w="625" w:type="pct"/>
          </w:tcPr>
          <w:p w14:paraId="3B524E2F" w14:textId="137642D5" w:rsidR="00CC1ED3" w:rsidRPr="00DE3355" w:rsidRDefault="00CC1ED3" w:rsidP="00CC1ED3">
            <w:pPr>
              <w:jc w:val="center"/>
              <w:rPr>
                <w:rFonts w:ascii="Arial Narrow" w:hAnsi="Arial Narrow" w:cs="Tahoma"/>
                <w:sz w:val="20"/>
                <w:highlight w:val="yellow"/>
              </w:rPr>
            </w:pPr>
            <w:r w:rsidRPr="008F17F7">
              <w:rPr>
                <w:rFonts w:ascii="Arial Narrow" w:hAnsi="Arial Narrow" w:cs="Tahoma"/>
                <w:b/>
                <w:sz w:val="20"/>
              </w:rPr>
              <w:t>redacted</w:t>
            </w:r>
          </w:p>
        </w:tc>
        <w:tc>
          <w:tcPr>
            <w:tcW w:w="625" w:type="pct"/>
          </w:tcPr>
          <w:p w14:paraId="5F8E4793" w14:textId="72618D93" w:rsidR="00CC1ED3" w:rsidRPr="00DE3355" w:rsidRDefault="00CC1ED3" w:rsidP="00CC1ED3">
            <w:pPr>
              <w:jc w:val="center"/>
              <w:rPr>
                <w:rFonts w:ascii="Arial Narrow" w:hAnsi="Arial Narrow" w:cs="Tahoma"/>
                <w:sz w:val="20"/>
                <w:highlight w:val="yellow"/>
              </w:rPr>
            </w:pPr>
            <w:r w:rsidRPr="008F17F7">
              <w:rPr>
                <w:rFonts w:ascii="Arial Narrow" w:hAnsi="Arial Narrow" w:cs="Tahoma"/>
                <w:b/>
                <w:sz w:val="20"/>
              </w:rPr>
              <w:t>redacted</w:t>
            </w:r>
          </w:p>
        </w:tc>
        <w:tc>
          <w:tcPr>
            <w:tcW w:w="625" w:type="pct"/>
          </w:tcPr>
          <w:p w14:paraId="705CBED2" w14:textId="30FCE79B" w:rsidR="00CC1ED3" w:rsidRPr="00DE3355" w:rsidRDefault="00CC1ED3" w:rsidP="00CC1ED3">
            <w:pPr>
              <w:jc w:val="center"/>
              <w:rPr>
                <w:rFonts w:ascii="Arial Narrow" w:hAnsi="Arial Narrow" w:cs="Tahoma"/>
                <w:sz w:val="20"/>
                <w:highlight w:val="yellow"/>
              </w:rPr>
            </w:pPr>
            <w:r w:rsidRPr="008F17F7">
              <w:rPr>
                <w:rFonts w:ascii="Arial Narrow" w:hAnsi="Arial Narrow" w:cs="Tahoma"/>
                <w:b/>
                <w:sz w:val="20"/>
              </w:rPr>
              <w:t>redacted</w:t>
            </w:r>
          </w:p>
        </w:tc>
        <w:tc>
          <w:tcPr>
            <w:tcW w:w="625" w:type="pct"/>
          </w:tcPr>
          <w:p w14:paraId="31117820" w14:textId="55E96181" w:rsidR="00CC1ED3" w:rsidRPr="00DE3355" w:rsidRDefault="00CC1ED3" w:rsidP="00CC1ED3">
            <w:pPr>
              <w:jc w:val="center"/>
              <w:rPr>
                <w:rFonts w:ascii="Arial Narrow" w:hAnsi="Arial Narrow" w:cs="Tahoma"/>
                <w:sz w:val="20"/>
                <w:highlight w:val="yellow"/>
              </w:rPr>
            </w:pPr>
            <w:r w:rsidRPr="008F17F7">
              <w:rPr>
                <w:rFonts w:ascii="Arial Narrow" w:hAnsi="Arial Narrow" w:cs="Tahoma"/>
                <w:b/>
                <w:sz w:val="20"/>
              </w:rPr>
              <w:t>redacted</w:t>
            </w:r>
          </w:p>
        </w:tc>
        <w:tc>
          <w:tcPr>
            <w:tcW w:w="625" w:type="pct"/>
          </w:tcPr>
          <w:p w14:paraId="063A2497" w14:textId="5F104CD5" w:rsidR="00CC1ED3" w:rsidRPr="00DE3355" w:rsidRDefault="00CC1ED3" w:rsidP="00CC1ED3">
            <w:pPr>
              <w:jc w:val="center"/>
              <w:rPr>
                <w:rFonts w:ascii="Arial Narrow" w:hAnsi="Arial Narrow" w:cs="Tahoma"/>
                <w:sz w:val="20"/>
                <w:highlight w:val="yellow"/>
              </w:rPr>
            </w:pPr>
            <w:r w:rsidRPr="008F17F7">
              <w:rPr>
                <w:rFonts w:ascii="Arial Narrow" w:hAnsi="Arial Narrow" w:cs="Tahoma"/>
                <w:b/>
                <w:sz w:val="20"/>
              </w:rPr>
              <w:t>redacted</w:t>
            </w:r>
          </w:p>
        </w:tc>
      </w:tr>
      <w:tr w:rsidR="00166DFD" w:rsidRPr="005B0F72" w14:paraId="5FFE65E1" w14:textId="77777777" w:rsidTr="005819C3">
        <w:trPr>
          <w:trHeight w:val="20"/>
        </w:trPr>
        <w:tc>
          <w:tcPr>
            <w:tcW w:w="1251" w:type="pct"/>
          </w:tcPr>
          <w:p w14:paraId="6467569B" w14:textId="77777777" w:rsidR="00166DFD" w:rsidRPr="00166DFD" w:rsidRDefault="00166DFD" w:rsidP="00166DFD">
            <w:pPr>
              <w:rPr>
                <w:rFonts w:ascii="Arial Narrow" w:hAnsi="Arial Narrow" w:cs="Tahoma"/>
                <w:sz w:val="20"/>
              </w:rPr>
            </w:pPr>
            <w:r w:rsidRPr="00166DFD">
              <w:rPr>
                <w:rFonts w:ascii="Arial Narrow" w:hAnsi="Arial Narrow" w:cs="Tahoma"/>
                <w:sz w:val="20"/>
              </w:rPr>
              <w:t xml:space="preserve">Cost of treatment with TAVI-BEV </w:t>
            </w:r>
            <w:r w:rsidRPr="00166DFD">
              <w:rPr>
                <w:rFonts w:ascii="Arial Narrow" w:hAnsi="Arial Narrow" w:cs="Tahoma"/>
                <w:sz w:val="20"/>
                <w:vertAlign w:val="superscript"/>
              </w:rPr>
              <w:t>b</w:t>
            </w:r>
          </w:p>
        </w:tc>
        <w:tc>
          <w:tcPr>
            <w:tcW w:w="624" w:type="pct"/>
          </w:tcPr>
          <w:p w14:paraId="6B7263AE" w14:textId="626D179B"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1E66EF37" w14:textId="0E2F8255"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6DF3E51F" w14:textId="4FA7B55E"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40A9D5CA" w14:textId="6FE5C3B8"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4E7B8637" w14:textId="5C924B40"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73D8D208" w14:textId="735DB52E"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r>
      <w:tr w:rsidR="00166DFD" w:rsidRPr="005B0F72" w14:paraId="3A955200" w14:textId="77777777" w:rsidTr="005819C3">
        <w:trPr>
          <w:trHeight w:val="20"/>
        </w:trPr>
        <w:tc>
          <w:tcPr>
            <w:tcW w:w="1251" w:type="pct"/>
          </w:tcPr>
          <w:p w14:paraId="3D975503" w14:textId="4E781793" w:rsidR="00166DFD" w:rsidRPr="00166DFD" w:rsidRDefault="00166DFD" w:rsidP="00A667ED">
            <w:pPr>
              <w:rPr>
                <w:rFonts w:ascii="Arial Narrow" w:hAnsi="Arial Narrow"/>
                <w:sz w:val="20"/>
              </w:rPr>
            </w:pPr>
            <w:r w:rsidRPr="00166DFD">
              <w:rPr>
                <w:rFonts w:ascii="Arial Narrow" w:hAnsi="Arial Narrow" w:cs="Tahoma"/>
                <w:sz w:val="20"/>
              </w:rPr>
              <w:t>Cost due to TAVI-BEV (reduction in SAVR)</w:t>
            </w:r>
          </w:p>
        </w:tc>
        <w:tc>
          <w:tcPr>
            <w:tcW w:w="624" w:type="pct"/>
          </w:tcPr>
          <w:p w14:paraId="71A5199F" w14:textId="2F13AE3C"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65D4D82E" w14:textId="210FF3F0"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31763A73" w14:textId="7C0E043E"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1FAD0A2C" w14:textId="40C5B85B"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4C6BFCE5" w14:textId="7C3E6262"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65D1BEE5" w14:textId="005135F4"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r>
      <w:tr w:rsidR="00166DFD" w:rsidRPr="005B0F72" w14:paraId="0E026173" w14:textId="77777777" w:rsidTr="005819C3">
        <w:trPr>
          <w:trHeight w:val="20"/>
        </w:trPr>
        <w:tc>
          <w:tcPr>
            <w:tcW w:w="1251" w:type="pct"/>
          </w:tcPr>
          <w:p w14:paraId="0D7798AE" w14:textId="77777777" w:rsidR="00166DFD" w:rsidRPr="00166DFD" w:rsidRDefault="00166DFD" w:rsidP="00166DFD">
            <w:pPr>
              <w:rPr>
                <w:rFonts w:ascii="Arial Narrow" w:hAnsi="Arial Narrow" w:cs="Tahoma"/>
                <w:sz w:val="20"/>
              </w:rPr>
            </w:pPr>
            <w:r w:rsidRPr="00166DFD">
              <w:rPr>
                <w:rFonts w:ascii="Arial Narrow" w:hAnsi="Arial Narrow" w:cs="Tahoma"/>
                <w:b/>
                <w:bCs/>
                <w:sz w:val="20"/>
              </w:rPr>
              <w:t xml:space="preserve">Net cost to state and territory governments </w:t>
            </w:r>
          </w:p>
        </w:tc>
        <w:tc>
          <w:tcPr>
            <w:tcW w:w="624" w:type="pct"/>
          </w:tcPr>
          <w:p w14:paraId="4028F40C" w14:textId="346508AB"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7E2749F8" w14:textId="230A6842"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444DB896" w14:textId="614E612D"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74AF3851" w14:textId="7CB5A66F"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011075DD" w14:textId="5FBEED87"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6F864B44" w14:textId="3AAB41F7"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r>
      <w:tr w:rsidR="00096559" w:rsidRPr="005B0F72" w14:paraId="07198938" w14:textId="77777777" w:rsidTr="005819C3">
        <w:trPr>
          <w:trHeight w:val="20"/>
        </w:trPr>
        <w:tc>
          <w:tcPr>
            <w:tcW w:w="5000" w:type="pct"/>
            <w:gridSpan w:val="7"/>
          </w:tcPr>
          <w:p w14:paraId="0C612D75" w14:textId="77777777" w:rsidR="00096559" w:rsidRPr="00166DFD" w:rsidRDefault="00096559" w:rsidP="003915B9">
            <w:pPr>
              <w:rPr>
                <w:rFonts w:ascii="Arial Narrow" w:hAnsi="Arial Narrow" w:cs="Tahoma"/>
                <w:b/>
                <w:bCs/>
                <w:sz w:val="20"/>
              </w:rPr>
            </w:pPr>
            <w:r w:rsidRPr="00166DFD">
              <w:rPr>
                <w:rFonts w:ascii="Arial Narrow" w:hAnsi="Arial Narrow" w:cs="Tahoma"/>
                <w:b/>
                <w:bCs/>
                <w:sz w:val="20"/>
              </w:rPr>
              <w:t>Australian government</w:t>
            </w:r>
          </w:p>
        </w:tc>
      </w:tr>
      <w:tr w:rsidR="00166DFD" w:rsidRPr="005B0F72" w14:paraId="40B7F06D" w14:textId="77777777" w:rsidTr="005819C3">
        <w:trPr>
          <w:trHeight w:val="20"/>
        </w:trPr>
        <w:tc>
          <w:tcPr>
            <w:tcW w:w="1251" w:type="pct"/>
          </w:tcPr>
          <w:p w14:paraId="79B1E728" w14:textId="46579219" w:rsidR="00166DFD" w:rsidRPr="00166DFD" w:rsidRDefault="00637CE9" w:rsidP="00166DFD">
            <w:pPr>
              <w:rPr>
                <w:rFonts w:ascii="Arial Narrow" w:hAnsi="Arial Narrow" w:cs="Tahoma"/>
                <w:sz w:val="20"/>
              </w:rPr>
            </w:pPr>
            <w:r>
              <w:rPr>
                <w:rFonts w:ascii="Arial Narrow" w:hAnsi="Arial Narrow" w:cs="Tahoma"/>
                <w:sz w:val="20"/>
              </w:rPr>
              <w:t xml:space="preserve">Net </w:t>
            </w:r>
            <w:r w:rsidR="00166DFD" w:rsidRPr="00166DFD">
              <w:rPr>
                <w:rFonts w:ascii="Arial Narrow" w:hAnsi="Arial Narrow" w:cs="Tahoma"/>
                <w:sz w:val="20"/>
              </w:rPr>
              <w:t>cost to the Australian government</w:t>
            </w:r>
          </w:p>
        </w:tc>
        <w:tc>
          <w:tcPr>
            <w:tcW w:w="624" w:type="pct"/>
          </w:tcPr>
          <w:p w14:paraId="38FDE41D" w14:textId="332C2919"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7F250CAA" w14:textId="40317228"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4B63D7AF" w14:textId="43F54CB6"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50562D37" w14:textId="348CB656"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15116C40" w14:textId="153BE161"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5872A1D9" w14:textId="3541FB70"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r>
      <w:tr w:rsidR="00166DFD" w:rsidRPr="005B0F72" w14:paraId="6D151EB8" w14:textId="77777777" w:rsidTr="005819C3">
        <w:trPr>
          <w:trHeight w:val="20"/>
        </w:trPr>
        <w:tc>
          <w:tcPr>
            <w:tcW w:w="1251" w:type="pct"/>
          </w:tcPr>
          <w:p w14:paraId="6B8F6355" w14:textId="797D2795" w:rsidR="00166DFD" w:rsidRPr="00166DFD" w:rsidRDefault="00166DFD" w:rsidP="00166DFD">
            <w:pPr>
              <w:rPr>
                <w:rFonts w:ascii="Arial Narrow" w:hAnsi="Arial Narrow" w:cs="Tahoma"/>
                <w:sz w:val="20"/>
              </w:rPr>
            </w:pPr>
            <w:r w:rsidRPr="00166DFD">
              <w:rPr>
                <w:rFonts w:ascii="Arial Narrow" w:hAnsi="Arial Narrow" w:cs="Tahoma"/>
                <w:sz w:val="20"/>
              </w:rPr>
              <w:t xml:space="preserve">Net cost using the ADAR’s proposed prosthesis cost of </w:t>
            </w:r>
            <w:r w:rsidRPr="00166DFD">
              <w:rPr>
                <w:rFonts w:ascii="Arial Narrow" w:hAnsi="Arial Narrow" w:cs="Tahoma"/>
                <w:b/>
                <w:bCs/>
                <w:i/>
                <w:iCs/>
                <w:sz w:val="20"/>
              </w:rPr>
              <w:t>$redacted</w:t>
            </w:r>
            <w:r w:rsidRPr="00166DFD" w:rsidDel="00166DFD">
              <w:rPr>
                <w:rFonts w:ascii="Arial Narrow" w:hAnsi="Arial Narrow" w:cs="Tahoma"/>
                <w:sz w:val="20"/>
              </w:rPr>
              <w:t xml:space="preserve"> </w:t>
            </w:r>
            <w:r w:rsidRPr="00166DFD">
              <w:rPr>
                <w:rFonts w:ascii="Arial Narrow" w:hAnsi="Arial Narrow" w:cs="Tahoma"/>
                <w:sz w:val="20"/>
              </w:rPr>
              <w:t>(scenario 1)</w:t>
            </w:r>
          </w:p>
        </w:tc>
        <w:tc>
          <w:tcPr>
            <w:tcW w:w="624" w:type="pct"/>
          </w:tcPr>
          <w:p w14:paraId="76E296A2" w14:textId="51648A45"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6DB9AE46" w14:textId="19195EBF"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075FA327" w14:textId="7D548B84"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7B02BC0C" w14:textId="2F7947C2"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32F510FF" w14:textId="5AC29A3E"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7E99CB31" w14:textId="76A42246"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r>
      <w:tr w:rsidR="00096559" w:rsidRPr="005B0F72" w14:paraId="1A78B437" w14:textId="77777777" w:rsidTr="005819C3">
        <w:trPr>
          <w:trHeight w:val="20"/>
        </w:trPr>
        <w:tc>
          <w:tcPr>
            <w:tcW w:w="5000" w:type="pct"/>
            <w:gridSpan w:val="7"/>
          </w:tcPr>
          <w:p w14:paraId="5E4865DD" w14:textId="77777777" w:rsidR="00096559" w:rsidRPr="00166DFD" w:rsidRDefault="00096559" w:rsidP="003915B9">
            <w:pPr>
              <w:rPr>
                <w:rFonts w:ascii="Arial Narrow" w:hAnsi="Arial Narrow" w:cs="Tahoma"/>
                <w:b/>
                <w:sz w:val="20"/>
                <w:vertAlign w:val="superscript"/>
              </w:rPr>
            </w:pPr>
            <w:r w:rsidRPr="00166DFD">
              <w:rPr>
                <w:rFonts w:ascii="Arial Narrow" w:hAnsi="Arial Narrow" w:cs="Tahoma"/>
                <w:b/>
                <w:sz w:val="20"/>
              </w:rPr>
              <w:t>Private health insurance</w:t>
            </w:r>
          </w:p>
        </w:tc>
      </w:tr>
      <w:tr w:rsidR="00166DFD" w:rsidRPr="005B0F72" w14:paraId="27C14BD5" w14:textId="77777777" w:rsidTr="005819C3">
        <w:trPr>
          <w:trHeight w:val="20"/>
        </w:trPr>
        <w:tc>
          <w:tcPr>
            <w:tcW w:w="1251" w:type="pct"/>
          </w:tcPr>
          <w:p w14:paraId="23A66F29" w14:textId="77777777" w:rsidR="00166DFD" w:rsidRPr="00166DFD" w:rsidRDefault="00166DFD" w:rsidP="00166DFD">
            <w:pPr>
              <w:rPr>
                <w:rFonts w:ascii="Arial Narrow" w:hAnsi="Arial Narrow" w:cs="Tahoma"/>
                <w:sz w:val="20"/>
              </w:rPr>
            </w:pPr>
            <w:r w:rsidRPr="00166DFD">
              <w:rPr>
                <w:rFonts w:ascii="Arial Narrow" w:hAnsi="Arial Narrow" w:cs="Tahoma"/>
                <w:sz w:val="20"/>
              </w:rPr>
              <w:t xml:space="preserve">Net prosthesis costs due to listing TAVI-BEV </w:t>
            </w:r>
          </w:p>
        </w:tc>
        <w:tc>
          <w:tcPr>
            <w:tcW w:w="624" w:type="pct"/>
          </w:tcPr>
          <w:p w14:paraId="43032ED1" w14:textId="3F96292F"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6C27E73B" w14:textId="7EB6D36D"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51DEC46F" w14:textId="46D9F741"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6A22B5DB" w14:textId="32EF5FCA"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50A7831A" w14:textId="243AA6CB"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455D4F8A" w14:textId="791D8E7D"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r>
      <w:tr w:rsidR="00166DFD" w:rsidRPr="005B0F72" w14:paraId="102AD9E9" w14:textId="77777777" w:rsidTr="005819C3">
        <w:trPr>
          <w:trHeight w:val="596"/>
        </w:trPr>
        <w:tc>
          <w:tcPr>
            <w:tcW w:w="1251" w:type="pct"/>
          </w:tcPr>
          <w:p w14:paraId="3D86F708" w14:textId="4F71A4B8" w:rsidR="00166DFD" w:rsidRPr="00166DFD" w:rsidRDefault="00166DFD" w:rsidP="00166DFD">
            <w:pPr>
              <w:rPr>
                <w:rFonts w:ascii="Arial Narrow" w:hAnsi="Arial Narrow" w:cs="Tahoma"/>
                <w:i/>
                <w:sz w:val="20"/>
              </w:rPr>
            </w:pPr>
            <w:r w:rsidRPr="00166DFD">
              <w:rPr>
                <w:rFonts w:ascii="Arial Narrow" w:hAnsi="Arial Narrow" w:cs="Tahoma"/>
                <w:bCs/>
                <w:i/>
                <w:iCs/>
                <w:sz w:val="20"/>
              </w:rPr>
              <w:t xml:space="preserve">Net prosthesis cost using the ADAR’s proposed prosthesis cost of </w:t>
            </w:r>
            <w:r w:rsidRPr="00CC1ED3">
              <w:rPr>
                <w:rFonts w:ascii="Arial Narrow" w:hAnsi="Arial Narrow" w:cs="Tahoma"/>
                <w:b/>
                <w:bCs/>
                <w:i/>
                <w:iCs/>
                <w:sz w:val="20"/>
              </w:rPr>
              <w:t>$redacted</w:t>
            </w:r>
            <w:r w:rsidRPr="00166DFD">
              <w:rPr>
                <w:rFonts w:ascii="Arial Narrow" w:hAnsi="Arial Narrow" w:cs="Tahoma"/>
                <w:bCs/>
                <w:i/>
                <w:iCs/>
                <w:sz w:val="20"/>
              </w:rPr>
              <w:t xml:space="preserve"> (scenario 1)</w:t>
            </w:r>
          </w:p>
        </w:tc>
        <w:tc>
          <w:tcPr>
            <w:tcW w:w="624" w:type="pct"/>
          </w:tcPr>
          <w:p w14:paraId="7DBFC0C6" w14:textId="55C90387" w:rsidR="00166DFD" w:rsidRPr="00CC1ED3" w:rsidRDefault="00166DFD" w:rsidP="00CC1ED3">
            <w:pPr>
              <w:jc w:val="center"/>
              <w:rPr>
                <w:rFonts w:ascii="Arial Narrow" w:hAnsi="Arial Narrow" w:cs="Tahoma"/>
                <w:i/>
                <w:sz w:val="20"/>
              </w:rPr>
            </w:pPr>
            <w:r w:rsidRPr="00CC1ED3">
              <w:rPr>
                <w:rFonts w:ascii="Arial Narrow" w:hAnsi="Arial Narrow" w:cs="Tahoma"/>
                <w:b/>
                <w:sz w:val="20"/>
              </w:rPr>
              <w:t>$redacted</w:t>
            </w:r>
          </w:p>
        </w:tc>
        <w:tc>
          <w:tcPr>
            <w:tcW w:w="625" w:type="pct"/>
          </w:tcPr>
          <w:p w14:paraId="40536816" w14:textId="1B994656" w:rsidR="00166DFD" w:rsidRPr="00CC1ED3" w:rsidRDefault="00166DFD" w:rsidP="00CC1ED3">
            <w:pPr>
              <w:jc w:val="center"/>
              <w:rPr>
                <w:rFonts w:ascii="Arial Narrow" w:hAnsi="Arial Narrow" w:cs="Tahoma"/>
                <w:i/>
                <w:sz w:val="20"/>
              </w:rPr>
            </w:pPr>
            <w:r w:rsidRPr="00CC1ED3">
              <w:rPr>
                <w:rFonts w:ascii="Arial Narrow" w:hAnsi="Arial Narrow" w:cs="Tahoma"/>
                <w:b/>
                <w:sz w:val="20"/>
              </w:rPr>
              <w:t>$redacted</w:t>
            </w:r>
          </w:p>
        </w:tc>
        <w:tc>
          <w:tcPr>
            <w:tcW w:w="625" w:type="pct"/>
          </w:tcPr>
          <w:p w14:paraId="5ACCED15" w14:textId="622C011F" w:rsidR="00166DFD" w:rsidRPr="00CC1ED3" w:rsidRDefault="00166DFD" w:rsidP="00CC1ED3">
            <w:pPr>
              <w:jc w:val="center"/>
              <w:rPr>
                <w:rFonts w:ascii="Arial Narrow" w:hAnsi="Arial Narrow" w:cs="Tahoma"/>
                <w:i/>
                <w:sz w:val="20"/>
              </w:rPr>
            </w:pPr>
            <w:r w:rsidRPr="00CC1ED3">
              <w:rPr>
                <w:rFonts w:ascii="Arial Narrow" w:hAnsi="Arial Narrow" w:cs="Tahoma"/>
                <w:b/>
                <w:sz w:val="20"/>
              </w:rPr>
              <w:t>$redacted</w:t>
            </w:r>
          </w:p>
        </w:tc>
        <w:tc>
          <w:tcPr>
            <w:tcW w:w="625" w:type="pct"/>
          </w:tcPr>
          <w:p w14:paraId="02B01759" w14:textId="4D33DEB9" w:rsidR="00166DFD" w:rsidRPr="00CC1ED3" w:rsidRDefault="00166DFD" w:rsidP="00CC1ED3">
            <w:pPr>
              <w:jc w:val="center"/>
              <w:rPr>
                <w:rFonts w:ascii="Arial Narrow" w:hAnsi="Arial Narrow" w:cs="Tahoma"/>
                <w:i/>
                <w:sz w:val="20"/>
              </w:rPr>
            </w:pPr>
            <w:r w:rsidRPr="00CC1ED3">
              <w:rPr>
                <w:rFonts w:ascii="Arial Narrow" w:hAnsi="Arial Narrow" w:cs="Tahoma"/>
                <w:b/>
                <w:sz w:val="20"/>
              </w:rPr>
              <w:t>$redacted</w:t>
            </w:r>
          </w:p>
        </w:tc>
        <w:tc>
          <w:tcPr>
            <w:tcW w:w="625" w:type="pct"/>
          </w:tcPr>
          <w:p w14:paraId="387C6735" w14:textId="59F43E97" w:rsidR="00166DFD" w:rsidRPr="00CC1ED3" w:rsidRDefault="00166DFD" w:rsidP="00CC1ED3">
            <w:pPr>
              <w:jc w:val="center"/>
              <w:rPr>
                <w:rFonts w:ascii="Arial Narrow" w:hAnsi="Arial Narrow" w:cs="Tahoma"/>
                <w:i/>
                <w:sz w:val="20"/>
              </w:rPr>
            </w:pPr>
            <w:r w:rsidRPr="00CC1ED3">
              <w:rPr>
                <w:rFonts w:ascii="Arial Narrow" w:hAnsi="Arial Narrow" w:cs="Tahoma"/>
                <w:b/>
                <w:sz w:val="20"/>
              </w:rPr>
              <w:t>$redacted</w:t>
            </w:r>
          </w:p>
        </w:tc>
        <w:tc>
          <w:tcPr>
            <w:tcW w:w="625" w:type="pct"/>
          </w:tcPr>
          <w:p w14:paraId="179026BD" w14:textId="0A120977" w:rsidR="00166DFD" w:rsidRPr="00CC1ED3" w:rsidRDefault="00166DFD" w:rsidP="00CC1ED3">
            <w:pPr>
              <w:jc w:val="center"/>
              <w:rPr>
                <w:rFonts w:ascii="Arial Narrow" w:hAnsi="Arial Narrow" w:cs="Tahoma"/>
                <w:i/>
                <w:sz w:val="20"/>
              </w:rPr>
            </w:pPr>
            <w:r w:rsidRPr="00CC1ED3">
              <w:rPr>
                <w:rFonts w:ascii="Arial Narrow" w:hAnsi="Arial Narrow" w:cs="Tahoma"/>
                <w:b/>
                <w:sz w:val="20"/>
              </w:rPr>
              <w:t>$redacted</w:t>
            </w:r>
          </w:p>
        </w:tc>
      </w:tr>
      <w:tr w:rsidR="00096559" w:rsidRPr="005B0F72" w14:paraId="7B5A3EC2" w14:textId="77777777" w:rsidTr="005819C3">
        <w:trPr>
          <w:trHeight w:val="20"/>
        </w:trPr>
        <w:tc>
          <w:tcPr>
            <w:tcW w:w="1251" w:type="pct"/>
          </w:tcPr>
          <w:p w14:paraId="56F66A6D" w14:textId="77777777" w:rsidR="00096559" w:rsidRPr="00166DFD" w:rsidRDefault="00096559" w:rsidP="003915B9">
            <w:pPr>
              <w:rPr>
                <w:rFonts w:ascii="Arial Narrow" w:hAnsi="Arial Narrow" w:cs="Tahoma"/>
                <w:sz w:val="20"/>
              </w:rPr>
            </w:pPr>
            <w:r w:rsidRPr="00166DFD">
              <w:rPr>
                <w:rFonts w:ascii="Arial Narrow" w:hAnsi="Arial Narrow" w:cs="Tahoma"/>
                <w:b/>
                <w:bCs/>
                <w:sz w:val="20"/>
              </w:rPr>
              <w:t>Private hospitals</w:t>
            </w:r>
          </w:p>
        </w:tc>
        <w:tc>
          <w:tcPr>
            <w:tcW w:w="624" w:type="pct"/>
          </w:tcPr>
          <w:p w14:paraId="465DCCEF" w14:textId="77777777" w:rsidR="00096559" w:rsidRPr="00CC1ED3" w:rsidRDefault="00096559" w:rsidP="00CC1ED3">
            <w:pPr>
              <w:jc w:val="center"/>
              <w:rPr>
                <w:rFonts w:ascii="Arial Narrow" w:hAnsi="Arial Narrow" w:cs="Tahoma"/>
                <w:sz w:val="20"/>
              </w:rPr>
            </w:pPr>
          </w:p>
        </w:tc>
        <w:tc>
          <w:tcPr>
            <w:tcW w:w="625" w:type="pct"/>
          </w:tcPr>
          <w:p w14:paraId="178BD7E6" w14:textId="77777777" w:rsidR="00096559" w:rsidRPr="00CC1ED3" w:rsidRDefault="00096559" w:rsidP="00CC1ED3">
            <w:pPr>
              <w:jc w:val="center"/>
              <w:rPr>
                <w:rFonts w:ascii="Arial Narrow" w:hAnsi="Arial Narrow" w:cs="Tahoma"/>
                <w:sz w:val="20"/>
              </w:rPr>
            </w:pPr>
          </w:p>
        </w:tc>
        <w:tc>
          <w:tcPr>
            <w:tcW w:w="625" w:type="pct"/>
          </w:tcPr>
          <w:p w14:paraId="6AE65BAF" w14:textId="77777777" w:rsidR="00096559" w:rsidRPr="00CC1ED3" w:rsidRDefault="00096559" w:rsidP="00CC1ED3">
            <w:pPr>
              <w:jc w:val="center"/>
              <w:rPr>
                <w:rFonts w:ascii="Arial Narrow" w:hAnsi="Arial Narrow" w:cs="Tahoma"/>
                <w:sz w:val="20"/>
              </w:rPr>
            </w:pPr>
          </w:p>
        </w:tc>
        <w:tc>
          <w:tcPr>
            <w:tcW w:w="625" w:type="pct"/>
          </w:tcPr>
          <w:p w14:paraId="22582D34" w14:textId="77777777" w:rsidR="00096559" w:rsidRPr="00CC1ED3" w:rsidRDefault="00096559" w:rsidP="00CC1ED3">
            <w:pPr>
              <w:jc w:val="center"/>
              <w:rPr>
                <w:rFonts w:ascii="Arial Narrow" w:hAnsi="Arial Narrow" w:cs="Tahoma"/>
                <w:sz w:val="20"/>
              </w:rPr>
            </w:pPr>
          </w:p>
        </w:tc>
        <w:tc>
          <w:tcPr>
            <w:tcW w:w="625" w:type="pct"/>
          </w:tcPr>
          <w:p w14:paraId="2BCAFBA2" w14:textId="77777777" w:rsidR="00096559" w:rsidRPr="00CC1ED3" w:rsidRDefault="00096559" w:rsidP="00CC1ED3">
            <w:pPr>
              <w:jc w:val="center"/>
              <w:rPr>
                <w:rFonts w:ascii="Arial Narrow" w:hAnsi="Arial Narrow" w:cs="Tahoma"/>
                <w:sz w:val="20"/>
              </w:rPr>
            </w:pPr>
          </w:p>
        </w:tc>
        <w:tc>
          <w:tcPr>
            <w:tcW w:w="625" w:type="pct"/>
          </w:tcPr>
          <w:p w14:paraId="2524443B" w14:textId="77777777" w:rsidR="00096559" w:rsidRPr="00CC1ED3" w:rsidRDefault="00096559" w:rsidP="00CC1ED3">
            <w:pPr>
              <w:jc w:val="center"/>
              <w:rPr>
                <w:rFonts w:ascii="Arial Narrow" w:hAnsi="Arial Narrow" w:cs="Tahoma"/>
                <w:sz w:val="20"/>
              </w:rPr>
            </w:pPr>
          </w:p>
        </w:tc>
      </w:tr>
      <w:tr w:rsidR="00166DFD" w:rsidRPr="005B0F72" w14:paraId="1CB6204F" w14:textId="77777777" w:rsidTr="005819C3">
        <w:trPr>
          <w:trHeight w:val="20"/>
        </w:trPr>
        <w:tc>
          <w:tcPr>
            <w:tcW w:w="1251" w:type="pct"/>
          </w:tcPr>
          <w:p w14:paraId="50268293" w14:textId="648C1DB0" w:rsidR="00166DFD" w:rsidRPr="00166DFD" w:rsidRDefault="00166DFD" w:rsidP="00A667ED">
            <w:pPr>
              <w:rPr>
                <w:rFonts w:ascii="Arial Narrow" w:hAnsi="Arial Narrow" w:cs="Tahoma"/>
                <w:sz w:val="20"/>
              </w:rPr>
            </w:pPr>
            <w:r w:rsidRPr="00166DFD">
              <w:rPr>
                <w:rFonts w:ascii="Arial Narrow" w:hAnsi="Arial Narrow" w:cs="Tahoma"/>
                <w:sz w:val="20"/>
              </w:rPr>
              <w:t>Net private hospital cos</w:t>
            </w:r>
            <w:r w:rsidR="00A667ED">
              <w:rPr>
                <w:rFonts w:ascii="Arial Narrow" w:hAnsi="Arial Narrow" w:cs="Tahoma"/>
                <w:sz w:val="20"/>
              </w:rPr>
              <w:t>t</w:t>
            </w:r>
            <w:r w:rsidRPr="00166DFD">
              <w:rPr>
                <w:rFonts w:ascii="Arial Narrow" w:hAnsi="Arial Narrow" w:cs="Tahoma"/>
                <w:sz w:val="20"/>
              </w:rPr>
              <w:t xml:space="preserve"> due to listing TAVI-BEV </w:t>
            </w:r>
          </w:p>
        </w:tc>
        <w:tc>
          <w:tcPr>
            <w:tcW w:w="624" w:type="pct"/>
          </w:tcPr>
          <w:p w14:paraId="706C2308" w14:textId="3E16AC02"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7F88DDBE" w14:textId="06D19981"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40AFBB55" w14:textId="31FA95FF"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30B288B7" w14:textId="755930F3"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4C33B058" w14:textId="79B7C7E5"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c>
          <w:tcPr>
            <w:tcW w:w="625" w:type="pct"/>
          </w:tcPr>
          <w:p w14:paraId="7600EDF7" w14:textId="1A7C9281" w:rsidR="00166DFD" w:rsidRPr="00CC1ED3" w:rsidRDefault="00166DFD" w:rsidP="00CC1ED3">
            <w:pPr>
              <w:jc w:val="center"/>
              <w:rPr>
                <w:rFonts w:ascii="Arial Narrow" w:hAnsi="Arial Narrow" w:cs="Tahoma"/>
                <w:sz w:val="20"/>
              </w:rPr>
            </w:pPr>
            <w:r w:rsidRPr="00CC1ED3">
              <w:rPr>
                <w:rFonts w:ascii="Arial Narrow" w:hAnsi="Arial Narrow" w:cs="Tahoma"/>
                <w:b/>
                <w:sz w:val="20"/>
              </w:rPr>
              <w:t>$redacted</w:t>
            </w:r>
          </w:p>
        </w:tc>
      </w:tr>
    </w:tbl>
    <w:p w14:paraId="120228AE" w14:textId="77777777" w:rsidR="00096559" w:rsidRPr="005B0F72" w:rsidRDefault="00096559" w:rsidP="00096559">
      <w:pPr>
        <w:widowControl w:val="0"/>
        <w:snapToGrid w:val="0"/>
        <w:jc w:val="both"/>
        <w:rPr>
          <w:rFonts w:ascii="Arial Narrow" w:hAnsi="Arial Narrow" w:cs="Arial"/>
          <w:sz w:val="18"/>
          <w:szCs w:val="22"/>
          <w:lang w:eastAsia="en-US"/>
        </w:rPr>
      </w:pPr>
      <w:r w:rsidRPr="005B0F72">
        <w:rPr>
          <w:rFonts w:ascii="Arial Narrow" w:hAnsi="Arial Narrow" w:cs="Arial"/>
          <w:sz w:val="18"/>
          <w:szCs w:val="22"/>
          <w:lang w:eastAsia="en-US"/>
        </w:rPr>
        <w:t xml:space="preserve">Abbreviations: ADAR = applicant developed assessment report, MBS = Medical Benefits Scheme; PHI = private health insurance; TAVI-BEV = transcatheter aortic valve implantation - balloon-expandable valves; SAVR = surgical aortic valve replacement </w:t>
      </w:r>
    </w:p>
    <w:p w14:paraId="77DF549A" w14:textId="77777777" w:rsidR="00096559" w:rsidRPr="005B0F72" w:rsidRDefault="00096559" w:rsidP="00096559">
      <w:pPr>
        <w:widowControl w:val="0"/>
        <w:snapToGrid w:val="0"/>
        <w:jc w:val="both"/>
        <w:rPr>
          <w:rFonts w:ascii="Arial Narrow" w:hAnsi="Arial Narrow" w:cs="Arial"/>
          <w:sz w:val="18"/>
          <w:szCs w:val="22"/>
          <w:lang w:eastAsia="en-US"/>
        </w:rPr>
      </w:pPr>
      <w:r w:rsidRPr="005B0F72">
        <w:rPr>
          <w:rFonts w:ascii="Arial Narrow" w:hAnsi="Arial Narrow" w:cs="Arial"/>
          <w:sz w:val="18"/>
          <w:szCs w:val="22"/>
          <w:lang w:eastAsia="en-US"/>
        </w:rPr>
        <w:t xml:space="preserve">Note: The evaluation included </w:t>
      </w:r>
      <w:r w:rsidRPr="005B0F72">
        <w:rPr>
          <w:rFonts w:ascii="Arial Narrow" w:hAnsi="Arial Narrow" w:cstheme="minorHAnsi"/>
          <w:sz w:val="18"/>
          <w:szCs w:val="18"/>
          <w:lang w:eastAsia="en-US"/>
        </w:rPr>
        <w:t>prostheses costs and hospital stay costs for private patients</w:t>
      </w:r>
    </w:p>
    <w:p w14:paraId="4DBD9D64" w14:textId="77777777" w:rsidR="00096559" w:rsidRPr="005B0F72" w:rsidRDefault="00096559" w:rsidP="00096559">
      <w:pPr>
        <w:widowControl w:val="0"/>
        <w:snapToGrid w:val="0"/>
        <w:spacing w:after="240"/>
        <w:jc w:val="both"/>
        <w:rPr>
          <w:rFonts w:ascii="Arial Narrow" w:hAnsi="Arial Narrow" w:cs="Arial"/>
          <w:sz w:val="18"/>
          <w:szCs w:val="22"/>
          <w:lang w:eastAsia="en-US"/>
        </w:rPr>
      </w:pPr>
      <w:r w:rsidRPr="005B0F72">
        <w:rPr>
          <w:rFonts w:ascii="Arial Narrow" w:hAnsi="Arial Narrow" w:cs="Arial"/>
          <w:sz w:val="18"/>
          <w:szCs w:val="22"/>
          <w:lang w:eastAsia="en-US"/>
        </w:rPr>
        <w:t xml:space="preserve">Source: Constructed during evaluation from Table 75, </w:t>
      </w:r>
      <w:r w:rsidRPr="00F06462">
        <w:rPr>
          <w:rFonts w:ascii="Arial Narrow" w:hAnsi="Arial Narrow" w:cs="Arial"/>
          <w:sz w:val="18"/>
          <w:szCs w:val="22"/>
          <w:lang w:eastAsia="en-US"/>
        </w:rPr>
        <w:t xml:space="preserve">Table 83, Table 84, Table 85, Table </w:t>
      </w:r>
      <w:proofErr w:type="gramStart"/>
      <w:r w:rsidRPr="00F06462">
        <w:rPr>
          <w:rFonts w:ascii="Arial Narrow" w:hAnsi="Arial Narrow" w:cs="Arial"/>
          <w:sz w:val="18"/>
          <w:szCs w:val="22"/>
          <w:lang w:eastAsia="en-US"/>
        </w:rPr>
        <w:t>86</w:t>
      </w:r>
      <w:proofErr w:type="gramEnd"/>
      <w:r w:rsidRPr="00F06462">
        <w:rPr>
          <w:rFonts w:ascii="Arial Narrow" w:hAnsi="Arial Narrow" w:cs="Arial"/>
          <w:sz w:val="18"/>
          <w:szCs w:val="22"/>
          <w:lang w:eastAsia="en-US"/>
        </w:rPr>
        <w:t xml:space="preserve"> and Table 87 of the commentary</w:t>
      </w:r>
    </w:p>
    <w:p w14:paraId="7E4BF27F" w14:textId="738D4394" w:rsidR="00096559" w:rsidRPr="005B0F72" w:rsidRDefault="00096559" w:rsidP="00096559">
      <w:r>
        <w:t>The</w:t>
      </w:r>
      <w:r w:rsidRPr="005B0F72">
        <w:t xml:space="preserve"> ADAR estimated that MBS-listing TAVI-BEV for low-risk patients would result in approximately </w:t>
      </w:r>
      <w:r w:rsidR="004E5511" w:rsidRPr="00CC1ED3">
        <w:rPr>
          <w:b/>
        </w:rPr>
        <w:t>$redacted</w:t>
      </w:r>
      <w:r w:rsidRPr="00CC1ED3">
        <w:rPr>
          <w:b/>
        </w:rPr>
        <w:t xml:space="preserve"> </w:t>
      </w:r>
      <w:r w:rsidRPr="00CC1ED3">
        <w:t xml:space="preserve">in </w:t>
      </w:r>
      <w:r w:rsidR="00CC1ED3" w:rsidRPr="00CC1ED3">
        <w:rPr>
          <w:b/>
        </w:rPr>
        <w:t>redacted</w:t>
      </w:r>
      <w:r w:rsidR="00CC1ED3" w:rsidRPr="00CC1ED3">
        <w:t xml:space="preserve"> </w:t>
      </w:r>
      <w:r w:rsidRPr="00CC1ED3">
        <w:t>to the Australian government.</w:t>
      </w:r>
      <w:r w:rsidRPr="00CC1ED3">
        <w:rPr>
          <w:i/>
          <w:iCs/>
        </w:rPr>
        <w:t xml:space="preserve"> </w:t>
      </w:r>
      <w:r w:rsidRPr="00CC1ED3">
        <w:rPr>
          <w:iCs/>
        </w:rPr>
        <w:t xml:space="preserve">Using the ADAR’s proposed prosthesis cost of </w:t>
      </w:r>
      <w:r w:rsidR="004E5511" w:rsidRPr="00CC1ED3">
        <w:rPr>
          <w:b/>
          <w:iCs/>
        </w:rPr>
        <w:t>$redacted</w:t>
      </w:r>
      <w:r w:rsidR="004E5511" w:rsidRPr="00CC1ED3">
        <w:rPr>
          <w:iCs/>
        </w:rPr>
        <w:t xml:space="preserve"> </w:t>
      </w:r>
      <w:r w:rsidRPr="00CC1ED3">
        <w:rPr>
          <w:iCs/>
        </w:rPr>
        <w:t xml:space="preserve">reduced </w:t>
      </w:r>
      <w:r w:rsidR="00CC1ED3" w:rsidRPr="00CC1ED3">
        <w:rPr>
          <w:b/>
        </w:rPr>
        <w:t>redacted</w:t>
      </w:r>
      <w:r w:rsidR="00CC1ED3" w:rsidRPr="00CC1ED3">
        <w:rPr>
          <w:iCs/>
        </w:rPr>
        <w:t xml:space="preserve"> </w:t>
      </w:r>
      <w:r w:rsidRPr="00CC1ED3">
        <w:rPr>
          <w:iCs/>
        </w:rPr>
        <w:t xml:space="preserve">to </w:t>
      </w:r>
      <w:r w:rsidR="004E5511" w:rsidRPr="00CC1ED3">
        <w:rPr>
          <w:b/>
          <w:iCs/>
        </w:rPr>
        <w:t>$redacted</w:t>
      </w:r>
      <w:r w:rsidR="004E5511" w:rsidRPr="00CC1ED3">
        <w:rPr>
          <w:iCs/>
        </w:rPr>
        <w:t xml:space="preserve"> </w:t>
      </w:r>
      <w:r w:rsidRPr="00CC1ED3">
        <w:rPr>
          <w:iCs/>
        </w:rPr>
        <w:t>over the same period (scenario 1</w:t>
      </w:r>
      <w:proofErr w:type="gramStart"/>
      <w:r w:rsidRPr="00CC1ED3">
        <w:rPr>
          <w:iCs/>
        </w:rPr>
        <w:t>).The</w:t>
      </w:r>
      <w:proofErr w:type="gramEnd"/>
      <w:r w:rsidRPr="00CC1ED3">
        <w:rPr>
          <w:iCs/>
        </w:rPr>
        <w:t xml:space="preserve"> cost of listing of TAVI-BEV is uncertain for the following reasons:</w:t>
      </w:r>
    </w:p>
    <w:p w14:paraId="42A2E4ED" w14:textId="77777777" w:rsidR="00096559" w:rsidRPr="005B14F2" w:rsidRDefault="00096559" w:rsidP="00096559">
      <w:pPr>
        <w:pStyle w:val="ListParagraph"/>
        <w:numPr>
          <w:ilvl w:val="0"/>
          <w:numId w:val="37"/>
        </w:numPr>
      </w:pPr>
      <w:r w:rsidRPr="005B0F72">
        <w:rPr>
          <w:iCs/>
        </w:rPr>
        <w:lastRenderedPageBreak/>
        <w:t>The</w:t>
      </w:r>
      <w:r w:rsidRPr="005B0F72">
        <w:t xml:space="preserve"> ADAR considered that all patients currently treated with SAVR would be eligible for treatment with TAVI-BEV if it was available. However, </w:t>
      </w:r>
      <w:r w:rsidRPr="005B0F72">
        <w:rPr>
          <w:iCs/>
        </w:rPr>
        <w:t xml:space="preserve">many SAVR </w:t>
      </w:r>
      <w:r w:rsidRPr="005B0F72">
        <w:t xml:space="preserve">patients have AS due to congenital bicuspid aortic valves (which increases the risk of AS among young adults) and rheumatic fever. As TAVI-BEV devices are only TGA approved for patients with severe native calcific AS, the ADAR has overestimated the number of eligible </w:t>
      </w:r>
      <w:proofErr w:type="gramStart"/>
      <w:r w:rsidRPr="005B0F72">
        <w:t>patients;</w:t>
      </w:r>
      <w:proofErr w:type="gramEnd"/>
    </w:p>
    <w:p w14:paraId="7E353C6C" w14:textId="1D348F99" w:rsidR="00096559" w:rsidRPr="005B14F2" w:rsidRDefault="00096559" w:rsidP="00096559">
      <w:pPr>
        <w:pStyle w:val="ListParagraph"/>
        <w:numPr>
          <w:ilvl w:val="0"/>
          <w:numId w:val="37"/>
        </w:numPr>
      </w:pPr>
      <w:r w:rsidRPr="005B14F2">
        <w:rPr>
          <w:iCs/>
        </w:rPr>
        <w:t>The ADAR assumed that all eligible patients that are currently treated with SAVR would switch to TAVI-BEV if listed. However, many clinicians may be hesitant to use TAVI-BEV in low-risk patients and those under 75 years as the use of TAVI devices in these populations is not recommended by the clinical guidelines due to concerns over TAVI’s long-term durability and paucity of long-term data;</w:t>
      </w:r>
    </w:p>
    <w:p w14:paraId="071EC4A5" w14:textId="4DEA47F3" w:rsidR="00A5571A" w:rsidRPr="00964AB0" w:rsidRDefault="00096559" w:rsidP="00964AB0">
      <w:pPr>
        <w:pStyle w:val="ListParagraph"/>
        <w:numPr>
          <w:ilvl w:val="0"/>
          <w:numId w:val="37"/>
        </w:numPr>
        <w:rPr>
          <w:i/>
        </w:rPr>
      </w:pPr>
      <w:r w:rsidRPr="005B14F2">
        <w:rPr>
          <w:iCs/>
        </w:rPr>
        <w:t>The</w:t>
      </w:r>
      <w:r w:rsidRPr="005B0F72">
        <w:t xml:space="preserve"> ADAR estimated the hospitalisation cost of treatment with TAVI-BEV based on the ratio of hospital stay for patients in PARTNER 3 (TAVI-BEV = 3-days </w:t>
      </w:r>
      <w:r w:rsidRPr="00D506C6">
        <w:rPr>
          <w:i/>
        </w:rPr>
        <w:t>vs</w:t>
      </w:r>
      <w:r w:rsidRPr="005B0F72">
        <w:t xml:space="preserve">. SAVR = 7-days). </w:t>
      </w:r>
      <w:r w:rsidRPr="005B14F2">
        <w:rPr>
          <w:iCs/>
        </w:rPr>
        <w:t xml:space="preserve">As discussed previously, hospital costs are not incurred linearly over the patient’s stay. </w:t>
      </w:r>
      <w:r w:rsidRPr="005B0F72">
        <w:t xml:space="preserve">Sensitivity analyses found that changing </w:t>
      </w:r>
      <w:r w:rsidRPr="005B14F2">
        <w:rPr>
          <w:iCs/>
        </w:rPr>
        <w:t xml:space="preserve">the </w:t>
      </w:r>
      <w:r w:rsidRPr="005B0F72">
        <w:t xml:space="preserve">ratio of the length of hospital-stay between TAVI-BEV and SAVR patients from 0.43 (3 days </w:t>
      </w:r>
      <w:r w:rsidRPr="00D506C6">
        <w:rPr>
          <w:i/>
        </w:rPr>
        <w:t>vs</w:t>
      </w:r>
      <w:r w:rsidRPr="005B0F72">
        <w:t xml:space="preserve">. 7 days) to 0.85 (6 days </w:t>
      </w:r>
      <w:r w:rsidRPr="00D506C6">
        <w:rPr>
          <w:i/>
        </w:rPr>
        <w:t>vs</w:t>
      </w:r>
      <w:r w:rsidRPr="005B0F72">
        <w:t xml:space="preserve">. 7 days) changed the results of the financial estimates from TAVI-BEV being </w:t>
      </w:r>
      <w:r w:rsidR="00A667ED" w:rsidRPr="005C7A43">
        <w:rPr>
          <w:b/>
        </w:rPr>
        <w:t>redacted</w:t>
      </w:r>
      <w:r w:rsidR="00A667ED" w:rsidRPr="005B0F72" w:rsidDel="00A667ED">
        <w:t xml:space="preserve"> </w:t>
      </w:r>
      <w:r w:rsidRPr="005B0F72">
        <w:t>(</w:t>
      </w:r>
      <w:r w:rsidRPr="00CC1ED3">
        <w:t xml:space="preserve">approximately </w:t>
      </w:r>
      <w:r w:rsidR="004E5511" w:rsidRPr="00CC1ED3">
        <w:rPr>
          <w:b/>
        </w:rPr>
        <w:t>$redacted</w:t>
      </w:r>
      <w:r w:rsidRPr="005B0F72">
        <w:t xml:space="preserve">) to TAVI-BEV </w:t>
      </w:r>
      <w:r w:rsidRPr="005C7A43">
        <w:t xml:space="preserve">costing the Australian approximately </w:t>
      </w:r>
      <w:r w:rsidR="005C7A43" w:rsidRPr="005C7A43">
        <w:rPr>
          <w:b/>
        </w:rPr>
        <w:t>$redacted</w:t>
      </w:r>
      <w:r w:rsidR="005C7A43">
        <w:rPr>
          <w:b/>
        </w:rPr>
        <w:t xml:space="preserve"> </w:t>
      </w:r>
      <w:r w:rsidRPr="00CC1ED3">
        <w:t>over the first five years of listing</w:t>
      </w:r>
      <w:r w:rsidRPr="005C7A43">
        <w:t xml:space="preserve">. Assuming no difference in the length of hospital-stay between TAVI-BEV and SAVR resulted in TAVI-BEV costing the Australian government </w:t>
      </w:r>
      <w:r w:rsidR="005C7A43" w:rsidRPr="005C7A43">
        <w:rPr>
          <w:b/>
        </w:rPr>
        <w:t>$redacted</w:t>
      </w:r>
      <w:r w:rsidR="005C7A43" w:rsidRPr="00CC1ED3" w:rsidDel="005C7A43">
        <w:t xml:space="preserve"> </w:t>
      </w:r>
      <w:r w:rsidRPr="005C7A43">
        <w:t>(in the first five years of the listing)</w:t>
      </w:r>
      <w:r w:rsidR="00BC1364" w:rsidRPr="005C7A43">
        <w:rPr>
          <w:i/>
        </w:rPr>
        <w:t>.</w:t>
      </w:r>
      <w:r w:rsidR="00A5571A" w:rsidRPr="00964AB0">
        <w:rPr>
          <w:i/>
        </w:rPr>
        <w:br w:type="page"/>
      </w:r>
    </w:p>
    <w:p w14:paraId="7408DB27" w14:textId="77777777" w:rsidR="006A0D97" w:rsidRPr="00F715D1" w:rsidRDefault="006A0D97" w:rsidP="00F715D1">
      <w:pPr>
        <w:pStyle w:val="Heading1"/>
      </w:pPr>
      <w:r w:rsidRPr="00F715D1">
        <w:lastRenderedPageBreak/>
        <w:t>Key issues from ESC for MSAC</w:t>
      </w:r>
    </w:p>
    <w:tbl>
      <w:tblPr>
        <w:tblStyle w:val="TableGrid3"/>
        <w:tblW w:w="0" w:type="auto"/>
        <w:tblInd w:w="0" w:type="dxa"/>
        <w:tblLook w:val="04A0" w:firstRow="1" w:lastRow="0" w:firstColumn="1" w:lastColumn="0" w:noHBand="0" w:noVBand="1"/>
        <w:tblDescription w:val="Key ESC issues for MSAC consideration"/>
      </w:tblPr>
      <w:tblGrid>
        <w:gridCol w:w="1838"/>
        <w:gridCol w:w="7178"/>
      </w:tblGrid>
      <w:tr w:rsidR="00076524" w:rsidRPr="00076524" w14:paraId="44F2673E" w14:textId="77777777" w:rsidTr="00D80FEF">
        <w:trPr>
          <w:tblHeader/>
        </w:trPr>
        <w:tc>
          <w:tcPr>
            <w:tcW w:w="1838" w:type="dxa"/>
            <w:tcBorders>
              <w:top w:val="single" w:sz="4" w:space="0" w:color="auto"/>
              <w:left w:val="single" w:sz="4" w:space="0" w:color="auto"/>
              <w:bottom w:val="single" w:sz="4" w:space="0" w:color="auto"/>
              <w:right w:val="single" w:sz="4" w:space="0" w:color="auto"/>
            </w:tcBorders>
            <w:hideMark/>
          </w:tcPr>
          <w:p w14:paraId="12CC516B" w14:textId="77777777" w:rsidR="00076524" w:rsidRPr="00076524" w:rsidRDefault="00076524" w:rsidP="00076524">
            <w:pPr>
              <w:spacing w:before="60" w:after="60"/>
              <w:rPr>
                <w:b/>
                <w:bCs/>
                <w:color w:val="000000"/>
                <w:sz w:val="21"/>
                <w:szCs w:val="21"/>
              </w:rPr>
            </w:pPr>
            <w:r w:rsidRPr="00076524">
              <w:rPr>
                <w:b/>
                <w:bCs/>
                <w:color w:val="000000"/>
                <w:sz w:val="21"/>
                <w:szCs w:val="21"/>
              </w:rPr>
              <w:t>ESC key issue</w:t>
            </w:r>
          </w:p>
        </w:tc>
        <w:tc>
          <w:tcPr>
            <w:tcW w:w="7178" w:type="dxa"/>
            <w:tcBorders>
              <w:top w:val="single" w:sz="4" w:space="0" w:color="auto"/>
              <w:left w:val="single" w:sz="4" w:space="0" w:color="auto"/>
              <w:bottom w:val="single" w:sz="4" w:space="0" w:color="auto"/>
              <w:right w:val="single" w:sz="4" w:space="0" w:color="auto"/>
            </w:tcBorders>
            <w:hideMark/>
          </w:tcPr>
          <w:p w14:paraId="435C3F3A" w14:textId="77777777" w:rsidR="00076524" w:rsidRPr="00076524" w:rsidRDefault="00076524" w:rsidP="00076524">
            <w:pPr>
              <w:spacing w:before="60" w:after="60"/>
              <w:rPr>
                <w:b/>
                <w:bCs/>
                <w:color w:val="000000"/>
                <w:sz w:val="21"/>
                <w:szCs w:val="21"/>
              </w:rPr>
            </w:pPr>
            <w:r w:rsidRPr="00076524">
              <w:rPr>
                <w:b/>
                <w:bCs/>
                <w:color w:val="000000"/>
                <w:sz w:val="21"/>
                <w:szCs w:val="21"/>
              </w:rPr>
              <w:t>ESC advice to MSAC</w:t>
            </w:r>
          </w:p>
        </w:tc>
      </w:tr>
      <w:tr w:rsidR="00076524" w:rsidRPr="00076524" w14:paraId="724A871A" w14:textId="77777777" w:rsidTr="008C522C">
        <w:tc>
          <w:tcPr>
            <w:tcW w:w="1838" w:type="dxa"/>
            <w:tcBorders>
              <w:top w:val="single" w:sz="4" w:space="0" w:color="auto"/>
              <w:left w:val="single" w:sz="4" w:space="0" w:color="auto"/>
              <w:bottom w:val="single" w:sz="4" w:space="0" w:color="auto"/>
              <w:right w:val="single" w:sz="4" w:space="0" w:color="auto"/>
            </w:tcBorders>
            <w:hideMark/>
          </w:tcPr>
          <w:p w14:paraId="226F80D4" w14:textId="77777777" w:rsidR="00076524" w:rsidRPr="00076524" w:rsidRDefault="00076524" w:rsidP="00076524">
            <w:pPr>
              <w:spacing w:before="60" w:after="60"/>
              <w:rPr>
                <w:color w:val="000000"/>
                <w:sz w:val="21"/>
                <w:szCs w:val="21"/>
              </w:rPr>
            </w:pPr>
            <w:r w:rsidRPr="00076524">
              <w:rPr>
                <w:color w:val="000000"/>
                <w:sz w:val="21"/>
                <w:szCs w:val="21"/>
              </w:rPr>
              <w:t>Comparative safety</w:t>
            </w:r>
          </w:p>
        </w:tc>
        <w:tc>
          <w:tcPr>
            <w:tcW w:w="7178" w:type="dxa"/>
            <w:tcBorders>
              <w:top w:val="single" w:sz="4" w:space="0" w:color="auto"/>
              <w:left w:val="single" w:sz="4" w:space="0" w:color="auto"/>
              <w:bottom w:val="single" w:sz="4" w:space="0" w:color="auto"/>
              <w:right w:val="single" w:sz="4" w:space="0" w:color="auto"/>
            </w:tcBorders>
            <w:hideMark/>
          </w:tcPr>
          <w:p w14:paraId="2AAE0D8C" w14:textId="77777777" w:rsidR="00076524" w:rsidRPr="00076524" w:rsidRDefault="00076524" w:rsidP="00076524">
            <w:pPr>
              <w:spacing w:before="60" w:after="60"/>
              <w:rPr>
                <w:color w:val="000000"/>
                <w:sz w:val="21"/>
                <w:szCs w:val="21"/>
              </w:rPr>
            </w:pPr>
            <w:r w:rsidRPr="00076524">
              <w:rPr>
                <w:color w:val="000000"/>
                <w:sz w:val="21"/>
                <w:szCs w:val="21"/>
              </w:rPr>
              <w:t>TAVI-BEV is associated with a greater incidence of paravalvular leaks, left bundle-branch block, and uncertain valve durability compared with SAVR. These issues are particularly relevant to younger and low-risk patients, who have longer life expectancy and generally have very good long-term outcomes with SAVR.</w:t>
            </w:r>
          </w:p>
        </w:tc>
      </w:tr>
      <w:tr w:rsidR="00076524" w:rsidRPr="00076524" w14:paraId="5CA905FE" w14:textId="77777777" w:rsidTr="008C522C">
        <w:tc>
          <w:tcPr>
            <w:tcW w:w="1838" w:type="dxa"/>
            <w:tcBorders>
              <w:top w:val="single" w:sz="4" w:space="0" w:color="auto"/>
              <w:left w:val="single" w:sz="4" w:space="0" w:color="auto"/>
              <w:bottom w:val="single" w:sz="4" w:space="0" w:color="auto"/>
              <w:right w:val="single" w:sz="4" w:space="0" w:color="auto"/>
            </w:tcBorders>
            <w:hideMark/>
          </w:tcPr>
          <w:p w14:paraId="302DE915" w14:textId="77777777" w:rsidR="00076524" w:rsidRPr="00076524" w:rsidRDefault="00076524" w:rsidP="00076524">
            <w:pPr>
              <w:spacing w:before="60" w:after="60"/>
              <w:rPr>
                <w:color w:val="000000"/>
                <w:sz w:val="21"/>
                <w:szCs w:val="21"/>
              </w:rPr>
            </w:pPr>
            <w:r w:rsidRPr="00076524">
              <w:rPr>
                <w:color w:val="000000"/>
                <w:sz w:val="21"/>
                <w:szCs w:val="21"/>
              </w:rPr>
              <w:t>Comparative effectiveness</w:t>
            </w:r>
          </w:p>
        </w:tc>
        <w:tc>
          <w:tcPr>
            <w:tcW w:w="7178" w:type="dxa"/>
            <w:tcBorders>
              <w:top w:val="single" w:sz="4" w:space="0" w:color="auto"/>
              <w:left w:val="single" w:sz="4" w:space="0" w:color="auto"/>
              <w:bottom w:val="single" w:sz="4" w:space="0" w:color="auto"/>
              <w:right w:val="single" w:sz="4" w:space="0" w:color="auto"/>
            </w:tcBorders>
            <w:hideMark/>
          </w:tcPr>
          <w:p w14:paraId="6C538F30" w14:textId="77777777" w:rsidR="00076524" w:rsidRPr="00076524" w:rsidRDefault="00076524" w:rsidP="00076524">
            <w:pPr>
              <w:spacing w:before="60" w:after="60"/>
              <w:rPr>
                <w:color w:val="000000"/>
                <w:sz w:val="21"/>
                <w:szCs w:val="21"/>
              </w:rPr>
            </w:pPr>
            <w:r w:rsidRPr="00076524">
              <w:rPr>
                <w:color w:val="000000"/>
                <w:sz w:val="21"/>
                <w:szCs w:val="21"/>
              </w:rPr>
              <w:t xml:space="preserve">Although the primary outcome was statistically significant at 1 year, none of the individual components of the primary outcome (death, stroke [disabling and non-disabling], rehospitalisation) were statistically significantly different at </w:t>
            </w:r>
            <w:proofErr w:type="gramStart"/>
            <w:r w:rsidRPr="00076524">
              <w:rPr>
                <w:color w:val="000000"/>
                <w:sz w:val="21"/>
                <w:szCs w:val="21"/>
              </w:rPr>
              <w:t>1 year</w:t>
            </w:r>
            <w:proofErr w:type="gramEnd"/>
            <w:r w:rsidRPr="00076524">
              <w:rPr>
                <w:color w:val="000000"/>
                <w:sz w:val="21"/>
                <w:szCs w:val="21"/>
              </w:rPr>
              <w:t xml:space="preserve"> follow</w:t>
            </w:r>
            <w:r w:rsidRPr="00076524">
              <w:rPr>
                <w:color w:val="000000"/>
                <w:sz w:val="21"/>
                <w:szCs w:val="21"/>
              </w:rPr>
              <w:noBreakHyphen/>
              <w:t>up. This is an issue of study power rather than clinical significance. The ESC noted that the Kaplan</w:t>
            </w:r>
            <w:r w:rsidRPr="00076524">
              <w:rPr>
                <w:color w:val="000000"/>
                <w:sz w:val="21"/>
                <w:szCs w:val="21"/>
              </w:rPr>
              <w:noBreakHyphen/>
              <w:t xml:space="preserve">Meier plots for the key efficacy outcomes appeared to be </w:t>
            </w:r>
            <w:proofErr w:type="gramStart"/>
            <w:r w:rsidRPr="00076524">
              <w:rPr>
                <w:color w:val="000000"/>
                <w:sz w:val="21"/>
                <w:szCs w:val="21"/>
              </w:rPr>
              <w:t>converging, but</w:t>
            </w:r>
            <w:proofErr w:type="gramEnd"/>
            <w:r w:rsidRPr="00076524">
              <w:rPr>
                <w:color w:val="000000"/>
                <w:sz w:val="21"/>
                <w:szCs w:val="21"/>
              </w:rPr>
              <w:t xml:space="preserve"> based on low event rates as patients are low risk. However, given the reduction in treatment benefit at 2 years, there is insufficient evidence to adequately support superiority of TAVI</w:t>
            </w:r>
            <w:r w:rsidRPr="00076524">
              <w:rPr>
                <w:color w:val="000000"/>
                <w:sz w:val="21"/>
                <w:szCs w:val="21"/>
              </w:rPr>
              <w:noBreakHyphen/>
              <w:t>BEV compared to SAVR beyond 1 year.</w:t>
            </w:r>
          </w:p>
        </w:tc>
      </w:tr>
      <w:tr w:rsidR="00076524" w:rsidRPr="00076524" w14:paraId="44E7C3A7" w14:textId="77777777" w:rsidTr="008C522C">
        <w:tc>
          <w:tcPr>
            <w:tcW w:w="1838" w:type="dxa"/>
            <w:tcBorders>
              <w:top w:val="single" w:sz="4" w:space="0" w:color="auto"/>
              <w:left w:val="single" w:sz="4" w:space="0" w:color="auto"/>
              <w:bottom w:val="single" w:sz="4" w:space="0" w:color="auto"/>
              <w:right w:val="single" w:sz="4" w:space="0" w:color="auto"/>
            </w:tcBorders>
            <w:hideMark/>
          </w:tcPr>
          <w:p w14:paraId="5B57CE4B" w14:textId="77777777" w:rsidR="00076524" w:rsidRPr="00076524" w:rsidRDefault="00076524" w:rsidP="00076524">
            <w:pPr>
              <w:spacing w:before="60" w:after="60"/>
              <w:rPr>
                <w:color w:val="000000"/>
                <w:sz w:val="21"/>
                <w:szCs w:val="21"/>
              </w:rPr>
            </w:pPr>
            <w:r w:rsidRPr="00076524">
              <w:rPr>
                <w:color w:val="000000"/>
                <w:sz w:val="21"/>
                <w:szCs w:val="21"/>
              </w:rPr>
              <w:t xml:space="preserve">Type of TAVI device: BEV </w:t>
            </w:r>
            <w:r w:rsidRPr="00076524">
              <w:rPr>
                <w:i/>
                <w:color w:val="000000"/>
                <w:sz w:val="21"/>
                <w:szCs w:val="21"/>
              </w:rPr>
              <w:t>vs.</w:t>
            </w:r>
            <w:r w:rsidRPr="00076524">
              <w:rPr>
                <w:color w:val="000000"/>
                <w:sz w:val="21"/>
                <w:szCs w:val="21"/>
              </w:rPr>
              <w:t xml:space="preserve"> SEV</w:t>
            </w:r>
          </w:p>
        </w:tc>
        <w:tc>
          <w:tcPr>
            <w:tcW w:w="7178" w:type="dxa"/>
            <w:tcBorders>
              <w:top w:val="single" w:sz="4" w:space="0" w:color="auto"/>
              <w:left w:val="single" w:sz="4" w:space="0" w:color="auto"/>
              <w:bottom w:val="single" w:sz="4" w:space="0" w:color="auto"/>
              <w:right w:val="single" w:sz="4" w:space="0" w:color="auto"/>
            </w:tcBorders>
            <w:hideMark/>
          </w:tcPr>
          <w:p w14:paraId="5291F819" w14:textId="77777777" w:rsidR="00076524" w:rsidRPr="00076524" w:rsidRDefault="00076524" w:rsidP="00076524">
            <w:pPr>
              <w:spacing w:before="60" w:after="60"/>
              <w:rPr>
                <w:color w:val="000000"/>
                <w:sz w:val="21"/>
                <w:szCs w:val="21"/>
              </w:rPr>
            </w:pPr>
            <w:r w:rsidRPr="00076524">
              <w:rPr>
                <w:color w:val="000000"/>
                <w:sz w:val="21"/>
                <w:szCs w:val="21"/>
              </w:rPr>
              <w:t>The applicant developed assessment report (ADAR) stated that comparisons could not be made between TAVI-BEV and TAVI-SEV due to differences in eligibility criteria, reporting of comorbidities and statistical modelling approaches in the trials. Indirect comparison (performed during evaluation) showed no significant differences between TAVI-BEV and TAVI-SEV in terms of key efficacy outcomes, death, disabling stroke or all stroke (disabling and non-disabling) at 30 days and 1 year. Compared with TAVI-BEV, patients receiving TAVI-SEV had higher rates of new permanent pacemaker implantation.</w:t>
            </w:r>
          </w:p>
        </w:tc>
      </w:tr>
      <w:tr w:rsidR="00076524" w:rsidRPr="00076524" w14:paraId="4BF662E7" w14:textId="77777777" w:rsidTr="008C522C">
        <w:tc>
          <w:tcPr>
            <w:tcW w:w="1838" w:type="dxa"/>
            <w:tcBorders>
              <w:top w:val="single" w:sz="4" w:space="0" w:color="auto"/>
              <w:left w:val="single" w:sz="4" w:space="0" w:color="auto"/>
              <w:bottom w:val="single" w:sz="4" w:space="0" w:color="auto"/>
              <w:right w:val="single" w:sz="4" w:space="0" w:color="auto"/>
            </w:tcBorders>
            <w:hideMark/>
          </w:tcPr>
          <w:p w14:paraId="0A49BF14" w14:textId="77777777" w:rsidR="00076524" w:rsidRPr="00076524" w:rsidRDefault="00076524" w:rsidP="00076524">
            <w:pPr>
              <w:spacing w:before="60" w:after="60"/>
              <w:rPr>
                <w:color w:val="000000"/>
                <w:sz w:val="21"/>
                <w:szCs w:val="21"/>
              </w:rPr>
            </w:pPr>
            <w:r w:rsidRPr="00076524">
              <w:rPr>
                <w:color w:val="000000"/>
                <w:sz w:val="21"/>
                <w:szCs w:val="21"/>
              </w:rPr>
              <w:t xml:space="preserve">Long term outcomes in low risk patients </w:t>
            </w:r>
          </w:p>
        </w:tc>
        <w:tc>
          <w:tcPr>
            <w:tcW w:w="7178" w:type="dxa"/>
            <w:tcBorders>
              <w:top w:val="single" w:sz="4" w:space="0" w:color="auto"/>
              <w:left w:val="single" w:sz="4" w:space="0" w:color="auto"/>
              <w:bottom w:val="single" w:sz="4" w:space="0" w:color="auto"/>
              <w:right w:val="single" w:sz="4" w:space="0" w:color="auto"/>
            </w:tcBorders>
            <w:hideMark/>
          </w:tcPr>
          <w:p w14:paraId="4A341AD6" w14:textId="77777777" w:rsidR="00076524" w:rsidRPr="00076524" w:rsidRDefault="00076524" w:rsidP="00076524">
            <w:pPr>
              <w:spacing w:before="60" w:after="60"/>
              <w:rPr>
                <w:color w:val="000000"/>
                <w:sz w:val="21"/>
                <w:szCs w:val="21"/>
              </w:rPr>
            </w:pPr>
            <w:r w:rsidRPr="00076524">
              <w:rPr>
                <w:color w:val="000000"/>
                <w:sz w:val="21"/>
                <w:szCs w:val="21"/>
              </w:rPr>
              <w:t xml:space="preserve">MSAC may wish to consider whether an age threshold would be appropriate for the low surgical risk patients. ESC noted the European Society of Cardiology and the European Association for Cardio-Thoracic Surgery Guidelines for Valvular Heart Disease considered that SAVR is generally preferred over TAVI in patients under 75 years old. This is because the long-term durability of TAVI devices is unknown, with only preliminary data showing TAVI devices may last at least 5 years without any signs of early degeneration. ESC also noted that there currently are insufficient long-term data about the need for aortic reinterventions and other long-term complications. ESC considered that this may be particularly relevant for younger and low risk patients who have longer life expectancy and very good </w:t>
            </w:r>
            <w:proofErr w:type="gramStart"/>
            <w:r w:rsidRPr="00076524">
              <w:rPr>
                <w:color w:val="000000"/>
                <w:sz w:val="21"/>
                <w:szCs w:val="21"/>
              </w:rPr>
              <w:t>long term</w:t>
            </w:r>
            <w:proofErr w:type="gramEnd"/>
            <w:r w:rsidRPr="00076524">
              <w:rPr>
                <w:color w:val="000000"/>
                <w:sz w:val="21"/>
                <w:szCs w:val="21"/>
              </w:rPr>
              <w:t xml:space="preserve"> outcomes with SAVR.</w:t>
            </w:r>
          </w:p>
        </w:tc>
      </w:tr>
      <w:tr w:rsidR="00076524" w:rsidRPr="00076524" w14:paraId="5312B5E8" w14:textId="77777777" w:rsidTr="008C522C">
        <w:tc>
          <w:tcPr>
            <w:tcW w:w="1838" w:type="dxa"/>
            <w:tcBorders>
              <w:top w:val="single" w:sz="4" w:space="0" w:color="auto"/>
              <w:left w:val="single" w:sz="4" w:space="0" w:color="auto"/>
              <w:bottom w:val="single" w:sz="4" w:space="0" w:color="auto"/>
              <w:right w:val="single" w:sz="4" w:space="0" w:color="auto"/>
            </w:tcBorders>
            <w:hideMark/>
          </w:tcPr>
          <w:p w14:paraId="463D059E" w14:textId="77777777" w:rsidR="00076524" w:rsidRPr="00076524" w:rsidRDefault="00076524" w:rsidP="00076524">
            <w:pPr>
              <w:spacing w:before="60" w:after="60"/>
              <w:rPr>
                <w:color w:val="000000"/>
                <w:sz w:val="21"/>
                <w:szCs w:val="21"/>
              </w:rPr>
            </w:pPr>
            <w:r w:rsidRPr="00076524">
              <w:rPr>
                <w:color w:val="000000"/>
                <w:sz w:val="21"/>
                <w:szCs w:val="21"/>
              </w:rPr>
              <w:t>Dominance of TAVI-BEV</w:t>
            </w:r>
          </w:p>
        </w:tc>
        <w:tc>
          <w:tcPr>
            <w:tcW w:w="7178" w:type="dxa"/>
            <w:tcBorders>
              <w:top w:val="single" w:sz="4" w:space="0" w:color="auto"/>
              <w:left w:val="single" w:sz="4" w:space="0" w:color="auto"/>
              <w:bottom w:val="single" w:sz="4" w:space="0" w:color="auto"/>
              <w:right w:val="single" w:sz="4" w:space="0" w:color="auto"/>
            </w:tcBorders>
            <w:hideMark/>
          </w:tcPr>
          <w:p w14:paraId="2E0D661A" w14:textId="52DB9C61" w:rsidR="00076524" w:rsidRPr="00076524" w:rsidRDefault="00076524" w:rsidP="00A667ED">
            <w:pPr>
              <w:spacing w:before="60" w:after="60"/>
              <w:rPr>
                <w:color w:val="000000"/>
                <w:sz w:val="21"/>
                <w:szCs w:val="21"/>
              </w:rPr>
            </w:pPr>
            <w:r w:rsidRPr="00076524">
              <w:rPr>
                <w:color w:val="000000"/>
                <w:sz w:val="21"/>
                <w:szCs w:val="21"/>
              </w:rPr>
              <w:t xml:space="preserve">The revised base case confirms TAVI-BEV to be a dominant strategy over SAVR in patients at low surgical risk. Recommending TAVI-BEV for listing could result in net </w:t>
            </w:r>
            <w:r w:rsidR="00A667ED" w:rsidRPr="00637CE9">
              <w:rPr>
                <w:b/>
                <w:color w:val="000000"/>
                <w:sz w:val="21"/>
                <w:szCs w:val="21"/>
              </w:rPr>
              <w:t>redacted</w:t>
            </w:r>
            <w:r w:rsidR="00A667ED">
              <w:rPr>
                <w:color w:val="000000"/>
                <w:sz w:val="21"/>
                <w:szCs w:val="21"/>
              </w:rPr>
              <w:t xml:space="preserve"> </w:t>
            </w:r>
            <w:r w:rsidRPr="00076524">
              <w:rPr>
                <w:color w:val="000000"/>
                <w:sz w:val="21"/>
                <w:szCs w:val="21"/>
              </w:rPr>
              <w:t xml:space="preserve">to the healthcare system. Sensitivity analysis showed the results are robust, but the hospital costs of TAVI </w:t>
            </w:r>
            <w:r w:rsidRPr="00076524">
              <w:rPr>
                <w:i/>
                <w:color w:val="000000"/>
                <w:sz w:val="21"/>
                <w:szCs w:val="21"/>
              </w:rPr>
              <w:t>vs.</w:t>
            </w:r>
            <w:r w:rsidRPr="00076524">
              <w:rPr>
                <w:color w:val="000000"/>
                <w:sz w:val="21"/>
                <w:szCs w:val="21"/>
              </w:rPr>
              <w:t xml:space="preserve"> SAVR are a source of uncertainty.</w:t>
            </w:r>
          </w:p>
        </w:tc>
      </w:tr>
      <w:tr w:rsidR="00076524" w:rsidRPr="00076524" w14:paraId="401586C3" w14:textId="77777777" w:rsidTr="008C522C">
        <w:tc>
          <w:tcPr>
            <w:tcW w:w="1838" w:type="dxa"/>
            <w:tcBorders>
              <w:top w:val="single" w:sz="4" w:space="0" w:color="auto"/>
              <w:left w:val="single" w:sz="4" w:space="0" w:color="auto"/>
              <w:bottom w:val="single" w:sz="4" w:space="0" w:color="auto"/>
              <w:right w:val="single" w:sz="4" w:space="0" w:color="auto"/>
            </w:tcBorders>
            <w:hideMark/>
          </w:tcPr>
          <w:p w14:paraId="0FD9638B" w14:textId="77777777" w:rsidR="00076524" w:rsidRPr="00076524" w:rsidRDefault="00076524" w:rsidP="00076524">
            <w:pPr>
              <w:spacing w:before="60" w:after="60"/>
              <w:rPr>
                <w:color w:val="000000"/>
                <w:sz w:val="21"/>
                <w:szCs w:val="21"/>
              </w:rPr>
            </w:pPr>
            <w:r w:rsidRPr="00076524">
              <w:rPr>
                <w:color w:val="000000"/>
                <w:sz w:val="21"/>
                <w:szCs w:val="21"/>
              </w:rPr>
              <w:t>MBS item number</w:t>
            </w:r>
          </w:p>
        </w:tc>
        <w:tc>
          <w:tcPr>
            <w:tcW w:w="7178" w:type="dxa"/>
            <w:tcBorders>
              <w:top w:val="single" w:sz="4" w:space="0" w:color="auto"/>
              <w:left w:val="single" w:sz="4" w:space="0" w:color="auto"/>
              <w:bottom w:val="single" w:sz="4" w:space="0" w:color="auto"/>
              <w:right w:val="single" w:sz="4" w:space="0" w:color="auto"/>
            </w:tcBorders>
            <w:hideMark/>
          </w:tcPr>
          <w:p w14:paraId="21CC924E" w14:textId="77777777" w:rsidR="00076524" w:rsidRPr="00076524" w:rsidRDefault="00076524" w:rsidP="00076524">
            <w:pPr>
              <w:spacing w:before="60" w:after="60"/>
              <w:rPr>
                <w:color w:val="000000"/>
                <w:sz w:val="21"/>
                <w:szCs w:val="21"/>
              </w:rPr>
            </w:pPr>
            <w:r w:rsidRPr="00076524">
              <w:rPr>
                <w:color w:val="000000"/>
                <w:sz w:val="21"/>
                <w:szCs w:val="21"/>
              </w:rPr>
              <w:t>MSAC may wish to consider whether the evidence presented is sufficient to support a device specific MBS listing. The indirect comparison conducted by the evaluation showed that there were no significant differences between TAVI-BEV and TAVI-SEV in terms of key efficacy outcomes, however TAVI-SEV had higher rates of new permanent pacemaker implantation. ESC considered that the indirect comparison did not show difference that strongly justified a device specific approach. ESC also noted that the TAVI accreditation committee support a device agnostic approach for all surgical risk levels.</w:t>
            </w:r>
          </w:p>
        </w:tc>
      </w:tr>
    </w:tbl>
    <w:p w14:paraId="14DFCB2C" w14:textId="77777777" w:rsidR="006A0D97" w:rsidRDefault="00076524" w:rsidP="00F715D1">
      <w:pPr>
        <w:spacing w:after="240"/>
        <w:rPr>
          <w:b/>
        </w:rPr>
      </w:pPr>
      <w:r>
        <w:rPr>
          <w:b/>
        </w:rPr>
        <w:br/>
      </w:r>
      <w:r w:rsidR="00F56D7F" w:rsidRPr="00F56D7F">
        <w:rPr>
          <w:b/>
        </w:rPr>
        <w:t>ESC discussion</w:t>
      </w:r>
    </w:p>
    <w:p w14:paraId="688212C6" w14:textId="0EEAD313" w:rsidR="00076524" w:rsidRPr="00076524" w:rsidRDefault="00076524" w:rsidP="0085555A">
      <w:pPr>
        <w:keepNext/>
        <w:spacing w:before="240" w:after="240"/>
      </w:pPr>
      <w:r w:rsidRPr="00076524">
        <w:t xml:space="preserve">ESC noted that </w:t>
      </w:r>
      <w:r w:rsidRPr="00076524">
        <w:rPr>
          <w:szCs w:val="24"/>
        </w:rPr>
        <w:t>transcatheter aortic valve implantation (</w:t>
      </w:r>
      <w:r w:rsidRPr="00076524">
        <w:t xml:space="preserve">TAVI) is currently Medicare Benefits Schedule– (MBS) listed as a TAVI device agnostic item (either balloon expandable valve [BEV] or self-expandable valve [SEV] for high-risk/inoperable surgical patients with symptomatic severe aortic stenosis (AS) under item 38495. ESC noted that in the recent assessment of TAVI-BEV for intermediate risk for surgery, “consistent with the current MBS </w:t>
      </w:r>
      <w:r w:rsidRPr="00076524">
        <w:lastRenderedPageBreak/>
        <w:t>item for TAVI (item 38495), MSAC supported an MBS item agnostic of the type of TAVI device, noting that this advice would be re-assessed at the March 2021 MSAC meeting..” (</w:t>
      </w:r>
      <w:hyperlink r:id="rId34" w:history="1">
        <w:r w:rsidRPr="00076524">
          <w:rPr>
            <w:color w:val="0000FF"/>
            <w:u w:val="single"/>
          </w:rPr>
          <w:t>Public Summary Document [PSD] Application No. 1603, p1</w:t>
        </w:r>
      </w:hyperlink>
      <w:r w:rsidRPr="00076524">
        <w:t xml:space="preserve">]. </w:t>
      </w:r>
      <w:r w:rsidRPr="00076524">
        <w:rPr>
          <w:color w:val="000000"/>
        </w:rPr>
        <w:t xml:space="preserve">ESC noted that </w:t>
      </w:r>
      <w:r w:rsidRPr="00076524">
        <w:t>this device specific application for TAVI-BEV is seeking to expand MBS listing to include low-risk surgical patients.</w:t>
      </w:r>
    </w:p>
    <w:p w14:paraId="6117342F" w14:textId="77777777" w:rsidR="00076524" w:rsidRPr="00076524" w:rsidRDefault="00076524" w:rsidP="0085555A">
      <w:pPr>
        <w:keepNext/>
        <w:spacing w:before="240" w:after="240"/>
        <w:rPr>
          <w:color w:val="000000"/>
        </w:rPr>
      </w:pPr>
      <w:r w:rsidRPr="00076524">
        <w:rPr>
          <w:color w:val="000000"/>
        </w:rPr>
        <w:t>ESC noted the applicant developed assessment report (ADAR) appropriately nominated surgical aortic valve replacement (SAVR) as the main comparator and TAVI self-expandable valves (TAVI-SEV) as the secondary comparator.</w:t>
      </w:r>
    </w:p>
    <w:p w14:paraId="5239CB63" w14:textId="77777777" w:rsidR="00076524" w:rsidRPr="00076524" w:rsidRDefault="00076524" w:rsidP="0085555A">
      <w:pPr>
        <w:spacing w:before="240" w:after="240"/>
        <w:rPr>
          <w:color w:val="000000"/>
        </w:rPr>
      </w:pPr>
      <w:r w:rsidRPr="00076524">
        <w:rPr>
          <w:color w:val="000000"/>
        </w:rPr>
        <w:t xml:space="preserve">ESC noted that consultation feedback was received from consumer organisation Hearts4Heart in relation to another TAVI application considered at the meeting. ESC considered the consumer issues raised were applicable to the current application. ESC noted the consumer organisation feedback emphasised the benefit of patients being able to leave hospital earlier and faster recovery from TAVI, compared with the months of recovery following SAVR. Consumers also discussed the value and safety of TAVI for younger patients. The consultation feedback also noted that only sicker patients can access </w:t>
      </w:r>
      <w:proofErr w:type="gramStart"/>
      <w:r w:rsidRPr="00076524">
        <w:rPr>
          <w:color w:val="000000"/>
        </w:rPr>
        <w:t>TAVI, when</w:t>
      </w:r>
      <w:proofErr w:type="gramEnd"/>
      <w:r w:rsidRPr="00076524">
        <w:rPr>
          <w:color w:val="000000"/>
        </w:rPr>
        <w:t xml:space="preserve"> there are no such barriers for SAVR. ESC queried whether patient support tools are available to support patients’ making informed decisions about TAVI and SAVR. Other consumer issues highlighted by ESC included that only one type of TAVI device (TAVI-BEV) was being evaluated for MBS funding, which may affect patients’ choice. ESC also noted policy advice that the TAVI Accreditation Committee support a device-agnostic approach for all surgical risk levels.</w:t>
      </w:r>
    </w:p>
    <w:p w14:paraId="0E3C666A" w14:textId="77777777" w:rsidR="00076524" w:rsidRPr="00076524" w:rsidRDefault="00076524" w:rsidP="00076524">
      <w:pPr>
        <w:spacing w:after="240"/>
        <w:rPr>
          <w:color w:val="000000"/>
        </w:rPr>
      </w:pPr>
      <w:r w:rsidRPr="00076524">
        <w:rPr>
          <w:color w:val="000000"/>
        </w:rPr>
        <w:t xml:space="preserve">ESC noted there was a direct randomised controlled trial (RCT) assessing TAVI-BEV </w:t>
      </w:r>
      <w:r w:rsidRPr="00076524">
        <w:rPr>
          <w:i/>
          <w:color w:val="000000"/>
        </w:rPr>
        <w:t>vs.</w:t>
      </w:r>
      <w:r w:rsidRPr="00076524">
        <w:rPr>
          <w:color w:val="000000"/>
        </w:rPr>
        <w:t xml:space="preserve"> SAVR (PARTNER 3 trial) and the ADAR also included a direct RCT assessing TAVI-SEV </w:t>
      </w:r>
      <w:r w:rsidRPr="00076524">
        <w:rPr>
          <w:i/>
          <w:color w:val="000000"/>
        </w:rPr>
        <w:t>vs.</w:t>
      </w:r>
      <w:r w:rsidRPr="00076524">
        <w:rPr>
          <w:color w:val="000000"/>
        </w:rPr>
        <w:t xml:space="preserve"> SAVR (EVOLUT trial). Both trials were assessed low to moderate risk of bias. ESC noted the commentary included a conference presentation providing </w:t>
      </w:r>
      <w:proofErr w:type="gramStart"/>
      <w:r w:rsidRPr="00076524">
        <w:rPr>
          <w:color w:val="000000"/>
        </w:rPr>
        <w:t>2 year</w:t>
      </w:r>
      <w:proofErr w:type="gramEnd"/>
      <w:r w:rsidRPr="00076524">
        <w:rPr>
          <w:color w:val="000000"/>
        </w:rPr>
        <w:t xml:space="preserve"> follow-up from PARTNER 3. ESC noted that the pre-ESC response provided </w:t>
      </w:r>
      <w:proofErr w:type="gramStart"/>
      <w:r w:rsidRPr="00076524">
        <w:rPr>
          <w:color w:val="000000"/>
        </w:rPr>
        <w:t>3 year</w:t>
      </w:r>
      <w:proofErr w:type="gramEnd"/>
      <w:r w:rsidRPr="00076524">
        <w:rPr>
          <w:color w:val="000000"/>
        </w:rPr>
        <w:t xml:space="preserve"> follow-up from PARTNER 3.</w:t>
      </w:r>
    </w:p>
    <w:p w14:paraId="3E31B4FE" w14:textId="77777777" w:rsidR="00076524" w:rsidRPr="00076524" w:rsidRDefault="00076524" w:rsidP="00076524">
      <w:pPr>
        <w:spacing w:after="240"/>
        <w:rPr>
          <w:color w:val="000000"/>
        </w:rPr>
      </w:pPr>
      <w:r w:rsidRPr="00076524">
        <w:rPr>
          <w:color w:val="000000"/>
        </w:rPr>
        <w:t>ESC noted the ADAR claimed that TAVI-BEV is superior to SAVR in terms of safety (life</w:t>
      </w:r>
      <w:r w:rsidRPr="00076524">
        <w:rPr>
          <w:color w:val="000000"/>
        </w:rPr>
        <w:noBreakHyphen/>
        <w:t>threatening or disabling bleeding, new onset atrial fibrillation) and effectiveness (death, stroke or rehospitalisation [primary outcome] and death or stroke [secondary outcome]) up to one year for patients with symptomatic severe aortic stenosis at low risk of surgery.</w:t>
      </w:r>
    </w:p>
    <w:p w14:paraId="13F94EDD" w14:textId="77777777" w:rsidR="00076524" w:rsidRPr="00076524" w:rsidRDefault="00076524" w:rsidP="00076524">
      <w:pPr>
        <w:spacing w:after="240"/>
        <w:rPr>
          <w:color w:val="000000"/>
        </w:rPr>
      </w:pPr>
      <w:r w:rsidRPr="00076524">
        <w:rPr>
          <w:color w:val="000000"/>
        </w:rPr>
        <w:t xml:space="preserve">ESC considered the data on comparative safety. TAVI-BEV had significantly lower rates of life-threatening or disabling bleeding and new-onset atrial fibrillation. However, TAVI-BEV was associated with a greater incidence of paravalvular leaks, left bundle-branch block and uncertain valve durability compared with SAVR. ESC noted the lack of </w:t>
      </w:r>
      <w:proofErr w:type="gramStart"/>
      <w:r w:rsidRPr="00076524">
        <w:rPr>
          <w:color w:val="000000"/>
        </w:rPr>
        <w:t>longer term</w:t>
      </w:r>
      <w:proofErr w:type="gramEnd"/>
      <w:r w:rsidRPr="00076524">
        <w:rPr>
          <w:color w:val="000000"/>
        </w:rPr>
        <w:t xml:space="preserve"> data on reintervention rates after failed TAVI. These issues are particularly relevant to younger and low-risk patients, who have longer life expectancy and generally have very good long-term outcomes with SAVR.</w:t>
      </w:r>
    </w:p>
    <w:p w14:paraId="5E533EEA" w14:textId="77777777" w:rsidR="00076524" w:rsidRPr="00076524" w:rsidRDefault="00076524" w:rsidP="00076524">
      <w:pPr>
        <w:spacing w:after="240"/>
        <w:rPr>
          <w:color w:val="000000"/>
        </w:rPr>
      </w:pPr>
      <w:r w:rsidRPr="00076524">
        <w:rPr>
          <w:color w:val="000000"/>
        </w:rPr>
        <w:t xml:space="preserve">For comparative effectiveness, ESC noted that the PARTNER 3 was not sufficiently powered to detect differences in treatment effect in terms of death or stroke as separate outcomes because it was powered for the composite outcome of death, </w:t>
      </w:r>
      <w:proofErr w:type="gramStart"/>
      <w:r w:rsidRPr="00076524">
        <w:rPr>
          <w:color w:val="000000"/>
        </w:rPr>
        <w:t>stroke</w:t>
      </w:r>
      <w:proofErr w:type="gramEnd"/>
      <w:r w:rsidRPr="00076524">
        <w:rPr>
          <w:color w:val="000000"/>
        </w:rPr>
        <w:t xml:space="preserve"> or rehospitalisation. In particular, the Kaplan–Meier curves for death, and death or disabling stroke, began to converge at 2 years. ESC noted that there were few deaths in the trial. Of the seven deaths that occurred in the TAVI group, one was attributed to sudden cardiac death, one was unknown and five were unrelated to aortic valve replacement. ESC considered that the claim of superiority for key efficacy outcomes was uncertain beyond 1 year, albeit low event rates as patients are low risk.</w:t>
      </w:r>
    </w:p>
    <w:p w14:paraId="3AA16D8D" w14:textId="77777777" w:rsidR="00076524" w:rsidRPr="00076524" w:rsidRDefault="00076524" w:rsidP="00076524">
      <w:pPr>
        <w:spacing w:after="240"/>
        <w:rPr>
          <w:color w:val="000000"/>
        </w:rPr>
      </w:pPr>
      <w:r w:rsidRPr="00076524">
        <w:rPr>
          <w:color w:val="000000"/>
        </w:rPr>
        <w:lastRenderedPageBreak/>
        <w:t xml:space="preserve">ESC noted the ADAR claimed that TAVI-BEV and TAVI-SEV could not be compared due to differences in eligibility criteria, reporting of comorbidities and statistical modelling approaches. This was also reiterated in the pre-ESC response. ESC noted that it may not be consistent to accept the claim that TAVI-BEV is superior to SAVR (based on the composite outcome of death, stroke and rehospitalisation in PARTNER 3) and also accept that TAVI-SEV is non-inferior to SAVR (based on the composite outcome of death and disabling stroke in EVOLUT). ESC also noted the ADAR made </w:t>
      </w:r>
      <w:r w:rsidRPr="00076524">
        <w:t>no clinical claim between TAVI-BEV and TAVI-SEV.</w:t>
      </w:r>
    </w:p>
    <w:p w14:paraId="5DF48C31" w14:textId="77777777" w:rsidR="00076524" w:rsidRPr="00076524" w:rsidRDefault="00076524" w:rsidP="00076524">
      <w:pPr>
        <w:spacing w:after="240"/>
        <w:rPr>
          <w:color w:val="000000"/>
        </w:rPr>
      </w:pPr>
      <w:r w:rsidRPr="00076524">
        <w:rPr>
          <w:color w:val="000000"/>
        </w:rPr>
        <w:t xml:space="preserve">However, ESC noted the commentary considered the trials (PARTNER 3 and EVOLUT) were exchangeable. ESC noted the results from indirect comparison that outcomes at 30 days and </w:t>
      </w:r>
      <w:proofErr w:type="gramStart"/>
      <w:r w:rsidRPr="00076524">
        <w:rPr>
          <w:color w:val="000000"/>
        </w:rPr>
        <w:t>1 year</w:t>
      </w:r>
      <w:proofErr w:type="gramEnd"/>
      <w:r w:rsidRPr="00076524">
        <w:rPr>
          <w:color w:val="000000"/>
        </w:rPr>
        <w:t xml:space="preserve"> post-procedure were similar, except for new permanent pacemaker insertion, which was significantly lower for TAVI-BEV and was maintained at 1 year. ESC noted there was no longer-term data to compare outcomes for TAVI-BEV </w:t>
      </w:r>
      <w:r w:rsidRPr="00076524">
        <w:rPr>
          <w:i/>
          <w:color w:val="000000"/>
        </w:rPr>
        <w:t>vs.</w:t>
      </w:r>
      <w:r w:rsidRPr="00076524">
        <w:rPr>
          <w:color w:val="000000"/>
        </w:rPr>
        <w:t xml:space="preserve"> TAVI-SEV.</w:t>
      </w:r>
    </w:p>
    <w:p w14:paraId="09B32911" w14:textId="77777777" w:rsidR="00076524" w:rsidRPr="00076524" w:rsidRDefault="00076524" w:rsidP="00076524">
      <w:pPr>
        <w:spacing w:after="240"/>
        <w:rPr>
          <w:color w:val="000000"/>
        </w:rPr>
      </w:pPr>
      <w:r w:rsidRPr="00076524">
        <w:rPr>
          <w:color w:val="000000"/>
        </w:rPr>
        <w:t>Overall, ESC considered that the results from the indirect comparison did not show differences between TAVI-BEV and TAVI-SEV that strongly justified a device-specific approach.</w:t>
      </w:r>
    </w:p>
    <w:p w14:paraId="393B2EEB" w14:textId="77777777" w:rsidR="00076524" w:rsidRPr="00076524" w:rsidRDefault="00076524" w:rsidP="00076524">
      <w:pPr>
        <w:spacing w:after="240"/>
        <w:rPr>
          <w:color w:val="000000"/>
        </w:rPr>
      </w:pPr>
      <w:r w:rsidRPr="00076524">
        <w:rPr>
          <w:color w:val="000000"/>
        </w:rPr>
        <w:t xml:space="preserve">ESC recalled that due to the precedent for similar clinical performance </w:t>
      </w:r>
      <w:r w:rsidRPr="00076524">
        <w:t>in high risk populations</w:t>
      </w:r>
      <w:r w:rsidRPr="00076524">
        <w:rPr>
          <w:color w:val="000000"/>
        </w:rPr>
        <w:t>, MSAC had previously considered that a higher prosthesis benefit to one TAVI device over the other was not justified in its consideration of application 1603 (</w:t>
      </w:r>
      <w:hyperlink r:id="rId35" w:history="1">
        <w:r w:rsidRPr="00076524">
          <w:rPr>
            <w:color w:val="0000FF"/>
            <w:u w:val="single"/>
          </w:rPr>
          <w:t>PSD Application No. 1603</w:t>
        </w:r>
      </w:hyperlink>
      <w:r w:rsidRPr="00076524">
        <w:rPr>
          <w:color w:val="0000FF"/>
          <w:u w:val="single"/>
        </w:rPr>
        <w:t>, p4</w:t>
      </w:r>
      <w:r w:rsidRPr="00076524">
        <w:rPr>
          <w:color w:val="000000"/>
        </w:rPr>
        <w:t>).</w:t>
      </w:r>
    </w:p>
    <w:p w14:paraId="2E83BAA0" w14:textId="0431D035" w:rsidR="00076524" w:rsidRPr="00076524" w:rsidRDefault="00076524" w:rsidP="00076524">
      <w:pPr>
        <w:spacing w:after="240"/>
        <w:rPr>
          <w:color w:val="000000"/>
        </w:rPr>
      </w:pPr>
      <w:r w:rsidRPr="00076524">
        <w:rPr>
          <w:color w:val="000000"/>
        </w:rPr>
        <w:t>ESC noted that 2017 guidelines from the European Society of Cardiology and the European Association for Cardio-Thoracic Surgery</w:t>
      </w:r>
      <w:r w:rsidRPr="00076524">
        <w:rPr>
          <w:color w:val="000000"/>
          <w:vertAlign w:val="superscript"/>
        </w:rPr>
        <w:footnoteReference w:id="34"/>
      </w:r>
      <w:r w:rsidRPr="00076524">
        <w:rPr>
          <w:color w:val="000000"/>
        </w:rPr>
        <w:t xml:space="preserve"> emphasise that data on TAVI are very limited for patients under 75 years of age and for surgical low risk patients, and that SAVR is preferred for these patients. ESC was concerned that people under 75 years of age could be eligible for this MBS item. ESC advised that MSAC may wish to consider an age threshold for the low surgical risk patients, as there currently is insufficient long-term data about the durability of TAVI-BEV, the need for aortic valve reinterventions and other long-term complications. In addition, ESC noted the potential for leakage to asymptomatic patients, including younger patients, who may opt for TAVI in place of optimal medical therapy.</w:t>
      </w:r>
    </w:p>
    <w:p w14:paraId="0E9B4A05" w14:textId="77777777" w:rsidR="00076524" w:rsidRPr="00076524" w:rsidRDefault="00076524" w:rsidP="00076524">
      <w:pPr>
        <w:spacing w:after="240"/>
        <w:rPr>
          <w:color w:val="000000"/>
        </w:rPr>
      </w:pPr>
      <w:r w:rsidRPr="00076524">
        <w:rPr>
          <w:color w:val="000000"/>
        </w:rPr>
        <w:t>ESC also noted that the proposed item descriptor would not align with the item descriptor for high-risk patients, which is device agnostic.</w:t>
      </w:r>
    </w:p>
    <w:p w14:paraId="767356A3" w14:textId="465589B6" w:rsidR="00076524" w:rsidRPr="00076524" w:rsidRDefault="00076524" w:rsidP="00076524">
      <w:pPr>
        <w:spacing w:after="240"/>
        <w:rPr>
          <w:color w:val="000000"/>
        </w:rPr>
      </w:pPr>
      <w:r w:rsidRPr="00076524">
        <w:rPr>
          <w:color w:val="000000"/>
        </w:rPr>
        <w:t>ESC considered the cost-utility analysis in the economic model, which indicated that TAVI</w:t>
      </w:r>
      <w:r w:rsidRPr="00076524">
        <w:rPr>
          <w:color w:val="000000"/>
        </w:rPr>
        <w:noBreakHyphen/>
        <w:t xml:space="preserve">BEV was dominant in the base case and in all sensitivity analyses except for where TAVI-BEV had the same cost as SAVR. ESC noted that the model did not distinguish between disabling and non-disabling stroke, but that sensitivity analysis showed this made very little difference to the incremental cost-effectiveness ratio (ICER). ESC noted that the model had been revised in the commentary to include a health care perspective (including hospitalisation and prosthesis costs for private patients) and the proposed prosthesis cost of $22,932 rather </w:t>
      </w:r>
      <w:r w:rsidRPr="00DF2628">
        <w:rPr>
          <w:color w:val="000000"/>
        </w:rPr>
        <w:t xml:space="preserve">than </w:t>
      </w:r>
      <w:r w:rsidRPr="002800B7">
        <w:rPr>
          <w:b/>
          <w:color w:val="000000"/>
        </w:rPr>
        <w:t>$</w:t>
      </w:r>
      <w:r w:rsidR="00EB53DF" w:rsidRPr="00DF2628">
        <w:rPr>
          <w:b/>
          <w:color w:val="000000"/>
        </w:rPr>
        <w:t>redacted</w:t>
      </w:r>
      <w:r w:rsidRPr="00076524">
        <w:rPr>
          <w:color w:val="000000"/>
        </w:rPr>
        <w:t>. ESC noted the model extrapolated outcomes beyond 1 year. ESC noted that the model estimated a larger survival benefit with TAVI-BEV (</w:t>
      </w:r>
      <w:r w:rsidRPr="00076524">
        <w:rPr>
          <w:i/>
          <w:color w:val="000000"/>
        </w:rPr>
        <w:t>vs.</w:t>
      </w:r>
      <w:r w:rsidRPr="00076524">
        <w:rPr>
          <w:color w:val="000000"/>
        </w:rPr>
        <w:t xml:space="preserve"> SAVR) than the 2-year outcomes from the PARTNER 3 trial. ESC considered the extrapolation of outcomes in the model were uncertain beyond 1 year, and particularly given the uncertain durability of TAVI</w:t>
      </w:r>
      <w:r w:rsidRPr="00076524">
        <w:rPr>
          <w:color w:val="000000"/>
        </w:rPr>
        <w:noBreakHyphen/>
        <w:t xml:space="preserve">BEV valves beyond 5 years. Despite the issues with the extrapolation of outcomes beyond 1 year, ESC considered an analysis correcting for this would be unlikely to </w:t>
      </w:r>
      <w:r w:rsidRPr="00076524">
        <w:rPr>
          <w:color w:val="000000"/>
        </w:rPr>
        <w:lastRenderedPageBreak/>
        <w:t>change the dominance of TAVI-BEV because TAVI-BEV had a lower initial procedure cost compared to SAVR. ESC agreed with the pre-ESC response that TAVI-BEV would remain dominant over SAVR unless overall survival curves crossed within the modelled time horizon.</w:t>
      </w:r>
    </w:p>
    <w:p w14:paraId="41CFAD97" w14:textId="77777777" w:rsidR="00076524" w:rsidRPr="00076524" w:rsidRDefault="00076524" w:rsidP="00076524">
      <w:pPr>
        <w:spacing w:after="240"/>
        <w:rPr>
          <w:color w:val="000000"/>
        </w:rPr>
      </w:pPr>
      <w:r w:rsidRPr="00076524">
        <w:rPr>
          <w:color w:val="000000"/>
        </w:rPr>
        <w:t xml:space="preserve">ESC noted that the cost of SAVR reflected an </w:t>
      </w:r>
      <w:proofErr w:type="gramStart"/>
      <w:r w:rsidRPr="00076524">
        <w:rPr>
          <w:color w:val="000000"/>
        </w:rPr>
        <w:t>11 day</w:t>
      </w:r>
      <w:proofErr w:type="gramEnd"/>
      <w:r w:rsidRPr="00076524">
        <w:rPr>
          <w:color w:val="000000"/>
        </w:rPr>
        <w:t xml:space="preserve"> hospitalisation, rather than 7 days in the PARTNER 3 trial. ESC noted the pre-ESC response that explained that the PARTNER 3 trial reported the median hospital length of stay, rather than the mean and agreed with the pre-ESC response that the SAVR hospitalisation costs may be overestimated. ESC also agreed with the pre-ESC response that it was unlikely that TAVI</w:t>
      </w:r>
      <w:r w:rsidRPr="00076524">
        <w:rPr>
          <w:color w:val="000000"/>
        </w:rPr>
        <w:noBreakHyphen/>
        <w:t>BEV would have the same length of stay and procedural cost as SAVR.</w:t>
      </w:r>
    </w:p>
    <w:p w14:paraId="574355CB" w14:textId="77777777" w:rsidR="00076524" w:rsidRPr="00076524" w:rsidRDefault="00076524" w:rsidP="00076524">
      <w:pPr>
        <w:spacing w:after="240"/>
        <w:rPr>
          <w:color w:val="000000"/>
        </w:rPr>
      </w:pPr>
      <w:r w:rsidRPr="00076524">
        <w:rPr>
          <w:color w:val="000000"/>
        </w:rPr>
        <w:t>ESC agreed with the commentary that the cost-utility analysis comparing TAVI-BEV with TAVI-SEV was uninformative as it assumed that patients treated with TAVI-SEV had the same risk of death and stroke as patients treated with SAVR.</w:t>
      </w:r>
    </w:p>
    <w:p w14:paraId="4D3F21B7" w14:textId="64817248" w:rsidR="00076524" w:rsidRPr="00076524" w:rsidRDefault="00076524" w:rsidP="00F715D1">
      <w:pPr>
        <w:spacing w:after="240"/>
        <w:rPr>
          <w:color w:val="000000"/>
        </w:rPr>
      </w:pPr>
      <w:r w:rsidRPr="00076524">
        <w:rPr>
          <w:color w:val="000000"/>
        </w:rPr>
        <w:t xml:space="preserve">ESC noted the financial estimates, which showed that the current application would result in net </w:t>
      </w:r>
      <w:r w:rsidR="00094373" w:rsidRPr="00094373">
        <w:rPr>
          <w:b/>
          <w:color w:val="000000"/>
        </w:rPr>
        <w:t>redacted</w:t>
      </w:r>
      <w:r w:rsidRPr="00076524">
        <w:rPr>
          <w:color w:val="000000"/>
        </w:rPr>
        <w:t xml:space="preserve"> to the MBS over 5 years. ESC considered that it was unreasonable to assume 100% replacement of SAVR with TAVI.</w:t>
      </w:r>
    </w:p>
    <w:p w14:paraId="09FD4293" w14:textId="77777777" w:rsidR="00D90A38" w:rsidRPr="00F715D1" w:rsidRDefault="00BC1364" w:rsidP="00F715D1">
      <w:pPr>
        <w:pStyle w:val="Heading1"/>
      </w:pPr>
      <w:r w:rsidRPr="00F715D1">
        <w:t>Other significant factors</w:t>
      </w:r>
    </w:p>
    <w:p w14:paraId="53EFB3C1" w14:textId="337C8486" w:rsidR="00BC1364" w:rsidRPr="00076524" w:rsidRDefault="00BC1364" w:rsidP="00F715D1">
      <w:pPr>
        <w:spacing w:after="240"/>
        <w:rPr>
          <w:szCs w:val="24"/>
        </w:rPr>
      </w:pPr>
      <w:r w:rsidRPr="00076524">
        <w:rPr>
          <w:szCs w:val="24"/>
        </w:rPr>
        <w:t>Nil</w:t>
      </w:r>
      <w:r w:rsidR="00216CC9">
        <w:rPr>
          <w:szCs w:val="24"/>
        </w:rPr>
        <w:t>.</w:t>
      </w:r>
    </w:p>
    <w:p w14:paraId="2DCFCF5A" w14:textId="6214C143" w:rsidR="00BC1364" w:rsidRDefault="00C06B0B" w:rsidP="00F715D1">
      <w:pPr>
        <w:pStyle w:val="Heading1"/>
      </w:pPr>
      <w:r>
        <w:t>Applicant</w:t>
      </w:r>
      <w:r w:rsidR="00BC1364" w:rsidRPr="00F715D1">
        <w:t xml:space="preserve"> comments on MSAC’s </w:t>
      </w:r>
      <w:r w:rsidR="00DA56AA" w:rsidRPr="00F715D1">
        <w:t>Public Summary Document</w:t>
      </w:r>
    </w:p>
    <w:p w14:paraId="51471B2E" w14:textId="062194B4" w:rsidR="00DE3355" w:rsidRPr="00DE3355" w:rsidRDefault="00DE3355" w:rsidP="0079722B">
      <w:pPr>
        <w:pStyle w:val="Heading1"/>
        <w:numPr>
          <w:ilvl w:val="0"/>
          <w:numId w:val="0"/>
        </w:numPr>
      </w:pPr>
      <w:r w:rsidRPr="00DE3355">
        <w:rPr>
          <w:rFonts w:ascii="Times New Roman" w:hAnsi="Times New Roman"/>
          <w:b w:val="0"/>
          <w:bCs w:val="0"/>
        </w:rPr>
        <w:t xml:space="preserve">Edwards </w:t>
      </w:r>
      <w:r w:rsidR="003B08F2" w:rsidRPr="00DE3355">
        <w:rPr>
          <w:rFonts w:ascii="Times New Roman" w:hAnsi="Times New Roman"/>
          <w:b w:val="0"/>
          <w:bCs w:val="0"/>
        </w:rPr>
        <w:t>Lifesciences</w:t>
      </w:r>
      <w:r w:rsidRPr="00DE3355">
        <w:rPr>
          <w:rFonts w:ascii="Times New Roman" w:hAnsi="Times New Roman"/>
          <w:b w:val="0"/>
          <w:bCs w:val="0"/>
        </w:rPr>
        <w:t xml:space="preserve"> welcomes the conclusion by MSAC that TAVI-BEV is safe, </w:t>
      </w:r>
      <w:proofErr w:type="gramStart"/>
      <w:r w:rsidRPr="00DE3355">
        <w:rPr>
          <w:rFonts w:ascii="Times New Roman" w:hAnsi="Times New Roman"/>
          <w:b w:val="0"/>
          <w:bCs w:val="0"/>
        </w:rPr>
        <w:t>effective</w:t>
      </w:r>
      <w:proofErr w:type="gramEnd"/>
      <w:r w:rsidRPr="00DE3355">
        <w:rPr>
          <w:rFonts w:ascii="Times New Roman" w:hAnsi="Times New Roman"/>
          <w:b w:val="0"/>
          <w:bCs w:val="0"/>
        </w:rPr>
        <w:t xml:space="preserve"> and cost-effective compared to surgical aortic valve replacement. The company is committed to working with MSAC, the Department and the broader community to facilitate timely access to TAVI-BEV for eligible Australians at low surgical risk.</w:t>
      </w:r>
    </w:p>
    <w:p w14:paraId="2F25D8F4" w14:textId="77777777" w:rsidR="00BC1364" w:rsidRPr="00F715D1" w:rsidRDefault="00271F18" w:rsidP="00F715D1">
      <w:pPr>
        <w:pStyle w:val="Heading1"/>
      </w:pPr>
      <w:r w:rsidRPr="00F715D1">
        <w:t>Further information on MSAC</w:t>
      </w:r>
    </w:p>
    <w:p w14:paraId="5A00E2DA"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36" w:tooltip="Link to Medical Services Advisory Committee website" w:history="1">
        <w:r w:rsidR="00BC2667" w:rsidRPr="00F715D1">
          <w:rPr>
            <w:rStyle w:val="Hyperlink"/>
            <w:szCs w:val="24"/>
          </w:rPr>
          <w:t>visit the MSAC website</w:t>
        </w:r>
      </w:hyperlink>
    </w:p>
    <w:sectPr w:rsidR="00BC1364" w:rsidRPr="00F715D1" w:rsidSect="00271F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EE58A" w14:textId="77777777" w:rsidR="00A73019" w:rsidRDefault="00A73019" w:rsidP="00065623">
      <w:r>
        <w:separator/>
      </w:r>
    </w:p>
  </w:endnote>
  <w:endnote w:type="continuationSeparator" w:id="0">
    <w:p w14:paraId="0624D0D3" w14:textId="77777777" w:rsidR="00A73019" w:rsidRDefault="00A73019"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8B5B8" w14:textId="77777777" w:rsidR="00A73019" w:rsidRDefault="00A73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507969"/>
      <w:docPartObj>
        <w:docPartGallery w:val="Page Numbers (Bottom of Page)"/>
        <w:docPartUnique/>
      </w:docPartObj>
    </w:sdtPr>
    <w:sdtEndPr>
      <w:rPr>
        <w:noProof/>
      </w:rPr>
    </w:sdtEndPr>
    <w:sdtContent>
      <w:p w14:paraId="5DC6E787" w14:textId="41425458" w:rsidR="00A73019" w:rsidRDefault="00A7301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2AD111E" w14:textId="77777777" w:rsidR="00A73019" w:rsidRDefault="00A73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BFE0" w14:textId="77777777" w:rsidR="00A73019" w:rsidRDefault="00A73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5ABBC" w14:textId="77777777" w:rsidR="00A73019" w:rsidRDefault="00A73019" w:rsidP="00065623">
      <w:r>
        <w:separator/>
      </w:r>
    </w:p>
  </w:footnote>
  <w:footnote w:type="continuationSeparator" w:id="0">
    <w:p w14:paraId="05AC1ABD" w14:textId="77777777" w:rsidR="00A73019" w:rsidRDefault="00A73019" w:rsidP="00065623">
      <w:r>
        <w:continuationSeparator/>
      </w:r>
    </w:p>
  </w:footnote>
  <w:footnote w:id="1">
    <w:p w14:paraId="306475EF" w14:textId="77777777" w:rsidR="00A73019" w:rsidRDefault="00A73019" w:rsidP="005C0813">
      <w:pPr>
        <w:pStyle w:val="FootnoteText"/>
      </w:pPr>
      <w:r>
        <w:rPr>
          <w:rStyle w:val="FootnoteReference"/>
        </w:rPr>
        <w:footnoteRef/>
      </w:r>
      <w:r>
        <w:t xml:space="preserve"> Otto CM </w:t>
      </w:r>
      <w:r w:rsidRPr="0079276F">
        <w:rPr>
          <w:i/>
        </w:rPr>
        <w:t>et al</w:t>
      </w:r>
      <w:r w:rsidRPr="00911F1B">
        <w:t xml:space="preserve">. 2020 ACC/AHA Guideline for the Management of Patients </w:t>
      </w:r>
      <w:proofErr w:type="gramStart"/>
      <w:r w:rsidRPr="00911F1B">
        <w:t>With</w:t>
      </w:r>
      <w:proofErr w:type="gramEnd"/>
      <w:r w:rsidRPr="00911F1B">
        <w:t xml:space="preserve"> Valvular Heart Disease: Executive Summary: A Report of the American College of Cardiology/American Heart Association Joint Committee on Clinical Practice Guidelines</w:t>
      </w:r>
      <w:r>
        <w:t>.</w:t>
      </w:r>
      <w:r w:rsidRPr="00911F1B">
        <w:t xml:space="preserve"> </w:t>
      </w:r>
      <w:r w:rsidRPr="00911F1B">
        <w:rPr>
          <w:i/>
          <w:iCs/>
        </w:rPr>
        <w:t>Circulation</w:t>
      </w:r>
      <w:r w:rsidRPr="00911F1B">
        <w:t>. 2021;143(5</w:t>
      </w:r>
      <w:proofErr w:type="gramStart"/>
      <w:r w:rsidRPr="00911F1B">
        <w:t>):e</w:t>
      </w:r>
      <w:proofErr w:type="gramEnd"/>
      <w:r w:rsidRPr="00911F1B">
        <w:t>35-e71.</w:t>
      </w:r>
    </w:p>
    <w:p w14:paraId="190D2752" w14:textId="77777777" w:rsidR="00A73019" w:rsidRDefault="00A73019" w:rsidP="005C0813">
      <w:pPr>
        <w:pStyle w:val="FootnoteText"/>
      </w:pPr>
    </w:p>
  </w:footnote>
  <w:footnote w:id="2">
    <w:p w14:paraId="1F477713" w14:textId="77777777" w:rsidR="00A73019" w:rsidRDefault="00A73019" w:rsidP="00B83C44">
      <w:pPr>
        <w:pStyle w:val="FootnoteText"/>
      </w:pPr>
      <w:r>
        <w:rPr>
          <w:rStyle w:val="FootnoteReference"/>
        </w:rPr>
        <w:footnoteRef/>
      </w:r>
      <w:r>
        <w:t xml:space="preserve"> Leon MB </w:t>
      </w:r>
      <w:r w:rsidRPr="005C4211">
        <w:rPr>
          <w:i/>
        </w:rPr>
        <w:t>et al</w:t>
      </w:r>
      <w:r w:rsidRPr="00B83C44">
        <w:t xml:space="preserve">. Outcomes 2 Years After Transcatheter Aortic Valve Replacement in Patients at Low Surgical Risk. </w:t>
      </w:r>
      <w:r w:rsidRPr="005C4211">
        <w:rPr>
          <w:i/>
        </w:rPr>
        <w:t xml:space="preserve">J Am Coll </w:t>
      </w:r>
      <w:proofErr w:type="spellStart"/>
      <w:r w:rsidRPr="005C4211">
        <w:rPr>
          <w:i/>
        </w:rPr>
        <w:t>Cardiol</w:t>
      </w:r>
      <w:proofErr w:type="spellEnd"/>
      <w:r w:rsidRPr="00B83C44">
        <w:t>. 2021;77(9):1149-1161.</w:t>
      </w:r>
    </w:p>
  </w:footnote>
  <w:footnote w:id="3">
    <w:p w14:paraId="0D445CD5" w14:textId="73B72578" w:rsidR="00A73019" w:rsidRDefault="00A73019">
      <w:pPr>
        <w:pStyle w:val="FootnoteText"/>
      </w:pPr>
      <w:r>
        <w:rPr>
          <w:rStyle w:val="FootnoteReference"/>
        </w:rPr>
        <w:footnoteRef/>
      </w:r>
      <w:r>
        <w:t xml:space="preserve"> </w:t>
      </w:r>
      <w:r w:rsidRPr="00B83C44">
        <w:t>11.</w:t>
      </w:r>
      <w:r w:rsidRPr="00B83C44">
        <w:tab/>
      </w:r>
      <w:proofErr w:type="spellStart"/>
      <w:r w:rsidRPr="00B83C44">
        <w:t>Sinhal</w:t>
      </w:r>
      <w:proofErr w:type="spellEnd"/>
      <w:r w:rsidRPr="00B83C44">
        <w:t xml:space="preserve"> A, </w:t>
      </w:r>
      <w:r w:rsidRPr="00672E67">
        <w:rPr>
          <w:i/>
        </w:rPr>
        <w:t>et al.</w:t>
      </w:r>
      <w:r w:rsidRPr="00B83C44">
        <w:t xml:space="preserve"> Transcatheter Aortic Valve Implantation in Australia: Insights from the ACOR TAVI Registry. </w:t>
      </w:r>
      <w:r w:rsidRPr="00672E67">
        <w:rPr>
          <w:i/>
        </w:rPr>
        <w:t>Heart, Lung and Circulation</w:t>
      </w:r>
      <w:r w:rsidRPr="00B83C44">
        <w:t xml:space="preserve"> 2019;</w:t>
      </w:r>
      <w:proofErr w:type="gramStart"/>
      <w:r w:rsidRPr="00B83C44">
        <w:t>28:S</w:t>
      </w:r>
      <w:proofErr w:type="gramEnd"/>
      <w:r w:rsidRPr="00B83C44">
        <w:t>433.</w:t>
      </w:r>
    </w:p>
  </w:footnote>
  <w:footnote w:id="4">
    <w:p w14:paraId="2043152B" w14:textId="57E79F74" w:rsidR="00A73019" w:rsidRDefault="00A73019">
      <w:pPr>
        <w:pStyle w:val="FootnoteText"/>
      </w:pPr>
      <w:r>
        <w:rPr>
          <w:rStyle w:val="FootnoteReference"/>
        </w:rPr>
        <w:footnoteRef/>
      </w:r>
      <w:r>
        <w:t xml:space="preserve"> 12.</w:t>
      </w:r>
      <w:r>
        <w:tab/>
        <w:t xml:space="preserve">Carroll JD </w:t>
      </w:r>
      <w:r w:rsidRPr="00672E67">
        <w:rPr>
          <w:i/>
        </w:rPr>
        <w:t>et al</w:t>
      </w:r>
      <w:r w:rsidRPr="00B83C44">
        <w:t>. STS-ACC TVT Registry of Transcatheter Aortic Valve Replacement</w:t>
      </w:r>
      <w:r w:rsidRPr="00672E67">
        <w:rPr>
          <w:i/>
        </w:rPr>
        <w:t xml:space="preserve">. J Am Coll </w:t>
      </w:r>
      <w:proofErr w:type="spellStart"/>
      <w:r w:rsidRPr="00672E67">
        <w:rPr>
          <w:i/>
        </w:rPr>
        <w:t>Cardiol</w:t>
      </w:r>
      <w:proofErr w:type="spellEnd"/>
      <w:r w:rsidRPr="00B83C44">
        <w:t>. 2020 Nov 24;76(21):2492-2516.</w:t>
      </w:r>
    </w:p>
  </w:footnote>
  <w:footnote w:id="5">
    <w:p w14:paraId="2EBC3F72" w14:textId="431C1B8B" w:rsidR="00A73019" w:rsidRDefault="00A73019">
      <w:pPr>
        <w:pStyle w:val="FootnoteText"/>
      </w:pPr>
      <w:r>
        <w:rPr>
          <w:rStyle w:val="FootnoteReference"/>
        </w:rPr>
        <w:footnoteRef/>
      </w:r>
      <w:r>
        <w:t xml:space="preserve"> Otto CM </w:t>
      </w:r>
      <w:r w:rsidRPr="00983D99">
        <w:rPr>
          <w:i/>
        </w:rPr>
        <w:t>et al.</w:t>
      </w:r>
      <w:r w:rsidRPr="00983D99">
        <w:t xml:space="preserve"> 2020 ACC/AHA Guideline for the Management of Patients </w:t>
      </w:r>
      <w:proofErr w:type="gramStart"/>
      <w:r w:rsidRPr="00983D99">
        <w:t>With</w:t>
      </w:r>
      <w:proofErr w:type="gramEnd"/>
      <w:r w:rsidRPr="00983D99">
        <w:t xml:space="preserve"> Valvular Heart Disease: Executive Summary: A Report of the American College of Cardiology/American Heart Association Joint Committee on Clinical Practice Guidelines. </w:t>
      </w:r>
      <w:r w:rsidRPr="00983D99">
        <w:rPr>
          <w:i/>
        </w:rPr>
        <w:t>Circulation</w:t>
      </w:r>
      <w:r w:rsidRPr="00983D99">
        <w:t>. 2021;143(5</w:t>
      </w:r>
      <w:proofErr w:type="gramStart"/>
      <w:r w:rsidRPr="00983D99">
        <w:t>):e</w:t>
      </w:r>
      <w:proofErr w:type="gramEnd"/>
      <w:r w:rsidRPr="00983D99">
        <w:t>35-e71.</w:t>
      </w:r>
    </w:p>
  </w:footnote>
  <w:footnote w:id="6">
    <w:p w14:paraId="714CD9A6" w14:textId="77777777" w:rsidR="00A73019" w:rsidRPr="008424C8" w:rsidRDefault="00A73019" w:rsidP="00FB44D6">
      <w:pPr>
        <w:pStyle w:val="FootnoteText"/>
        <w:rPr>
          <w:lang w:val="nl-NL"/>
        </w:rPr>
      </w:pPr>
      <w:r>
        <w:rPr>
          <w:rStyle w:val="FootnoteReference"/>
        </w:rPr>
        <w:footnoteRef/>
      </w:r>
      <w:r>
        <w:t xml:space="preserve"> </w:t>
      </w:r>
      <w:r w:rsidRPr="00D9793F">
        <w:t xml:space="preserve">Mack MJ, Leon MB, Smith CR, et al. 5-year outcomes of transcatheter aortic valve replacement or surgical aortic valve replacement for high surgical risk patients with aortic stenosis (PARTNER 1): a randomised controlled trial. </w:t>
      </w:r>
      <w:r w:rsidRPr="008424C8">
        <w:rPr>
          <w:lang w:val="nl-NL"/>
        </w:rPr>
        <w:t>Lancet. 2015;385(9986):2477-2484.</w:t>
      </w:r>
    </w:p>
  </w:footnote>
  <w:footnote w:id="7">
    <w:p w14:paraId="4A6D6000" w14:textId="77777777" w:rsidR="00A73019" w:rsidRDefault="00A73019" w:rsidP="005568A8">
      <w:pPr>
        <w:pStyle w:val="FootnoteText"/>
      </w:pPr>
      <w:r>
        <w:rPr>
          <w:rStyle w:val="FootnoteReference"/>
        </w:rPr>
        <w:footnoteRef/>
      </w:r>
      <w:r>
        <w:t xml:space="preserve"> </w:t>
      </w:r>
      <w:proofErr w:type="spellStart"/>
      <w:r>
        <w:t>Shardey</w:t>
      </w:r>
      <w:proofErr w:type="spellEnd"/>
      <w:r>
        <w:t xml:space="preserve"> G </w:t>
      </w:r>
      <w:r>
        <w:rPr>
          <w:i/>
        </w:rPr>
        <w:t xml:space="preserve">et </w:t>
      </w:r>
      <w:proofErr w:type="spellStart"/>
      <w:proofErr w:type="gramStart"/>
      <w:r>
        <w:rPr>
          <w:i/>
        </w:rPr>
        <w:t>al.</w:t>
      </w:r>
      <w:r>
        <w:t>The</w:t>
      </w:r>
      <w:proofErr w:type="spellEnd"/>
      <w:proofErr w:type="gramEnd"/>
      <w:r>
        <w:t xml:space="preserve"> Australian and New Zealand Society of Cardiac and Thoracic Surgeons</w:t>
      </w:r>
    </w:p>
    <w:p w14:paraId="6108BB90" w14:textId="77777777" w:rsidR="00A73019" w:rsidRDefault="00A73019" w:rsidP="005568A8">
      <w:pPr>
        <w:pStyle w:val="FootnoteText"/>
      </w:pPr>
      <w:r>
        <w:t>Cardiac Surgery Database Program Annual Report 2019. Monash University, Department of</w:t>
      </w:r>
    </w:p>
    <w:p w14:paraId="271072CF" w14:textId="77777777" w:rsidR="00A73019" w:rsidRDefault="00A73019" w:rsidP="005568A8">
      <w:pPr>
        <w:pStyle w:val="FootnoteText"/>
      </w:pPr>
      <w:r>
        <w:t xml:space="preserve">Epidemiology and Preventive Medicine, October 2020. Report No 12. Available from </w:t>
      </w:r>
      <w:hyperlink r:id="rId1" w:anchor="reports" w:history="1">
        <w:r w:rsidRPr="00D345CF">
          <w:rPr>
            <w:rStyle w:val="Hyperlink"/>
          </w:rPr>
          <w:t>https://anzscts.org/database/about/#reports</w:t>
        </w:r>
      </w:hyperlink>
      <w:r>
        <w:t xml:space="preserve"> </w:t>
      </w:r>
    </w:p>
  </w:footnote>
  <w:footnote w:id="8">
    <w:p w14:paraId="3D112D77" w14:textId="77777777" w:rsidR="00A73019" w:rsidRDefault="00A73019" w:rsidP="005568A8">
      <w:pPr>
        <w:pStyle w:val="FootnoteText"/>
      </w:pPr>
      <w:r>
        <w:rPr>
          <w:rStyle w:val="FootnoteReference"/>
        </w:rPr>
        <w:footnoteRef/>
      </w:r>
      <w:r>
        <w:t xml:space="preserve"> Costa G </w:t>
      </w:r>
      <w:r>
        <w:rPr>
          <w:i/>
        </w:rPr>
        <w:t xml:space="preserve">et al. </w:t>
      </w:r>
      <w:r w:rsidRPr="00355FE6">
        <w:t xml:space="preserve">Long-term Transcatheter Aortic Valve Durability. </w:t>
      </w:r>
      <w:proofErr w:type="spellStart"/>
      <w:r w:rsidRPr="00355FE6">
        <w:t>Interv</w:t>
      </w:r>
      <w:proofErr w:type="spellEnd"/>
      <w:r w:rsidRPr="00355FE6">
        <w:t xml:space="preserve"> </w:t>
      </w:r>
      <w:proofErr w:type="spellStart"/>
      <w:r w:rsidRPr="00355FE6">
        <w:t>Cardiol</w:t>
      </w:r>
      <w:proofErr w:type="spellEnd"/>
      <w:r w:rsidRPr="00355FE6">
        <w:t>. 2019;14(2):62-69.</w:t>
      </w:r>
    </w:p>
  </w:footnote>
  <w:footnote w:id="9">
    <w:p w14:paraId="570A05E5" w14:textId="77777777" w:rsidR="00A73019" w:rsidRDefault="00A73019" w:rsidP="005568A8">
      <w:pPr>
        <w:pStyle w:val="FootnoteText"/>
      </w:pPr>
      <w:r>
        <w:rPr>
          <w:rStyle w:val="FootnoteReference"/>
        </w:rPr>
        <w:footnoteRef/>
      </w:r>
      <w:r>
        <w:t xml:space="preserve"> </w:t>
      </w:r>
      <w:r w:rsidRPr="006A7753">
        <w:t>Deutsch MA</w:t>
      </w:r>
      <w:r>
        <w:t xml:space="preserve"> </w:t>
      </w:r>
      <w:r w:rsidRPr="00546E11">
        <w:rPr>
          <w:i/>
        </w:rPr>
        <w:t>et al.</w:t>
      </w:r>
      <w:r w:rsidRPr="006A7753">
        <w:t xml:space="preserve"> Beyond the five-year horizon: long-term outcome of high-risk and inoperable patients undergoing TAVR with first-generation devices. </w:t>
      </w:r>
      <w:proofErr w:type="spellStart"/>
      <w:r w:rsidRPr="006A7753">
        <w:rPr>
          <w:i/>
          <w:iCs/>
        </w:rPr>
        <w:t>EuroIntervention</w:t>
      </w:r>
      <w:proofErr w:type="spellEnd"/>
      <w:r w:rsidRPr="006A7753">
        <w:t>. 2018;14(1):41-49</w:t>
      </w:r>
    </w:p>
  </w:footnote>
  <w:footnote w:id="10">
    <w:p w14:paraId="36910FF6" w14:textId="77777777" w:rsidR="00A73019" w:rsidRDefault="00A73019" w:rsidP="005568A8">
      <w:pPr>
        <w:pStyle w:val="FootnoteText"/>
      </w:pPr>
      <w:r>
        <w:rPr>
          <w:rStyle w:val="FootnoteReference"/>
        </w:rPr>
        <w:footnoteRef/>
      </w:r>
      <w:r>
        <w:t xml:space="preserve"> </w:t>
      </w:r>
      <w:proofErr w:type="spellStart"/>
      <w:r>
        <w:t>Eltchaninoff</w:t>
      </w:r>
      <w:proofErr w:type="spellEnd"/>
      <w:r>
        <w:t xml:space="preserve"> H</w:t>
      </w:r>
      <w:r w:rsidRPr="00CB46DF">
        <w:t xml:space="preserve"> </w:t>
      </w:r>
      <w:r w:rsidRPr="00546E11">
        <w:rPr>
          <w:i/>
        </w:rPr>
        <w:t>et al.</w:t>
      </w:r>
      <w:r w:rsidRPr="00CB46DF">
        <w:t xml:space="preserve"> Assessment of structural valve deterioration of transcatheter aortic bioprosthetic balloon-expandable valves using the new European consensus definition. </w:t>
      </w:r>
      <w:proofErr w:type="spellStart"/>
      <w:r w:rsidRPr="00CB46DF">
        <w:rPr>
          <w:i/>
          <w:iCs/>
        </w:rPr>
        <w:t>EuroIntervention</w:t>
      </w:r>
      <w:proofErr w:type="spellEnd"/>
      <w:r w:rsidRPr="00CB46DF">
        <w:t>. 2018;14(3</w:t>
      </w:r>
      <w:proofErr w:type="gramStart"/>
      <w:r w:rsidRPr="00CB46DF">
        <w:t>):e</w:t>
      </w:r>
      <w:proofErr w:type="gramEnd"/>
      <w:r w:rsidRPr="00CB46DF">
        <w:t>264-e271. </w:t>
      </w:r>
    </w:p>
  </w:footnote>
  <w:footnote w:id="11">
    <w:p w14:paraId="761E2E2D" w14:textId="77777777" w:rsidR="00A73019" w:rsidRDefault="00A73019" w:rsidP="005568A8">
      <w:pPr>
        <w:pStyle w:val="FootnoteText"/>
      </w:pPr>
      <w:r>
        <w:rPr>
          <w:rStyle w:val="FootnoteReference"/>
        </w:rPr>
        <w:footnoteRef/>
      </w:r>
      <w:r>
        <w:t xml:space="preserve"> </w:t>
      </w:r>
      <w:proofErr w:type="spellStart"/>
      <w:r w:rsidRPr="00CB46DF">
        <w:t>Barbanti</w:t>
      </w:r>
      <w:proofErr w:type="spellEnd"/>
      <w:r w:rsidRPr="00CB46DF">
        <w:t xml:space="preserve"> M</w:t>
      </w:r>
      <w:r>
        <w:t xml:space="preserve"> </w:t>
      </w:r>
      <w:r w:rsidRPr="00546E11">
        <w:rPr>
          <w:i/>
        </w:rPr>
        <w:t>et al.</w:t>
      </w:r>
      <w:r w:rsidRPr="00CB46DF">
        <w:t xml:space="preserve"> Incidence of Long-Term Structural Valve Dysfunction and Bioprosthetic Valve Failure After Transcatheter Aortic Valve Replacement. </w:t>
      </w:r>
      <w:r w:rsidRPr="00CB46DF">
        <w:rPr>
          <w:i/>
          <w:iCs/>
        </w:rPr>
        <w:t>J Am Heart Assoc</w:t>
      </w:r>
      <w:r w:rsidRPr="00CB46DF">
        <w:t>. 2018;7(15</w:t>
      </w:r>
      <w:proofErr w:type="gramStart"/>
      <w:r w:rsidRPr="00CB46DF">
        <w:t>):e</w:t>
      </w:r>
      <w:proofErr w:type="gramEnd"/>
      <w:r w:rsidRPr="00CB46DF">
        <w:t xml:space="preserve">008440. </w:t>
      </w:r>
    </w:p>
  </w:footnote>
  <w:footnote w:id="12">
    <w:p w14:paraId="7EDE5E11" w14:textId="77777777" w:rsidR="00A73019" w:rsidRDefault="00A73019" w:rsidP="005568A8">
      <w:pPr>
        <w:pStyle w:val="FootnoteText"/>
      </w:pPr>
      <w:r>
        <w:rPr>
          <w:rStyle w:val="FootnoteReference"/>
        </w:rPr>
        <w:footnoteRef/>
      </w:r>
      <w:r>
        <w:t xml:space="preserve"> </w:t>
      </w:r>
      <w:r w:rsidRPr="00EC6984">
        <w:t>Holy EW</w:t>
      </w:r>
      <w:r w:rsidRPr="00546E11">
        <w:rPr>
          <w:i/>
        </w:rPr>
        <w:t xml:space="preserve"> et al.</w:t>
      </w:r>
      <w:r w:rsidRPr="00EC6984">
        <w:t xml:space="preserve"> Long-term durability and haemodynamic performance of a self-expanding transcatheter heart valve beyond five years after implantation: a prospective observational study applying the standardised definitions of structural deterioration and valve failure. </w:t>
      </w:r>
      <w:proofErr w:type="spellStart"/>
      <w:r w:rsidRPr="00EC6984">
        <w:rPr>
          <w:i/>
          <w:iCs/>
        </w:rPr>
        <w:t>EuroIntervention</w:t>
      </w:r>
      <w:proofErr w:type="spellEnd"/>
      <w:r w:rsidRPr="00EC6984">
        <w:t>. 2018;14(4</w:t>
      </w:r>
      <w:proofErr w:type="gramStart"/>
      <w:r w:rsidRPr="00EC6984">
        <w:t>):e</w:t>
      </w:r>
      <w:proofErr w:type="gramEnd"/>
      <w:r w:rsidRPr="00EC6984">
        <w:t>390-e396.</w:t>
      </w:r>
    </w:p>
  </w:footnote>
  <w:footnote w:id="13">
    <w:p w14:paraId="33CBBDC5" w14:textId="77777777" w:rsidR="00A73019" w:rsidRDefault="00A73019" w:rsidP="005568A8">
      <w:pPr>
        <w:pStyle w:val="FootnoteText"/>
      </w:pPr>
      <w:r>
        <w:rPr>
          <w:rStyle w:val="FootnoteReference"/>
        </w:rPr>
        <w:footnoteRef/>
      </w:r>
      <w:r>
        <w:t xml:space="preserve"> Panico RA </w:t>
      </w:r>
      <w:r w:rsidRPr="00546E11">
        <w:rPr>
          <w:i/>
        </w:rPr>
        <w:t>et al.</w:t>
      </w:r>
      <w:r w:rsidRPr="00546E11">
        <w:t xml:space="preserve"> Long-term results and durability of the </w:t>
      </w:r>
      <w:proofErr w:type="spellStart"/>
      <w:r w:rsidRPr="00546E11">
        <w:t>CoreValve</w:t>
      </w:r>
      <w:proofErr w:type="spellEnd"/>
      <w:r w:rsidRPr="00546E11">
        <w:t xml:space="preserve"> transcatheter aortic </w:t>
      </w:r>
      <w:proofErr w:type="spellStart"/>
      <w:r w:rsidRPr="00546E11">
        <w:t>bioprosthesis</w:t>
      </w:r>
      <w:proofErr w:type="spellEnd"/>
      <w:r w:rsidRPr="00546E11">
        <w:t>: outcomes beyond five years. </w:t>
      </w:r>
      <w:proofErr w:type="spellStart"/>
      <w:r w:rsidRPr="00546E11">
        <w:rPr>
          <w:i/>
          <w:iCs/>
        </w:rPr>
        <w:t>EuroIntervention</w:t>
      </w:r>
      <w:proofErr w:type="spellEnd"/>
      <w:r w:rsidRPr="00546E11">
        <w:t>. 2019;14(16):1639-1647</w:t>
      </w:r>
    </w:p>
  </w:footnote>
  <w:footnote w:id="14">
    <w:p w14:paraId="2A3BF154" w14:textId="77777777" w:rsidR="00A73019" w:rsidRDefault="00A73019" w:rsidP="005568A8">
      <w:pPr>
        <w:pStyle w:val="FootnoteText"/>
      </w:pPr>
      <w:r>
        <w:rPr>
          <w:rStyle w:val="FootnoteReference"/>
        </w:rPr>
        <w:footnoteRef/>
      </w:r>
      <w:r>
        <w:t xml:space="preserve"> Didier R </w:t>
      </w:r>
      <w:r w:rsidRPr="00546E11">
        <w:rPr>
          <w:i/>
        </w:rPr>
        <w:t>et al.</w:t>
      </w:r>
      <w:r w:rsidRPr="00546E11">
        <w:t xml:space="preserve"> Five-Year Clinical Outcome and Valve Durability After Transcatheter Aortic Valve Replacement in High-Risk Patients. </w:t>
      </w:r>
      <w:r w:rsidRPr="00546E11">
        <w:rPr>
          <w:i/>
          <w:iCs/>
        </w:rPr>
        <w:t>Circulation</w:t>
      </w:r>
      <w:r w:rsidRPr="00546E11">
        <w:t>. 2018;138(23):2597-2607.</w:t>
      </w:r>
    </w:p>
  </w:footnote>
  <w:footnote w:id="15">
    <w:p w14:paraId="58A5F749" w14:textId="77777777" w:rsidR="00A73019" w:rsidRDefault="00A73019" w:rsidP="005568A8">
      <w:pPr>
        <w:pStyle w:val="FootnoteText"/>
      </w:pPr>
      <w:r>
        <w:rPr>
          <w:rStyle w:val="FootnoteReference"/>
        </w:rPr>
        <w:footnoteRef/>
      </w:r>
      <w:r>
        <w:t xml:space="preserve"> </w:t>
      </w:r>
      <w:proofErr w:type="spellStart"/>
      <w:r w:rsidRPr="00546E11">
        <w:t>Sathananthan</w:t>
      </w:r>
      <w:proofErr w:type="spellEnd"/>
      <w:r w:rsidRPr="00546E11">
        <w:t xml:space="preserve"> J</w:t>
      </w:r>
      <w:r>
        <w:t xml:space="preserve"> </w:t>
      </w:r>
      <w:r w:rsidRPr="00546E11">
        <w:rPr>
          <w:i/>
        </w:rPr>
        <w:t>et al.</w:t>
      </w:r>
      <w:r w:rsidRPr="00546E11">
        <w:t xml:space="preserve"> </w:t>
      </w:r>
      <w:proofErr w:type="gramStart"/>
      <w:r w:rsidRPr="00546E11">
        <w:t>Ten year</w:t>
      </w:r>
      <w:proofErr w:type="gramEnd"/>
      <w:r w:rsidRPr="00546E11">
        <w:t xml:space="preserve"> follow-up of high-risk patients treated during the early experience with transcatheter aortic valve replacement. </w:t>
      </w:r>
      <w:r w:rsidRPr="00546E11">
        <w:rPr>
          <w:i/>
          <w:iCs/>
        </w:rPr>
        <w:t xml:space="preserve">Catheter Cardiovasc </w:t>
      </w:r>
      <w:proofErr w:type="spellStart"/>
      <w:r w:rsidRPr="00546E11">
        <w:rPr>
          <w:i/>
          <w:iCs/>
        </w:rPr>
        <w:t>Interv</w:t>
      </w:r>
      <w:proofErr w:type="spellEnd"/>
      <w:r w:rsidRPr="00546E11">
        <w:t>. 2021;97(3</w:t>
      </w:r>
      <w:proofErr w:type="gramStart"/>
      <w:r w:rsidRPr="00546E11">
        <w:t>):E</w:t>
      </w:r>
      <w:proofErr w:type="gramEnd"/>
      <w:r w:rsidRPr="00546E11">
        <w:t>431-E437.</w:t>
      </w:r>
    </w:p>
  </w:footnote>
  <w:footnote w:id="16">
    <w:p w14:paraId="720C8834" w14:textId="77777777" w:rsidR="00A73019" w:rsidRDefault="00A73019" w:rsidP="005568A8">
      <w:pPr>
        <w:pStyle w:val="FootnoteText"/>
      </w:pPr>
      <w:r>
        <w:rPr>
          <w:rStyle w:val="FootnoteReference"/>
        </w:rPr>
        <w:footnoteRef/>
      </w:r>
      <w:r>
        <w:t xml:space="preserve"> Durand E </w:t>
      </w:r>
      <w:r w:rsidRPr="00546E11">
        <w:rPr>
          <w:i/>
        </w:rPr>
        <w:t>et al</w:t>
      </w:r>
      <w:r w:rsidRPr="00546E11">
        <w:t>. Assessment of Long-Term Structural Deterioration of Transcatheter Aortic Bioprosthetic Valves Using the New European Definition. </w:t>
      </w:r>
      <w:r w:rsidRPr="00546E11">
        <w:rPr>
          <w:i/>
          <w:iCs/>
        </w:rPr>
        <w:t xml:space="preserve">Circ Cardiovasc </w:t>
      </w:r>
      <w:proofErr w:type="spellStart"/>
      <w:r w:rsidRPr="00546E11">
        <w:rPr>
          <w:i/>
          <w:iCs/>
        </w:rPr>
        <w:t>Interv</w:t>
      </w:r>
      <w:proofErr w:type="spellEnd"/>
      <w:r w:rsidRPr="00546E11">
        <w:t>. 2019;12(4</w:t>
      </w:r>
      <w:proofErr w:type="gramStart"/>
      <w:r w:rsidRPr="00546E11">
        <w:t>):e</w:t>
      </w:r>
      <w:proofErr w:type="gramEnd"/>
      <w:r w:rsidRPr="00546E11">
        <w:t>007597.</w:t>
      </w:r>
    </w:p>
  </w:footnote>
  <w:footnote w:id="17">
    <w:p w14:paraId="65D2272D" w14:textId="77777777" w:rsidR="00A73019" w:rsidRDefault="00A73019" w:rsidP="005568A8">
      <w:pPr>
        <w:pStyle w:val="FootnoteText"/>
      </w:pPr>
      <w:r>
        <w:rPr>
          <w:rStyle w:val="FootnoteReference"/>
        </w:rPr>
        <w:footnoteRef/>
      </w:r>
      <w:r>
        <w:t xml:space="preserve"> </w:t>
      </w:r>
      <w:proofErr w:type="spellStart"/>
      <w:r>
        <w:t>Vollenbroich</w:t>
      </w:r>
      <w:proofErr w:type="spellEnd"/>
      <w:r>
        <w:t xml:space="preserve"> R</w:t>
      </w:r>
      <w:r w:rsidRPr="00546E11">
        <w:rPr>
          <w:i/>
        </w:rPr>
        <w:t xml:space="preserve"> et al</w:t>
      </w:r>
      <w:r w:rsidRPr="00546E11">
        <w:t>. Long-term outcomes with balloon-expandable and self-expandable prostheses in patients undergoing transfemoral transcatheter aortic valve implantation for severe aortic stenosis. </w:t>
      </w:r>
      <w:r w:rsidRPr="00546E11">
        <w:rPr>
          <w:i/>
          <w:iCs/>
        </w:rPr>
        <w:t xml:space="preserve">Int J </w:t>
      </w:r>
      <w:proofErr w:type="spellStart"/>
      <w:r w:rsidRPr="00546E11">
        <w:rPr>
          <w:i/>
          <w:iCs/>
        </w:rPr>
        <w:t>Cardiol</w:t>
      </w:r>
      <w:proofErr w:type="spellEnd"/>
      <w:r w:rsidRPr="00546E11">
        <w:t xml:space="preserve">. </w:t>
      </w:r>
      <w:proofErr w:type="gramStart"/>
      <w:r w:rsidRPr="00546E11">
        <w:t>2019;290:45</w:t>
      </w:r>
      <w:proofErr w:type="gramEnd"/>
      <w:r w:rsidRPr="00546E11">
        <w:t>-51.</w:t>
      </w:r>
    </w:p>
  </w:footnote>
  <w:footnote w:id="18">
    <w:p w14:paraId="4A35E5F4" w14:textId="77777777" w:rsidR="00A73019" w:rsidRDefault="00A73019" w:rsidP="005568A8">
      <w:pPr>
        <w:pStyle w:val="FootnoteText"/>
      </w:pPr>
      <w:r>
        <w:rPr>
          <w:rStyle w:val="FootnoteReference"/>
        </w:rPr>
        <w:footnoteRef/>
      </w:r>
      <w:r>
        <w:t xml:space="preserve"> Testa L </w:t>
      </w:r>
      <w:r w:rsidRPr="005A05D1">
        <w:rPr>
          <w:i/>
        </w:rPr>
        <w:t>et al</w:t>
      </w:r>
      <w:r w:rsidRPr="005A05D1">
        <w:t xml:space="preserve">. Long-term clinical outcome and performance of transcatheter aortic valve replacement with a self-expandable </w:t>
      </w:r>
      <w:proofErr w:type="spellStart"/>
      <w:r w:rsidRPr="005A05D1">
        <w:t>bioprosthesis</w:t>
      </w:r>
      <w:proofErr w:type="spellEnd"/>
      <w:r w:rsidRPr="005A05D1">
        <w:t>. </w:t>
      </w:r>
      <w:r w:rsidRPr="005A05D1">
        <w:rPr>
          <w:i/>
          <w:iCs/>
        </w:rPr>
        <w:t>Eur Heart J</w:t>
      </w:r>
      <w:r w:rsidRPr="005A05D1">
        <w:t>. 2020;41(20):1876-1886.</w:t>
      </w:r>
    </w:p>
  </w:footnote>
  <w:footnote w:id="19">
    <w:p w14:paraId="2C46A313" w14:textId="77777777" w:rsidR="00A73019" w:rsidRDefault="00A73019" w:rsidP="008C522C">
      <w:pPr>
        <w:pStyle w:val="FootnoteText"/>
      </w:pPr>
      <w:r>
        <w:rPr>
          <w:rStyle w:val="FootnoteReference"/>
        </w:rPr>
        <w:footnoteRef/>
      </w:r>
      <w:r w:rsidRPr="008424C8">
        <w:rPr>
          <w:lang w:val="nl-NL"/>
        </w:rPr>
        <w:t xml:space="preserve"> </w:t>
      </w:r>
      <w:r w:rsidRPr="008424C8">
        <w:rPr>
          <w:lang w:val="nl-NL"/>
        </w:rPr>
        <w:t xml:space="preserve">Abdel-Wahab M, Mehilli J, Frerker C et al. </w:t>
      </w:r>
      <w:r w:rsidRPr="00DA3E75">
        <w:t xml:space="preserve">Comparison of balloon-expandable versus self-expandable valves in patients undergoing transcatheter aortic valve replacement: the CHOICE randomized clinical trial. JAMA. </w:t>
      </w:r>
      <w:proofErr w:type="gramStart"/>
      <w:r w:rsidRPr="00DA3E75">
        <w:t>2014;311:1503</w:t>
      </w:r>
      <w:proofErr w:type="gramEnd"/>
      <w:r w:rsidRPr="00DA3E75">
        <w:t>.</w:t>
      </w:r>
    </w:p>
  </w:footnote>
  <w:footnote w:id="20">
    <w:p w14:paraId="2CEAEDCA" w14:textId="77777777" w:rsidR="00A73019" w:rsidRDefault="00A73019" w:rsidP="008C522C">
      <w:pPr>
        <w:pStyle w:val="FootnoteText"/>
      </w:pPr>
      <w:r>
        <w:rPr>
          <w:rStyle w:val="FootnoteReference"/>
        </w:rPr>
        <w:footnoteRef/>
      </w:r>
      <w:r>
        <w:t xml:space="preserve"> </w:t>
      </w:r>
      <w:r w:rsidRPr="00551417">
        <w:t xml:space="preserve">Baumgartner H, Falk V, </w:t>
      </w:r>
      <w:proofErr w:type="spellStart"/>
      <w:r w:rsidRPr="00551417">
        <w:t>Bax</w:t>
      </w:r>
      <w:proofErr w:type="spellEnd"/>
      <w:r w:rsidRPr="00551417">
        <w:t xml:space="preserve"> JJ, De </w:t>
      </w:r>
      <w:proofErr w:type="spellStart"/>
      <w:r w:rsidRPr="00551417">
        <w:t>Bonis</w:t>
      </w:r>
      <w:proofErr w:type="spellEnd"/>
      <w:r w:rsidRPr="00551417">
        <w:t xml:space="preserve"> M, Hamm C, Holm PJ, et al. 2017 ESC/EACTS Guidelines for the management of valvular heart disease. Eur Heart J. 2017;38(36):2739-91.</w:t>
      </w:r>
    </w:p>
  </w:footnote>
  <w:footnote w:id="21">
    <w:p w14:paraId="4BB128B6" w14:textId="77777777" w:rsidR="00A73019" w:rsidRDefault="00A73019" w:rsidP="008C522C">
      <w:pPr>
        <w:pStyle w:val="FootnoteText"/>
      </w:pPr>
      <w:r>
        <w:rPr>
          <w:rStyle w:val="FootnoteReference"/>
        </w:rPr>
        <w:footnoteRef/>
      </w:r>
      <w:r>
        <w:t xml:space="preserve"> </w:t>
      </w:r>
      <w:r w:rsidRPr="00551417">
        <w:t>Nishimura RA, Otto CM, Bonow RO, Carabello BA, Erwin JP, Fleisher LA, et al. 2017 AHA/ACC focused update of the 2014 AHA/ACC guideline for the management of patients with valvular heart disease: a report of the American College of Cardiology/American Heart Association Task Force on Clinical Practice Guidelines. Journal of the American College of Cardiology. 2017;70(2):252-89.</w:t>
      </w:r>
    </w:p>
  </w:footnote>
  <w:footnote w:id="22">
    <w:p w14:paraId="6673AF26" w14:textId="77777777" w:rsidR="00A73019" w:rsidRDefault="00A73019" w:rsidP="008C522C">
      <w:pPr>
        <w:pStyle w:val="FootnoteText"/>
      </w:pPr>
      <w:r>
        <w:rPr>
          <w:rStyle w:val="FootnoteReference"/>
        </w:rPr>
        <w:footnoteRef/>
      </w:r>
      <w:r>
        <w:t xml:space="preserve"> </w:t>
      </w:r>
      <w:proofErr w:type="spellStart"/>
      <w:r w:rsidRPr="00551417">
        <w:t>Overtchouk</w:t>
      </w:r>
      <w:proofErr w:type="spellEnd"/>
      <w:r w:rsidRPr="00551417">
        <w:t xml:space="preserve"> P, Prendergast B, Modine T. Why should we extend transcatheter aortic valve implantation to low-risk patients? A comprehensive review. Arch Cardiovasc Dis. 2019;112(5):354-62.</w:t>
      </w:r>
    </w:p>
  </w:footnote>
  <w:footnote w:id="23">
    <w:p w14:paraId="7F132742" w14:textId="77777777" w:rsidR="00A73019" w:rsidRDefault="00A73019" w:rsidP="008C522C">
      <w:pPr>
        <w:pStyle w:val="FootnoteText"/>
      </w:pPr>
      <w:r>
        <w:rPr>
          <w:rStyle w:val="FootnoteReference"/>
        </w:rPr>
        <w:footnoteRef/>
      </w:r>
      <w:r>
        <w:t xml:space="preserve"> </w:t>
      </w:r>
      <w:r w:rsidRPr="00551417">
        <w:t xml:space="preserve">Baumgartner H, Falk V, </w:t>
      </w:r>
      <w:proofErr w:type="spellStart"/>
      <w:r w:rsidRPr="00551417">
        <w:t>Bax</w:t>
      </w:r>
      <w:proofErr w:type="spellEnd"/>
      <w:r w:rsidRPr="00551417">
        <w:t xml:space="preserve"> JJ, De </w:t>
      </w:r>
      <w:proofErr w:type="spellStart"/>
      <w:r w:rsidRPr="00551417">
        <w:t>Bonis</w:t>
      </w:r>
      <w:proofErr w:type="spellEnd"/>
      <w:r w:rsidRPr="00551417">
        <w:t xml:space="preserve"> M, Hamm C, Holm PJ, et al. 2017 ESC/EACTS Guidelines for the management of valvular heart disease. Eur Heart J. 2017;38(36):2739-91.</w:t>
      </w:r>
    </w:p>
  </w:footnote>
  <w:footnote w:id="24">
    <w:p w14:paraId="1CD602BE" w14:textId="77777777" w:rsidR="00A73019" w:rsidRDefault="00A73019" w:rsidP="008C522C">
      <w:pPr>
        <w:pStyle w:val="FootnoteText"/>
      </w:pPr>
      <w:r>
        <w:rPr>
          <w:rStyle w:val="FootnoteReference"/>
        </w:rPr>
        <w:footnoteRef/>
      </w:r>
      <w:r>
        <w:t xml:space="preserve"> </w:t>
      </w:r>
      <w:r w:rsidRPr="00993847">
        <w:t>Tang GHL, Verma S, Bhatt DL. Transcatheter Aortic Valve Replacement in Low-Risk Patients: A New Era in the Treatment of Aortic Stenosis. Circulation. 2019;140(10):801-3.</w:t>
      </w:r>
    </w:p>
  </w:footnote>
  <w:footnote w:id="25">
    <w:p w14:paraId="5933FEED" w14:textId="77777777" w:rsidR="00A73019" w:rsidRDefault="00A73019" w:rsidP="008C522C">
      <w:pPr>
        <w:pStyle w:val="FootnoteText"/>
      </w:pPr>
      <w:r>
        <w:rPr>
          <w:rStyle w:val="FootnoteReference"/>
        </w:rPr>
        <w:footnoteRef/>
      </w:r>
      <w:r>
        <w:t xml:space="preserve"> </w:t>
      </w:r>
      <w:r w:rsidRPr="006C4191">
        <w:t xml:space="preserve">Baron SJ, Magnuson EA, Lu M, Wang K, </w:t>
      </w:r>
      <w:proofErr w:type="spellStart"/>
      <w:r w:rsidRPr="006C4191">
        <w:t>Chinnakondepalli</w:t>
      </w:r>
      <w:proofErr w:type="spellEnd"/>
      <w:r w:rsidRPr="006C4191">
        <w:t xml:space="preserve"> K, Mack M, et al. Health Status After Transcatheter Versus Surgical Aortic Valve Replacement in Low-Risk Patients </w:t>
      </w:r>
      <w:proofErr w:type="gramStart"/>
      <w:r w:rsidRPr="006C4191">
        <w:t>With</w:t>
      </w:r>
      <w:proofErr w:type="gramEnd"/>
      <w:r w:rsidRPr="006C4191">
        <w:t xml:space="preserve"> Aortic Stenosis. Journal of the American College of Cardiology. 2019;74(23):2833-42.</w:t>
      </w:r>
    </w:p>
  </w:footnote>
  <w:footnote w:id="26">
    <w:p w14:paraId="3AC7A403" w14:textId="77777777" w:rsidR="00A73019" w:rsidRDefault="00A73019" w:rsidP="008C522C">
      <w:pPr>
        <w:pStyle w:val="FootnoteText"/>
      </w:pPr>
      <w:r>
        <w:rPr>
          <w:rStyle w:val="FootnoteReference"/>
        </w:rPr>
        <w:footnoteRef/>
      </w:r>
      <w:r>
        <w:t xml:space="preserve"> </w:t>
      </w:r>
      <w:r w:rsidRPr="006C4191">
        <w:t xml:space="preserve">Mack M, Baron S, Leon M, editors. Two year Clinical and Echocardiographic Outcomes from the PARTNER 3 Low risk Randomized Trial. American College of Cardiology Virtual Annual Scientific Session Together </w:t>
      </w:r>
      <w:proofErr w:type="gramStart"/>
      <w:r w:rsidRPr="006C4191">
        <w:t>With</w:t>
      </w:r>
      <w:proofErr w:type="gramEnd"/>
      <w:r w:rsidRPr="006C4191">
        <w:t xml:space="preserve"> World Congress of Cardiology (ACC 2020/WCC) 2020; Chicago.</w:t>
      </w:r>
    </w:p>
  </w:footnote>
  <w:footnote w:id="27">
    <w:p w14:paraId="17EBDFBC" w14:textId="77777777" w:rsidR="00A73019" w:rsidRDefault="00A73019" w:rsidP="008C522C">
      <w:pPr>
        <w:pStyle w:val="FootnoteText"/>
      </w:pPr>
      <w:r>
        <w:rPr>
          <w:rStyle w:val="FootnoteReference"/>
        </w:rPr>
        <w:footnoteRef/>
      </w:r>
      <w:r>
        <w:t xml:space="preserve"> </w:t>
      </w:r>
      <w:r w:rsidRPr="006C4191">
        <w:t>Popma JJ, Deeb GM, Yakubov SJ, Mumtaz M, Gada H, O'Hair D, et al. Transcatheter Aortic-Valve Replacement with a Self-Expanding Valve in Low-Risk Patients. N Engl J Med. 2019;380(18):1706-15.</w:t>
      </w:r>
    </w:p>
  </w:footnote>
  <w:footnote w:id="28">
    <w:p w14:paraId="4E9861AC" w14:textId="77777777" w:rsidR="00A73019" w:rsidRDefault="00A73019" w:rsidP="007276EC">
      <w:pPr>
        <w:pStyle w:val="FootnoteText"/>
      </w:pPr>
      <w:r>
        <w:rPr>
          <w:rStyle w:val="FootnoteReference"/>
        </w:rPr>
        <w:footnoteRef/>
      </w:r>
      <w:r>
        <w:t xml:space="preserve"> </w:t>
      </w:r>
      <w:proofErr w:type="spellStart"/>
      <w:r w:rsidRPr="003B389E">
        <w:t>Sathananthan</w:t>
      </w:r>
      <w:proofErr w:type="spellEnd"/>
      <w:r w:rsidRPr="003B389E">
        <w:t xml:space="preserve">, J., et al., Long-Term Durability of Transcatheter Heart Valves: Insights </w:t>
      </w:r>
      <w:proofErr w:type="gramStart"/>
      <w:r w:rsidRPr="003B389E">
        <w:t>From</w:t>
      </w:r>
      <w:proofErr w:type="gramEnd"/>
      <w:r w:rsidRPr="003B389E">
        <w:t xml:space="preserve"> Bench Testing to 25 Years. JACC Cardiovasc </w:t>
      </w:r>
      <w:proofErr w:type="spellStart"/>
      <w:r w:rsidRPr="003B389E">
        <w:t>Interv</w:t>
      </w:r>
      <w:proofErr w:type="spellEnd"/>
      <w:r w:rsidRPr="003B389E">
        <w:t>, 2020. 13(2): p. 235-249.</w:t>
      </w:r>
    </w:p>
  </w:footnote>
  <w:footnote w:id="29">
    <w:p w14:paraId="227CCDD1" w14:textId="77777777" w:rsidR="00A73019" w:rsidRDefault="00A73019" w:rsidP="007276EC">
      <w:pPr>
        <w:pStyle w:val="FootnoteText"/>
      </w:pPr>
      <w:r>
        <w:rPr>
          <w:rStyle w:val="FootnoteReference"/>
        </w:rPr>
        <w:footnoteRef/>
      </w:r>
      <w:r>
        <w:t xml:space="preserve"> </w:t>
      </w:r>
      <w:r w:rsidRPr="003B389E">
        <w:t xml:space="preserve">Blackman, D.J., et al., Long-Term Durability of Transcatheter Aortic Valve Prostheses. J Am Coll </w:t>
      </w:r>
      <w:proofErr w:type="spellStart"/>
      <w:r w:rsidRPr="003B389E">
        <w:t>Cardiol</w:t>
      </w:r>
      <w:proofErr w:type="spellEnd"/>
      <w:r w:rsidRPr="003B389E">
        <w:t>, 2019. 73(5): p. 537-545.</w:t>
      </w:r>
    </w:p>
  </w:footnote>
  <w:footnote w:id="30">
    <w:p w14:paraId="28F0854C" w14:textId="77777777" w:rsidR="00A73019" w:rsidRDefault="00A73019" w:rsidP="007276EC">
      <w:pPr>
        <w:pStyle w:val="FootnoteText"/>
      </w:pPr>
      <w:r>
        <w:rPr>
          <w:rStyle w:val="FootnoteReference"/>
        </w:rPr>
        <w:footnoteRef/>
      </w:r>
      <w:r>
        <w:t xml:space="preserve"> </w:t>
      </w:r>
      <w:r w:rsidRPr="00EA6A9B">
        <w:t xml:space="preserve">Durand, E., et al., Assessment of Long-Term Structural Deterioration of Transcatheter Aortic Bioprosthetic Valves Using the New European Definition. Circ Cardiovasc </w:t>
      </w:r>
      <w:proofErr w:type="spellStart"/>
      <w:r w:rsidRPr="00EA6A9B">
        <w:t>Interv</w:t>
      </w:r>
      <w:proofErr w:type="spellEnd"/>
      <w:r w:rsidRPr="00EA6A9B">
        <w:t>, 2019. 12(4): p. e007597.</w:t>
      </w:r>
    </w:p>
  </w:footnote>
  <w:footnote w:id="31">
    <w:p w14:paraId="2E367B31" w14:textId="77777777" w:rsidR="00A73019" w:rsidRDefault="00A73019" w:rsidP="007276EC">
      <w:pPr>
        <w:pStyle w:val="FootnoteText"/>
      </w:pPr>
      <w:r>
        <w:rPr>
          <w:rStyle w:val="FootnoteReference"/>
        </w:rPr>
        <w:footnoteRef/>
      </w:r>
      <w:r>
        <w:t xml:space="preserve"> </w:t>
      </w:r>
      <w:proofErr w:type="spellStart"/>
      <w:r w:rsidRPr="00EA6A9B">
        <w:t>Vollenbroich</w:t>
      </w:r>
      <w:proofErr w:type="spellEnd"/>
      <w:r w:rsidRPr="00EA6A9B">
        <w:t xml:space="preserve">, R., et al., Clinical outcomes in high-risk patients with a severe aortic stenosis: a seven-year follow-up analysis. Swiss Med </w:t>
      </w:r>
      <w:proofErr w:type="spellStart"/>
      <w:r w:rsidRPr="00EA6A9B">
        <w:t>Wkly</w:t>
      </w:r>
      <w:proofErr w:type="spellEnd"/>
      <w:r w:rsidRPr="00EA6A9B">
        <w:t>, 2019. 149: p. w20013.</w:t>
      </w:r>
    </w:p>
  </w:footnote>
  <w:footnote w:id="32">
    <w:p w14:paraId="7B20E4AF" w14:textId="77777777" w:rsidR="00A73019" w:rsidRDefault="00A73019" w:rsidP="007276EC">
      <w:pPr>
        <w:pStyle w:val="FootnoteText"/>
      </w:pPr>
      <w:r>
        <w:rPr>
          <w:rStyle w:val="FootnoteReference"/>
        </w:rPr>
        <w:footnoteRef/>
      </w:r>
      <w:r>
        <w:t xml:space="preserve"> </w:t>
      </w:r>
      <w:proofErr w:type="spellStart"/>
      <w:r w:rsidRPr="00683BBF">
        <w:t>Sathananthan</w:t>
      </w:r>
      <w:proofErr w:type="spellEnd"/>
      <w:r w:rsidRPr="00683BBF">
        <w:t xml:space="preserve">, J., et al., </w:t>
      </w:r>
      <w:proofErr w:type="gramStart"/>
      <w:r w:rsidRPr="00683BBF">
        <w:rPr>
          <w:i/>
        </w:rPr>
        <w:t>Ten year</w:t>
      </w:r>
      <w:proofErr w:type="gramEnd"/>
      <w:r w:rsidRPr="00683BBF">
        <w:rPr>
          <w:i/>
        </w:rPr>
        <w:t xml:space="preserve"> follow-up of high-risk patients treated during the early experience with transcatheter aortic valve replacement.</w:t>
      </w:r>
      <w:r w:rsidRPr="00683BBF">
        <w:t xml:space="preserve"> Catheter Cardiovasc </w:t>
      </w:r>
      <w:proofErr w:type="spellStart"/>
      <w:r w:rsidRPr="00683BBF">
        <w:t>Interv</w:t>
      </w:r>
      <w:proofErr w:type="spellEnd"/>
      <w:r w:rsidRPr="00683BBF">
        <w:t xml:space="preserve">, 2021. </w:t>
      </w:r>
      <w:r w:rsidRPr="00683BBF">
        <w:rPr>
          <w:b/>
        </w:rPr>
        <w:t>97</w:t>
      </w:r>
      <w:r w:rsidRPr="00683BBF">
        <w:t>(3): p. E431-e437.</w:t>
      </w:r>
    </w:p>
  </w:footnote>
  <w:footnote w:id="33">
    <w:p w14:paraId="25FA2931" w14:textId="77777777" w:rsidR="00A73019" w:rsidRDefault="00A73019" w:rsidP="007276EC">
      <w:pPr>
        <w:pStyle w:val="FootnoteText"/>
      </w:pPr>
      <w:r>
        <w:rPr>
          <w:rStyle w:val="FootnoteReference"/>
        </w:rPr>
        <w:footnoteRef/>
      </w:r>
      <w:r>
        <w:t xml:space="preserve"> </w:t>
      </w:r>
      <w:proofErr w:type="spellStart"/>
      <w:r w:rsidRPr="00853DF2">
        <w:t>Pibarot</w:t>
      </w:r>
      <w:proofErr w:type="spellEnd"/>
      <w:r w:rsidRPr="00853DF2">
        <w:t xml:space="preserve">, P., et al., Structural Deterioration of Transcatheter Versus Surgical Aortic Valve </w:t>
      </w:r>
      <w:proofErr w:type="spellStart"/>
      <w:r w:rsidRPr="00853DF2">
        <w:t>Bioprostheses</w:t>
      </w:r>
      <w:proofErr w:type="spellEnd"/>
      <w:r w:rsidRPr="00853DF2">
        <w:t xml:space="preserve"> in the PARTNER-2 Trial. J Am Coll </w:t>
      </w:r>
      <w:proofErr w:type="spellStart"/>
      <w:r w:rsidRPr="00853DF2">
        <w:t>Cardiol</w:t>
      </w:r>
      <w:proofErr w:type="spellEnd"/>
      <w:r w:rsidRPr="00853DF2">
        <w:t>, 2020. 76(16): p. 1830-1843.</w:t>
      </w:r>
    </w:p>
  </w:footnote>
  <w:footnote w:id="34">
    <w:p w14:paraId="4EF2DE34" w14:textId="77777777" w:rsidR="00A73019" w:rsidRDefault="00A73019" w:rsidP="00076524">
      <w:pPr>
        <w:pStyle w:val="FootnoteText"/>
      </w:pPr>
      <w:r>
        <w:rPr>
          <w:rStyle w:val="FootnoteReference"/>
        </w:rPr>
        <w:footnoteRef/>
      </w:r>
      <w:r>
        <w:t xml:space="preserve"> </w:t>
      </w:r>
      <w:r w:rsidRPr="00810DF9">
        <w:t xml:space="preserve">Baumgartner H, Falk V, </w:t>
      </w:r>
      <w:proofErr w:type="spellStart"/>
      <w:r w:rsidRPr="00810DF9">
        <w:t>Bax</w:t>
      </w:r>
      <w:proofErr w:type="spellEnd"/>
      <w:r w:rsidRPr="00810DF9">
        <w:t xml:space="preserve"> JJ, et al. 2017 ESC/EACTS Guidelines for the management of valvular heart disease. Eur Heart J. 2017;38(36):2739-2791.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B60BE" w14:textId="77777777" w:rsidR="00A73019" w:rsidRDefault="00A73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E0EA3" w14:textId="77777777" w:rsidR="00A73019" w:rsidRDefault="00A73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1719C" w14:textId="77777777" w:rsidR="00A73019" w:rsidRDefault="00A73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2BF"/>
    <w:multiLevelType w:val="hybridMultilevel"/>
    <w:tmpl w:val="77E85BE6"/>
    <w:lvl w:ilvl="0" w:tplc="CD862212">
      <w:start w:val="1"/>
      <w:numFmt w:val="decimal"/>
      <w:lvlText w:val="%1."/>
      <w:lvlJc w:val="left"/>
      <w:pPr>
        <w:ind w:left="401" w:hanging="360"/>
      </w:pPr>
      <w:rPr>
        <w:rFonts w:hint="default"/>
      </w:rPr>
    </w:lvl>
    <w:lvl w:ilvl="1" w:tplc="0C090019" w:tentative="1">
      <w:start w:val="1"/>
      <w:numFmt w:val="lowerLetter"/>
      <w:lvlText w:val="%2."/>
      <w:lvlJc w:val="left"/>
      <w:pPr>
        <w:ind w:left="1121" w:hanging="360"/>
      </w:pPr>
    </w:lvl>
    <w:lvl w:ilvl="2" w:tplc="0C09001B" w:tentative="1">
      <w:start w:val="1"/>
      <w:numFmt w:val="lowerRoman"/>
      <w:lvlText w:val="%3."/>
      <w:lvlJc w:val="right"/>
      <w:pPr>
        <w:ind w:left="1841" w:hanging="180"/>
      </w:pPr>
    </w:lvl>
    <w:lvl w:ilvl="3" w:tplc="0C09000F" w:tentative="1">
      <w:start w:val="1"/>
      <w:numFmt w:val="decimal"/>
      <w:lvlText w:val="%4."/>
      <w:lvlJc w:val="left"/>
      <w:pPr>
        <w:ind w:left="2561" w:hanging="360"/>
      </w:pPr>
    </w:lvl>
    <w:lvl w:ilvl="4" w:tplc="0C090019" w:tentative="1">
      <w:start w:val="1"/>
      <w:numFmt w:val="lowerLetter"/>
      <w:lvlText w:val="%5."/>
      <w:lvlJc w:val="left"/>
      <w:pPr>
        <w:ind w:left="3281" w:hanging="360"/>
      </w:pPr>
    </w:lvl>
    <w:lvl w:ilvl="5" w:tplc="0C09001B" w:tentative="1">
      <w:start w:val="1"/>
      <w:numFmt w:val="lowerRoman"/>
      <w:lvlText w:val="%6."/>
      <w:lvlJc w:val="right"/>
      <w:pPr>
        <w:ind w:left="4001" w:hanging="180"/>
      </w:pPr>
    </w:lvl>
    <w:lvl w:ilvl="6" w:tplc="0C09000F" w:tentative="1">
      <w:start w:val="1"/>
      <w:numFmt w:val="decimal"/>
      <w:lvlText w:val="%7."/>
      <w:lvlJc w:val="left"/>
      <w:pPr>
        <w:ind w:left="4721" w:hanging="360"/>
      </w:pPr>
    </w:lvl>
    <w:lvl w:ilvl="7" w:tplc="0C090019" w:tentative="1">
      <w:start w:val="1"/>
      <w:numFmt w:val="lowerLetter"/>
      <w:lvlText w:val="%8."/>
      <w:lvlJc w:val="left"/>
      <w:pPr>
        <w:ind w:left="5441" w:hanging="360"/>
      </w:pPr>
    </w:lvl>
    <w:lvl w:ilvl="8" w:tplc="0C09001B" w:tentative="1">
      <w:start w:val="1"/>
      <w:numFmt w:val="lowerRoman"/>
      <w:lvlText w:val="%9."/>
      <w:lvlJc w:val="right"/>
      <w:pPr>
        <w:ind w:left="6161" w:hanging="180"/>
      </w:pPr>
    </w:lvl>
  </w:abstractNum>
  <w:abstractNum w:abstractNumId="1" w15:restartNumberingAfterBreak="0">
    <w:nsid w:val="04457D6B"/>
    <w:multiLevelType w:val="hybridMultilevel"/>
    <w:tmpl w:val="77E85BE6"/>
    <w:lvl w:ilvl="0" w:tplc="CD862212">
      <w:start w:val="1"/>
      <w:numFmt w:val="decimal"/>
      <w:lvlText w:val="%1."/>
      <w:lvlJc w:val="left"/>
      <w:pPr>
        <w:ind w:left="401" w:hanging="360"/>
      </w:pPr>
      <w:rPr>
        <w:rFonts w:hint="default"/>
      </w:rPr>
    </w:lvl>
    <w:lvl w:ilvl="1" w:tplc="0C090019" w:tentative="1">
      <w:start w:val="1"/>
      <w:numFmt w:val="lowerLetter"/>
      <w:lvlText w:val="%2."/>
      <w:lvlJc w:val="left"/>
      <w:pPr>
        <w:ind w:left="1121" w:hanging="360"/>
      </w:pPr>
    </w:lvl>
    <w:lvl w:ilvl="2" w:tplc="0C09001B" w:tentative="1">
      <w:start w:val="1"/>
      <w:numFmt w:val="lowerRoman"/>
      <w:lvlText w:val="%3."/>
      <w:lvlJc w:val="right"/>
      <w:pPr>
        <w:ind w:left="1841" w:hanging="180"/>
      </w:pPr>
    </w:lvl>
    <w:lvl w:ilvl="3" w:tplc="0C09000F" w:tentative="1">
      <w:start w:val="1"/>
      <w:numFmt w:val="decimal"/>
      <w:lvlText w:val="%4."/>
      <w:lvlJc w:val="left"/>
      <w:pPr>
        <w:ind w:left="2561" w:hanging="360"/>
      </w:pPr>
    </w:lvl>
    <w:lvl w:ilvl="4" w:tplc="0C090019" w:tentative="1">
      <w:start w:val="1"/>
      <w:numFmt w:val="lowerLetter"/>
      <w:lvlText w:val="%5."/>
      <w:lvlJc w:val="left"/>
      <w:pPr>
        <w:ind w:left="3281" w:hanging="360"/>
      </w:pPr>
    </w:lvl>
    <w:lvl w:ilvl="5" w:tplc="0C09001B" w:tentative="1">
      <w:start w:val="1"/>
      <w:numFmt w:val="lowerRoman"/>
      <w:lvlText w:val="%6."/>
      <w:lvlJc w:val="right"/>
      <w:pPr>
        <w:ind w:left="4001" w:hanging="180"/>
      </w:pPr>
    </w:lvl>
    <w:lvl w:ilvl="6" w:tplc="0C09000F" w:tentative="1">
      <w:start w:val="1"/>
      <w:numFmt w:val="decimal"/>
      <w:lvlText w:val="%7."/>
      <w:lvlJc w:val="left"/>
      <w:pPr>
        <w:ind w:left="4721" w:hanging="360"/>
      </w:pPr>
    </w:lvl>
    <w:lvl w:ilvl="7" w:tplc="0C090019" w:tentative="1">
      <w:start w:val="1"/>
      <w:numFmt w:val="lowerLetter"/>
      <w:lvlText w:val="%8."/>
      <w:lvlJc w:val="left"/>
      <w:pPr>
        <w:ind w:left="5441" w:hanging="360"/>
      </w:pPr>
    </w:lvl>
    <w:lvl w:ilvl="8" w:tplc="0C09001B" w:tentative="1">
      <w:start w:val="1"/>
      <w:numFmt w:val="lowerRoman"/>
      <w:lvlText w:val="%9."/>
      <w:lvlJc w:val="right"/>
      <w:pPr>
        <w:ind w:left="6161" w:hanging="180"/>
      </w:pPr>
    </w:lvl>
  </w:abstractNum>
  <w:abstractNum w:abstractNumId="2" w15:restartNumberingAfterBreak="0">
    <w:nsid w:val="0BA328AF"/>
    <w:multiLevelType w:val="hybridMultilevel"/>
    <w:tmpl w:val="5060C962"/>
    <w:lvl w:ilvl="0" w:tplc="535C3FD6">
      <w:numFmt w:val="bullet"/>
      <w:lvlText w:val=""/>
      <w:lvlJc w:val="left"/>
      <w:pPr>
        <w:ind w:left="720" w:hanging="360"/>
      </w:pPr>
      <w:rPr>
        <w:rFonts w:ascii="Symbol" w:eastAsia="Times New Roman"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8004C"/>
    <w:multiLevelType w:val="hybridMultilevel"/>
    <w:tmpl w:val="28FE052A"/>
    <w:lvl w:ilvl="0" w:tplc="DBFA83DC">
      <w:start w:val="1"/>
      <w:numFmt w:val="bullet"/>
      <w:pStyle w:val="BulletLas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4D56A38"/>
    <w:multiLevelType w:val="hybridMultilevel"/>
    <w:tmpl w:val="77E85BE6"/>
    <w:lvl w:ilvl="0" w:tplc="CD862212">
      <w:start w:val="1"/>
      <w:numFmt w:val="decimal"/>
      <w:lvlText w:val="%1."/>
      <w:lvlJc w:val="left"/>
      <w:pPr>
        <w:ind w:left="401" w:hanging="360"/>
      </w:pPr>
      <w:rPr>
        <w:rFonts w:hint="default"/>
      </w:rPr>
    </w:lvl>
    <w:lvl w:ilvl="1" w:tplc="0C090019" w:tentative="1">
      <w:start w:val="1"/>
      <w:numFmt w:val="lowerLetter"/>
      <w:lvlText w:val="%2."/>
      <w:lvlJc w:val="left"/>
      <w:pPr>
        <w:ind w:left="1121" w:hanging="360"/>
      </w:pPr>
    </w:lvl>
    <w:lvl w:ilvl="2" w:tplc="0C09001B" w:tentative="1">
      <w:start w:val="1"/>
      <w:numFmt w:val="lowerRoman"/>
      <w:lvlText w:val="%3."/>
      <w:lvlJc w:val="right"/>
      <w:pPr>
        <w:ind w:left="1841" w:hanging="180"/>
      </w:pPr>
    </w:lvl>
    <w:lvl w:ilvl="3" w:tplc="0C09000F" w:tentative="1">
      <w:start w:val="1"/>
      <w:numFmt w:val="decimal"/>
      <w:lvlText w:val="%4."/>
      <w:lvlJc w:val="left"/>
      <w:pPr>
        <w:ind w:left="2561" w:hanging="360"/>
      </w:pPr>
    </w:lvl>
    <w:lvl w:ilvl="4" w:tplc="0C090019" w:tentative="1">
      <w:start w:val="1"/>
      <w:numFmt w:val="lowerLetter"/>
      <w:lvlText w:val="%5."/>
      <w:lvlJc w:val="left"/>
      <w:pPr>
        <w:ind w:left="3281" w:hanging="360"/>
      </w:pPr>
    </w:lvl>
    <w:lvl w:ilvl="5" w:tplc="0C09001B" w:tentative="1">
      <w:start w:val="1"/>
      <w:numFmt w:val="lowerRoman"/>
      <w:lvlText w:val="%6."/>
      <w:lvlJc w:val="right"/>
      <w:pPr>
        <w:ind w:left="4001" w:hanging="180"/>
      </w:pPr>
    </w:lvl>
    <w:lvl w:ilvl="6" w:tplc="0C09000F" w:tentative="1">
      <w:start w:val="1"/>
      <w:numFmt w:val="decimal"/>
      <w:lvlText w:val="%7."/>
      <w:lvlJc w:val="left"/>
      <w:pPr>
        <w:ind w:left="4721" w:hanging="360"/>
      </w:pPr>
    </w:lvl>
    <w:lvl w:ilvl="7" w:tplc="0C090019" w:tentative="1">
      <w:start w:val="1"/>
      <w:numFmt w:val="lowerLetter"/>
      <w:lvlText w:val="%8."/>
      <w:lvlJc w:val="left"/>
      <w:pPr>
        <w:ind w:left="5441" w:hanging="360"/>
      </w:pPr>
    </w:lvl>
    <w:lvl w:ilvl="8" w:tplc="0C09001B" w:tentative="1">
      <w:start w:val="1"/>
      <w:numFmt w:val="lowerRoman"/>
      <w:lvlText w:val="%9."/>
      <w:lvlJc w:val="right"/>
      <w:pPr>
        <w:ind w:left="6161" w:hanging="180"/>
      </w:pPr>
    </w:lvl>
  </w:abstractNum>
  <w:abstractNum w:abstractNumId="8" w15:restartNumberingAfterBreak="0">
    <w:nsid w:val="1506357F"/>
    <w:multiLevelType w:val="hybridMultilevel"/>
    <w:tmpl w:val="F8BAC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36A25"/>
    <w:multiLevelType w:val="hybridMultilevel"/>
    <w:tmpl w:val="C90A3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C1264"/>
    <w:multiLevelType w:val="hybridMultilevel"/>
    <w:tmpl w:val="832EE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0B12FAB"/>
    <w:multiLevelType w:val="hybridMultilevel"/>
    <w:tmpl w:val="D6760164"/>
    <w:lvl w:ilvl="0" w:tplc="BF1AE7DE">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9A18E2"/>
    <w:multiLevelType w:val="hybridMultilevel"/>
    <w:tmpl w:val="91E6C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3A2CDF"/>
    <w:multiLevelType w:val="hybridMultilevel"/>
    <w:tmpl w:val="2F14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01349B"/>
    <w:multiLevelType w:val="hybridMultilevel"/>
    <w:tmpl w:val="D200F7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2226D2F"/>
    <w:multiLevelType w:val="hybridMultilevel"/>
    <w:tmpl w:val="1116D1C2"/>
    <w:lvl w:ilvl="0" w:tplc="FFEA3D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4AA29EA"/>
    <w:multiLevelType w:val="hybridMultilevel"/>
    <w:tmpl w:val="3EACA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698852D4"/>
    <w:multiLevelType w:val="multilevel"/>
    <w:tmpl w:val="CEB0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01706C"/>
    <w:multiLevelType w:val="hybridMultilevel"/>
    <w:tmpl w:val="768C6654"/>
    <w:lvl w:ilvl="0" w:tplc="2B4A3C8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6EB270AC"/>
    <w:multiLevelType w:val="hybridMultilevel"/>
    <w:tmpl w:val="27880F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FD76A2B"/>
    <w:multiLevelType w:val="hybridMultilevel"/>
    <w:tmpl w:val="69A668D4"/>
    <w:lvl w:ilvl="0" w:tplc="BF1AE7D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4"/>
  </w:num>
  <w:num w:numId="4">
    <w:abstractNumId w:val="26"/>
  </w:num>
  <w:num w:numId="5">
    <w:abstractNumId w:val="20"/>
  </w:num>
  <w:num w:numId="6">
    <w:abstractNumId w:val="25"/>
  </w:num>
  <w:num w:numId="7">
    <w:abstractNumId w:val="30"/>
  </w:num>
  <w:num w:numId="8">
    <w:abstractNumId w:val="21"/>
  </w:num>
  <w:num w:numId="9">
    <w:abstractNumId w:val="42"/>
  </w:num>
  <w:num w:numId="10">
    <w:abstractNumId w:val="3"/>
  </w:num>
  <w:num w:numId="11">
    <w:abstractNumId w:val="28"/>
  </w:num>
  <w:num w:numId="12">
    <w:abstractNumId w:val="31"/>
  </w:num>
  <w:num w:numId="13">
    <w:abstractNumId w:val="10"/>
  </w:num>
  <w:num w:numId="14">
    <w:abstractNumId w:val="38"/>
  </w:num>
  <w:num w:numId="15">
    <w:abstractNumId w:val="27"/>
  </w:num>
  <w:num w:numId="16">
    <w:abstractNumId w:val="33"/>
  </w:num>
  <w:num w:numId="17">
    <w:abstractNumId w:val="22"/>
  </w:num>
  <w:num w:numId="18">
    <w:abstractNumId w:val="23"/>
  </w:num>
  <w:num w:numId="19">
    <w:abstractNumId w:val="36"/>
  </w:num>
  <w:num w:numId="20">
    <w:abstractNumId w:val="34"/>
  </w:num>
  <w:num w:numId="21">
    <w:abstractNumId w:val="6"/>
  </w:num>
  <w:num w:numId="22">
    <w:abstractNumId w:val="17"/>
  </w:num>
  <w:num w:numId="23">
    <w:abstractNumId w:val="5"/>
  </w:num>
  <w:num w:numId="24">
    <w:abstractNumId w:val="14"/>
  </w:num>
  <w:num w:numId="25">
    <w:abstractNumId w:val="11"/>
  </w:num>
  <w:num w:numId="26">
    <w:abstractNumId w:val="19"/>
  </w:num>
  <w:num w:numId="27">
    <w:abstractNumId w:val="15"/>
  </w:num>
  <w:num w:numId="28">
    <w:abstractNumId w:val="7"/>
  </w:num>
  <w:num w:numId="29">
    <w:abstractNumId w:val="0"/>
  </w:num>
  <w:num w:numId="30">
    <w:abstractNumId w:val="1"/>
  </w:num>
  <w:num w:numId="31">
    <w:abstractNumId w:val="2"/>
  </w:num>
  <w:num w:numId="32">
    <w:abstractNumId w:val="8"/>
  </w:num>
  <w:num w:numId="33">
    <w:abstractNumId w:val="37"/>
  </w:num>
  <w:num w:numId="34">
    <w:abstractNumId w:val="40"/>
  </w:num>
  <w:num w:numId="35">
    <w:abstractNumId w:val="29"/>
  </w:num>
  <w:num w:numId="36">
    <w:abstractNumId w:val="16"/>
  </w:num>
  <w:num w:numId="37">
    <w:abstractNumId w:val="13"/>
  </w:num>
  <w:num w:numId="38">
    <w:abstractNumId w:val="41"/>
  </w:num>
  <w:num w:numId="39">
    <w:abstractNumId w:val="9"/>
  </w:num>
  <w:num w:numId="40">
    <w:abstractNumId w:val="35"/>
  </w:num>
  <w:num w:numId="41">
    <w:abstractNumId w:val="18"/>
  </w:num>
  <w:num w:numId="42">
    <w:abstractNumId w:val="39"/>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6C6C"/>
    <w:rsid w:val="00007312"/>
    <w:rsid w:val="00011A36"/>
    <w:rsid w:val="0001311B"/>
    <w:rsid w:val="0002376D"/>
    <w:rsid w:val="000241F3"/>
    <w:rsid w:val="0002605C"/>
    <w:rsid w:val="000317F2"/>
    <w:rsid w:val="0003374F"/>
    <w:rsid w:val="00047606"/>
    <w:rsid w:val="00065623"/>
    <w:rsid w:val="000663AA"/>
    <w:rsid w:val="00067682"/>
    <w:rsid w:val="0007101C"/>
    <w:rsid w:val="000756B9"/>
    <w:rsid w:val="00076524"/>
    <w:rsid w:val="00082129"/>
    <w:rsid w:val="00086579"/>
    <w:rsid w:val="000873EE"/>
    <w:rsid w:val="00087A1C"/>
    <w:rsid w:val="00092735"/>
    <w:rsid w:val="00093AB5"/>
    <w:rsid w:val="00094373"/>
    <w:rsid w:val="00096559"/>
    <w:rsid w:val="00096B67"/>
    <w:rsid w:val="00096DAF"/>
    <w:rsid w:val="00096DCA"/>
    <w:rsid w:val="000A6282"/>
    <w:rsid w:val="000B1C87"/>
    <w:rsid w:val="000B5E55"/>
    <w:rsid w:val="000C1F45"/>
    <w:rsid w:val="000C2F47"/>
    <w:rsid w:val="000C3B2C"/>
    <w:rsid w:val="000C4839"/>
    <w:rsid w:val="000C4DD3"/>
    <w:rsid w:val="000D0E9A"/>
    <w:rsid w:val="000D2B9A"/>
    <w:rsid w:val="000D3E7B"/>
    <w:rsid w:val="000D6C00"/>
    <w:rsid w:val="000E4E04"/>
    <w:rsid w:val="000E7D80"/>
    <w:rsid w:val="000F14B4"/>
    <w:rsid w:val="000F75DF"/>
    <w:rsid w:val="001023DC"/>
    <w:rsid w:val="00104673"/>
    <w:rsid w:val="00104E0B"/>
    <w:rsid w:val="0011346F"/>
    <w:rsid w:val="001173AE"/>
    <w:rsid w:val="00122212"/>
    <w:rsid w:val="00125B02"/>
    <w:rsid w:val="001328FA"/>
    <w:rsid w:val="00142DDD"/>
    <w:rsid w:val="00147AAF"/>
    <w:rsid w:val="001552C0"/>
    <w:rsid w:val="001640B1"/>
    <w:rsid w:val="00166DFD"/>
    <w:rsid w:val="0017291F"/>
    <w:rsid w:val="00172C03"/>
    <w:rsid w:val="001738B5"/>
    <w:rsid w:val="00181A2E"/>
    <w:rsid w:val="0018414F"/>
    <w:rsid w:val="0018435E"/>
    <w:rsid w:val="00184691"/>
    <w:rsid w:val="001857F2"/>
    <w:rsid w:val="001A4AF5"/>
    <w:rsid w:val="001A592B"/>
    <w:rsid w:val="001A6A3A"/>
    <w:rsid w:val="001B06C8"/>
    <w:rsid w:val="001B3555"/>
    <w:rsid w:val="001B3885"/>
    <w:rsid w:val="001C03AF"/>
    <w:rsid w:val="001C42EC"/>
    <w:rsid w:val="001C54E9"/>
    <w:rsid w:val="001C7260"/>
    <w:rsid w:val="001C7688"/>
    <w:rsid w:val="001D0E2A"/>
    <w:rsid w:val="001D28DC"/>
    <w:rsid w:val="001E7A3D"/>
    <w:rsid w:val="001E7DC4"/>
    <w:rsid w:val="001F5DA8"/>
    <w:rsid w:val="001F6058"/>
    <w:rsid w:val="00203884"/>
    <w:rsid w:val="002041A1"/>
    <w:rsid w:val="002054F0"/>
    <w:rsid w:val="00205CF4"/>
    <w:rsid w:val="0021046D"/>
    <w:rsid w:val="00216CC9"/>
    <w:rsid w:val="0022043C"/>
    <w:rsid w:val="00223624"/>
    <w:rsid w:val="00224A37"/>
    <w:rsid w:val="00230D6B"/>
    <w:rsid w:val="00232068"/>
    <w:rsid w:val="002330F2"/>
    <w:rsid w:val="002408FF"/>
    <w:rsid w:val="00243D9E"/>
    <w:rsid w:val="00246FFA"/>
    <w:rsid w:val="00252FD1"/>
    <w:rsid w:val="00253B66"/>
    <w:rsid w:val="00260629"/>
    <w:rsid w:val="00261DF1"/>
    <w:rsid w:val="00262600"/>
    <w:rsid w:val="00263C99"/>
    <w:rsid w:val="0026456D"/>
    <w:rsid w:val="00265FCE"/>
    <w:rsid w:val="00267AAE"/>
    <w:rsid w:val="00271F18"/>
    <w:rsid w:val="00273FF2"/>
    <w:rsid w:val="00276E2B"/>
    <w:rsid w:val="002800B7"/>
    <w:rsid w:val="0028094E"/>
    <w:rsid w:val="00282779"/>
    <w:rsid w:val="002831C8"/>
    <w:rsid w:val="0028334D"/>
    <w:rsid w:val="0028577D"/>
    <w:rsid w:val="00291668"/>
    <w:rsid w:val="002A715C"/>
    <w:rsid w:val="002B26B3"/>
    <w:rsid w:val="002B7FFA"/>
    <w:rsid w:val="002C2BCF"/>
    <w:rsid w:val="002C4429"/>
    <w:rsid w:val="002C6F8C"/>
    <w:rsid w:val="002D6A5E"/>
    <w:rsid w:val="002E72C7"/>
    <w:rsid w:val="002E74F6"/>
    <w:rsid w:val="002F279D"/>
    <w:rsid w:val="002F43B8"/>
    <w:rsid w:val="00301488"/>
    <w:rsid w:val="00307325"/>
    <w:rsid w:val="00314E69"/>
    <w:rsid w:val="00320217"/>
    <w:rsid w:val="003244FD"/>
    <w:rsid w:val="003337DC"/>
    <w:rsid w:val="00334684"/>
    <w:rsid w:val="00336512"/>
    <w:rsid w:val="00336856"/>
    <w:rsid w:val="00337930"/>
    <w:rsid w:val="00340F46"/>
    <w:rsid w:val="0034554D"/>
    <w:rsid w:val="00352224"/>
    <w:rsid w:val="003546C4"/>
    <w:rsid w:val="00355FE1"/>
    <w:rsid w:val="00360FBB"/>
    <w:rsid w:val="0036145C"/>
    <w:rsid w:val="003671E6"/>
    <w:rsid w:val="003750DD"/>
    <w:rsid w:val="00377D4F"/>
    <w:rsid w:val="0038195E"/>
    <w:rsid w:val="00384272"/>
    <w:rsid w:val="00386D67"/>
    <w:rsid w:val="00386DEE"/>
    <w:rsid w:val="003915B9"/>
    <w:rsid w:val="003945B8"/>
    <w:rsid w:val="003A0819"/>
    <w:rsid w:val="003A4D21"/>
    <w:rsid w:val="003B08B4"/>
    <w:rsid w:val="003B08F2"/>
    <w:rsid w:val="003C387B"/>
    <w:rsid w:val="003C498A"/>
    <w:rsid w:val="003D2F4E"/>
    <w:rsid w:val="003D3CDE"/>
    <w:rsid w:val="003D5582"/>
    <w:rsid w:val="003D7F29"/>
    <w:rsid w:val="003E54D3"/>
    <w:rsid w:val="003E75BA"/>
    <w:rsid w:val="003F3764"/>
    <w:rsid w:val="003F632D"/>
    <w:rsid w:val="00405A6B"/>
    <w:rsid w:val="00407B1F"/>
    <w:rsid w:val="0041184F"/>
    <w:rsid w:val="00414C57"/>
    <w:rsid w:val="004167C3"/>
    <w:rsid w:val="0041758C"/>
    <w:rsid w:val="00420D22"/>
    <w:rsid w:val="00422139"/>
    <w:rsid w:val="00425371"/>
    <w:rsid w:val="00443902"/>
    <w:rsid w:val="00443ADF"/>
    <w:rsid w:val="004539DE"/>
    <w:rsid w:val="00456767"/>
    <w:rsid w:val="0047180B"/>
    <w:rsid w:val="00471D84"/>
    <w:rsid w:val="00484EA3"/>
    <w:rsid w:val="004967B0"/>
    <w:rsid w:val="004976DC"/>
    <w:rsid w:val="004A0907"/>
    <w:rsid w:val="004A2CF1"/>
    <w:rsid w:val="004A4CC2"/>
    <w:rsid w:val="004A4D40"/>
    <w:rsid w:val="004A7008"/>
    <w:rsid w:val="004B5EE1"/>
    <w:rsid w:val="004C3035"/>
    <w:rsid w:val="004C307F"/>
    <w:rsid w:val="004D3FAD"/>
    <w:rsid w:val="004E0F4A"/>
    <w:rsid w:val="004E4BA8"/>
    <w:rsid w:val="004E5511"/>
    <w:rsid w:val="004E6C21"/>
    <w:rsid w:val="004F340F"/>
    <w:rsid w:val="004F4D89"/>
    <w:rsid w:val="004F7B7C"/>
    <w:rsid w:val="00507F4A"/>
    <w:rsid w:val="00520D05"/>
    <w:rsid w:val="0052243D"/>
    <w:rsid w:val="005227AF"/>
    <w:rsid w:val="00524471"/>
    <w:rsid w:val="00524823"/>
    <w:rsid w:val="00526F76"/>
    <w:rsid w:val="00532435"/>
    <w:rsid w:val="00550354"/>
    <w:rsid w:val="005568A8"/>
    <w:rsid w:val="005573C5"/>
    <w:rsid w:val="00562EC7"/>
    <w:rsid w:val="00571236"/>
    <w:rsid w:val="00571DB8"/>
    <w:rsid w:val="005819C3"/>
    <w:rsid w:val="00585779"/>
    <w:rsid w:val="00591941"/>
    <w:rsid w:val="005953A1"/>
    <w:rsid w:val="005A4362"/>
    <w:rsid w:val="005A4DEA"/>
    <w:rsid w:val="005A5FA9"/>
    <w:rsid w:val="005B5434"/>
    <w:rsid w:val="005B56BF"/>
    <w:rsid w:val="005C0813"/>
    <w:rsid w:val="005C2792"/>
    <w:rsid w:val="005C4204"/>
    <w:rsid w:val="005C7A43"/>
    <w:rsid w:val="005D0332"/>
    <w:rsid w:val="005D0D8C"/>
    <w:rsid w:val="005E3AA3"/>
    <w:rsid w:val="00600771"/>
    <w:rsid w:val="00600EBA"/>
    <w:rsid w:val="00605866"/>
    <w:rsid w:val="006222A0"/>
    <w:rsid w:val="00625BC8"/>
    <w:rsid w:val="0063404D"/>
    <w:rsid w:val="00635DBF"/>
    <w:rsid w:val="00637488"/>
    <w:rsid w:val="00637CE9"/>
    <w:rsid w:val="00644391"/>
    <w:rsid w:val="00653B72"/>
    <w:rsid w:val="006542DD"/>
    <w:rsid w:val="006667F3"/>
    <w:rsid w:val="0067102F"/>
    <w:rsid w:val="00672E67"/>
    <w:rsid w:val="006776AE"/>
    <w:rsid w:val="0068406C"/>
    <w:rsid w:val="0069478A"/>
    <w:rsid w:val="00697034"/>
    <w:rsid w:val="006A0D97"/>
    <w:rsid w:val="006B1F86"/>
    <w:rsid w:val="006B63AB"/>
    <w:rsid w:val="006C0A91"/>
    <w:rsid w:val="006C182D"/>
    <w:rsid w:val="006C596F"/>
    <w:rsid w:val="006F5553"/>
    <w:rsid w:val="00704E4B"/>
    <w:rsid w:val="007054BB"/>
    <w:rsid w:val="00707064"/>
    <w:rsid w:val="00711EE5"/>
    <w:rsid w:val="00722274"/>
    <w:rsid w:val="00724548"/>
    <w:rsid w:val="007276EC"/>
    <w:rsid w:val="00727A0B"/>
    <w:rsid w:val="00730566"/>
    <w:rsid w:val="00730683"/>
    <w:rsid w:val="007436CC"/>
    <w:rsid w:val="00745ECF"/>
    <w:rsid w:val="00750CDD"/>
    <w:rsid w:val="007521B8"/>
    <w:rsid w:val="0075261F"/>
    <w:rsid w:val="00753EE8"/>
    <w:rsid w:val="0075468E"/>
    <w:rsid w:val="00760840"/>
    <w:rsid w:val="00764E0C"/>
    <w:rsid w:val="007665D8"/>
    <w:rsid w:val="00766E36"/>
    <w:rsid w:val="007765F4"/>
    <w:rsid w:val="00776633"/>
    <w:rsid w:val="00784D53"/>
    <w:rsid w:val="00786BD6"/>
    <w:rsid w:val="00793D2C"/>
    <w:rsid w:val="00795901"/>
    <w:rsid w:val="0079722B"/>
    <w:rsid w:val="00797797"/>
    <w:rsid w:val="007A33C2"/>
    <w:rsid w:val="007A3FED"/>
    <w:rsid w:val="007A5C89"/>
    <w:rsid w:val="007A63C9"/>
    <w:rsid w:val="007B32D1"/>
    <w:rsid w:val="007B7095"/>
    <w:rsid w:val="007D24E1"/>
    <w:rsid w:val="007D409A"/>
    <w:rsid w:val="007D6288"/>
    <w:rsid w:val="007D63F2"/>
    <w:rsid w:val="007E0267"/>
    <w:rsid w:val="007E6297"/>
    <w:rsid w:val="007E6784"/>
    <w:rsid w:val="007E6DB9"/>
    <w:rsid w:val="007F4CE9"/>
    <w:rsid w:val="007F4E20"/>
    <w:rsid w:val="00802B59"/>
    <w:rsid w:val="00806F3E"/>
    <w:rsid w:val="008079E2"/>
    <w:rsid w:val="00807FF4"/>
    <w:rsid w:val="00817FE1"/>
    <w:rsid w:val="00822C7E"/>
    <w:rsid w:val="00837A67"/>
    <w:rsid w:val="00842ACE"/>
    <w:rsid w:val="00847060"/>
    <w:rsid w:val="00847A36"/>
    <w:rsid w:val="0085555A"/>
    <w:rsid w:val="00855CD6"/>
    <w:rsid w:val="0085632E"/>
    <w:rsid w:val="00856A33"/>
    <w:rsid w:val="00866CCE"/>
    <w:rsid w:val="0086750E"/>
    <w:rsid w:val="008772F8"/>
    <w:rsid w:val="00883AA2"/>
    <w:rsid w:val="008863B2"/>
    <w:rsid w:val="0088697E"/>
    <w:rsid w:val="008924F7"/>
    <w:rsid w:val="00892620"/>
    <w:rsid w:val="00894D31"/>
    <w:rsid w:val="00896B1D"/>
    <w:rsid w:val="0089791E"/>
    <w:rsid w:val="008A0E9B"/>
    <w:rsid w:val="008A703D"/>
    <w:rsid w:val="008B1E29"/>
    <w:rsid w:val="008B5015"/>
    <w:rsid w:val="008B755F"/>
    <w:rsid w:val="008C327B"/>
    <w:rsid w:val="008C3832"/>
    <w:rsid w:val="008C4137"/>
    <w:rsid w:val="008C4E7C"/>
    <w:rsid w:val="008C522C"/>
    <w:rsid w:val="008C673A"/>
    <w:rsid w:val="008C778E"/>
    <w:rsid w:val="008C7D37"/>
    <w:rsid w:val="008D14DF"/>
    <w:rsid w:val="008D1722"/>
    <w:rsid w:val="008D2F7A"/>
    <w:rsid w:val="008D4C8E"/>
    <w:rsid w:val="008D5885"/>
    <w:rsid w:val="008F4F0F"/>
    <w:rsid w:val="009033AF"/>
    <w:rsid w:val="00906DE1"/>
    <w:rsid w:val="009074B2"/>
    <w:rsid w:val="009116DE"/>
    <w:rsid w:val="00915B2C"/>
    <w:rsid w:val="00915DF0"/>
    <w:rsid w:val="00917597"/>
    <w:rsid w:val="0092297C"/>
    <w:rsid w:val="00923FA2"/>
    <w:rsid w:val="00925659"/>
    <w:rsid w:val="00937305"/>
    <w:rsid w:val="0095131C"/>
    <w:rsid w:val="00957F40"/>
    <w:rsid w:val="0096060D"/>
    <w:rsid w:val="009649BB"/>
    <w:rsid w:val="00964AB0"/>
    <w:rsid w:val="00965402"/>
    <w:rsid w:val="00966723"/>
    <w:rsid w:val="0096796C"/>
    <w:rsid w:val="009723D4"/>
    <w:rsid w:val="00974A50"/>
    <w:rsid w:val="0097585A"/>
    <w:rsid w:val="009773E5"/>
    <w:rsid w:val="00983D99"/>
    <w:rsid w:val="009868BB"/>
    <w:rsid w:val="009924B0"/>
    <w:rsid w:val="009942C9"/>
    <w:rsid w:val="009953AE"/>
    <w:rsid w:val="009B35C4"/>
    <w:rsid w:val="009B58A1"/>
    <w:rsid w:val="009B5F21"/>
    <w:rsid w:val="009B6AD3"/>
    <w:rsid w:val="009C286E"/>
    <w:rsid w:val="009C58D1"/>
    <w:rsid w:val="009C630A"/>
    <w:rsid w:val="009D40A9"/>
    <w:rsid w:val="009E0D98"/>
    <w:rsid w:val="009F2920"/>
    <w:rsid w:val="00A049C3"/>
    <w:rsid w:val="00A068A1"/>
    <w:rsid w:val="00A068BC"/>
    <w:rsid w:val="00A1207D"/>
    <w:rsid w:val="00A12FD8"/>
    <w:rsid w:val="00A14445"/>
    <w:rsid w:val="00A266F1"/>
    <w:rsid w:val="00A31E12"/>
    <w:rsid w:val="00A34671"/>
    <w:rsid w:val="00A346FC"/>
    <w:rsid w:val="00A46D77"/>
    <w:rsid w:val="00A502DF"/>
    <w:rsid w:val="00A5571A"/>
    <w:rsid w:val="00A564EC"/>
    <w:rsid w:val="00A6376C"/>
    <w:rsid w:val="00A667ED"/>
    <w:rsid w:val="00A73019"/>
    <w:rsid w:val="00A735DF"/>
    <w:rsid w:val="00A7538F"/>
    <w:rsid w:val="00A80410"/>
    <w:rsid w:val="00A80E75"/>
    <w:rsid w:val="00A846F2"/>
    <w:rsid w:val="00A84F93"/>
    <w:rsid w:val="00A85073"/>
    <w:rsid w:val="00A92E5C"/>
    <w:rsid w:val="00A9377E"/>
    <w:rsid w:val="00A93D40"/>
    <w:rsid w:val="00AA5265"/>
    <w:rsid w:val="00AA55FA"/>
    <w:rsid w:val="00AB1AC5"/>
    <w:rsid w:val="00AB2777"/>
    <w:rsid w:val="00AB3BFC"/>
    <w:rsid w:val="00AB5C37"/>
    <w:rsid w:val="00AB61C3"/>
    <w:rsid w:val="00AC4F2E"/>
    <w:rsid w:val="00AD0C37"/>
    <w:rsid w:val="00AD260C"/>
    <w:rsid w:val="00AD385F"/>
    <w:rsid w:val="00AD580C"/>
    <w:rsid w:val="00AE222C"/>
    <w:rsid w:val="00AE4ED7"/>
    <w:rsid w:val="00AE6E2A"/>
    <w:rsid w:val="00AF0932"/>
    <w:rsid w:val="00AF1ADB"/>
    <w:rsid w:val="00AF38AD"/>
    <w:rsid w:val="00B0002F"/>
    <w:rsid w:val="00B0294B"/>
    <w:rsid w:val="00B03EAB"/>
    <w:rsid w:val="00B31CC9"/>
    <w:rsid w:val="00B31E9C"/>
    <w:rsid w:val="00B35595"/>
    <w:rsid w:val="00B355EA"/>
    <w:rsid w:val="00B50ADA"/>
    <w:rsid w:val="00B51426"/>
    <w:rsid w:val="00B51C6D"/>
    <w:rsid w:val="00B51C8A"/>
    <w:rsid w:val="00B57167"/>
    <w:rsid w:val="00B6382A"/>
    <w:rsid w:val="00B656E8"/>
    <w:rsid w:val="00B65B9E"/>
    <w:rsid w:val="00B71642"/>
    <w:rsid w:val="00B7415F"/>
    <w:rsid w:val="00B83C44"/>
    <w:rsid w:val="00B83DD2"/>
    <w:rsid w:val="00B86D64"/>
    <w:rsid w:val="00B91CF6"/>
    <w:rsid w:val="00B97A2C"/>
    <w:rsid w:val="00BA4AC5"/>
    <w:rsid w:val="00BB0297"/>
    <w:rsid w:val="00BC1364"/>
    <w:rsid w:val="00BC2667"/>
    <w:rsid w:val="00BC7DE9"/>
    <w:rsid w:val="00BD2ABF"/>
    <w:rsid w:val="00BD4B48"/>
    <w:rsid w:val="00BD594B"/>
    <w:rsid w:val="00BF479B"/>
    <w:rsid w:val="00C02577"/>
    <w:rsid w:val="00C06B0B"/>
    <w:rsid w:val="00C12D7A"/>
    <w:rsid w:val="00C14729"/>
    <w:rsid w:val="00C204FB"/>
    <w:rsid w:val="00C20BEE"/>
    <w:rsid w:val="00C2158D"/>
    <w:rsid w:val="00C24B08"/>
    <w:rsid w:val="00C4191F"/>
    <w:rsid w:val="00C421D0"/>
    <w:rsid w:val="00C43A47"/>
    <w:rsid w:val="00C4696D"/>
    <w:rsid w:val="00C55E41"/>
    <w:rsid w:val="00C5795A"/>
    <w:rsid w:val="00C67DD2"/>
    <w:rsid w:val="00C71F56"/>
    <w:rsid w:val="00C725CB"/>
    <w:rsid w:val="00C73B6C"/>
    <w:rsid w:val="00C76F5C"/>
    <w:rsid w:val="00C83FBA"/>
    <w:rsid w:val="00C85E4B"/>
    <w:rsid w:val="00C95B1D"/>
    <w:rsid w:val="00C96BAD"/>
    <w:rsid w:val="00CA1CF8"/>
    <w:rsid w:val="00CA6944"/>
    <w:rsid w:val="00CB0F8E"/>
    <w:rsid w:val="00CB7E7D"/>
    <w:rsid w:val="00CC1ED3"/>
    <w:rsid w:val="00CC2911"/>
    <w:rsid w:val="00CC49DF"/>
    <w:rsid w:val="00CD0C84"/>
    <w:rsid w:val="00CE03BC"/>
    <w:rsid w:val="00CE0FE2"/>
    <w:rsid w:val="00CE2465"/>
    <w:rsid w:val="00CF0C6D"/>
    <w:rsid w:val="00CF3E6F"/>
    <w:rsid w:val="00CF4E81"/>
    <w:rsid w:val="00CF5548"/>
    <w:rsid w:val="00CF7307"/>
    <w:rsid w:val="00CF7C68"/>
    <w:rsid w:val="00D021EE"/>
    <w:rsid w:val="00D124FA"/>
    <w:rsid w:val="00D12F5B"/>
    <w:rsid w:val="00D20EA6"/>
    <w:rsid w:val="00D259EC"/>
    <w:rsid w:val="00D3088E"/>
    <w:rsid w:val="00D340DE"/>
    <w:rsid w:val="00D35CB5"/>
    <w:rsid w:val="00D360E7"/>
    <w:rsid w:val="00D55723"/>
    <w:rsid w:val="00D57234"/>
    <w:rsid w:val="00D60C3F"/>
    <w:rsid w:val="00D62FAD"/>
    <w:rsid w:val="00D63E4F"/>
    <w:rsid w:val="00D64355"/>
    <w:rsid w:val="00D70450"/>
    <w:rsid w:val="00D74563"/>
    <w:rsid w:val="00D772B9"/>
    <w:rsid w:val="00D80FEF"/>
    <w:rsid w:val="00D83BFD"/>
    <w:rsid w:val="00D90A38"/>
    <w:rsid w:val="00D9115A"/>
    <w:rsid w:val="00D92A94"/>
    <w:rsid w:val="00D95739"/>
    <w:rsid w:val="00DA0515"/>
    <w:rsid w:val="00DA171E"/>
    <w:rsid w:val="00DA56AA"/>
    <w:rsid w:val="00DB5833"/>
    <w:rsid w:val="00DB6A19"/>
    <w:rsid w:val="00DC38AB"/>
    <w:rsid w:val="00DC64DD"/>
    <w:rsid w:val="00DD0066"/>
    <w:rsid w:val="00DD2858"/>
    <w:rsid w:val="00DD35B3"/>
    <w:rsid w:val="00DD52CD"/>
    <w:rsid w:val="00DE3355"/>
    <w:rsid w:val="00DE4513"/>
    <w:rsid w:val="00DF2628"/>
    <w:rsid w:val="00DF489D"/>
    <w:rsid w:val="00E02D6D"/>
    <w:rsid w:val="00E03E33"/>
    <w:rsid w:val="00E059E0"/>
    <w:rsid w:val="00E0765F"/>
    <w:rsid w:val="00E07D54"/>
    <w:rsid w:val="00E1593C"/>
    <w:rsid w:val="00E16337"/>
    <w:rsid w:val="00E30661"/>
    <w:rsid w:val="00E31A52"/>
    <w:rsid w:val="00E3642A"/>
    <w:rsid w:val="00E415C4"/>
    <w:rsid w:val="00E43FA2"/>
    <w:rsid w:val="00E44850"/>
    <w:rsid w:val="00E50016"/>
    <w:rsid w:val="00E50EAA"/>
    <w:rsid w:val="00E51814"/>
    <w:rsid w:val="00E519D3"/>
    <w:rsid w:val="00E6433E"/>
    <w:rsid w:val="00E656D6"/>
    <w:rsid w:val="00E65939"/>
    <w:rsid w:val="00E66B09"/>
    <w:rsid w:val="00E75492"/>
    <w:rsid w:val="00E75B03"/>
    <w:rsid w:val="00E81877"/>
    <w:rsid w:val="00E90A7C"/>
    <w:rsid w:val="00E9166E"/>
    <w:rsid w:val="00E92D5B"/>
    <w:rsid w:val="00E94A04"/>
    <w:rsid w:val="00E956EF"/>
    <w:rsid w:val="00E977EE"/>
    <w:rsid w:val="00EA2F24"/>
    <w:rsid w:val="00EA5C0E"/>
    <w:rsid w:val="00EA5C12"/>
    <w:rsid w:val="00EA67A2"/>
    <w:rsid w:val="00EB1E9D"/>
    <w:rsid w:val="00EB53DF"/>
    <w:rsid w:val="00EB630F"/>
    <w:rsid w:val="00EB6B6F"/>
    <w:rsid w:val="00EC4F98"/>
    <w:rsid w:val="00EC708B"/>
    <w:rsid w:val="00ED006A"/>
    <w:rsid w:val="00ED10BE"/>
    <w:rsid w:val="00ED41A7"/>
    <w:rsid w:val="00ED5F15"/>
    <w:rsid w:val="00ED76B6"/>
    <w:rsid w:val="00EE4F9F"/>
    <w:rsid w:val="00EF639A"/>
    <w:rsid w:val="00EF65B9"/>
    <w:rsid w:val="00EF6F8D"/>
    <w:rsid w:val="00F12F02"/>
    <w:rsid w:val="00F25A3E"/>
    <w:rsid w:val="00F32E0D"/>
    <w:rsid w:val="00F35134"/>
    <w:rsid w:val="00F37B9C"/>
    <w:rsid w:val="00F37F98"/>
    <w:rsid w:val="00F41812"/>
    <w:rsid w:val="00F42E36"/>
    <w:rsid w:val="00F45C5A"/>
    <w:rsid w:val="00F532DF"/>
    <w:rsid w:val="00F56D7F"/>
    <w:rsid w:val="00F575B9"/>
    <w:rsid w:val="00F6090C"/>
    <w:rsid w:val="00F63911"/>
    <w:rsid w:val="00F6484B"/>
    <w:rsid w:val="00F715D1"/>
    <w:rsid w:val="00F72715"/>
    <w:rsid w:val="00F73333"/>
    <w:rsid w:val="00F76713"/>
    <w:rsid w:val="00F82577"/>
    <w:rsid w:val="00F85868"/>
    <w:rsid w:val="00F86003"/>
    <w:rsid w:val="00F95D8F"/>
    <w:rsid w:val="00F96E16"/>
    <w:rsid w:val="00F97706"/>
    <w:rsid w:val="00FA705C"/>
    <w:rsid w:val="00FA71C5"/>
    <w:rsid w:val="00FB350A"/>
    <w:rsid w:val="00FB44D6"/>
    <w:rsid w:val="00FB4C5D"/>
    <w:rsid w:val="00FC2D72"/>
    <w:rsid w:val="00FC49F6"/>
    <w:rsid w:val="00FC5F1A"/>
    <w:rsid w:val="00FC7715"/>
    <w:rsid w:val="00FD6FDE"/>
    <w:rsid w:val="00FE1C3F"/>
    <w:rsid w:val="00FE4383"/>
    <w:rsid w:val="00FE6470"/>
    <w:rsid w:val="00FE731D"/>
    <w:rsid w:val="00FF05FA"/>
    <w:rsid w:val="00FF4550"/>
    <w:rsid w:val="00FF57EF"/>
    <w:rsid w:val="00FF60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D5A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B0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750CDD"/>
    <w:pPr>
      <w:keepNext/>
      <w:keepLines/>
      <w:spacing w:before="200"/>
      <w:outlineLvl w:val="1"/>
    </w:pPr>
    <w:rPr>
      <w:rFonts w:eastAsiaTheme="majorEastAsia" w:cstheme="majorBidi"/>
      <w:bCs/>
      <w:i/>
      <w:szCs w:val="26"/>
    </w:rPr>
  </w:style>
  <w:style w:type="paragraph" w:styleId="Heading3">
    <w:name w:val="heading 3"/>
    <w:basedOn w:val="Normal"/>
    <w:next w:val="Normal"/>
    <w:link w:val="Heading3Char"/>
    <w:unhideWhenUsed/>
    <w:qFormat/>
    <w:locked/>
    <w:rsid w:val="00750CDD"/>
    <w:pPr>
      <w:keepNext/>
      <w:keepLines/>
      <w:spacing w:before="4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750CDD"/>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76524"/>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3">
    <w:name w:val="HealthConsult3"/>
    <w:basedOn w:val="TableNormal"/>
    <w:next w:val="TableGrid"/>
    <w:uiPriority w:val="39"/>
    <w:rsid w:val="00FB44D6"/>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4">
    <w:name w:val="HealthConsult4"/>
    <w:basedOn w:val="TableNormal"/>
    <w:next w:val="TableGrid"/>
    <w:uiPriority w:val="39"/>
    <w:rsid w:val="008C522C"/>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8C522C"/>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8C522C"/>
    <w:rPr>
      <w:rFonts w:ascii="Arial Narrow" w:eastAsia="Times New Roman" w:hAnsi="Arial Narrow" w:cs="Arial"/>
      <w:b/>
      <w:bCs/>
      <w:iCs/>
      <w:sz w:val="20"/>
      <w:szCs w:val="20"/>
      <w:lang w:eastAsia="en-US"/>
    </w:rPr>
  </w:style>
  <w:style w:type="table" w:customStyle="1" w:styleId="HealthConsult1">
    <w:name w:val="HealthConsult1"/>
    <w:basedOn w:val="TableNormal"/>
    <w:next w:val="TableGrid"/>
    <w:uiPriority w:val="39"/>
    <w:rsid w:val="008C522C"/>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2">
    <w:name w:val="HealthConsult2"/>
    <w:basedOn w:val="TableNormal"/>
    <w:next w:val="TableGrid"/>
    <w:uiPriority w:val="39"/>
    <w:rsid w:val="008C522C"/>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96559"/>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ahnschrift SemiBold" w:hAnsi="Bahnschrift SemiBold"/>
        <w:b w:val="0"/>
        <w:sz w:val="20"/>
      </w:rPr>
    </w:tblStylePr>
  </w:style>
  <w:style w:type="table" w:customStyle="1" w:styleId="TableGrid22">
    <w:name w:val="Table Grid22"/>
    <w:basedOn w:val="TableNormal"/>
    <w:next w:val="TableGrid"/>
    <w:rsid w:val="00096559"/>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ahnschrift SemiBold" w:hAnsi="Bahnschrift SemiBold"/>
        <w:b w:val="0"/>
        <w:sz w:val="20"/>
      </w:rPr>
    </w:tblStylePr>
  </w:style>
  <w:style w:type="character" w:customStyle="1" w:styleId="ListParagraphChar">
    <w:name w:val="List Paragraph Char"/>
    <w:aliases w:val="Styl moj Char,Akapit z listą1 Char,Akapit z listą11 Char"/>
    <w:link w:val="ListParagraph"/>
    <w:uiPriority w:val="34"/>
    <w:rsid w:val="00096559"/>
    <w:rPr>
      <w:rFonts w:eastAsia="Times New Roman"/>
      <w:sz w:val="24"/>
      <w:szCs w:val="20"/>
    </w:rPr>
  </w:style>
  <w:style w:type="character" w:customStyle="1" w:styleId="Heading3Char">
    <w:name w:val="Heading 3 Char"/>
    <w:basedOn w:val="DefaultParagraphFont"/>
    <w:link w:val="Heading3"/>
    <w:rsid w:val="00750CDD"/>
    <w:rPr>
      <w:rFonts w:eastAsiaTheme="majorEastAsia" w:cstheme="majorBidi"/>
      <w:sz w:val="24"/>
      <w:szCs w:val="24"/>
      <w:u w:val="single"/>
    </w:rPr>
  </w:style>
  <w:style w:type="paragraph" w:customStyle="1" w:styleId="BulletBeforeDash">
    <w:name w:val="BulletBeforeDash"/>
    <w:basedOn w:val="Normal"/>
    <w:rsid w:val="00C4696D"/>
    <w:pPr>
      <w:numPr>
        <w:numId w:val="38"/>
      </w:numPr>
      <w:ind w:left="720"/>
    </w:pPr>
    <w:rPr>
      <w:color w:val="000000"/>
    </w:rPr>
  </w:style>
  <w:style w:type="paragraph" w:customStyle="1" w:styleId="BulletLast">
    <w:name w:val="BulletLast"/>
    <w:basedOn w:val="Normal"/>
    <w:qFormat/>
    <w:rsid w:val="00C4696D"/>
    <w:pPr>
      <w:numPr>
        <w:numId w:val="3"/>
      </w:numPr>
      <w:spacing w:after="240"/>
      <w:ind w:left="720"/>
    </w:pPr>
    <w:rPr>
      <w:color w:val="000000"/>
    </w:rPr>
  </w:style>
  <w:style w:type="paragraph" w:customStyle="1" w:styleId="Bullet">
    <w:name w:val="Bullet"/>
    <w:basedOn w:val="BulletBeforeDash"/>
    <w:qFormat/>
    <w:rsid w:val="00C4696D"/>
    <w:pPr>
      <w:numPr>
        <w:numId w:val="0"/>
      </w:numPr>
      <w:tabs>
        <w:tab w:val="num" w:pos="1080"/>
      </w:tabs>
      <w:spacing w:after="120"/>
      <w:ind w:left="720" w:hanging="360"/>
    </w:pPr>
  </w:style>
  <w:style w:type="paragraph" w:customStyle="1" w:styleId="NormalBeforeBullet">
    <w:name w:val="NormalBeforeBullet"/>
    <w:basedOn w:val="Normal"/>
    <w:qFormat/>
    <w:rsid w:val="00C4696D"/>
    <w:pPr>
      <w:keepNext/>
      <w:spacing w:after="120"/>
    </w:pPr>
    <w:rPr>
      <w:color w:val="000000"/>
    </w:rPr>
  </w:style>
  <w:style w:type="paragraph" w:styleId="Revision">
    <w:name w:val="Revision"/>
    <w:hidden/>
    <w:uiPriority w:val="99"/>
    <w:semiHidden/>
    <w:rsid w:val="00B31CC9"/>
    <w:rPr>
      <w:rFonts w:eastAsia="Times New Roman"/>
      <w:sz w:val="24"/>
      <w:szCs w:val="20"/>
    </w:rPr>
  </w:style>
  <w:style w:type="paragraph" w:styleId="NormalWeb">
    <w:name w:val="Normal (Web)"/>
    <w:basedOn w:val="Normal"/>
    <w:uiPriority w:val="99"/>
    <w:semiHidden/>
    <w:unhideWhenUsed/>
    <w:rsid w:val="00DE3355"/>
    <w:pPr>
      <w:spacing w:before="100" w:beforeAutospacing="1" w:after="100" w:afterAutospacing="1"/>
    </w:pPr>
    <w:rPr>
      <w:rFonts w:ascii="Calibri" w:eastAsiaTheme="minorHAnsi" w:hAnsi="Calibri" w:cs="Calibri"/>
      <w:sz w:val="22"/>
      <w:szCs w:val="22"/>
    </w:rPr>
  </w:style>
  <w:style w:type="paragraph" w:customStyle="1" w:styleId="BoxText">
    <w:name w:val="BoxText"/>
    <w:basedOn w:val="Normal"/>
    <w:qFormat/>
    <w:rsid w:val="00ED41A7"/>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ED41A7"/>
    <w:pPr>
      <w:keepNext/>
      <w:spacing w:before="180"/>
      <w:ind w:left="1080" w:hanging="1080"/>
    </w:pPr>
    <w:rPr>
      <w:b/>
      <w:bCs/>
    </w:rPr>
  </w:style>
  <w:style w:type="paragraph" w:customStyle="1" w:styleId="BoxHeading">
    <w:name w:val="BoxHeading"/>
    <w:basedOn w:val="BoxText"/>
    <w:rsid w:val="00ED41A7"/>
    <w:pPr>
      <w:keepNext/>
      <w:spacing w:before="120" w:after="60"/>
    </w:pPr>
    <w:rPr>
      <w:b/>
      <w:bCs/>
    </w:rPr>
  </w:style>
  <w:style w:type="table" w:customStyle="1" w:styleId="TableGrid11">
    <w:name w:val="Table Grid11"/>
    <w:basedOn w:val="TableNormal"/>
    <w:next w:val="TableGrid"/>
    <w:uiPriority w:val="39"/>
    <w:rsid w:val="00355FE1"/>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0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187315">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554853453">
      <w:bodyDiv w:val="1"/>
      <w:marLeft w:val="0"/>
      <w:marRight w:val="0"/>
      <w:marTop w:val="0"/>
      <w:marBottom w:val="0"/>
      <w:divBdr>
        <w:top w:val="none" w:sz="0" w:space="0" w:color="auto"/>
        <w:left w:val="none" w:sz="0" w:space="0" w:color="auto"/>
        <w:bottom w:val="none" w:sz="0" w:space="0" w:color="auto"/>
        <w:right w:val="none" w:sz="0" w:space="0" w:color="auto"/>
      </w:divBdr>
    </w:div>
    <w:div w:id="1586037951">
      <w:bodyDiv w:val="1"/>
      <w:marLeft w:val="0"/>
      <w:marRight w:val="0"/>
      <w:marTop w:val="0"/>
      <w:marBottom w:val="0"/>
      <w:divBdr>
        <w:top w:val="none" w:sz="0" w:space="0" w:color="auto"/>
        <w:left w:val="none" w:sz="0" w:space="0" w:color="auto"/>
        <w:bottom w:val="none" w:sz="0" w:space="0" w:color="auto"/>
        <w:right w:val="none" w:sz="0" w:space="0" w:color="auto"/>
      </w:divBdr>
    </w:div>
    <w:div w:id="1591043779">
      <w:bodyDiv w:val="1"/>
      <w:marLeft w:val="0"/>
      <w:marRight w:val="0"/>
      <w:marTop w:val="0"/>
      <w:marBottom w:val="0"/>
      <w:divBdr>
        <w:top w:val="none" w:sz="0" w:space="0" w:color="auto"/>
        <w:left w:val="none" w:sz="0" w:space="0" w:color="auto"/>
        <w:bottom w:val="none" w:sz="0" w:space="0" w:color="auto"/>
        <w:right w:val="none" w:sz="0" w:space="0" w:color="auto"/>
      </w:divBdr>
    </w:div>
    <w:div w:id="18662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internet/msac/publishing.nsf/Content/6FA7B8371E69523BCA258695001995DF/$File/1640%20Redacted%20Application%20Form.pdf" TargetMode="External"/><Relationship Id="rId18" Type="http://schemas.openxmlformats.org/officeDocument/2006/relationships/hyperlink" Target="http://www.msac.gov.au/internet/msac/publishing.nsf/Content/244229C699007FA8CA25801000123BF3/$File/TAVI%20Stakeholder%20Meeting%20Minutes%2030-10-15-for%20web.docx" TargetMode="External"/><Relationship Id="rId26" Type="http://schemas.openxmlformats.org/officeDocument/2006/relationships/hyperlink" Target="http://www.msac.gov.au/internet/msac/publishing.nsf/Content/197EF21E1EB7A616CA25859900288CE7/$File/1635%20Final%20PSD%20-%20Mar-Apr%202021_redacted.pdf"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www.msac.gov.au/internet/msac/publishing.nsf/Content/5C3844FD549800CBCA25849300087D9F/$File/1603%20Final%20PSD_Nov2020_redacted.docx" TargetMode="External"/><Relationship Id="rId7" Type="http://schemas.openxmlformats.org/officeDocument/2006/relationships/endnotes" Target="endnotes.xml"/><Relationship Id="rId12" Type="http://schemas.openxmlformats.org/officeDocument/2006/relationships/hyperlink" Target="http://www.msac.gov.au/internet/msac/publishing.nsf/Content/6FA7B8371E69523BCA258695001995DF/$File/1640%20Redacted%20Application%20Form.pdf" TargetMode="External"/><Relationship Id="rId17" Type="http://schemas.openxmlformats.org/officeDocument/2006/relationships/hyperlink" Target="http://www.msac.gov.au/internet/msac/publishing.nsf/Content/8C10EAD0A322460BCA258632000DACB7/$File/1652%20Redacted%20Application%20Form.pdf" TargetMode="External"/><Relationship Id="rId25" Type="http://schemas.openxmlformats.org/officeDocument/2006/relationships/footer" Target="footer3.xml"/><Relationship Id="rId33" Type="http://schemas.openxmlformats.org/officeDocument/2006/relationships/image" Target="media/image7.tmp"/><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sac.gov.au/internet/msac/publishing.nsf/Content/1361.2-public" TargetMode="External"/><Relationship Id="rId20" Type="http://schemas.openxmlformats.org/officeDocument/2006/relationships/header" Target="header1.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5C3844FD549800CBCA25849300087D9F/$File/1603%20Final%20PSD_Nov2020_redacted.docx" TargetMode="External"/><Relationship Id="rId24" Type="http://schemas.openxmlformats.org/officeDocument/2006/relationships/header" Target="header3.xml"/><Relationship Id="rId32" Type="http://schemas.openxmlformats.org/officeDocument/2006/relationships/hyperlink" Target="http://www.msac.gov.au/internet/msac/publishing.nsf/Content/0BD63667C984FEEACA25801000123AD8/$File/TherapeuticTechnicalGuidelines-Final-March2016-Version2.0-accessible.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sac.gov.au/internet/msac/publishing.nsf/Content/1652-public" TargetMode="External"/><Relationship Id="rId23" Type="http://schemas.openxmlformats.org/officeDocument/2006/relationships/footer" Target="footer2.xml"/><Relationship Id="rId28" Type="http://schemas.openxmlformats.org/officeDocument/2006/relationships/image" Target="media/image3.jpeg"/><Relationship Id="rId36" Type="http://schemas.openxmlformats.org/officeDocument/2006/relationships/hyperlink" Target="http://www.msac.gov.au/" TargetMode="External"/><Relationship Id="rId10" Type="http://schemas.openxmlformats.org/officeDocument/2006/relationships/hyperlink" Target="http://www.msac.gov.au/internet/msac/publishing.nsf/Content/197EF21E1EB7A616CA25859900288CE7/$File/1635%20Final%20PSD%20-%20Mar-Apr%202021_redacted.pdf" TargetMode="External"/><Relationship Id="rId19" Type="http://schemas.openxmlformats.org/officeDocument/2006/relationships/hyperlink" Target="http://www.msac.gov.au/internet/msac/publishing.nsf/Content/DD8E7B7D8210F8B6CA25801000123C1A/$File/FINAL_PSD_1361.2_TAVI-accessible.docx" TargetMode="External"/><Relationship Id="rId31" Type="http://schemas.openxmlformats.org/officeDocument/2006/relationships/image" Target="media/image6.tmp"/><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5C3844FD549800CBCA25849300087D9F/$File/1603%20Final%20PSD_Nov2020_redacted.pdf" TargetMode="External"/><Relationship Id="rId22" Type="http://schemas.openxmlformats.org/officeDocument/2006/relationships/footer" Target="footer1.xml"/><Relationship Id="rId27" Type="http://schemas.openxmlformats.org/officeDocument/2006/relationships/image" Target="media/image2.jpeg"/><Relationship Id="rId30" Type="http://schemas.openxmlformats.org/officeDocument/2006/relationships/image" Target="media/image5.tmp"/><Relationship Id="rId35" Type="http://schemas.openxmlformats.org/officeDocument/2006/relationships/hyperlink" Target="http://www.msac.gov.au/internet/msac/publishing.nsf/Content/5C3844FD549800CBCA25849300087D9F/$File/1603%20Final%20PSD_Nov2020_redacted.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nzscts.org/database/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4AF64-8797-4BDF-83EB-457F3072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15776</Words>
  <Characters>95332</Characters>
  <Application>Microsoft Office Word</Application>
  <DocSecurity>0</DocSecurity>
  <Lines>794</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2021-09-23T22:31:00Z</dcterms:created>
  <dcterms:modified xsi:type="dcterms:W3CDTF">2021-09-23T22:31:00Z</dcterms:modified>
</cp:coreProperties>
</file>