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73381" w14:textId="08803341" w:rsidR="00E44B80" w:rsidRPr="004953A2" w:rsidRDefault="00E44B80" w:rsidP="00E44B80">
      <w:pPr>
        <w:jc w:val="center"/>
        <w:rPr>
          <w:b/>
          <w:szCs w:val="20"/>
        </w:rPr>
      </w:pPr>
      <w:r w:rsidRPr="004953A2">
        <w:rPr>
          <w:b/>
          <w:noProof/>
          <w:szCs w:val="20"/>
          <w:lang w:eastAsia="en-AU"/>
        </w:rPr>
        <w:drawing>
          <wp:inline distT="0" distB="0" distL="0" distR="0" wp14:anchorId="4270F32C" wp14:editId="022DB72E">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73FE25D" w14:textId="3499E5B8" w:rsidR="008B2610" w:rsidRDefault="008B2610" w:rsidP="00F971CC">
      <w:pPr>
        <w:pStyle w:val="Title"/>
        <w:spacing w:before="2600"/>
      </w:pPr>
      <w:r w:rsidRPr="004953A2">
        <w:t>Application Form</w:t>
      </w:r>
    </w:p>
    <w:p w14:paraId="07E0B875" w14:textId="4F26DA79" w:rsidR="007D705B" w:rsidRPr="007D705B" w:rsidRDefault="007D705B" w:rsidP="007D705B">
      <w:pPr>
        <w:spacing w:before="480" w:after="240"/>
        <w:jc w:val="center"/>
        <w:rPr>
          <w:rFonts w:ascii="Arial" w:hAnsi="Arial" w:cs="Arial"/>
          <w:b/>
          <w:color w:val="548DD4" w:themeColor="text2" w:themeTint="99"/>
          <w:sz w:val="44"/>
          <w:szCs w:val="44"/>
        </w:rPr>
      </w:pPr>
      <w:r w:rsidRPr="007D705B">
        <w:rPr>
          <w:rFonts w:ascii="Arial" w:hAnsi="Arial" w:cs="Arial"/>
          <w:b/>
          <w:color w:val="548DD4" w:themeColor="text2" w:themeTint="99"/>
          <w:sz w:val="44"/>
          <w:szCs w:val="44"/>
        </w:rPr>
        <w:t>Transcatheter aortic valve implantation via transfemoral delivery using the SAPIEN 3 balloon-expandable valve system for patients at low risk for surgery</w:t>
      </w:r>
    </w:p>
    <w:p w14:paraId="0F0E864F" w14:textId="77777777" w:rsidR="007D705B" w:rsidRPr="007D705B" w:rsidRDefault="007D705B" w:rsidP="007D705B"/>
    <w:p w14:paraId="2FB4CAC7" w14:textId="17E518BE" w:rsidR="00E44B80" w:rsidRPr="004953A2" w:rsidRDefault="00300EEB" w:rsidP="003F7CB9">
      <w:r w:rsidRPr="004953A2">
        <w:t>T</w:t>
      </w:r>
      <w:r w:rsidR="008B2610" w:rsidRPr="004953A2">
        <w:t xml:space="preserve">his application form is to be completed for new and amended </w:t>
      </w:r>
      <w:r w:rsidR="003433D1" w:rsidRPr="004953A2">
        <w:t xml:space="preserve">requests for public funding (including but not limited to the </w:t>
      </w:r>
      <w:r w:rsidR="008B2610" w:rsidRPr="004953A2">
        <w:t>Medicare Benefits Schedule (MBS)</w:t>
      </w:r>
      <w:r w:rsidR="003433D1" w:rsidRPr="004953A2">
        <w:t>)</w:t>
      </w:r>
      <w:r w:rsidR="008B2610" w:rsidRPr="004953A2">
        <w:t>.  It describes the detailed information that the</w:t>
      </w:r>
      <w:r w:rsidR="009F5758" w:rsidRPr="004953A2">
        <w:t xml:space="preserve"> Australian Government</w:t>
      </w:r>
      <w:r w:rsidR="008B2610" w:rsidRPr="004953A2">
        <w:t xml:space="preserve"> Department of Health requires in order to determine whether </w:t>
      </w:r>
      <w:r w:rsidR="003433D1" w:rsidRPr="004953A2">
        <w:t>a</w:t>
      </w:r>
      <w:r w:rsidR="008B2610" w:rsidRPr="004953A2">
        <w:t xml:space="preserve"> proposed </w:t>
      </w:r>
      <w:r w:rsidR="003433D1" w:rsidRPr="004953A2">
        <w:t xml:space="preserve">medical </w:t>
      </w:r>
      <w:r w:rsidR="008B2610" w:rsidRPr="004953A2">
        <w:t>service is suitable.</w:t>
      </w:r>
    </w:p>
    <w:p w14:paraId="45D403C1" w14:textId="77777777" w:rsidR="008B2610" w:rsidRPr="004953A2" w:rsidRDefault="008B2610" w:rsidP="003F7CB9">
      <w:r w:rsidRPr="004953A2">
        <w:t>Please use this template, along with the associated Application Form Guidelines to prepare your application.  Please complete all questions that are applicable to the proposed service, providing relevant information only.</w:t>
      </w:r>
      <w:r w:rsidR="009F5758" w:rsidRPr="004953A2">
        <w:t xml:space="preserve">  Applications not completed in full will not be accepted.</w:t>
      </w:r>
    </w:p>
    <w:p w14:paraId="71A0E1EF" w14:textId="77777777" w:rsidR="008B2610" w:rsidRPr="004953A2" w:rsidRDefault="009F5758" w:rsidP="003F7CB9">
      <w:r w:rsidRPr="004953A2">
        <w:t>Should you require any further assistance, d</w:t>
      </w:r>
      <w:r w:rsidR="008B2610" w:rsidRPr="004953A2">
        <w:t xml:space="preserve">epartmental staff are available through the Health Technology Assessment </w:t>
      </w:r>
      <w:r w:rsidR="00A93F58" w:rsidRPr="004953A2">
        <w:t xml:space="preserve">Team </w:t>
      </w:r>
      <w:r w:rsidR="008B2610" w:rsidRPr="004953A2">
        <w:t>(HTA Team) on the contact numbers and email below to discuss</w:t>
      </w:r>
      <w:r w:rsidRPr="004953A2">
        <w:t xml:space="preserve"> the application form, or any other component of the Medical Services Advisory Committee process.</w:t>
      </w:r>
    </w:p>
    <w:p w14:paraId="440875AD" w14:textId="77777777" w:rsidR="008B2610" w:rsidRPr="004953A2" w:rsidRDefault="009F5758" w:rsidP="003F7CB9">
      <w:pPr>
        <w:spacing w:before="0" w:after="0"/>
        <w:rPr>
          <w:lang w:val="fr-FR"/>
        </w:rPr>
      </w:pPr>
      <w:r w:rsidRPr="004953A2">
        <w:rPr>
          <w:lang w:val="fr-FR"/>
        </w:rPr>
        <w:t>Phone:  +61 2 6289 7550</w:t>
      </w:r>
    </w:p>
    <w:p w14:paraId="13973E66" w14:textId="77777777" w:rsidR="009F5758" w:rsidRPr="004953A2" w:rsidRDefault="009F5758" w:rsidP="003F7CB9">
      <w:pPr>
        <w:spacing w:before="0" w:after="0"/>
        <w:rPr>
          <w:lang w:val="fr-FR"/>
        </w:rPr>
      </w:pPr>
      <w:r w:rsidRPr="004953A2">
        <w:rPr>
          <w:lang w:val="fr-FR"/>
        </w:rPr>
        <w:t>Fax:  +61 2 6289 5540</w:t>
      </w:r>
    </w:p>
    <w:p w14:paraId="2C418CA6" w14:textId="77777777" w:rsidR="009F5758" w:rsidRPr="004953A2" w:rsidRDefault="009F5758" w:rsidP="003F7CB9">
      <w:pPr>
        <w:spacing w:before="0" w:after="0"/>
        <w:rPr>
          <w:lang w:val="fr-FR"/>
        </w:rPr>
      </w:pPr>
      <w:r w:rsidRPr="004953A2">
        <w:rPr>
          <w:lang w:val="fr-FR"/>
        </w:rPr>
        <w:t xml:space="preserve">Email:  </w:t>
      </w:r>
      <w:hyperlink r:id="rId9" w:tooltip="click here to email the Department of Health HTA Team" w:history="1">
        <w:r w:rsidRPr="004953A2">
          <w:rPr>
            <w:rStyle w:val="Hyperlink"/>
            <w:szCs w:val="20"/>
            <w:lang w:val="fr-FR"/>
          </w:rPr>
          <w:t>hta@health.gov.au</w:t>
        </w:r>
      </w:hyperlink>
    </w:p>
    <w:p w14:paraId="69BD7B9E" w14:textId="77777777" w:rsidR="009F5758" w:rsidRPr="004953A2" w:rsidRDefault="009F5758" w:rsidP="003F7CB9">
      <w:pPr>
        <w:spacing w:before="0" w:after="0"/>
        <w:rPr>
          <w:lang w:val="fr-FR"/>
        </w:rPr>
      </w:pPr>
      <w:r w:rsidRPr="004953A2">
        <w:rPr>
          <w:lang w:val="fr-FR"/>
        </w:rPr>
        <w:t xml:space="preserve">Website:  </w:t>
      </w:r>
      <w:hyperlink r:id="rId10" w:tooltip="click here to visit the Medical Services Advisory Committee website" w:history="1">
        <w:r w:rsidR="008E6227" w:rsidRPr="004953A2">
          <w:rPr>
            <w:rStyle w:val="Hyperlink"/>
            <w:lang w:val="fr-FR"/>
          </w:rPr>
          <w:t>www.msac.gov.au</w:t>
        </w:r>
      </w:hyperlink>
      <w:r w:rsidR="008E6227" w:rsidRPr="004953A2">
        <w:rPr>
          <w:lang w:val="fr-FR"/>
        </w:rPr>
        <w:t xml:space="preserve"> </w:t>
      </w:r>
      <w:r w:rsidR="001A02E3" w:rsidRPr="004953A2">
        <w:rPr>
          <w:lang w:val="fr-FR"/>
        </w:rPr>
        <w:t xml:space="preserve"> </w:t>
      </w:r>
    </w:p>
    <w:p w14:paraId="253C48E6" w14:textId="77777777" w:rsidR="00E04FB3" w:rsidRPr="004953A2" w:rsidRDefault="00D73646" w:rsidP="00415C74">
      <w:pPr>
        <w:pStyle w:val="Heading1"/>
      </w:pPr>
      <w:bookmarkStart w:id="0" w:name="_Toc443555803"/>
      <w:r w:rsidRPr="004953A2">
        <w:rPr>
          <w:rStyle w:val="IntenseReference"/>
          <w:lang w:val="fr-FR"/>
        </w:rPr>
        <w:br w:type="page"/>
      </w:r>
      <w:bookmarkEnd w:id="0"/>
      <w:r w:rsidR="00494011" w:rsidRPr="004953A2">
        <w:lastRenderedPageBreak/>
        <w:t>PART 1</w:t>
      </w:r>
      <w:r w:rsidR="00F93784" w:rsidRPr="004953A2">
        <w:t xml:space="preserve"> – </w:t>
      </w:r>
      <w:r w:rsidR="00E04FB3" w:rsidRPr="004953A2">
        <w:t>APPLICANT DETAILS</w:t>
      </w:r>
    </w:p>
    <w:p w14:paraId="14C553A2" w14:textId="77777777" w:rsidR="00392F00" w:rsidRPr="004953A2" w:rsidRDefault="00D57F88" w:rsidP="004A0BF4">
      <w:pPr>
        <w:pStyle w:val="Heading2"/>
      </w:pPr>
      <w:r w:rsidRPr="004953A2">
        <w:t>Applicant d</w:t>
      </w:r>
      <w:r w:rsidR="00392F00" w:rsidRPr="004953A2">
        <w:t>etails</w:t>
      </w:r>
      <w:r w:rsidR="000D066E" w:rsidRPr="004953A2">
        <w:t xml:space="preserve"> (primary and alternative contacts)</w:t>
      </w:r>
    </w:p>
    <w:p w14:paraId="71262A8A" w14:textId="77777777" w:rsidR="00C171FB" w:rsidRPr="004953A2" w:rsidRDefault="00C171FB" w:rsidP="00C171FB">
      <w:pPr>
        <w:pBdr>
          <w:top w:val="single" w:sz="4" w:space="1" w:color="auto"/>
          <w:left w:val="single" w:sz="4" w:space="4" w:color="auto"/>
          <w:bottom w:val="single" w:sz="4" w:space="1" w:color="auto"/>
          <w:right w:val="single" w:sz="4" w:space="4" w:color="auto"/>
        </w:pBdr>
      </w:pPr>
      <w:r w:rsidRPr="004953A2">
        <w:t xml:space="preserve">Corporation / partnership details (where relevant): </w:t>
      </w:r>
      <w:r w:rsidR="000B069D" w:rsidRPr="004953A2">
        <w:t>Edwards Lifesciences Pty Ltd</w:t>
      </w:r>
    </w:p>
    <w:p w14:paraId="603AF547" w14:textId="77777777" w:rsidR="00C171FB" w:rsidRPr="004953A2" w:rsidRDefault="00C171FB" w:rsidP="00C171FB">
      <w:pPr>
        <w:pBdr>
          <w:top w:val="single" w:sz="4" w:space="1" w:color="auto"/>
          <w:left w:val="single" w:sz="4" w:space="4" w:color="auto"/>
          <w:bottom w:val="single" w:sz="4" w:space="1" w:color="auto"/>
          <w:right w:val="single" w:sz="4" w:space="4" w:color="auto"/>
        </w:pBdr>
      </w:pPr>
      <w:r w:rsidRPr="004953A2">
        <w:t xml:space="preserve">Corporation name: </w:t>
      </w:r>
    </w:p>
    <w:p w14:paraId="50E09C74" w14:textId="77777777" w:rsidR="00C171FB" w:rsidRPr="004953A2" w:rsidRDefault="00C171FB" w:rsidP="00C171FB">
      <w:pPr>
        <w:pBdr>
          <w:top w:val="single" w:sz="4" w:space="1" w:color="auto"/>
          <w:left w:val="single" w:sz="4" w:space="4" w:color="auto"/>
          <w:bottom w:val="single" w:sz="4" w:space="1" w:color="auto"/>
          <w:right w:val="single" w:sz="4" w:space="4" w:color="auto"/>
        </w:pBdr>
      </w:pPr>
      <w:r w:rsidRPr="004953A2">
        <w:t xml:space="preserve">ABN: </w:t>
      </w:r>
      <w:r w:rsidR="00F807F9" w:rsidRPr="004953A2">
        <w:t>77 098 873</w:t>
      </w:r>
    </w:p>
    <w:p w14:paraId="53DEEB0D" w14:textId="77777777" w:rsidR="00C171FB" w:rsidRPr="004953A2" w:rsidRDefault="00C171FB" w:rsidP="00C171FB">
      <w:pPr>
        <w:pBdr>
          <w:top w:val="single" w:sz="4" w:space="1" w:color="auto"/>
          <w:left w:val="single" w:sz="4" w:space="4" w:color="auto"/>
          <w:bottom w:val="single" w:sz="4" w:space="1" w:color="auto"/>
          <w:right w:val="single" w:sz="4" w:space="4" w:color="auto"/>
        </w:pBdr>
      </w:pPr>
      <w:r w:rsidRPr="004953A2">
        <w:t xml:space="preserve">Business trading name: </w:t>
      </w:r>
      <w:r w:rsidR="00F807F9" w:rsidRPr="004953A2">
        <w:t>Edwards Lifesciences Pty Ltd</w:t>
      </w:r>
    </w:p>
    <w:p w14:paraId="29EC348E" w14:textId="77777777" w:rsidR="00C171FB" w:rsidRPr="004953A2" w:rsidRDefault="00C171FB" w:rsidP="00C171FB"/>
    <w:p w14:paraId="1DDDB3D1" w14:textId="22F4C9E4" w:rsidR="00C171FB" w:rsidRPr="006B6203" w:rsidRDefault="00C171FB" w:rsidP="00F91FBC">
      <w:r w:rsidRPr="004953A2">
        <w:rPr>
          <w:b/>
        </w:rPr>
        <w:t xml:space="preserve">Primary contact name: </w:t>
      </w:r>
      <w:r w:rsidR="007D705B">
        <w:rPr>
          <w:b/>
        </w:rPr>
        <w:t>REDACTED</w:t>
      </w:r>
    </w:p>
    <w:p w14:paraId="5D482DBE" w14:textId="0C168983" w:rsidR="00C171FB" w:rsidRPr="006B6203" w:rsidRDefault="00C171FB" w:rsidP="00C171FB">
      <w:pPr>
        <w:pBdr>
          <w:top w:val="single" w:sz="4" w:space="1" w:color="auto"/>
          <w:left w:val="single" w:sz="4" w:space="4" w:color="auto"/>
          <w:bottom w:val="single" w:sz="4" w:space="1" w:color="auto"/>
          <w:right w:val="single" w:sz="4" w:space="4" w:color="auto"/>
        </w:pBdr>
      </w:pPr>
      <w:r w:rsidRPr="006B6203">
        <w:t xml:space="preserve">Business: </w:t>
      </w:r>
    </w:p>
    <w:p w14:paraId="350FC38A" w14:textId="57A62993" w:rsidR="00C171FB" w:rsidRPr="006B6203" w:rsidRDefault="00C171FB" w:rsidP="00C171FB">
      <w:pPr>
        <w:pBdr>
          <w:top w:val="single" w:sz="4" w:space="1" w:color="auto"/>
          <w:left w:val="single" w:sz="4" w:space="4" w:color="auto"/>
          <w:bottom w:val="single" w:sz="4" w:space="1" w:color="auto"/>
          <w:right w:val="single" w:sz="4" w:space="4" w:color="auto"/>
        </w:pBdr>
        <w:rPr>
          <w:lang w:val="fr-FR"/>
        </w:rPr>
      </w:pPr>
      <w:r w:rsidRPr="006B6203">
        <w:rPr>
          <w:lang w:val="fr-FR"/>
        </w:rPr>
        <w:t>Mobile:</w:t>
      </w:r>
      <w:r w:rsidRPr="006B6203">
        <w:rPr>
          <w:lang w:val="fr-FR"/>
        </w:rPr>
        <w:tab/>
      </w:r>
    </w:p>
    <w:p w14:paraId="38CD6617" w14:textId="1C95D514" w:rsidR="00C171FB" w:rsidRPr="00575D30" w:rsidRDefault="00C171FB" w:rsidP="00C171FB">
      <w:pPr>
        <w:pBdr>
          <w:top w:val="single" w:sz="4" w:space="1" w:color="auto"/>
          <w:left w:val="single" w:sz="4" w:space="4" w:color="auto"/>
          <w:bottom w:val="single" w:sz="4" w:space="1" w:color="auto"/>
          <w:right w:val="single" w:sz="4" w:space="4" w:color="auto"/>
        </w:pBdr>
        <w:rPr>
          <w:lang w:val="fr-FR"/>
        </w:rPr>
      </w:pPr>
      <w:r w:rsidRPr="006B6203">
        <w:rPr>
          <w:lang w:val="fr-FR"/>
        </w:rPr>
        <w:t xml:space="preserve">Email: </w:t>
      </w:r>
    </w:p>
    <w:p w14:paraId="3AD25BD8" w14:textId="77777777" w:rsidR="00C171FB" w:rsidRPr="00575D30" w:rsidRDefault="00C171FB" w:rsidP="00C171FB">
      <w:pPr>
        <w:rPr>
          <w:b/>
          <w:lang w:val="fr-FR"/>
        </w:rPr>
      </w:pPr>
    </w:p>
    <w:p w14:paraId="331A3EFE" w14:textId="23F1F849" w:rsidR="00C171FB" w:rsidRPr="006B6203" w:rsidRDefault="00C171FB" w:rsidP="00C171FB">
      <w:pPr>
        <w:rPr>
          <w:b/>
        </w:rPr>
      </w:pPr>
      <w:r w:rsidRPr="00575D30">
        <w:rPr>
          <w:b/>
        </w:rPr>
        <w:t>Alternative contact name</w:t>
      </w:r>
      <w:r w:rsidRPr="006B6203">
        <w:rPr>
          <w:b/>
        </w:rPr>
        <w:t xml:space="preserve">: </w:t>
      </w:r>
      <w:r w:rsidR="007D705B">
        <w:rPr>
          <w:b/>
        </w:rPr>
        <w:t>REDACTED</w:t>
      </w:r>
    </w:p>
    <w:p w14:paraId="10EF61BB" w14:textId="77777777" w:rsidR="00C171FB" w:rsidRPr="006B6203" w:rsidRDefault="00C171FB" w:rsidP="00C171FB">
      <w:pPr>
        <w:pBdr>
          <w:top w:val="single" w:sz="4" w:space="1" w:color="auto"/>
          <w:left w:val="single" w:sz="4" w:space="4" w:color="auto"/>
          <w:bottom w:val="single" w:sz="4" w:space="1" w:color="auto"/>
          <w:right w:val="single" w:sz="4" w:space="4" w:color="auto"/>
        </w:pBdr>
      </w:pPr>
      <w:r w:rsidRPr="006B6203">
        <w:t>Alternative contact numbers</w:t>
      </w:r>
      <w:r w:rsidRPr="006B6203">
        <w:tab/>
      </w:r>
    </w:p>
    <w:p w14:paraId="4A84F30A" w14:textId="4380DFE8" w:rsidR="00C171FB" w:rsidRPr="006B6203" w:rsidRDefault="00C171FB" w:rsidP="00C171FB">
      <w:pPr>
        <w:pBdr>
          <w:top w:val="single" w:sz="4" w:space="1" w:color="auto"/>
          <w:left w:val="single" w:sz="4" w:space="4" w:color="auto"/>
          <w:bottom w:val="single" w:sz="4" w:space="1" w:color="auto"/>
          <w:right w:val="single" w:sz="4" w:space="4" w:color="auto"/>
        </w:pBdr>
      </w:pPr>
      <w:r w:rsidRPr="006B6203">
        <w:t xml:space="preserve">Business: </w:t>
      </w:r>
    </w:p>
    <w:p w14:paraId="696C91A2" w14:textId="421A92F6" w:rsidR="00C171FB" w:rsidRPr="006B6203" w:rsidRDefault="00C171FB" w:rsidP="00C171FB">
      <w:pPr>
        <w:pBdr>
          <w:top w:val="single" w:sz="4" w:space="1" w:color="auto"/>
          <w:left w:val="single" w:sz="4" w:space="4" w:color="auto"/>
          <w:bottom w:val="single" w:sz="4" w:space="1" w:color="auto"/>
          <w:right w:val="single" w:sz="4" w:space="4" w:color="auto"/>
        </w:pBdr>
      </w:pPr>
      <w:r w:rsidRPr="006B6203">
        <w:t xml:space="preserve">Mobile: </w:t>
      </w:r>
    </w:p>
    <w:p w14:paraId="051BED3D" w14:textId="1084AC61" w:rsidR="00C171FB" w:rsidRPr="004953A2" w:rsidRDefault="00C171FB" w:rsidP="00C171FB">
      <w:pPr>
        <w:pBdr>
          <w:top w:val="single" w:sz="4" w:space="1" w:color="auto"/>
          <w:left w:val="single" w:sz="4" w:space="4" w:color="auto"/>
          <w:bottom w:val="single" w:sz="4" w:space="1" w:color="auto"/>
          <w:right w:val="single" w:sz="4" w:space="4" w:color="auto"/>
        </w:pBdr>
      </w:pPr>
      <w:r w:rsidRPr="006B6203">
        <w:t xml:space="preserve">Email: </w:t>
      </w:r>
    </w:p>
    <w:p w14:paraId="1B68FA87" w14:textId="77777777" w:rsidR="00C171FB" w:rsidRPr="004953A2" w:rsidRDefault="00C171FB" w:rsidP="00C171FB"/>
    <w:p w14:paraId="255FDDD1" w14:textId="77777777" w:rsidR="00534C5F" w:rsidRPr="004953A2" w:rsidRDefault="00494011" w:rsidP="004A0BF4">
      <w:pPr>
        <w:pStyle w:val="Heading2"/>
      </w:pPr>
      <w:r w:rsidRPr="004953A2">
        <w:t xml:space="preserve">(a) </w:t>
      </w:r>
      <w:r w:rsidR="00534C5F" w:rsidRPr="004953A2">
        <w:t>Are you a lobbyist acting on behalf of an Applicant?</w:t>
      </w:r>
    </w:p>
    <w:p w14:paraId="69CD6D6B" w14:textId="25CC8759" w:rsidR="00A6491A" w:rsidRPr="004953A2" w:rsidRDefault="00CF7FF1" w:rsidP="00A6491A">
      <w:pPr>
        <w:spacing w:before="0" w:after="0"/>
        <w:ind w:left="426"/>
        <w:rPr>
          <w:szCs w:val="20"/>
        </w:rPr>
      </w:pPr>
      <w:r w:rsidRPr="004953A2">
        <w:rPr>
          <w:szCs w:val="20"/>
        </w:rPr>
        <w:fldChar w:fldCharType="begin">
          <w:ffData>
            <w:name w:val="Check1"/>
            <w:enabled/>
            <w:calcOnExit w:val="0"/>
            <w:checkBox>
              <w:sizeAuto/>
              <w:default w:val="0"/>
            </w:checkBox>
          </w:ffData>
        </w:fldChar>
      </w:r>
      <w:r w:rsidRPr="004953A2">
        <w:rPr>
          <w:szCs w:val="20"/>
        </w:rPr>
        <w:instrText xml:space="preserve"> </w:instrText>
      </w:r>
      <w:bookmarkStart w:id="1" w:name="Check1"/>
      <w:r w:rsidRPr="004953A2">
        <w:rPr>
          <w:szCs w:val="20"/>
        </w:rPr>
        <w:instrText xml:space="preserve">FORMCHECKBOX </w:instrText>
      </w:r>
      <w:r w:rsidR="006D1F51">
        <w:rPr>
          <w:szCs w:val="20"/>
        </w:rPr>
      </w:r>
      <w:r w:rsidR="006D1F51">
        <w:rPr>
          <w:szCs w:val="20"/>
        </w:rPr>
        <w:fldChar w:fldCharType="separate"/>
      </w:r>
      <w:r w:rsidRPr="004953A2">
        <w:rPr>
          <w:szCs w:val="20"/>
        </w:rPr>
        <w:fldChar w:fldCharType="end"/>
      </w:r>
      <w:bookmarkEnd w:id="1"/>
      <w:r w:rsidR="00A6491A" w:rsidRPr="004953A2">
        <w:rPr>
          <w:szCs w:val="20"/>
        </w:rPr>
        <w:t xml:space="preserve"> Yes</w:t>
      </w:r>
    </w:p>
    <w:p w14:paraId="08EBA18D" w14:textId="1B583C55" w:rsidR="00A6491A" w:rsidRPr="004953A2" w:rsidRDefault="00CF7FF1" w:rsidP="00A6491A">
      <w:pPr>
        <w:spacing w:before="0" w:after="0"/>
        <w:ind w:left="426"/>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A6491A" w:rsidRPr="004953A2">
        <w:rPr>
          <w:szCs w:val="20"/>
        </w:rPr>
        <w:t xml:space="preserve"> No  </w:t>
      </w:r>
    </w:p>
    <w:p w14:paraId="52A1657B" w14:textId="77777777" w:rsidR="00534C5F" w:rsidRPr="004953A2" w:rsidRDefault="00534C5F" w:rsidP="00494011">
      <w:pPr>
        <w:pStyle w:val="Heading2"/>
        <w:numPr>
          <w:ilvl w:val="0"/>
          <w:numId w:val="23"/>
        </w:numPr>
      </w:pPr>
      <w:r w:rsidRPr="004953A2">
        <w:t>If yes, are you listed on the Register of Lobbyists?</w:t>
      </w:r>
    </w:p>
    <w:p w14:paraId="14BEEF8F" w14:textId="0805C937" w:rsidR="00A6491A" w:rsidRPr="004953A2" w:rsidRDefault="00CF7FF1" w:rsidP="00A6491A">
      <w:pPr>
        <w:spacing w:before="0" w:after="0"/>
        <w:ind w:left="426"/>
        <w:rPr>
          <w:szCs w:val="20"/>
        </w:rPr>
      </w:pPr>
      <w:r w:rsidRPr="004953A2">
        <w:rPr>
          <w:szCs w:val="20"/>
        </w:rPr>
        <w:fldChar w:fldCharType="begin">
          <w:ffData>
            <w:name w:val=""/>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A6491A" w:rsidRPr="004953A2">
        <w:rPr>
          <w:szCs w:val="20"/>
        </w:rPr>
        <w:t xml:space="preserve"> Yes</w:t>
      </w:r>
    </w:p>
    <w:p w14:paraId="7BF90C8C" w14:textId="230F4F50" w:rsidR="00A6491A" w:rsidRPr="004953A2" w:rsidRDefault="00CF7FF1" w:rsidP="00A6491A">
      <w:pPr>
        <w:spacing w:before="0" w:after="0"/>
        <w:ind w:left="426"/>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A6491A" w:rsidRPr="004953A2">
        <w:rPr>
          <w:szCs w:val="20"/>
        </w:rPr>
        <w:t xml:space="preserve"> No  </w:t>
      </w:r>
    </w:p>
    <w:p w14:paraId="1C6361A1" w14:textId="77777777" w:rsidR="00E04FB3" w:rsidRPr="004953A2" w:rsidRDefault="00E04FB3" w:rsidP="005C333E">
      <w:pPr>
        <w:spacing w:before="0" w:after="0"/>
        <w:ind w:left="426"/>
        <w:rPr>
          <w:b/>
          <w:szCs w:val="20"/>
        </w:rPr>
      </w:pPr>
      <w:r w:rsidRPr="004953A2">
        <w:rPr>
          <w:b/>
          <w:szCs w:val="20"/>
        </w:rPr>
        <w:br w:type="page"/>
      </w:r>
      <w:bookmarkStart w:id="2" w:name="_GoBack"/>
      <w:bookmarkEnd w:id="2"/>
    </w:p>
    <w:p w14:paraId="2BA52040" w14:textId="77777777" w:rsidR="00D57F88" w:rsidRPr="004953A2" w:rsidRDefault="00730C04" w:rsidP="00A8732C">
      <w:pPr>
        <w:pStyle w:val="Heading1"/>
      </w:pPr>
      <w:r w:rsidRPr="004953A2">
        <w:lastRenderedPageBreak/>
        <w:t>PART 2</w:t>
      </w:r>
      <w:r w:rsidR="00F93784" w:rsidRPr="004953A2">
        <w:t xml:space="preserve"> – </w:t>
      </w:r>
      <w:r w:rsidR="00E04FB3" w:rsidRPr="004953A2">
        <w:t>INFORMATION ABOUT THE PROPOSED MEDICAL SERVICE</w:t>
      </w:r>
    </w:p>
    <w:p w14:paraId="78D30B04" w14:textId="77777777" w:rsidR="000B3CD0" w:rsidRPr="004953A2" w:rsidRDefault="000B3CD0" w:rsidP="00730C04">
      <w:pPr>
        <w:pStyle w:val="Heading2"/>
      </w:pPr>
      <w:r w:rsidRPr="004953A2">
        <w:t>Application title</w:t>
      </w:r>
      <w:r w:rsidR="00A8732C" w:rsidRPr="004953A2">
        <w:t xml:space="preserve"> </w:t>
      </w:r>
    </w:p>
    <w:p w14:paraId="535A9B80" w14:textId="0B03CF49" w:rsidR="009056C5" w:rsidRPr="004953A2" w:rsidRDefault="00302473" w:rsidP="007D705B">
      <w:pPr>
        <w:ind w:left="360"/>
      </w:pPr>
      <w:r w:rsidRPr="004953A2">
        <w:t xml:space="preserve">Transcatheter </w:t>
      </w:r>
      <w:r w:rsidR="00443895" w:rsidRPr="004953A2">
        <w:t>a</w:t>
      </w:r>
      <w:r w:rsidRPr="004953A2">
        <w:t xml:space="preserve">ortic </w:t>
      </w:r>
      <w:r w:rsidR="00443895" w:rsidRPr="004953A2">
        <w:t>v</w:t>
      </w:r>
      <w:r w:rsidRPr="004953A2">
        <w:t xml:space="preserve">alve </w:t>
      </w:r>
      <w:r w:rsidR="00443895" w:rsidRPr="004953A2">
        <w:t>i</w:t>
      </w:r>
      <w:r w:rsidRPr="004953A2">
        <w:t>mplantation</w:t>
      </w:r>
      <w:r w:rsidR="00252351" w:rsidRPr="004953A2">
        <w:t xml:space="preserve"> (TAVI)</w:t>
      </w:r>
      <w:r w:rsidRPr="004953A2">
        <w:t xml:space="preserve"> via </w:t>
      </w:r>
      <w:r w:rsidR="00443895" w:rsidRPr="004953A2">
        <w:t>t</w:t>
      </w:r>
      <w:r w:rsidRPr="004953A2">
        <w:t xml:space="preserve">ransfemoral </w:t>
      </w:r>
      <w:r w:rsidR="00443895" w:rsidRPr="004953A2">
        <w:t>d</w:t>
      </w:r>
      <w:r w:rsidRPr="004953A2">
        <w:t xml:space="preserve">elivery </w:t>
      </w:r>
      <w:r w:rsidR="00613AAE" w:rsidRPr="004953A2">
        <w:t xml:space="preserve">using the </w:t>
      </w:r>
      <w:r w:rsidR="007F4E5E" w:rsidRPr="004953A2">
        <w:t xml:space="preserve">SAPIEN 3 </w:t>
      </w:r>
      <w:r w:rsidR="00613AAE" w:rsidRPr="004953A2">
        <w:t xml:space="preserve">balloon-expandable </w:t>
      </w:r>
      <w:r w:rsidR="00A33DAC" w:rsidRPr="004953A2">
        <w:t xml:space="preserve">valve (BEV) </w:t>
      </w:r>
      <w:r w:rsidR="00613AAE" w:rsidRPr="004953A2">
        <w:t xml:space="preserve">system </w:t>
      </w:r>
      <w:r w:rsidRPr="004953A2">
        <w:t xml:space="preserve">for </w:t>
      </w:r>
      <w:r w:rsidR="00443895" w:rsidRPr="004953A2">
        <w:t>p</w:t>
      </w:r>
      <w:r w:rsidRPr="004953A2">
        <w:t xml:space="preserve">atients at </w:t>
      </w:r>
      <w:r w:rsidR="00F46616" w:rsidRPr="004953A2">
        <w:t>low</w:t>
      </w:r>
      <w:r w:rsidRPr="004953A2">
        <w:t xml:space="preserve"> </w:t>
      </w:r>
      <w:r w:rsidR="00443895" w:rsidRPr="004953A2">
        <w:t>r</w:t>
      </w:r>
      <w:r w:rsidRPr="004953A2">
        <w:t xml:space="preserve">isk for </w:t>
      </w:r>
      <w:r w:rsidR="00443895" w:rsidRPr="004953A2">
        <w:t>s</w:t>
      </w:r>
      <w:r w:rsidRPr="004953A2">
        <w:t>urgery</w:t>
      </w:r>
      <w:r w:rsidR="00443895" w:rsidRPr="004953A2">
        <w:t>.</w:t>
      </w:r>
    </w:p>
    <w:p w14:paraId="560C71DD" w14:textId="77777777" w:rsidR="009B4E1E" w:rsidRPr="004953A2" w:rsidRDefault="009B4E1E" w:rsidP="004A0BF4">
      <w:pPr>
        <w:pStyle w:val="Heading2"/>
      </w:pPr>
      <w:r w:rsidRPr="004953A2">
        <w:t>Provide a succinct description of the medical condition relevant to the proposed service</w:t>
      </w:r>
      <w:r w:rsidR="000955E7" w:rsidRPr="004953A2">
        <w:t xml:space="preserve"> (no more than 150 words</w:t>
      </w:r>
      <w:r w:rsidR="00F93784" w:rsidRPr="004953A2">
        <w:t xml:space="preserve"> – </w:t>
      </w:r>
      <w:r w:rsidR="00C847AE" w:rsidRPr="004953A2">
        <w:t>further</w:t>
      </w:r>
      <w:r w:rsidR="00F93784" w:rsidRPr="004953A2">
        <w:t xml:space="preserve"> information will be </w:t>
      </w:r>
      <w:r w:rsidR="00C847AE" w:rsidRPr="004953A2">
        <w:t xml:space="preserve">requested </w:t>
      </w:r>
      <w:r w:rsidR="003F2711" w:rsidRPr="004953A2">
        <w:t>at Part F</w:t>
      </w:r>
      <w:r w:rsidR="00C847AE" w:rsidRPr="004953A2">
        <w:t xml:space="preserve"> of the Application Form</w:t>
      </w:r>
      <w:r w:rsidR="000955E7" w:rsidRPr="004953A2">
        <w:t>)</w:t>
      </w:r>
    </w:p>
    <w:p w14:paraId="11C46F41" w14:textId="393F270B" w:rsidR="002255DA" w:rsidRPr="004953A2" w:rsidRDefault="00252351" w:rsidP="00252351">
      <w:pPr>
        <w:ind w:left="360"/>
      </w:pPr>
      <w:r w:rsidRPr="004953A2">
        <w:t xml:space="preserve">Severe </w:t>
      </w:r>
      <w:r w:rsidR="00443895" w:rsidRPr="004953A2">
        <w:t>a</w:t>
      </w:r>
      <w:r w:rsidRPr="004953A2">
        <w:t xml:space="preserve">ortic </w:t>
      </w:r>
      <w:r w:rsidR="00443895" w:rsidRPr="004953A2">
        <w:t>s</w:t>
      </w:r>
      <w:r w:rsidRPr="004953A2">
        <w:t xml:space="preserve">tenosis (AS) </w:t>
      </w:r>
      <w:r w:rsidR="00443895" w:rsidRPr="004953A2">
        <w:t>is characterised by</w:t>
      </w:r>
      <w:r w:rsidRPr="004953A2">
        <w:t xml:space="preserve"> narrowing of the aortic valve </w:t>
      </w:r>
      <w:r w:rsidR="00443895" w:rsidRPr="004953A2">
        <w:t xml:space="preserve">leading to </w:t>
      </w:r>
      <w:r w:rsidRPr="004953A2">
        <w:t>restrict</w:t>
      </w:r>
      <w:r w:rsidR="00443895" w:rsidRPr="004953A2">
        <w:t>ion of</w:t>
      </w:r>
      <w:r w:rsidRPr="004953A2">
        <w:t xml:space="preserve"> </w:t>
      </w:r>
      <w:r w:rsidR="00443895" w:rsidRPr="004953A2">
        <w:t>blood</w:t>
      </w:r>
      <w:r w:rsidRPr="004953A2">
        <w:t xml:space="preserve"> flow. A</w:t>
      </w:r>
      <w:r w:rsidR="00443895" w:rsidRPr="004953A2">
        <w:t>S</w:t>
      </w:r>
      <w:r w:rsidRPr="004953A2">
        <w:t xml:space="preserve"> is often caused by a build-up of calcium on the valve leaflets, causing them to become stiff and reducing their ability to open and close efficiently. </w:t>
      </w:r>
      <w:r w:rsidR="00443895" w:rsidRPr="004953A2">
        <w:t xml:space="preserve">It </w:t>
      </w:r>
      <w:r w:rsidRPr="004953A2">
        <w:t>is associated with high pressure inside the left ventricle and as a result of the excessive workload, the</w:t>
      </w:r>
      <w:r w:rsidR="00443895" w:rsidRPr="004953A2">
        <w:t xml:space="preserve"> </w:t>
      </w:r>
      <w:r w:rsidRPr="004953A2">
        <w:t>left ventricle hypertrophies</w:t>
      </w:r>
      <w:r w:rsidR="00443895" w:rsidRPr="004953A2">
        <w:t xml:space="preserve">, which further leads to inefficiency in blood circulation. </w:t>
      </w:r>
      <w:r w:rsidR="00557DD8" w:rsidRPr="004953A2">
        <w:t>S</w:t>
      </w:r>
      <w:r w:rsidR="00443895" w:rsidRPr="004953A2">
        <w:t xml:space="preserve">ymptoms </w:t>
      </w:r>
      <w:r w:rsidR="00557DD8" w:rsidRPr="004953A2">
        <w:t>include</w:t>
      </w:r>
      <w:r w:rsidR="00443895" w:rsidRPr="004953A2">
        <w:t xml:space="preserve"> angina, dyspnoea and syncope.</w:t>
      </w:r>
      <w:r w:rsidRPr="004953A2">
        <w:t xml:space="preserve"> Left untreated, heart failure </w:t>
      </w:r>
      <w:r w:rsidR="00CA4AFF" w:rsidRPr="004953A2">
        <w:t>develops,</w:t>
      </w:r>
      <w:r w:rsidRPr="004953A2">
        <w:t xml:space="preserve"> and </w:t>
      </w:r>
      <w:r w:rsidR="00443895" w:rsidRPr="004953A2">
        <w:t xml:space="preserve">the risk of </w:t>
      </w:r>
      <w:r w:rsidRPr="004953A2">
        <w:t xml:space="preserve">death is </w:t>
      </w:r>
      <w:r w:rsidR="00443895" w:rsidRPr="004953A2">
        <w:t>increased</w:t>
      </w:r>
      <w:r w:rsidRPr="004953A2">
        <w:t>.</w:t>
      </w:r>
      <w:r w:rsidR="00FD2E15" w:rsidRPr="004953A2">
        <w:t xml:space="preserve"> </w:t>
      </w:r>
    </w:p>
    <w:p w14:paraId="3679087F" w14:textId="22EFA436" w:rsidR="00252351" w:rsidRPr="004953A2" w:rsidRDefault="00FD2E15" w:rsidP="00252351">
      <w:pPr>
        <w:ind w:left="360"/>
      </w:pPr>
      <w:r w:rsidRPr="004953A2">
        <w:t xml:space="preserve">This application is relevant to patients with severe, symptomatic AS classified as being at </w:t>
      </w:r>
      <w:r w:rsidR="00F46616" w:rsidRPr="004953A2">
        <w:rPr>
          <w:i/>
        </w:rPr>
        <w:t>low</w:t>
      </w:r>
      <w:r w:rsidRPr="004953A2">
        <w:rPr>
          <w:i/>
        </w:rPr>
        <w:t xml:space="preserve"> risk</w:t>
      </w:r>
      <w:r w:rsidR="006A6E55" w:rsidRPr="004953A2">
        <w:t xml:space="preserve"> for surgery (low surgical risk)</w:t>
      </w:r>
      <w:r w:rsidR="00083F4C" w:rsidRPr="004953A2">
        <w:t xml:space="preserve">, </w:t>
      </w:r>
      <w:r w:rsidRPr="004953A2">
        <w:t>defined by</w:t>
      </w:r>
      <w:r w:rsidR="002255DA" w:rsidRPr="004953A2">
        <w:t xml:space="preserve"> a</w:t>
      </w:r>
      <w:r w:rsidRPr="004953A2">
        <w:t xml:space="preserve"> predicted </w:t>
      </w:r>
      <w:r w:rsidR="002255DA" w:rsidRPr="004953A2">
        <w:t xml:space="preserve">30-day </w:t>
      </w:r>
      <w:r w:rsidRPr="004953A2">
        <w:t xml:space="preserve">risk of surgical mortality of </w:t>
      </w:r>
      <w:r w:rsidR="007079D5">
        <w:t xml:space="preserve">less than </w:t>
      </w:r>
      <w:r w:rsidRPr="004953A2">
        <w:t xml:space="preserve">4%, based on the Society of Thoracic Surgeons </w:t>
      </w:r>
      <w:r w:rsidR="00CE0BFF" w:rsidRPr="004953A2">
        <w:t xml:space="preserve">Predicted Risk of Mortality </w:t>
      </w:r>
      <w:r w:rsidRPr="004953A2">
        <w:t>(STS</w:t>
      </w:r>
      <w:r w:rsidR="00CE0BFF" w:rsidRPr="004953A2">
        <w:t>-PROM</w:t>
      </w:r>
      <w:r w:rsidRPr="004953A2">
        <w:t>) score.</w:t>
      </w:r>
      <w:r w:rsidR="00083F4C" w:rsidRPr="004953A2">
        <w:t xml:space="preserve"> </w:t>
      </w:r>
    </w:p>
    <w:p w14:paraId="5C47C87A" w14:textId="77777777" w:rsidR="000955E7" w:rsidRPr="004953A2" w:rsidRDefault="000955E7" w:rsidP="004A0BF4">
      <w:pPr>
        <w:pStyle w:val="Heading2"/>
      </w:pPr>
      <w:r w:rsidRPr="004953A2">
        <w:t>Prov</w:t>
      </w:r>
      <w:r w:rsidR="00D11EB1" w:rsidRPr="004953A2">
        <w:t>i</w:t>
      </w:r>
      <w:r w:rsidRPr="004953A2">
        <w:t>de a succinct description of the proposed medical service (no more than 150 words</w:t>
      </w:r>
      <w:r w:rsidR="00C847AE" w:rsidRPr="004953A2">
        <w:t xml:space="preserve"> </w:t>
      </w:r>
      <w:r w:rsidR="00F93784" w:rsidRPr="004953A2">
        <w:t xml:space="preserve">– </w:t>
      </w:r>
      <w:r w:rsidR="00C847AE" w:rsidRPr="004953A2">
        <w:t>further</w:t>
      </w:r>
      <w:r w:rsidR="00F93784" w:rsidRPr="004953A2">
        <w:t xml:space="preserve"> information will be </w:t>
      </w:r>
      <w:r w:rsidR="00C847AE" w:rsidRPr="004953A2">
        <w:t>requested</w:t>
      </w:r>
      <w:r w:rsidR="00F93784" w:rsidRPr="004953A2">
        <w:t xml:space="preserve"> </w:t>
      </w:r>
      <w:r w:rsidR="00883641" w:rsidRPr="004953A2">
        <w:t>at</w:t>
      </w:r>
      <w:r w:rsidR="00C847AE" w:rsidRPr="004953A2">
        <w:t xml:space="preserve"> </w:t>
      </w:r>
      <w:r w:rsidR="00026412" w:rsidRPr="004953A2">
        <w:t>Part 6</w:t>
      </w:r>
      <w:r w:rsidR="00C847AE" w:rsidRPr="004953A2">
        <w:t xml:space="preserve"> of the Application Form</w:t>
      </w:r>
      <w:r w:rsidRPr="004953A2">
        <w:t>)</w:t>
      </w:r>
    </w:p>
    <w:p w14:paraId="48E2D014" w14:textId="4B1F0165" w:rsidR="00252351" w:rsidRPr="004953A2" w:rsidRDefault="00252351" w:rsidP="007D0F69">
      <w:pPr>
        <w:ind w:left="360"/>
      </w:pPr>
      <w:r w:rsidRPr="004953A2">
        <w:t>T</w:t>
      </w:r>
      <w:r w:rsidR="005600E9" w:rsidRPr="004953A2">
        <w:t xml:space="preserve">AVI </w:t>
      </w:r>
      <w:r w:rsidR="00572EAC" w:rsidRPr="004953A2">
        <w:t xml:space="preserve">involving the SAPIEN 3 </w:t>
      </w:r>
      <w:r w:rsidR="007D0F69" w:rsidRPr="004953A2">
        <w:t xml:space="preserve">BEV </w:t>
      </w:r>
      <w:r w:rsidR="005600E9" w:rsidRPr="004953A2">
        <w:t>i</w:t>
      </w:r>
      <w:r w:rsidR="00443895" w:rsidRPr="004953A2">
        <w:t>nvolves</w:t>
      </w:r>
      <w:r w:rsidR="005600E9" w:rsidRPr="004953A2">
        <w:t xml:space="preserve"> </w:t>
      </w:r>
      <w:r w:rsidR="00307CBF" w:rsidRPr="004953A2">
        <w:t xml:space="preserve">minimally invasive </w:t>
      </w:r>
      <w:r w:rsidR="00443895" w:rsidRPr="004953A2">
        <w:t xml:space="preserve">transfemoral </w:t>
      </w:r>
      <w:r w:rsidR="00307CBF" w:rsidRPr="004953A2">
        <w:t xml:space="preserve">insertion </w:t>
      </w:r>
      <w:r w:rsidR="005600E9" w:rsidRPr="004953A2">
        <w:t>of a prosthetic heart valve that is positioned within the aortic annulus</w:t>
      </w:r>
      <w:r w:rsidR="009261FB" w:rsidRPr="004953A2">
        <w:t xml:space="preserve"> using the SAPIEN 3 system</w:t>
      </w:r>
      <w:r w:rsidR="005600E9" w:rsidRPr="004953A2">
        <w:t xml:space="preserve">. Once in situ, the valve is expanded while the heart is rapidly paced. The procedure is performed </w:t>
      </w:r>
      <w:r w:rsidR="00F06BFB" w:rsidRPr="004953A2">
        <w:t xml:space="preserve">using </w:t>
      </w:r>
      <w:r w:rsidR="005600E9" w:rsidRPr="004953A2">
        <w:t>fluoroscopic and trans</w:t>
      </w:r>
      <w:r w:rsidR="0056140B" w:rsidRPr="004953A2">
        <w:t>oe</w:t>
      </w:r>
      <w:r w:rsidR="005600E9" w:rsidRPr="004953A2">
        <w:t>s</w:t>
      </w:r>
      <w:r w:rsidR="0056140B" w:rsidRPr="004953A2">
        <w:t>o</w:t>
      </w:r>
      <w:r w:rsidR="005600E9" w:rsidRPr="004953A2">
        <w:t xml:space="preserve">phageal guidance and under general </w:t>
      </w:r>
      <w:r w:rsidR="00F91FBC" w:rsidRPr="004953A2">
        <w:t>or</w:t>
      </w:r>
      <w:r w:rsidR="00307CBF" w:rsidRPr="004953A2">
        <w:t xml:space="preserve"> local anaesthe</w:t>
      </w:r>
      <w:r w:rsidR="00F06BFB" w:rsidRPr="004953A2">
        <w:t>sia</w:t>
      </w:r>
      <w:r w:rsidR="00F91FBC" w:rsidRPr="004953A2">
        <w:t>.</w:t>
      </w:r>
      <w:r w:rsidR="00404591" w:rsidRPr="004953A2">
        <w:t xml:space="preserve"> </w:t>
      </w:r>
    </w:p>
    <w:p w14:paraId="40556E5A" w14:textId="77777777" w:rsidR="00D11EB1" w:rsidRPr="004953A2" w:rsidRDefault="00252351" w:rsidP="004A0BF4">
      <w:pPr>
        <w:pStyle w:val="Heading2"/>
        <w:rPr>
          <w:rStyle w:val="Strong"/>
          <w:rFonts w:asciiTheme="minorHAnsi" w:eastAsiaTheme="minorHAnsi" w:hAnsiTheme="minorHAnsi" w:cstheme="minorBidi"/>
          <w:b/>
        </w:rPr>
      </w:pPr>
      <w:r w:rsidRPr="004953A2">
        <w:rPr>
          <w:rStyle w:val="Strong"/>
          <w:rFonts w:asciiTheme="minorHAnsi" w:eastAsiaTheme="minorHAnsi" w:hAnsiTheme="minorHAnsi" w:cstheme="minorBidi"/>
          <w:b/>
        </w:rPr>
        <w:t xml:space="preserve"> </w:t>
      </w:r>
      <w:r w:rsidR="00730C04" w:rsidRPr="004953A2">
        <w:rPr>
          <w:rStyle w:val="Strong"/>
          <w:rFonts w:asciiTheme="minorHAnsi" w:eastAsiaTheme="minorHAnsi" w:hAnsiTheme="minorHAnsi" w:cstheme="minorBidi"/>
          <w:b/>
        </w:rPr>
        <w:t xml:space="preserve">(a) </w:t>
      </w:r>
      <w:r w:rsidR="00D11EB1" w:rsidRPr="004953A2">
        <w:rPr>
          <w:rStyle w:val="Strong"/>
          <w:rFonts w:asciiTheme="minorHAnsi" w:eastAsiaTheme="minorHAnsi" w:hAnsiTheme="minorHAnsi" w:cstheme="minorBidi"/>
          <w:b/>
        </w:rPr>
        <w:t>Is this a request for MBS funding?</w:t>
      </w:r>
    </w:p>
    <w:p w14:paraId="2877396E" w14:textId="77777777" w:rsidR="00753C44" w:rsidRPr="004953A2" w:rsidRDefault="007E23AE" w:rsidP="007D705B">
      <w:pPr>
        <w:spacing w:before="0" w:after="0"/>
        <w:ind w:left="720"/>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6B6390" w:rsidRPr="004953A2">
        <w:rPr>
          <w:szCs w:val="20"/>
        </w:rPr>
        <w:t xml:space="preserve"> Yes</w:t>
      </w:r>
    </w:p>
    <w:p w14:paraId="00E2F66C" w14:textId="77777777" w:rsidR="00753C44" w:rsidRPr="004953A2" w:rsidRDefault="006B6390" w:rsidP="007D705B">
      <w:pPr>
        <w:spacing w:before="0" w:after="0"/>
        <w:ind w:left="720"/>
        <w:rPr>
          <w:szCs w:val="20"/>
        </w:rPr>
      </w:pPr>
      <w:r w:rsidRPr="004953A2">
        <w:rPr>
          <w:szCs w:val="20"/>
        </w:rPr>
        <w:fldChar w:fldCharType="begin">
          <w:ffData>
            <w:name w:val="Check2"/>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No</w:t>
      </w:r>
      <w:r w:rsidR="00753C44" w:rsidRPr="004953A2">
        <w:rPr>
          <w:szCs w:val="20"/>
        </w:rPr>
        <w:t xml:space="preserve">  </w:t>
      </w:r>
    </w:p>
    <w:p w14:paraId="1E144F53" w14:textId="77777777" w:rsidR="000B3CD0" w:rsidRPr="004953A2" w:rsidRDefault="000B3CD0" w:rsidP="00730C04">
      <w:pPr>
        <w:pStyle w:val="Heading2"/>
        <w:numPr>
          <w:ilvl w:val="0"/>
          <w:numId w:val="24"/>
        </w:numPr>
        <w:rPr>
          <w:rStyle w:val="Strong"/>
          <w:rFonts w:asciiTheme="minorHAnsi" w:eastAsiaTheme="minorHAnsi" w:hAnsiTheme="minorHAnsi" w:cstheme="minorBidi"/>
          <w:b/>
        </w:rPr>
      </w:pPr>
      <w:r w:rsidRPr="004953A2">
        <w:rPr>
          <w:rStyle w:val="Strong"/>
          <w:rFonts w:asciiTheme="minorHAnsi" w:eastAsiaTheme="minorHAnsi" w:hAnsiTheme="minorHAnsi" w:cstheme="minorBidi"/>
          <w:b/>
        </w:rPr>
        <w:t>I</w:t>
      </w:r>
      <w:r w:rsidR="003020B5" w:rsidRPr="004953A2">
        <w:rPr>
          <w:rStyle w:val="Strong"/>
          <w:rFonts w:asciiTheme="minorHAnsi" w:eastAsiaTheme="minorHAnsi" w:hAnsiTheme="minorHAnsi" w:cstheme="minorBidi"/>
          <w:b/>
        </w:rPr>
        <w:t xml:space="preserve">f </w:t>
      </w:r>
      <w:r w:rsidR="00D11EB1" w:rsidRPr="004953A2">
        <w:rPr>
          <w:rStyle w:val="Strong"/>
          <w:rFonts w:asciiTheme="minorHAnsi" w:eastAsiaTheme="minorHAnsi" w:hAnsiTheme="minorHAnsi" w:cstheme="minorBidi"/>
          <w:b/>
        </w:rPr>
        <w:t xml:space="preserve">yes, is </w:t>
      </w:r>
      <w:r w:rsidRPr="004953A2">
        <w:rPr>
          <w:rStyle w:val="Strong"/>
          <w:rFonts w:asciiTheme="minorHAnsi" w:eastAsiaTheme="minorHAnsi" w:hAnsiTheme="minorHAnsi" w:cstheme="minorBidi"/>
          <w:b/>
        </w:rPr>
        <w:t>the medical service</w:t>
      </w:r>
      <w:r w:rsidR="005D0677" w:rsidRPr="004953A2">
        <w:rPr>
          <w:rStyle w:val="Strong"/>
          <w:rFonts w:asciiTheme="minorHAnsi" w:eastAsiaTheme="minorHAnsi" w:hAnsiTheme="minorHAnsi" w:cstheme="minorBidi"/>
          <w:b/>
        </w:rPr>
        <w:t>(s)</w:t>
      </w:r>
      <w:r w:rsidRPr="004953A2">
        <w:rPr>
          <w:rStyle w:val="Strong"/>
          <w:rFonts w:asciiTheme="minorHAnsi" w:eastAsiaTheme="minorHAnsi" w:hAnsiTheme="minorHAnsi" w:cstheme="minorBidi"/>
          <w:b/>
        </w:rPr>
        <w:t xml:space="preserve"> </w:t>
      </w:r>
      <w:r w:rsidR="00F83566" w:rsidRPr="004953A2">
        <w:rPr>
          <w:rStyle w:val="Strong"/>
          <w:rFonts w:asciiTheme="minorHAnsi" w:eastAsiaTheme="minorHAnsi" w:hAnsiTheme="minorHAnsi" w:cstheme="minorBidi"/>
          <w:b/>
        </w:rPr>
        <w:t xml:space="preserve">proposed to be </w:t>
      </w:r>
      <w:r w:rsidRPr="004953A2">
        <w:rPr>
          <w:rStyle w:val="Strong"/>
          <w:rFonts w:asciiTheme="minorHAnsi" w:eastAsiaTheme="minorHAnsi" w:hAnsiTheme="minorHAnsi" w:cstheme="minorBidi"/>
          <w:b/>
        </w:rPr>
        <w:t xml:space="preserve">covered under an existing </w:t>
      </w:r>
      <w:r w:rsidR="00F83566" w:rsidRPr="004953A2">
        <w:rPr>
          <w:rStyle w:val="Strong"/>
          <w:rFonts w:asciiTheme="minorHAnsi" w:eastAsiaTheme="minorHAnsi" w:hAnsiTheme="minorHAnsi" w:cstheme="minorBidi"/>
          <w:b/>
        </w:rPr>
        <w:t>MBS item number</w:t>
      </w:r>
      <w:r w:rsidR="005D0677" w:rsidRPr="004953A2">
        <w:rPr>
          <w:rStyle w:val="Strong"/>
          <w:rFonts w:asciiTheme="minorHAnsi" w:eastAsiaTheme="minorHAnsi" w:hAnsiTheme="minorHAnsi" w:cstheme="minorBidi"/>
          <w:b/>
        </w:rPr>
        <w:t>(s)</w:t>
      </w:r>
      <w:r w:rsidR="003020B5" w:rsidRPr="004953A2">
        <w:rPr>
          <w:rStyle w:val="Strong"/>
          <w:rFonts w:asciiTheme="minorHAnsi" w:eastAsiaTheme="minorHAnsi" w:hAnsiTheme="minorHAnsi" w:cstheme="minorBidi"/>
          <w:b/>
        </w:rPr>
        <w:t xml:space="preserve"> or is a new MBS item</w:t>
      </w:r>
      <w:r w:rsidR="005D0677" w:rsidRPr="004953A2">
        <w:rPr>
          <w:rStyle w:val="Strong"/>
          <w:rFonts w:asciiTheme="minorHAnsi" w:eastAsiaTheme="minorHAnsi" w:hAnsiTheme="minorHAnsi" w:cstheme="minorBidi"/>
          <w:b/>
        </w:rPr>
        <w:t>(s)</w:t>
      </w:r>
      <w:r w:rsidR="003020B5" w:rsidRPr="004953A2">
        <w:rPr>
          <w:rStyle w:val="Strong"/>
          <w:rFonts w:asciiTheme="minorHAnsi" w:eastAsiaTheme="minorHAnsi" w:hAnsiTheme="minorHAnsi" w:cstheme="minorBidi"/>
          <w:b/>
        </w:rPr>
        <w:t xml:space="preserve"> being sought altogether</w:t>
      </w:r>
      <w:r w:rsidRPr="004953A2">
        <w:rPr>
          <w:rStyle w:val="Strong"/>
          <w:rFonts w:asciiTheme="minorHAnsi" w:eastAsiaTheme="minorHAnsi" w:hAnsiTheme="minorHAnsi" w:cstheme="minorBidi"/>
          <w:b/>
        </w:rPr>
        <w:t>?</w:t>
      </w:r>
    </w:p>
    <w:p w14:paraId="0C33DE93" w14:textId="4227900D" w:rsidR="00753C44" w:rsidRPr="004953A2" w:rsidRDefault="002255DA" w:rsidP="007D705B">
      <w:pPr>
        <w:spacing w:before="0" w:after="0"/>
        <w:ind w:left="720"/>
        <w:rPr>
          <w:szCs w:val="20"/>
        </w:rPr>
      </w:pPr>
      <w:r w:rsidRPr="004953A2">
        <w:rPr>
          <w:szCs w:val="20"/>
        </w:rPr>
        <w:fldChar w:fldCharType="begin">
          <w:ffData>
            <w:name w:val="Check2"/>
            <w:enabled/>
            <w:calcOnExit w:val="0"/>
            <w:checkBox>
              <w:sizeAuto/>
              <w:default w:val="0"/>
            </w:checkBox>
          </w:ffData>
        </w:fldChar>
      </w:r>
      <w:r w:rsidRPr="004953A2">
        <w:rPr>
          <w:szCs w:val="20"/>
        </w:rPr>
        <w:instrText xml:space="preserve"> </w:instrText>
      </w:r>
      <w:bookmarkStart w:id="3" w:name="Check2"/>
      <w:r w:rsidRPr="004953A2">
        <w:rPr>
          <w:szCs w:val="20"/>
        </w:rPr>
        <w:instrText xml:space="preserve">FORMCHECKBOX </w:instrText>
      </w:r>
      <w:r w:rsidR="006D1F51">
        <w:rPr>
          <w:szCs w:val="20"/>
        </w:rPr>
      </w:r>
      <w:r w:rsidR="006D1F51">
        <w:rPr>
          <w:szCs w:val="20"/>
        </w:rPr>
        <w:fldChar w:fldCharType="separate"/>
      </w:r>
      <w:r w:rsidRPr="004953A2">
        <w:rPr>
          <w:szCs w:val="20"/>
        </w:rPr>
        <w:fldChar w:fldCharType="end"/>
      </w:r>
      <w:bookmarkEnd w:id="3"/>
      <w:r w:rsidR="006B6390" w:rsidRPr="004953A2">
        <w:rPr>
          <w:szCs w:val="20"/>
        </w:rPr>
        <w:t xml:space="preserve"> </w:t>
      </w:r>
      <w:r w:rsidR="00753C44" w:rsidRPr="004953A2">
        <w:rPr>
          <w:szCs w:val="20"/>
        </w:rPr>
        <w:t>Amendment to existing MBS item(s)</w:t>
      </w:r>
    </w:p>
    <w:p w14:paraId="3CEE6DF4" w14:textId="3486C307" w:rsidR="00753C44" w:rsidRPr="004953A2" w:rsidRDefault="002255DA" w:rsidP="007D705B">
      <w:pPr>
        <w:spacing w:before="0" w:after="0"/>
        <w:ind w:left="720"/>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6B6390" w:rsidRPr="004953A2">
        <w:rPr>
          <w:szCs w:val="20"/>
        </w:rPr>
        <w:t xml:space="preserve"> </w:t>
      </w:r>
      <w:r w:rsidR="00753C44" w:rsidRPr="004953A2">
        <w:rPr>
          <w:szCs w:val="20"/>
        </w:rPr>
        <w:t>New MBS item(s)</w:t>
      </w:r>
    </w:p>
    <w:p w14:paraId="21FD02D8" w14:textId="77777777" w:rsidR="00ED061E" w:rsidRPr="004953A2" w:rsidRDefault="00ED061E" w:rsidP="00A6491A">
      <w:pPr>
        <w:spacing w:before="0" w:after="0"/>
        <w:ind w:left="284"/>
        <w:rPr>
          <w:szCs w:val="20"/>
        </w:rPr>
      </w:pPr>
    </w:p>
    <w:p w14:paraId="277E0351" w14:textId="77777777" w:rsidR="000B3CD0" w:rsidRPr="004953A2" w:rsidRDefault="000B3CD0" w:rsidP="00730C04">
      <w:pPr>
        <w:pStyle w:val="Heading2"/>
        <w:numPr>
          <w:ilvl w:val="0"/>
          <w:numId w:val="24"/>
        </w:numPr>
        <w:rPr>
          <w:rStyle w:val="Strong"/>
          <w:rFonts w:asciiTheme="minorHAnsi" w:eastAsiaTheme="minorHAnsi" w:hAnsiTheme="minorHAnsi" w:cstheme="minorBidi"/>
          <w:b/>
        </w:rPr>
      </w:pPr>
      <w:r w:rsidRPr="004953A2">
        <w:rPr>
          <w:rStyle w:val="Strong"/>
          <w:rFonts w:asciiTheme="minorHAnsi" w:eastAsiaTheme="minorHAnsi" w:hAnsiTheme="minorHAnsi" w:cstheme="minorBidi"/>
          <w:b/>
        </w:rPr>
        <w:t xml:space="preserve">If </w:t>
      </w:r>
      <w:r w:rsidR="00126B33" w:rsidRPr="004953A2">
        <w:rPr>
          <w:rStyle w:val="Strong"/>
          <w:rFonts w:asciiTheme="minorHAnsi" w:eastAsiaTheme="minorHAnsi" w:hAnsiTheme="minorHAnsi" w:cstheme="minorBidi"/>
          <w:b/>
        </w:rPr>
        <w:t xml:space="preserve">an amendment </w:t>
      </w:r>
      <w:r w:rsidR="003020B5" w:rsidRPr="004953A2">
        <w:rPr>
          <w:rStyle w:val="Strong"/>
          <w:rFonts w:asciiTheme="minorHAnsi" w:eastAsiaTheme="minorHAnsi" w:hAnsiTheme="minorHAnsi" w:cstheme="minorBidi"/>
          <w:b/>
        </w:rPr>
        <w:t xml:space="preserve">to </w:t>
      </w:r>
      <w:r w:rsidR="00126B33" w:rsidRPr="004953A2">
        <w:rPr>
          <w:rStyle w:val="Strong"/>
          <w:rFonts w:asciiTheme="minorHAnsi" w:eastAsiaTheme="minorHAnsi" w:hAnsiTheme="minorHAnsi" w:cstheme="minorBidi"/>
          <w:b/>
        </w:rPr>
        <w:t xml:space="preserve">an </w:t>
      </w:r>
      <w:r w:rsidR="003020B5" w:rsidRPr="004953A2">
        <w:rPr>
          <w:rStyle w:val="Strong"/>
          <w:rFonts w:asciiTheme="minorHAnsi" w:eastAsiaTheme="minorHAnsi" w:hAnsiTheme="minorHAnsi" w:cstheme="minorBidi"/>
          <w:b/>
        </w:rPr>
        <w:t>existing item</w:t>
      </w:r>
      <w:r w:rsidR="005D0677" w:rsidRPr="004953A2">
        <w:rPr>
          <w:rStyle w:val="Strong"/>
          <w:rFonts w:asciiTheme="minorHAnsi" w:eastAsiaTheme="minorHAnsi" w:hAnsiTheme="minorHAnsi" w:cstheme="minorBidi"/>
          <w:b/>
        </w:rPr>
        <w:t>(s)</w:t>
      </w:r>
      <w:r w:rsidR="00126B33" w:rsidRPr="004953A2">
        <w:rPr>
          <w:rStyle w:val="Strong"/>
          <w:rFonts w:asciiTheme="minorHAnsi" w:eastAsiaTheme="minorHAnsi" w:hAnsiTheme="minorHAnsi" w:cstheme="minorBidi"/>
          <w:b/>
        </w:rPr>
        <w:t xml:space="preserve"> is being sought</w:t>
      </w:r>
      <w:r w:rsidR="003020B5" w:rsidRPr="004953A2">
        <w:rPr>
          <w:rStyle w:val="Strong"/>
          <w:rFonts w:asciiTheme="minorHAnsi" w:eastAsiaTheme="minorHAnsi" w:hAnsiTheme="minorHAnsi" w:cstheme="minorBidi"/>
          <w:b/>
        </w:rPr>
        <w:t>,</w:t>
      </w:r>
      <w:r w:rsidRPr="004953A2">
        <w:rPr>
          <w:rStyle w:val="Strong"/>
          <w:rFonts w:asciiTheme="minorHAnsi" w:eastAsiaTheme="minorHAnsi" w:hAnsiTheme="minorHAnsi" w:cstheme="minorBidi"/>
          <w:b/>
        </w:rPr>
        <w:t xml:space="preserve"> please </w:t>
      </w:r>
      <w:r w:rsidR="00126B33" w:rsidRPr="004953A2">
        <w:rPr>
          <w:rStyle w:val="Strong"/>
          <w:rFonts w:asciiTheme="minorHAnsi" w:eastAsiaTheme="minorHAnsi" w:hAnsiTheme="minorHAnsi" w:cstheme="minorBidi"/>
          <w:b/>
        </w:rPr>
        <w:t xml:space="preserve">list </w:t>
      </w:r>
      <w:r w:rsidRPr="004953A2">
        <w:rPr>
          <w:rStyle w:val="Strong"/>
          <w:rFonts w:asciiTheme="minorHAnsi" w:eastAsiaTheme="minorHAnsi" w:hAnsiTheme="minorHAnsi" w:cstheme="minorBidi"/>
          <w:b/>
        </w:rPr>
        <w:t xml:space="preserve">the relevant MBS item number(s) </w:t>
      </w:r>
      <w:r w:rsidR="009C03FB" w:rsidRPr="004953A2">
        <w:rPr>
          <w:rStyle w:val="Strong"/>
          <w:rFonts w:asciiTheme="minorHAnsi" w:eastAsiaTheme="minorHAnsi" w:hAnsiTheme="minorHAnsi" w:cstheme="minorBidi"/>
          <w:b/>
        </w:rPr>
        <w:t xml:space="preserve">that </w:t>
      </w:r>
      <w:r w:rsidR="00126B33" w:rsidRPr="004953A2">
        <w:rPr>
          <w:rStyle w:val="Strong"/>
          <w:rFonts w:asciiTheme="minorHAnsi" w:eastAsiaTheme="minorHAnsi" w:hAnsiTheme="minorHAnsi" w:cstheme="minorBidi"/>
          <w:b/>
        </w:rPr>
        <w:t xml:space="preserve">are </w:t>
      </w:r>
      <w:r w:rsidR="005A6AB9" w:rsidRPr="004953A2">
        <w:rPr>
          <w:rStyle w:val="Strong"/>
          <w:rFonts w:asciiTheme="minorHAnsi" w:eastAsiaTheme="minorHAnsi" w:hAnsiTheme="minorHAnsi" w:cstheme="minorBidi"/>
          <w:b/>
        </w:rPr>
        <w:t xml:space="preserve">to be </w:t>
      </w:r>
      <w:r w:rsidR="00126B33" w:rsidRPr="004953A2">
        <w:rPr>
          <w:rStyle w:val="Strong"/>
          <w:rFonts w:asciiTheme="minorHAnsi" w:eastAsiaTheme="minorHAnsi" w:hAnsiTheme="minorHAnsi" w:cstheme="minorBidi"/>
          <w:b/>
        </w:rPr>
        <w:t xml:space="preserve">amended </w:t>
      </w:r>
      <w:r w:rsidR="005A6AB9" w:rsidRPr="004953A2">
        <w:rPr>
          <w:rStyle w:val="Strong"/>
          <w:rFonts w:asciiTheme="minorHAnsi" w:eastAsiaTheme="minorHAnsi" w:hAnsiTheme="minorHAnsi" w:cstheme="minorBidi"/>
          <w:b/>
        </w:rPr>
        <w:t xml:space="preserve">to </w:t>
      </w:r>
      <w:r w:rsidR="00A93F58" w:rsidRPr="004953A2">
        <w:rPr>
          <w:rStyle w:val="Strong"/>
          <w:rFonts w:asciiTheme="minorHAnsi" w:eastAsiaTheme="minorHAnsi" w:hAnsiTheme="minorHAnsi" w:cstheme="minorBidi"/>
          <w:b/>
        </w:rPr>
        <w:t xml:space="preserve">include </w:t>
      </w:r>
      <w:r w:rsidR="005A6AB9" w:rsidRPr="004953A2">
        <w:rPr>
          <w:rStyle w:val="Strong"/>
          <w:rFonts w:asciiTheme="minorHAnsi" w:eastAsiaTheme="minorHAnsi" w:hAnsiTheme="minorHAnsi" w:cstheme="minorBidi"/>
          <w:b/>
        </w:rPr>
        <w:t>the proposed medical service</w:t>
      </w:r>
      <w:r w:rsidR="00802553" w:rsidRPr="004953A2">
        <w:rPr>
          <w:rStyle w:val="Strong"/>
          <w:rFonts w:asciiTheme="minorHAnsi" w:eastAsiaTheme="minorHAnsi" w:hAnsiTheme="minorHAnsi" w:cstheme="minorBidi"/>
          <w:b/>
        </w:rPr>
        <w:t>:</w:t>
      </w:r>
      <w:r w:rsidR="00E06102" w:rsidRPr="004953A2">
        <w:rPr>
          <w:rStyle w:val="Strong"/>
          <w:rFonts w:asciiTheme="minorHAnsi" w:eastAsiaTheme="minorHAnsi" w:hAnsiTheme="minorHAnsi" w:cstheme="minorBidi"/>
          <w:b/>
        </w:rPr>
        <w:t xml:space="preserve"> </w:t>
      </w:r>
    </w:p>
    <w:p w14:paraId="2851F03A" w14:textId="3C55C66F" w:rsidR="003D795C" w:rsidRPr="004953A2" w:rsidRDefault="00572EAC" w:rsidP="007D705B">
      <w:pPr>
        <w:ind w:left="284" w:firstLine="436"/>
      </w:pPr>
      <w:r w:rsidRPr="004953A2">
        <w:t>Not applicable.</w:t>
      </w:r>
    </w:p>
    <w:p w14:paraId="6A79BB95" w14:textId="3B2D9F4B" w:rsidR="006C0843" w:rsidRPr="004953A2" w:rsidRDefault="006C0843" w:rsidP="00730C04">
      <w:pPr>
        <w:pStyle w:val="Heading2"/>
        <w:numPr>
          <w:ilvl w:val="0"/>
          <w:numId w:val="24"/>
        </w:numPr>
        <w:rPr>
          <w:rStyle w:val="Strong"/>
          <w:rFonts w:asciiTheme="minorHAnsi" w:eastAsiaTheme="minorHAnsi" w:hAnsiTheme="minorHAnsi" w:cstheme="minorBidi"/>
          <w:b/>
        </w:rPr>
      </w:pPr>
      <w:r w:rsidRPr="004953A2">
        <w:rPr>
          <w:rStyle w:val="Strong"/>
          <w:rFonts w:asciiTheme="minorHAnsi" w:eastAsiaTheme="minorHAnsi" w:hAnsiTheme="minorHAnsi" w:cstheme="minorBidi"/>
          <w:b/>
        </w:rPr>
        <w:t>If an amendment to an existing item</w:t>
      </w:r>
      <w:r w:rsidR="003E30FB" w:rsidRPr="004953A2">
        <w:rPr>
          <w:rStyle w:val="Strong"/>
          <w:rFonts w:asciiTheme="minorHAnsi" w:eastAsiaTheme="minorHAnsi" w:hAnsiTheme="minorHAnsi" w:cstheme="minorBidi"/>
          <w:b/>
        </w:rPr>
        <w:t>(s)</w:t>
      </w:r>
      <w:r w:rsidRPr="004953A2">
        <w:rPr>
          <w:rStyle w:val="Strong"/>
          <w:rFonts w:asciiTheme="minorHAnsi" w:eastAsiaTheme="minorHAnsi" w:hAnsiTheme="minorHAnsi" w:cstheme="minorBidi"/>
          <w:b/>
        </w:rPr>
        <w:t xml:space="preserve"> is being sought, what is the nature of the amendment</w:t>
      </w:r>
      <w:r w:rsidR="00C01121" w:rsidRPr="004953A2">
        <w:rPr>
          <w:rStyle w:val="Strong"/>
          <w:rFonts w:asciiTheme="minorHAnsi" w:eastAsiaTheme="minorHAnsi" w:hAnsiTheme="minorHAnsi" w:cstheme="minorBidi"/>
          <w:b/>
        </w:rPr>
        <w:t>(s)</w:t>
      </w:r>
      <w:r w:rsidR="00E06102" w:rsidRPr="004953A2">
        <w:rPr>
          <w:rStyle w:val="Strong"/>
          <w:rFonts w:asciiTheme="minorHAnsi" w:eastAsiaTheme="minorHAnsi" w:hAnsiTheme="minorHAnsi" w:cstheme="minorBidi"/>
          <w:b/>
        </w:rPr>
        <w:t>?</w:t>
      </w:r>
    </w:p>
    <w:p w14:paraId="6044D763" w14:textId="1EAA7F2F" w:rsidR="00572EAC" w:rsidRPr="004953A2" w:rsidRDefault="00572EAC" w:rsidP="007D705B">
      <w:pPr>
        <w:ind w:firstLine="720"/>
      </w:pPr>
      <w:r w:rsidRPr="004953A2">
        <w:t>Not applicable.</w:t>
      </w:r>
    </w:p>
    <w:p w14:paraId="2875F0CA" w14:textId="77777777" w:rsidR="00534C5F" w:rsidRPr="004953A2" w:rsidRDefault="000770BA" w:rsidP="00730C04">
      <w:pPr>
        <w:pStyle w:val="Heading2"/>
        <w:numPr>
          <w:ilvl w:val="0"/>
          <w:numId w:val="24"/>
        </w:numPr>
        <w:rPr>
          <w:rStyle w:val="Strong"/>
          <w:rFonts w:asciiTheme="minorHAnsi" w:eastAsiaTheme="minorHAnsi" w:hAnsiTheme="minorHAnsi" w:cstheme="minorBidi"/>
          <w:b/>
        </w:rPr>
      </w:pPr>
      <w:r w:rsidRPr="004953A2">
        <w:rPr>
          <w:rStyle w:val="Strong"/>
          <w:rFonts w:asciiTheme="minorHAnsi" w:eastAsiaTheme="minorHAnsi" w:hAnsiTheme="minorHAnsi" w:cstheme="minorBidi"/>
          <w:b/>
        </w:rPr>
        <w:t>If a new item</w:t>
      </w:r>
      <w:r w:rsidR="005D0677" w:rsidRPr="004953A2">
        <w:rPr>
          <w:rStyle w:val="Strong"/>
          <w:rFonts w:asciiTheme="minorHAnsi" w:eastAsiaTheme="minorHAnsi" w:hAnsiTheme="minorHAnsi" w:cstheme="minorBidi"/>
          <w:b/>
        </w:rPr>
        <w:t>(s)</w:t>
      </w:r>
      <w:r w:rsidR="003433D1" w:rsidRPr="004953A2">
        <w:rPr>
          <w:rStyle w:val="Strong"/>
          <w:rFonts w:asciiTheme="minorHAnsi" w:eastAsiaTheme="minorHAnsi" w:hAnsiTheme="minorHAnsi" w:cstheme="minorBidi"/>
          <w:b/>
        </w:rPr>
        <w:t xml:space="preserve"> is being requested</w:t>
      </w:r>
      <w:r w:rsidRPr="004953A2">
        <w:rPr>
          <w:rStyle w:val="Strong"/>
          <w:rFonts w:asciiTheme="minorHAnsi" w:eastAsiaTheme="minorHAnsi" w:hAnsiTheme="minorHAnsi" w:cstheme="minorBidi"/>
          <w:b/>
        </w:rPr>
        <w:t>, what is the nature of the change to the MBS being sought?</w:t>
      </w:r>
    </w:p>
    <w:p w14:paraId="4FA347E1" w14:textId="77777777" w:rsidR="006B6390" w:rsidRPr="004953A2" w:rsidRDefault="006B6390" w:rsidP="00AA2CFE">
      <w:pPr>
        <w:pStyle w:val="ListParagraph"/>
        <w:numPr>
          <w:ilvl w:val="0"/>
          <w:numId w:val="35"/>
        </w:numPr>
        <w:spacing w:before="0" w:after="0"/>
        <w:ind w:left="851" w:hanging="425"/>
        <w:rPr>
          <w:rStyle w:val="Strong"/>
          <w:b w:val="0"/>
        </w:rPr>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rPr>
          <w:rStyle w:val="Strong"/>
          <w:b w:val="0"/>
        </w:rPr>
        <w:t>A new item which also seeks to allow access to the MBS for a specific health practitioner group</w:t>
      </w:r>
    </w:p>
    <w:p w14:paraId="46095C0E" w14:textId="256AE9AE" w:rsidR="006B6390" w:rsidRPr="004953A2" w:rsidRDefault="00572EAC" w:rsidP="00AA2CFE">
      <w:pPr>
        <w:pStyle w:val="ListParagraph"/>
        <w:numPr>
          <w:ilvl w:val="0"/>
          <w:numId w:val="35"/>
        </w:numPr>
        <w:spacing w:before="0" w:after="0"/>
        <w:ind w:left="851" w:hanging="425"/>
        <w:rPr>
          <w:rStyle w:val="Strong"/>
          <w:b w:val="0"/>
        </w:rPr>
      </w:pPr>
      <w:r w:rsidRPr="004953A2">
        <w:rPr>
          <w:b/>
          <w:szCs w:val="20"/>
        </w:rPr>
        <w:fldChar w:fldCharType="begin">
          <w:ffData>
            <w:name w:val=""/>
            <w:enabled/>
            <w:calcOnExit w:val="0"/>
            <w:checkBox>
              <w:sizeAuto/>
              <w:default w:val="1"/>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006B6390" w:rsidRPr="004953A2">
        <w:rPr>
          <w:b/>
          <w:szCs w:val="20"/>
        </w:rPr>
        <w:t xml:space="preserve"> </w:t>
      </w:r>
      <w:r w:rsidR="006B6390" w:rsidRPr="004953A2">
        <w:rPr>
          <w:rStyle w:val="Strong"/>
          <w:b w:val="0"/>
        </w:rPr>
        <w:t>A new item that is proposing a way of clinically delivering a service that is new to the MBS (in terms of new technology and / or population)</w:t>
      </w:r>
    </w:p>
    <w:p w14:paraId="701D4C57" w14:textId="77777777" w:rsidR="006B6390" w:rsidRPr="004953A2" w:rsidRDefault="006B6390" w:rsidP="00AA2CFE">
      <w:pPr>
        <w:pStyle w:val="ListParagraph"/>
        <w:numPr>
          <w:ilvl w:val="0"/>
          <w:numId w:val="35"/>
        </w:numPr>
        <w:spacing w:before="0" w:after="0"/>
        <w:ind w:left="851" w:hanging="425"/>
        <w:rPr>
          <w:rStyle w:val="Strong"/>
          <w:b w:val="0"/>
        </w:rPr>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rPr>
          <w:rStyle w:val="Strong"/>
          <w:b w:val="0"/>
        </w:rPr>
        <w:t>A new item for a specific single consultation item</w:t>
      </w:r>
    </w:p>
    <w:p w14:paraId="2F069BD8" w14:textId="3C6E39D6" w:rsidR="006B6390" w:rsidRPr="004953A2" w:rsidRDefault="006B6390" w:rsidP="00AA2CFE">
      <w:pPr>
        <w:pStyle w:val="ListParagraph"/>
        <w:numPr>
          <w:ilvl w:val="0"/>
          <w:numId w:val="35"/>
        </w:numPr>
        <w:spacing w:before="0" w:after="0"/>
        <w:ind w:left="851" w:hanging="425"/>
        <w:rPr>
          <w:rStyle w:val="Strong"/>
          <w:b w:val="0"/>
        </w:rPr>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rPr>
          <w:rStyle w:val="Strong"/>
          <w:b w:val="0"/>
        </w:rPr>
        <w:t>A new item for a global consultation item(s)</w:t>
      </w:r>
    </w:p>
    <w:p w14:paraId="2AEE1500" w14:textId="77777777" w:rsidR="00572EAC" w:rsidRPr="004953A2" w:rsidRDefault="00572EAC" w:rsidP="00572EAC">
      <w:pPr>
        <w:pStyle w:val="ListParagraph"/>
        <w:spacing w:before="0" w:after="0"/>
        <w:ind w:left="1004"/>
        <w:rPr>
          <w:szCs w:val="20"/>
        </w:rPr>
      </w:pPr>
    </w:p>
    <w:p w14:paraId="1345A9F6" w14:textId="77777777" w:rsidR="007D705B" w:rsidRDefault="007D705B">
      <w:pPr>
        <w:spacing w:before="0" w:after="200" w:line="276" w:lineRule="auto"/>
        <w:rPr>
          <w:szCs w:val="20"/>
        </w:rPr>
      </w:pPr>
      <w:r>
        <w:rPr>
          <w:szCs w:val="20"/>
        </w:rPr>
        <w:br w:type="page"/>
      </w:r>
    </w:p>
    <w:p w14:paraId="17E59A09" w14:textId="4B0ED672" w:rsidR="00F46616" w:rsidRDefault="00572EAC" w:rsidP="007D705B">
      <w:pPr>
        <w:pStyle w:val="ListParagraph"/>
        <w:spacing w:before="0" w:after="0"/>
        <w:rPr>
          <w:szCs w:val="20"/>
        </w:rPr>
      </w:pPr>
      <w:r w:rsidRPr="004953A2">
        <w:rPr>
          <w:szCs w:val="20"/>
        </w:rPr>
        <w:lastRenderedPageBreak/>
        <w:t>NB</w:t>
      </w:r>
      <w:r w:rsidR="006A6E55" w:rsidRPr="004953A2">
        <w:rPr>
          <w:szCs w:val="20"/>
        </w:rPr>
        <w:t>1</w:t>
      </w:r>
      <w:r w:rsidRPr="004953A2">
        <w:rPr>
          <w:szCs w:val="20"/>
        </w:rPr>
        <w:t xml:space="preserve">: There is </w:t>
      </w:r>
      <w:r w:rsidR="003962BC" w:rsidRPr="004953A2">
        <w:rPr>
          <w:szCs w:val="20"/>
        </w:rPr>
        <w:t xml:space="preserve">an </w:t>
      </w:r>
      <w:r w:rsidRPr="004953A2">
        <w:rPr>
          <w:szCs w:val="20"/>
        </w:rPr>
        <w:t xml:space="preserve">existing MBS item number (38495) </w:t>
      </w:r>
      <w:r w:rsidR="007F4E5E" w:rsidRPr="004953A2">
        <w:rPr>
          <w:szCs w:val="20"/>
        </w:rPr>
        <w:t>for</w:t>
      </w:r>
      <w:r w:rsidRPr="004953A2">
        <w:rPr>
          <w:szCs w:val="20"/>
        </w:rPr>
        <w:t xml:space="preserve"> TAVI</w:t>
      </w:r>
      <w:r w:rsidR="007F4E5E" w:rsidRPr="004953A2">
        <w:rPr>
          <w:szCs w:val="20"/>
        </w:rPr>
        <w:t>s</w:t>
      </w:r>
      <w:r w:rsidRPr="004953A2">
        <w:rPr>
          <w:szCs w:val="20"/>
        </w:rPr>
        <w:t xml:space="preserve">: “TAVI,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 However, as per note TN.8.135, the item is currently restricted to patients who have been “assessed as having an unacceptably high risk for surgical aortic valve replacement”. The current proposal seeks a new MBS item for the TAVI with the SAPIEN 3 </w:t>
      </w:r>
      <w:r w:rsidR="007F4E5E" w:rsidRPr="004953A2">
        <w:rPr>
          <w:szCs w:val="20"/>
        </w:rPr>
        <w:t>BEV system</w:t>
      </w:r>
      <w:r w:rsidR="000635E1" w:rsidRPr="004953A2">
        <w:rPr>
          <w:szCs w:val="20"/>
        </w:rPr>
        <w:t xml:space="preserve"> among </w:t>
      </w:r>
      <w:r w:rsidRPr="004953A2">
        <w:rPr>
          <w:szCs w:val="20"/>
        </w:rPr>
        <w:t xml:space="preserve">patients at </w:t>
      </w:r>
      <w:r w:rsidR="00A25C7A" w:rsidRPr="00BB0663">
        <w:rPr>
          <w:i/>
          <w:szCs w:val="20"/>
        </w:rPr>
        <w:t>low</w:t>
      </w:r>
      <w:r w:rsidRPr="00BB0663">
        <w:rPr>
          <w:i/>
          <w:szCs w:val="20"/>
        </w:rPr>
        <w:t xml:space="preserve"> </w:t>
      </w:r>
      <w:r w:rsidRPr="007079D5">
        <w:rPr>
          <w:szCs w:val="20"/>
        </w:rPr>
        <w:t>risk</w:t>
      </w:r>
      <w:r w:rsidRPr="004953A2">
        <w:rPr>
          <w:szCs w:val="20"/>
        </w:rPr>
        <w:t xml:space="preserve"> for surgery.</w:t>
      </w:r>
    </w:p>
    <w:p w14:paraId="31C729A1" w14:textId="4094DAE8" w:rsidR="0046361C" w:rsidRDefault="0046361C" w:rsidP="007D705B">
      <w:pPr>
        <w:pStyle w:val="ListParagraph"/>
        <w:spacing w:before="0" w:after="0"/>
        <w:rPr>
          <w:szCs w:val="20"/>
        </w:rPr>
      </w:pPr>
    </w:p>
    <w:p w14:paraId="299ED2D2" w14:textId="14CED4CD" w:rsidR="0046361C" w:rsidRPr="008B4768" w:rsidRDefault="007D705B" w:rsidP="007D705B">
      <w:pPr>
        <w:pStyle w:val="ListParagraph"/>
        <w:spacing w:before="0" w:after="0"/>
        <w:rPr>
          <w:b/>
          <w:szCs w:val="20"/>
        </w:rPr>
      </w:pPr>
      <w:r>
        <w:rPr>
          <w:b/>
          <w:szCs w:val="20"/>
        </w:rPr>
        <w:t>REDACTED</w:t>
      </w:r>
    </w:p>
    <w:p w14:paraId="6BAD9CFB" w14:textId="77777777" w:rsidR="00572EAC" w:rsidRPr="004953A2" w:rsidRDefault="00572EAC" w:rsidP="003962BC">
      <w:pPr>
        <w:pStyle w:val="ListParagraph"/>
        <w:spacing w:before="0" w:after="0"/>
        <w:ind w:left="851"/>
        <w:rPr>
          <w:rStyle w:val="Strong"/>
          <w:b w:val="0"/>
        </w:rPr>
      </w:pPr>
    </w:p>
    <w:p w14:paraId="2B957939" w14:textId="77777777" w:rsidR="003027BB" w:rsidRPr="004953A2" w:rsidRDefault="00F30C22" w:rsidP="00730C04">
      <w:pPr>
        <w:pStyle w:val="Heading2"/>
        <w:numPr>
          <w:ilvl w:val="0"/>
          <w:numId w:val="24"/>
        </w:numPr>
        <w:rPr>
          <w:rStyle w:val="Strong"/>
          <w:rFonts w:asciiTheme="minorHAnsi" w:eastAsiaTheme="minorHAnsi" w:hAnsiTheme="minorHAnsi" w:cstheme="minorBidi"/>
          <w:b/>
        </w:rPr>
      </w:pPr>
      <w:r w:rsidRPr="004953A2">
        <w:rPr>
          <w:rStyle w:val="Strong"/>
          <w:rFonts w:asciiTheme="minorHAnsi" w:eastAsiaTheme="minorHAnsi" w:hAnsiTheme="minorHAnsi" w:cstheme="minorBidi"/>
          <w:b/>
        </w:rPr>
        <w:t>Is the proposed service seeking public funding other than the MBS?</w:t>
      </w:r>
    </w:p>
    <w:p w14:paraId="20584BB0" w14:textId="77777777" w:rsidR="000A5B32" w:rsidRPr="004953A2" w:rsidRDefault="000A5B32" w:rsidP="007D705B">
      <w:pPr>
        <w:spacing w:before="0" w:after="0"/>
        <w:ind w:left="720"/>
        <w:rPr>
          <w:szCs w:val="20"/>
        </w:rPr>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Yes</w:t>
      </w:r>
    </w:p>
    <w:p w14:paraId="765C5974" w14:textId="77777777" w:rsidR="00626365" w:rsidRPr="004953A2" w:rsidRDefault="00ED061E" w:rsidP="007D705B">
      <w:pPr>
        <w:spacing w:before="0" w:after="0"/>
        <w:ind w:left="720"/>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0A5B32" w:rsidRPr="004953A2">
        <w:rPr>
          <w:szCs w:val="20"/>
        </w:rPr>
        <w:t xml:space="preserve"> No</w:t>
      </w:r>
    </w:p>
    <w:p w14:paraId="7A1A65D2" w14:textId="77777777" w:rsidR="00626365" w:rsidRPr="004953A2" w:rsidRDefault="00626365" w:rsidP="00626365">
      <w:pPr>
        <w:spacing w:before="0" w:after="0"/>
        <w:ind w:left="284"/>
        <w:rPr>
          <w:rStyle w:val="Strong"/>
          <w:rFonts w:asciiTheme="minorHAnsi" w:eastAsiaTheme="minorHAnsi" w:hAnsiTheme="minorHAnsi" w:cstheme="minorBidi"/>
          <w:b w:val="0"/>
          <w:szCs w:val="20"/>
        </w:rPr>
      </w:pPr>
    </w:p>
    <w:p w14:paraId="61C11ABB" w14:textId="77777777" w:rsidR="003027BB" w:rsidRPr="004953A2" w:rsidRDefault="003027BB" w:rsidP="00730C04">
      <w:pPr>
        <w:pStyle w:val="Heading2"/>
        <w:numPr>
          <w:ilvl w:val="0"/>
          <w:numId w:val="24"/>
        </w:numPr>
        <w:rPr>
          <w:rStyle w:val="Strong"/>
          <w:rFonts w:asciiTheme="minorHAnsi" w:eastAsiaTheme="minorHAnsi" w:hAnsiTheme="minorHAnsi" w:cstheme="minorBidi"/>
          <w:b/>
        </w:rPr>
      </w:pPr>
      <w:r w:rsidRPr="004953A2">
        <w:rPr>
          <w:rStyle w:val="Strong"/>
          <w:rFonts w:asciiTheme="minorHAnsi" w:eastAsiaTheme="minorHAnsi" w:hAnsiTheme="minorHAnsi" w:cstheme="minorBidi"/>
          <w:b/>
        </w:rPr>
        <w:t>If yes, please advise:</w:t>
      </w:r>
    </w:p>
    <w:p w14:paraId="00082E24" w14:textId="77777777" w:rsidR="00405516" w:rsidRPr="004953A2" w:rsidRDefault="00405516" w:rsidP="00181B4B">
      <w:pPr>
        <w:pStyle w:val="Heading2"/>
        <w:numPr>
          <w:ilvl w:val="0"/>
          <w:numId w:val="0"/>
        </w:numPr>
        <w:ind w:left="360"/>
      </w:pPr>
    </w:p>
    <w:p w14:paraId="40F86A16" w14:textId="4E6B28C7" w:rsidR="000B3CD0" w:rsidRPr="004953A2" w:rsidRDefault="000B3CD0" w:rsidP="00730C04">
      <w:pPr>
        <w:pStyle w:val="Heading2"/>
      </w:pPr>
      <w:r w:rsidRPr="004953A2">
        <w:t>What is the type of service:</w:t>
      </w:r>
    </w:p>
    <w:p w14:paraId="150A96E6" w14:textId="77777777" w:rsidR="00A6594E" w:rsidRPr="004953A2" w:rsidRDefault="00ED061E" w:rsidP="007D705B">
      <w:pPr>
        <w:spacing w:before="0" w:after="0"/>
        <w:ind w:left="360"/>
      </w:pPr>
      <w:r w:rsidRPr="004953A2">
        <w:rPr>
          <w:b/>
          <w:szCs w:val="20"/>
        </w:rPr>
        <w:fldChar w:fldCharType="begin">
          <w:ffData>
            <w:name w:val=""/>
            <w:enabled/>
            <w:calcOnExit w:val="0"/>
            <w:checkBox>
              <w:sizeAuto/>
              <w:default w:val="1"/>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00A6594E" w:rsidRPr="004953A2">
        <w:rPr>
          <w:b/>
          <w:szCs w:val="20"/>
        </w:rPr>
        <w:t xml:space="preserve"> </w:t>
      </w:r>
      <w:r w:rsidR="00A6594E" w:rsidRPr="004953A2">
        <w:t>Therapeutic medical service</w:t>
      </w:r>
    </w:p>
    <w:p w14:paraId="524BC547" w14:textId="77777777" w:rsidR="00A6594E" w:rsidRPr="004953A2" w:rsidRDefault="00A6594E" w:rsidP="007D705B">
      <w:pPr>
        <w:spacing w:before="0" w:after="0"/>
        <w:ind w:left="360"/>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Investigative medical service</w:t>
      </w:r>
    </w:p>
    <w:p w14:paraId="3FDC18D3" w14:textId="77777777" w:rsidR="00A6594E" w:rsidRPr="004953A2" w:rsidRDefault="00A6594E" w:rsidP="007D705B">
      <w:pPr>
        <w:spacing w:before="0" w:after="0"/>
        <w:ind w:left="360"/>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Single consultation medical service</w:t>
      </w:r>
    </w:p>
    <w:p w14:paraId="79B11CEF" w14:textId="77777777" w:rsidR="00A6594E" w:rsidRPr="004953A2" w:rsidRDefault="00A6594E" w:rsidP="007D705B">
      <w:pPr>
        <w:spacing w:before="0" w:after="0"/>
        <w:ind w:left="360"/>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Global consultation medical service</w:t>
      </w:r>
    </w:p>
    <w:p w14:paraId="1AAFE534" w14:textId="77777777" w:rsidR="00A6594E" w:rsidRPr="004953A2" w:rsidRDefault="00A6594E" w:rsidP="007D705B">
      <w:pPr>
        <w:spacing w:before="0" w:after="0"/>
        <w:ind w:left="360"/>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Allied health service</w:t>
      </w:r>
    </w:p>
    <w:p w14:paraId="68F8B06A" w14:textId="77777777" w:rsidR="00A6594E" w:rsidRPr="004953A2" w:rsidRDefault="00A6594E" w:rsidP="007D705B">
      <w:pPr>
        <w:spacing w:before="0" w:after="0"/>
        <w:ind w:left="360"/>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Co-dependent technology</w:t>
      </w:r>
    </w:p>
    <w:p w14:paraId="2794B903" w14:textId="77777777" w:rsidR="00A6594E" w:rsidRPr="004953A2" w:rsidRDefault="00A6594E" w:rsidP="007D705B">
      <w:pPr>
        <w:spacing w:before="0" w:after="0"/>
        <w:ind w:left="360"/>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Hybrid health technology</w:t>
      </w:r>
    </w:p>
    <w:p w14:paraId="0F8A6E27" w14:textId="77777777" w:rsidR="0054594B" w:rsidRPr="004953A2" w:rsidRDefault="0054594B" w:rsidP="00730C04">
      <w:pPr>
        <w:pStyle w:val="Heading2"/>
      </w:pPr>
      <w:r w:rsidRPr="004953A2">
        <w:t xml:space="preserve">For investigative services, </w:t>
      </w:r>
      <w:r w:rsidR="00154B00" w:rsidRPr="004953A2">
        <w:t>advise</w:t>
      </w:r>
      <w:r w:rsidRPr="004953A2">
        <w:t xml:space="preserve"> the specific purpose of performing the service </w:t>
      </w:r>
      <w:r w:rsidRPr="004953A2">
        <w:rPr>
          <w:i/>
        </w:rPr>
        <w:t>(which could be one or more of the following</w:t>
      </w:r>
      <w:r w:rsidR="00154B00" w:rsidRPr="004953A2">
        <w:rPr>
          <w:i/>
        </w:rPr>
        <w:t>)</w:t>
      </w:r>
      <w:r w:rsidRPr="004953A2">
        <w:t>:</w:t>
      </w:r>
    </w:p>
    <w:p w14:paraId="4CB07B46" w14:textId="77777777" w:rsidR="00A6594E" w:rsidRPr="004953A2" w:rsidRDefault="00A6594E" w:rsidP="00AF4466">
      <w:pPr>
        <w:pStyle w:val="ListParagraph"/>
        <w:numPr>
          <w:ilvl w:val="0"/>
          <w:numId w:val="36"/>
        </w:numPr>
        <w:spacing w:before="0" w:after="0"/>
        <w:ind w:left="851" w:hanging="425"/>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 xml:space="preserve">To be used as a screening tool in asymptomatic populations </w:t>
      </w:r>
    </w:p>
    <w:p w14:paraId="2976139C" w14:textId="77777777" w:rsidR="00A6594E" w:rsidRPr="004953A2" w:rsidRDefault="00A6594E" w:rsidP="00AF4466">
      <w:pPr>
        <w:pStyle w:val="ListParagraph"/>
        <w:numPr>
          <w:ilvl w:val="0"/>
          <w:numId w:val="36"/>
        </w:numPr>
        <w:spacing w:before="0" w:after="0"/>
        <w:ind w:left="851" w:hanging="425"/>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Assists in establishing a diagnosis in symptomatic patients</w:t>
      </w:r>
    </w:p>
    <w:p w14:paraId="31DAFFB8" w14:textId="77777777" w:rsidR="00A6594E" w:rsidRPr="004953A2" w:rsidRDefault="00A6594E" w:rsidP="00AF4466">
      <w:pPr>
        <w:pStyle w:val="ListParagraph"/>
        <w:numPr>
          <w:ilvl w:val="0"/>
          <w:numId w:val="36"/>
        </w:numPr>
        <w:spacing w:before="0" w:after="0"/>
        <w:ind w:left="851" w:hanging="425"/>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Provides information about prognosis</w:t>
      </w:r>
    </w:p>
    <w:p w14:paraId="39910A97" w14:textId="77777777" w:rsidR="00A6594E" w:rsidRPr="004953A2" w:rsidRDefault="00A6594E" w:rsidP="00AF4466">
      <w:pPr>
        <w:pStyle w:val="ListParagraph"/>
        <w:numPr>
          <w:ilvl w:val="0"/>
          <w:numId w:val="36"/>
        </w:numPr>
        <w:spacing w:before="0" w:after="0"/>
        <w:ind w:left="851" w:hanging="425"/>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Identifies a patient as suitable for therapy by predicting a variation in the effect of the therapy</w:t>
      </w:r>
    </w:p>
    <w:p w14:paraId="0C50070B" w14:textId="77777777" w:rsidR="00A6594E" w:rsidRPr="004953A2" w:rsidRDefault="00A6594E" w:rsidP="00AF4466">
      <w:pPr>
        <w:pStyle w:val="ListParagraph"/>
        <w:numPr>
          <w:ilvl w:val="0"/>
          <w:numId w:val="36"/>
        </w:numPr>
        <w:spacing w:before="0" w:after="0"/>
        <w:ind w:left="851" w:hanging="425"/>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Monitors a patient over time to assess treatment response and guide subsequent treatment decisions</w:t>
      </w:r>
    </w:p>
    <w:p w14:paraId="752AEFB5" w14:textId="77777777" w:rsidR="000B3CD0" w:rsidRPr="004953A2" w:rsidRDefault="000B3CD0" w:rsidP="00730C04">
      <w:pPr>
        <w:pStyle w:val="Heading2"/>
      </w:pPr>
      <w:r w:rsidRPr="004953A2">
        <w:t xml:space="preserve">Does </w:t>
      </w:r>
      <w:r w:rsidR="00C209C2" w:rsidRPr="004953A2">
        <w:t>your</w:t>
      </w:r>
      <w:r w:rsidRPr="004953A2">
        <w:t xml:space="preserve"> service rely on another medical </w:t>
      </w:r>
      <w:r w:rsidR="001E1180" w:rsidRPr="004953A2">
        <w:t>product</w:t>
      </w:r>
      <w:r w:rsidRPr="004953A2">
        <w:t xml:space="preserve"> to achieve or to enhance its intended effect?</w:t>
      </w:r>
    </w:p>
    <w:p w14:paraId="0B3AF43C" w14:textId="77777777" w:rsidR="00FE16C1" w:rsidRPr="004953A2" w:rsidRDefault="00FE16C1" w:rsidP="007D705B">
      <w:pPr>
        <w:spacing w:before="0" w:after="0"/>
        <w:ind w:left="360"/>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Pharmaceutical / Biological</w:t>
      </w:r>
    </w:p>
    <w:p w14:paraId="6FB8507A" w14:textId="77777777" w:rsidR="00FE16C1" w:rsidRPr="004953A2" w:rsidRDefault="00ED061E" w:rsidP="007D705B">
      <w:pPr>
        <w:spacing w:before="0" w:after="0"/>
        <w:ind w:left="360"/>
      </w:pPr>
      <w:r w:rsidRPr="004953A2">
        <w:rPr>
          <w:b/>
          <w:szCs w:val="20"/>
        </w:rPr>
        <w:fldChar w:fldCharType="begin">
          <w:ffData>
            <w:name w:val=""/>
            <w:enabled/>
            <w:calcOnExit w:val="0"/>
            <w:checkBox>
              <w:sizeAuto/>
              <w:default w:val="1"/>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00FE16C1" w:rsidRPr="004953A2">
        <w:rPr>
          <w:b/>
          <w:szCs w:val="20"/>
        </w:rPr>
        <w:t xml:space="preserve"> </w:t>
      </w:r>
      <w:r w:rsidR="00FE16C1" w:rsidRPr="004953A2">
        <w:t>Prosthesis or device</w:t>
      </w:r>
    </w:p>
    <w:p w14:paraId="0CF43862" w14:textId="77777777" w:rsidR="00FE16C1" w:rsidRPr="004953A2" w:rsidRDefault="00FE16C1" w:rsidP="007D705B">
      <w:pPr>
        <w:spacing w:before="0" w:after="0"/>
        <w:ind w:left="360"/>
      </w:pPr>
      <w:r w:rsidRPr="004953A2">
        <w:rPr>
          <w:b/>
          <w:szCs w:val="20"/>
        </w:rPr>
        <w:fldChar w:fldCharType="begin">
          <w:ffData>
            <w:name w:val="Check2"/>
            <w:enabled/>
            <w:calcOnExit w:val="0"/>
            <w:checkBox>
              <w:sizeAuto/>
              <w:default w:val="0"/>
            </w:checkBox>
          </w:ffData>
        </w:fldChar>
      </w:r>
      <w:r w:rsidRPr="004953A2">
        <w:rPr>
          <w:b/>
          <w:szCs w:val="20"/>
        </w:rPr>
        <w:instrText xml:space="preserve"> FORMCHECKBOX </w:instrText>
      </w:r>
      <w:r w:rsidR="006D1F51">
        <w:rPr>
          <w:b/>
          <w:szCs w:val="20"/>
        </w:rPr>
      </w:r>
      <w:r w:rsidR="006D1F51">
        <w:rPr>
          <w:b/>
          <w:szCs w:val="20"/>
        </w:rPr>
        <w:fldChar w:fldCharType="separate"/>
      </w:r>
      <w:r w:rsidRPr="004953A2">
        <w:rPr>
          <w:b/>
          <w:szCs w:val="20"/>
        </w:rPr>
        <w:fldChar w:fldCharType="end"/>
      </w:r>
      <w:r w:rsidRPr="004953A2">
        <w:rPr>
          <w:b/>
          <w:szCs w:val="20"/>
        </w:rPr>
        <w:t xml:space="preserve"> </w:t>
      </w:r>
      <w:r w:rsidRPr="004953A2">
        <w:t>No</w:t>
      </w:r>
    </w:p>
    <w:p w14:paraId="1023B5FC" w14:textId="77777777" w:rsidR="000E5439" w:rsidRPr="004953A2" w:rsidRDefault="00530204" w:rsidP="00730C04">
      <w:pPr>
        <w:pStyle w:val="Heading2"/>
      </w:pPr>
      <w:r w:rsidRPr="004953A2">
        <w:t xml:space="preserve">(a)  </w:t>
      </w:r>
      <w:r w:rsidR="000E5439" w:rsidRPr="004953A2">
        <w:t>If the proposed service has a pharmaceutical component to it, is it already covered under an existing Pharmaceutical Benefits Scheme (PBS) listing?</w:t>
      </w:r>
    </w:p>
    <w:p w14:paraId="450948BB" w14:textId="51A1BF42" w:rsidR="00ED061E" w:rsidRPr="004953A2" w:rsidRDefault="00ED061E" w:rsidP="007D705B">
      <w:pPr>
        <w:ind w:left="284" w:firstLine="76"/>
      </w:pPr>
      <w:r w:rsidRPr="004953A2">
        <w:t>Not applicable</w:t>
      </w:r>
      <w:r w:rsidR="003D409B" w:rsidRPr="004953A2">
        <w:t>.</w:t>
      </w:r>
    </w:p>
    <w:p w14:paraId="10381304" w14:textId="77777777" w:rsidR="00FE16C1" w:rsidRPr="004953A2" w:rsidRDefault="00FE16C1" w:rsidP="00A6491A">
      <w:pPr>
        <w:spacing w:before="0" w:after="0"/>
        <w:ind w:left="284"/>
        <w:rPr>
          <w:szCs w:val="20"/>
        </w:rPr>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Yes</w:t>
      </w:r>
    </w:p>
    <w:p w14:paraId="523E3534" w14:textId="77777777" w:rsidR="00FE16C1" w:rsidRPr="004953A2" w:rsidRDefault="00FE16C1" w:rsidP="00A6491A">
      <w:pPr>
        <w:spacing w:before="0" w:after="0"/>
        <w:ind w:left="284"/>
        <w:rPr>
          <w:szCs w:val="20"/>
        </w:rPr>
      </w:pPr>
      <w:r w:rsidRPr="004953A2">
        <w:rPr>
          <w:szCs w:val="20"/>
        </w:rPr>
        <w:fldChar w:fldCharType="begin">
          <w:ffData>
            <w:name w:val="Check2"/>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No  </w:t>
      </w:r>
    </w:p>
    <w:p w14:paraId="378BE0EF" w14:textId="77777777" w:rsidR="00EC127A" w:rsidRPr="004953A2" w:rsidRDefault="000E5439" w:rsidP="00530204">
      <w:pPr>
        <w:pStyle w:val="Heading2"/>
        <w:numPr>
          <w:ilvl w:val="0"/>
          <w:numId w:val="25"/>
        </w:numPr>
      </w:pPr>
      <w:r w:rsidRPr="004953A2">
        <w:t xml:space="preserve">If yes, </w:t>
      </w:r>
      <w:r w:rsidR="00BB003A" w:rsidRPr="004953A2">
        <w:t>please list</w:t>
      </w:r>
      <w:r w:rsidRPr="004953A2">
        <w:t xml:space="preserve"> the</w:t>
      </w:r>
      <w:r w:rsidR="00BB003A" w:rsidRPr="004953A2">
        <w:t xml:space="preserve"> relevant</w:t>
      </w:r>
      <w:r w:rsidRPr="004953A2">
        <w:t xml:space="preserve"> PBS </w:t>
      </w:r>
      <w:r w:rsidR="001E23EA" w:rsidRPr="004953A2">
        <w:t>item code</w:t>
      </w:r>
      <w:r w:rsidRPr="004953A2">
        <w:t>(s)</w:t>
      </w:r>
      <w:r w:rsidR="007E39E4" w:rsidRPr="004953A2">
        <w:t>:</w:t>
      </w:r>
    </w:p>
    <w:p w14:paraId="0C4110E3" w14:textId="6A8ADB2F" w:rsidR="00ED061E" w:rsidRPr="004953A2" w:rsidRDefault="00ED061E" w:rsidP="007D705B">
      <w:pPr>
        <w:ind w:left="284" w:firstLine="436"/>
      </w:pPr>
      <w:r w:rsidRPr="004953A2">
        <w:t>Not applicable</w:t>
      </w:r>
      <w:r w:rsidR="003D409B" w:rsidRPr="004953A2">
        <w:t>.</w:t>
      </w:r>
    </w:p>
    <w:p w14:paraId="016FC348" w14:textId="77777777" w:rsidR="00411735" w:rsidRPr="004953A2" w:rsidRDefault="00411735" w:rsidP="00530204">
      <w:pPr>
        <w:pStyle w:val="Heading2"/>
        <w:numPr>
          <w:ilvl w:val="0"/>
          <w:numId w:val="25"/>
        </w:numPr>
      </w:pPr>
      <w:r w:rsidRPr="004953A2">
        <w:t xml:space="preserve">If no, is an application </w:t>
      </w:r>
      <w:r w:rsidR="001E23EA" w:rsidRPr="004953A2">
        <w:t xml:space="preserve">(submission) </w:t>
      </w:r>
      <w:r w:rsidRPr="004953A2">
        <w:t xml:space="preserve">in the process of being considered by the </w:t>
      </w:r>
      <w:r w:rsidR="00802553" w:rsidRPr="004953A2">
        <w:t>Pharmaceutical Benefits Advisory Committee (</w:t>
      </w:r>
      <w:r w:rsidRPr="004953A2">
        <w:t>PBAC</w:t>
      </w:r>
      <w:r w:rsidR="00802553" w:rsidRPr="004953A2">
        <w:t>)</w:t>
      </w:r>
      <w:r w:rsidRPr="004953A2">
        <w:t>?</w:t>
      </w:r>
    </w:p>
    <w:p w14:paraId="37A341C0" w14:textId="7032382B" w:rsidR="00ED061E" w:rsidRPr="004953A2" w:rsidRDefault="00ED061E" w:rsidP="007D705B">
      <w:pPr>
        <w:ind w:left="284" w:firstLine="436"/>
      </w:pPr>
      <w:r w:rsidRPr="004953A2">
        <w:t>Not applicable</w:t>
      </w:r>
      <w:r w:rsidR="003D409B" w:rsidRPr="004953A2">
        <w:t>.</w:t>
      </w:r>
    </w:p>
    <w:p w14:paraId="1F0AE250" w14:textId="77777777" w:rsidR="007D705B" w:rsidRDefault="007D705B">
      <w:pPr>
        <w:spacing w:before="0" w:after="200" w:line="276" w:lineRule="auto"/>
        <w:rPr>
          <w:b/>
          <w:szCs w:val="20"/>
        </w:rPr>
      </w:pPr>
      <w:r>
        <w:br w:type="page"/>
      </w:r>
    </w:p>
    <w:p w14:paraId="3ABADD3E" w14:textId="52BFB18A" w:rsidR="000E5439" w:rsidRPr="004953A2" w:rsidRDefault="000E5439" w:rsidP="00530204">
      <w:pPr>
        <w:pStyle w:val="Heading2"/>
        <w:numPr>
          <w:ilvl w:val="0"/>
          <w:numId w:val="25"/>
        </w:numPr>
      </w:pPr>
      <w:r w:rsidRPr="004953A2">
        <w:lastRenderedPageBreak/>
        <w:t>If you are seeking both MBS and PBS listing</w:t>
      </w:r>
      <w:r w:rsidR="00B75965" w:rsidRPr="004953A2">
        <w:t>, what is the trade name and generic name of the pharmaceutical?</w:t>
      </w:r>
    </w:p>
    <w:p w14:paraId="2DC65995" w14:textId="3BF51B0A" w:rsidR="00ED061E" w:rsidRPr="004953A2" w:rsidRDefault="00ED061E" w:rsidP="007D705B">
      <w:pPr>
        <w:ind w:left="284" w:firstLine="436"/>
      </w:pPr>
      <w:r w:rsidRPr="004953A2">
        <w:t xml:space="preserve">Not </w:t>
      </w:r>
      <w:r w:rsidR="00577932" w:rsidRPr="004953A2">
        <w:t>a</w:t>
      </w:r>
      <w:r w:rsidRPr="004953A2">
        <w:t>pplicable</w:t>
      </w:r>
      <w:r w:rsidR="00577932" w:rsidRPr="004953A2">
        <w:t>.</w:t>
      </w:r>
    </w:p>
    <w:p w14:paraId="597250E3" w14:textId="301E7F91" w:rsidR="00B75965" w:rsidRPr="004953A2" w:rsidRDefault="00530204" w:rsidP="007D705B">
      <w:pPr>
        <w:pStyle w:val="Heading2"/>
        <w:ind w:left="567" w:hanging="567"/>
      </w:pPr>
      <w:r w:rsidRPr="004953A2">
        <w:t xml:space="preserve">(a) </w:t>
      </w:r>
      <w:r w:rsidR="00B75965" w:rsidRPr="004953A2">
        <w:t xml:space="preserve">If the proposed service </w:t>
      </w:r>
      <w:r w:rsidR="00A9062D" w:rsidRPr="004953A2">
        <w:t xml:space="preserve">is </w:t>
      </w:r>
      <w:r w:rsidR="00C73B62" w:rsidRPr="004953A2">
        <w:t>dependent on</w:t>
      </w:r>
      <w:r w:rsidR="00A9062D" w:rsidRPr="004953A2">
        <w:t xml:space="preserve"> </w:t>
      </w:r>
      <w:r w:rsidR="00BB003A" w:rsidRPr="004953A2">
        <w:t xml:space="preserve">the use of </w:t>
      </w:r>
      <w:r w:rsidR="00C05A45" w:rsidRPr="004953A2">
        <w:t>a prosthesis</w:t>
      </w:r>
      <w:r w:rsidR="00CD4E44" w:rsidRPr="004953A2">
        <w:t>,</w:t>
      </w:r>
      <w:r w:rsidR="00C05A45" w:rsidRPr="004953A2">
        <w:t xml:space="preserve"> </w:t>
      </w:r>
      <w:r w:rsidR="00B75965" w:rsidRPr="004953A2">
        <w:t>is it already included on the Prosthes</w:t>
      </w:r>
      <w:r w:rsidR="00BB003A" w:rsidRPr="004953A2">
        <w:t>e</w:t>
      </w:r>
      <w:r w:rsidR="00B75965" w:rsidRPr="004953A2">
        <w:t>s List?</w:t>
      </w:r>
    </w:p>
    <w:p w14:paraId="1195E936" w14:textId="77777777" w:rsidR="001E6958" w:rsidRPr="004953A2" w:rsidRDefault="00ED061E" w:rsidP="007D705B">
      <w:pPr>
        <w:spacing w:before="0" w:after="0"/>
        <w:ind w:left="720"/>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1E6958" w:rsidRPr="004953A2">
        <w:rPr>
          <w:szCs w:val="20"/>
        </w:rPr>
        <w:t xml:space="preserve"> Yes</w:t>
      </w:r>
    </w:p>
    <w:p w14:paraId="3F2080CD" w14:textId="77777777" w:rsidR="001E6958" w:rsidRPr="004953A2" w:rsidRDefault="001E6958" w:rsidP="007D705B">
      <w:pPr>
        <w:spacing w:before="0" w:after="0"/>
        <w:ind w:left="720"/>
        <w:rPr>
          <w:szCs w:val="20"/>
        </w:rPr>
      </w:pPr>
      <w:r w:rsidRPr="004953A2">
        <w:rPr>
          <w:szCs w:val="20"/>
        </w:rPr>
        <w:fldChar w:fldCharType="begin">
          <w:ffData>
            <w:name w:val="Check2"/>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No  </w:t>
      </w:r>
    </w:p>
    <w:p w14:paraId="024C8557" w14:textId="77777777" w:rsidR="00B75965" w:rsidRPr="004953A2" w:rsidRDefault="00B75965" w:rsidP="007D705B">
      <w:pPr>
        <w:pStyle w:val="Heading2"/>
        <w:numPr>
          <w:ilvl w:val="0"/>
          <w:numId w:val="26"/>
        </w:numPr>
        <w:ind w:left="714" w:hanging="357"/>
      </w:pPr>
      <w:r w:rsidRPr="004953A2">
        <w:t xml:space="preserve">If yes, </w:t>
      </w:r>
      <w:r w:rsidR="00C73B62" w:rsidRPr="004953A2">
        <w:t xml:space="preserve">please provide the following information (where relevant): </w:t>
      </w:r>
    </w:p>
    <w:p w14:paraId="4CA40949" w14:textId="75ACC6B6" w:rsidR="001E6958" w:rsidRPr="004953A2" w:rsidRDefault="001E6958" w:rsidP="007D705B">
      <w:pPr>
        <w:spacing w:before="0" w:after="0"/>
        <w:ind w:left="714"/>
      </w:pPr>
      <w:r w:rsidRPr="004953A2">
        <w:t xml:space="preserve">Billing code(s): </w:t>
      </w:r>
      <w:r w:rsidR="003127C4" w:rsidRPr="004953A2">
        <w:t>EL063</w:t>
      </w:r>
      <w:r w:rsidR="00577932" w:rsidRPr="004953A2">
        <w:t>.</w:t>
      </w:r>
    </w:p>
    <w:p w14:paraId="4C051594" w14:textId="03CC529F" w:rsidR="001E6958" w:rsidRPr="004953A2" w:rsidRDefault="001E6958" w:rsidP="007D705B">
      <w:pPr>
        <w:spacing w:before="0" w:after="0"/>
        <w:ind w:left="714"/>
      </w:pPr>
      <w:r w:rsidRPr="004953A2">
        <w:t>Trade name of prosthes</w:t>
      </w:r>
      <w:r w:rsidR="00577EF8" w:rsidRPr="004953A2">
        <w:t>i</w:t>
      </w:r>
      <w:r w:rsidRPr="004953A2">
        <w:t xml:space="preserve">s: </w:t>
      </w:r>
      <w:r w:rsidR="003127C4" w:rsidRPr="004953A2">
        <w:t>Edwards SAPIEN 3 Transcatheter Heart Valve</w:t>
      </w:r>
      <w:r w:rsidR="00577EF8" w:rsidRPr="004953A2">
        <w:t>.</w:t>
      </w:r>
    </w:p>
    <w:p w14:paraId="7A19BA5C" w14:textId="3E093A56" w:rsidR="001E6958" w:rsidRPr="004953A2" w:rsidRDefault="001E6958" w:rsidP="007D705B">
      <w:pPr>
        <w:spacing w:before="0" w:after="0"/>
        <w:ind w:left="714"/>
      </w:pPr>
      <w:r w:rsidRPr="004953A2">
        <w:t>Clinical name of prosthes</w:t>
      </w:r>
      <w:r w:rsidR="00577EF8" w:rsidRPr="004953A2">
        <w:t>i</w:t>
      </w:r>
      <w:r w:rsidRPr="004953A2">
        <w:t xml:space="preserve">s: </w:t>
      </w:r>
      <w:r w:rsidR="003127C4" w:rsidRPr="004953A2">
        <w:t xml:space="preserve">Transcatheter, balloon expanded aortic heart valve with Commander </w:t>
      </w:r>
      <w:r w:rsidR="00577932" w:rsidRPr="004953A2">
        <w:t>d</w:t>
      </w:r>
      <w:r w:rsidR="003127C4" w:rsidRPr="004953A2">
        <w:t xml:space="preserve">elivery </w:t>
      </w:r>
      <w:r w:rsidR="00577932" w:rsidRPr="004953A2">
        <w:t>s</w:t>
      </w:r>
      <w:r w:rsidR="003127C4" w:rsidRPr="004953A2">
        <w:t>ystem</w:t>
      </w:r>
      <w:r w:rsidR="00577EF8" w:rsidRPr="004953A2">
        <w:t>.</w:t>
      </w:r>
    </w:p>
    <w:p w14:paraId="0F4965BD" w14:textId="452E5018" w:rsidR="001E6958" w:rsidRPr="004953A2" w:rsidRDefault="001E6958" w:rsidP="007D705B">
      <w:pPr>
        <w:spacing w:before="0" w:after="0"/>
        <w:ind w:left="714"/>
      </w:pPr>
      <w:r w:rsidRPr="004953A2">
        <w:t xml:space="preserve">Other device components delivered as part of the service: </w:t>
      </w:r>
      <w:r w:rsidR="003127C4" w:rsidRPr="004953A2">
        <w:t xml:space="preserve">The </w:t>
      </w:r>
      <w:r w:rsidR="00577EF8" w:rsidRPr="004953A2">
        <w:t>p</w:t>
      </w:r>
      <w:r w:rsidR="003127C4" w:rsidRPr="004953A2">
        <w:t xml:space="preserve">rostheses </w:t>
      </w:r>
      <w:r w:rsidR="00577EF8" w:rsidRPr="004953A2">
        <w:t>l</w:t>
      </w:r>
      <w:r w:rsidR="003127C4" w:rsidRPr="004953A2">
        <w:t xml:space="preserve">isting </w:t>
      </w:r>
      <w:r w:rsidR="00325F61" w:rsidRPr="004953A2">
        <w:t>includes the valve and delivery system.</w:t>
      </w:r>
    </w:p>
    <w:p w14:paraId="1C2B1E96" w14:textId="77777777" w:rsidR="00411735" w:rsidRPr="004953A2" w:rsidRDefault="00411735" w:rsidP="007D705B">
      <w:pPr>
        <w:pStyle w:val="Heading2"/>
        <w:numPr>
          <w:ilvl w:val="0"/>
          <w:numId w:val="26"/>
        </w:numPr>
        <w:ind w:left="714" w:hanging="357"/>
      </w:pPr>
      <w:r w:rsidRPr="004953A2">
        <w:t xml:space="preserve">If no, is an application in the process of being considered by </w:t>
      </w:r>
      <w:r w:rsidR="003433D1" w:rsidRPr="004953A2">
        <w:t xml:space="preserve">a Clinical Advisory Group or </w:t>
      </w:r>
      <w:r w:rsidRPr="004953A2">
        <w:t>the</w:t>
      </w:r>
      <w:r w:rsidR="00BB003A" w:rsidRPr="004953A2">
        <w:t xml:space="preserve"> Prostheses List Advisory Committee</w:t>
      </w:r>
      <w:r w:rsidRPr="004953A2">
        <w:t xml:space="preserve"> </w:t>
      </w:r>
      <w:r w:rsidR="00BB003A" w:rsidRPr="004953A2">
        <w:t>(</w:t>
      </w:r>
      <w:r w:rsidRPr="004953A2">
        <w:t>PLAC</w:t>
      </w:r>
      <w:r w:rsidR="00BB003A" w:rsidRPr="004953A2">
        <w:t>)</w:t>
      </w:r>
      <w:r w:rsidRPr="004953A2">
        <w:t>?</w:t>
      </w:r>
    </w:p>
    <w:p w14:paraId="3D412188" w14:textId="030FCBCA" w:rsidR="003127C4" w:rsidRPr="004953A2" w:rsidRDefault="003127C4" w:rsidP="007D705B">
      <w:pPr>
        <w:ind w:left="284" w:firstLine="430"/>
      </w:pPr>
      <w:r w:rsidRPr="004953A2">
        <w:t xml:space="preserve">Not </w:t>
      </w:r>
      <w:r w:rsidR="00577932" w:rsidRPr="004953A2">
        <w:t>a</w:t>
      </w:r>
      <w:r w:rsidRPr="004953A2">
        <w:t>pplicable</w:t>
      </w:r>
      <w:r w:rsidR="00577932" w:rsidRPr="004953A2">
        <w:t>.</w:t>
      </w:r>
    </w:p>
    <w:p w14:paraId="4A691425" w14:textId="77777777" w:rsidR="00016B6E" w:rsidRPr="004953A2" w:rsidRDefault="00016B6E" w:rsidP="00530204">
      <w:pPr>
        <w:pStyle w:val="Heading2"/>
        <w:numPr>
          <w:ilvl w:val="0"/>
          <w:numId w:val="26"/>
        </w:numPr>
      </w:pPr>
      <w:r w:rsidRPr="004953A2">
        <w:t>Are there any other sponsor(s) and / or manufacturer(</w:t>
      </w:r>
      <w:r w:rsidR="008B729C" w:rsidRPr="004953A2">
        <w:t>s) that have a similar prosthesi</w:t>
      </w:r>
      <w:r w:rsidRPr="004953A2">
        <w:t>s or device component in the Australian market place which this application is relevant to?</w:t>
      </w:r>
    </w:p>
    <w:p w14:paraId="3C36A9F5" w14:textId="11D282DD" w:rsidR="009939DC" w:rsidRPr="004953A2" w:rsidRDefault="009261FB" w:rsidP="007D705B">
      <w:pPr>
        <w:spacing w:before="0" w:after="0"/>
        <w:ind w:left="720"/>
        <w:rPr>
          <w:szCs w:val="20"/>
        </w:rPr>
      </w:pPr>
      <w:r w:rsidRPr="004953A2">
        <w:rPr>
          <w:szCs w:val="20"/>
        </w:rPr>
        <w:fldChar w:fldCharType="begin">
          <w:ffData>
            <w:name w:val=""/>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9939DC" w:rsidRPr="004953A2">
        <w:rPr>
          <w:szCs w:val="20"/>
        </w:rPr>
        <w:t xml:space="preserve"> Yes</w:t>
      </w:r>
    </w:p>
    <w:p w14:paraId="751DEF29" w14:textId="132454E6" w:rsidR="00577EF8" w:rsidRPr="004953A2" w:rsidRDefault="009261FB" w:rsidP="00915F02">
      <w:pPr>
        <w:spacing w:before="0" w:after="0"/>
        <w:ind w:left="720"/>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9939DC" w:rsidRPr="004953A2">
        <w:rPr>
          <w:szCs w:val="20"/>
        </w:rPr>
        <w:t xml:space="preserve"> No</w:t>
      </w:r>
    </w:p>
    <w:p w14:paraId="26DB6FD0" w14:textId="4FC13059" w:rsidR="00577EF8" w:rsidRPr="004953A2" w:rsidRDefault="00F121AE" w:rsidP="00915F02">
      <w:pPr>
        <w:spacing w:after="0"/>
        <w:ind w:left="720"/>
        <w:rPr>
          <w:szCs w:val="20"/>
        </w:rPr>
      </w:pPr>
      <w:r w:rsidRPr="004953A2">
        <w:rPr>
          <w:szCs w:val="20"/>
        </w:rPr>
        <w:t xml:space="preserve">NB: </w:t>
      </w:r>
      <w:r w:rsidR="00577EF8" w:rsidRPr="004953A2">
        <w:rPr>
          <w:szCs w:val="20"/>
        </w:rPr>
        <w:t>Other TAVI devices (St Jude Medical and Medtronic) do not involve balloon-expandable valves. Rather, they involve self-expanding valves</w:t>
      </w:r>
      <w:r w:rsidR="003F5A77" w:rsidRPr="004953A2">
        <w:rPr>
          <w:szCs w:val="20"/>
        </w:rPr>
        <w:t xml:space="preserve">, which are currently </w:t>
      </w:r>
      <w:r w:rsidR="003F5A77" w:rsidRPr="004953A2">
        <w:rPr>
          <w:i/>
          <w:szCs w:val="20"/>
        </w:rPr>
        <w:t>not</w:t>
      </w:r>
      <w:r w:rsidR="003F5A77" w:rsidRPr="004953A2">
        <w:rPr>
          <w:szCs w:val="20"/>
        </w:rPr>
        <w:t xml:space="preserve"> TGA-approved for </w:t>
      </w:r>
      <w:r w:rsidR="00F46616" w:rsidRPr="004953A2">
        <w:rPr>
          <w:szCs w:val="20"/>
        </w:rPr>
        <w:t>low</w:t>
      </w:r>
      <w:r w:rsidR="003F5A77" w:rsidRPr="004953A2">
        <w:rPr>
          <w:szCs w:val="20"/>
        </w:rPr>
        <w:t xml:space="preserve"> risk patients</w:t>
      </w:r>
      <w:r w:rsidR="00577EF8" w:rsidRPr="004953A2">
        <w:rPr>
          <w:szCs w:val="20"/>
        </w:rPr>
        <w:t>.</w:t>
      </w:r>
    </w:p>
    <w:p w14:paraId="0CEB576D" w14:textId="77777777" w:rsidR="009939DC" w:rsidRPr="004953A2" w:rsidRDefault="00016B6E" w:rsidP="00530204">
      <w:pPr>
        <w:pStyle w:val="Heading2"/>
        <w:numPr>
          <w:ilvl w:val="0"/>
          <w:numId w:val="26"/>
        </w:numPr>
      </w:pPr>
      <w:r w:rsidRPr="004953A2">
        <w:t>If yes, please provide the name(s) of the spon</w:t>
      </w:r>
      <w:r w:rsidR="009939DC" w:rsidRPr="004953A2">
        <w:t>sor(s) and / or manufacturer(s):</w:t>
      </w:r>
    </w:p>
    <w:p w14:paraId="7701BD2E" w14:textId="77777777" w:rsidR="00577932" w:rsidRPr="004953A2" w:rsidRDefault="00577932" w:rsidP="007D705B">
      <w:pPr>
        <w:spacing w:before="0" w:after="0"/>
        <w:ind w:left="360" w:firstLine="360"/>
        <w:rPr>
          <w:szCs w:val="20"/>
        </w:rPr>
      </w:pPr>
      <w:r w:rsidRPr="004953A2">
        <w:rPr>
          <w:szCs w:val="20"/>
        </w:rPr>
        <w:t>Not applicable.</w:t>
      </w:r>
    </w:p>
    <w:p w14:paraId="22CFE6D2" w14:textId="77777777" w:rsidR="0080580D" w:rsidRPr="004953A2" w:rsidRDefault="0080580D" w:rsidP="00A6491A">
      <w:pPr>
        <w:ind w:left="284"/>
      </w:pPr>
    </w:p>
    <w:p w14:paraId="1CD6D1AB" w14:textId="77777777" w:rsidR="0084657B" w:rsidRPr="004953A2" w:rsidRDefault="00A9062D" w:rsidP="00530204">
      <w:pPr>
        <w:pStyle w:val="Heading2"/>
      </w:pPr>
      <w:r w:rsidRPr="004953A2">
        <w:t>P</w:t>
      </w:r>
      <w:r w:rsidR="0084657B" w:rsidRPr="004953A2">
        <w:t xml:space="preserve">lease identify </w:t>
      </w:r>
      <w:r w:rsidR="00E8649B" w:rsidRPr="004953A2">
        <w:t xml:space="preserve">any single </w:t>
      </w:r>
      <w:r w:rsidR="00016B6E" w:rsidRPr="004953A2">
        <w:t>and / or multi-</w:t>
      </w:r>
      <w:r w:rsidR="00E8649B" w:rsidRPr="004953A2">
        <w:t>use consumables</w:t>
      </w:r>
      <w:r w:rsidR="0084657B" w:rsidRPr="004953A2">
        <w:t xml:space="preserve"> </w:t>
      </w:r>
      <w:r w:rsidR="00E8649B" w:rsidRPr="004953A2">
        <w:t>delivered as part of the service?</w:t>
      </w:r>
    </w:p>
    <w:p w14:paraId="3FDDE870" w14:textId="7B96DD1D" w:rsidR="00CF7FF1" w:rsidRPr="004953A2" w:rsidRDefault="009939DC" w:rsidP="007D705B">
      <w:pPr>
        <w:spacing w:before="0" w:after="0"/>
        <w:ind w:left="360"/>
      </w:pPr>
      <w:r w:rsidRPr="004953A2">
        <w:t xml:space="preserve">Single use consumables: </w:t>
      </w:r>
      <w:r w:rsidR="00577EF8" w:rsidRPr="004953A2">
        <w:t>a</w:t>
      </w:r>
      <w:r w:rsidR="00CF7FF1" w:rsidRPr="004953A2">
        <w:t xml:space="preserve">ngioplasty kit which includes drapes, manifolds and extensions tubing.  </w:t>
      </w:r>
    </w:p>
    <w:p w14:paraId="2B03FD0D" w14:textId="144591C4" w:rsidR="00D524AD" w:rsidRPr="004953A2" w:rsidRDefault="00D524AD" w:rsidP="007D705B">
      <w:pPr>
        <w:spacing w:before="0" w:after="0"/>
        <w:ind w:left="360"/>
      </w:pPr>
      <w:r w:rsidRPr="004953A2">
        <w:t>Small and large bore vascular access s</w:t>
      </w:r>
      <w:r w:rsidR="00CF7FF1" w:rsidRPr="004953A2">
        <w:t>heaths</w:t>
      </w:r>
    </w:p>
    <w:p w14:paraId="28477F03" w14:textId="3D564F77" w:rsidR="00325F61" w:rsidRPr="004953A2" w:rsidRDefault="00325F61" w:rsidP="007D705B">
      <w:pPr>
        <w:spacing w:before="0" w:after="0"/>
        <w:ind w:left="360"/>
      </w:pPr>
      <w:r w:rsidRPr="004953A2">
        <w:t>Lock syringes</w:t>
      </w:r>
    </w:p>
    <w:p w14:paraId="33335C60" w14:textId="1259E093" w:rsidR="00325F61" w:rsidRPr="004953A2" w:rsidRDefault="00325F61" w:rsidP="007D705B">
      <w:pPr>
        <w:spacing w:before="0" w:after="0"/>
        <w:ind w:left="360"/>
      </w:pPr>
      <w:r w:rsidRPr="004953A2">
        <w:t xml:space="preserve">3 way taps </w:t>
      </w:r>
      <w:r w:rsidR="00E77D7E" w:rsidRPr="004953A2">
        <w:t>x</w:t>
      </w:r>
      <w:r w:rsidRPr="004953A2">
        <w:t xml:space="preserve"> 2</w:t>
      </w:r>
    </w:p>
    <w:p w14:paraId="72359D3E" w14:textId="3CD1C1D8" w:rsidR="00325F61" w:rsidRPr="004953A2" w:rsidRDefault="00325F61" w:rsidP="007D705B">
      <w:pPr>
        <w:spacing w:before="0" w:after="0"/>
        <w:ind w:left="360"/>
      </w:pPr>
      <w:r w:rsidRPr="004953A2">
        <w:t xml:space="preserve">3 </w:t>
      </w:r>
      <w:r w:rsidR="00E77D7E" w:rsidRPr="004953A2">
        <w:t>x</w:t>
      </w:r>
      <w:r w:rsidRPr="004953A2">
        <w:t xml:space="preserve"> bowls</w:t>
      </w:r>
    </w:p>
    <w:p w14:paraId="1B44AFCE" w14:textId="3B7BEAD6" w:rsidR="00325F61" w:rsidRPr="004953A2" w:rsidRDefault="00325F61" w:rsidP="007D705B">
      <w:pPr>
        <w:spacing w:before="0" w:after="0"/>
        <w:ind w:left="360"/>
      </w:pPr>
      <w:r w:rsidRPr="004953A2">
        <w:t xml:space="preserve">2 </w:t>
      </w:r>
      <w:r w:rsidR="00E77D7E" w:rsidRPr="004953A2">
        <w:t>x</w:t>
      </w:r>
      <w:r w:rsidRPr="004953A2">
        <w:t xml:space="preserve"> </w:t>
      </w:r>
      <w:r w:rsidR="007F4E5E" w:rsidRPr="004953A2">
        <w:t>g</w:t>
      </w:r>
      <w:r w:rsidRPr="004953A2">
        <w:t>alley pot</w:t>
      </w:r>
      <w:r w:rsidR="007F4E5E" w:rsidRPr="004953A2">
        <w:t>s</w:t>
      </w:r>
    </w:p>
    <w:p w14:paraId="30B7E6D8" w14:textId="49828D77" w:rsidR="00325F61" w:rsidRPr="004953A2" w:rsidRDefault="00325F61" w:rsidP="007D705B">
      <w:pPr>
        <w:spacing w:before="0" w:after="0"/>
        <w:ind w:left="360"/>
      </w:pPr>
      <w:r w:rsidRPr="004953A2">
        <w:t>Temporary pacing wire</w:t>
      </w:r>
    </w:p>
    <w:p w14:paraId="3079DE7B" w14:textId="05818989" w:rsidR="00325F61" w:rsidRPr="004953A2" w:rsidRDefault="00325F61" w:rsidP="007D705B">
      <w:pPr>
        <w:spacing w:before="0" w:after="0"/>
        <w:ind w:left="360"/>
      </w:pPr>
      <w:r w:rsidRPr="004953A2">
        <w:t>Variety of pre-shaped catheters</w:t>
      </w:r>
    </w:p>
    <w:p w14:paraId="558602CB" w14:textId="145B8C73" w:rsidR="00325F61" w:rsidRPr="004953A2" w:rsidRDefault="00325F61" w:rsidP="007D705B">
      <w:pPr>
        <w:spacing w:before="0" w:after="0"/>
        <w:ind w:left="360"/>
      </w:pPr>
      <w:r w:rsidRPr="004953A2">
        <w:t xml:space="preserve">Variety of </w:t>
      </w:r>
      <w:r w:rsidR="00D524AD" w:rsidRPr="004953A2">
        <w:t xml:space="preserve">standard or speciality </w:t>
      </w:r>
      <w:r w:rsidRPr="004953A2">
        <w:t>wires</w:t>
      </w:r>
      <w:r w:rsidR="00D524AD" w:rsidRPr="004953A2">
        <w:t xml:space="preserve"> </w:t>
      </w:r>
    </w:p>
    <w:p w14:paraId="588C0EE3" w14:textId="3993422B" w:rsidR="00F301F1" w:rsidRPr="004953A2" w:rsidRDefault="009939DC" w:rsidP="007D705B">
      <w:pPr>
        <w:spacing w:before="0" w:after="0"/>
        <w:ind w:left="360"/>
      </w:pPr>
      <w:r w:rsidRPr="004953A2">
        <w:t>Multi-use consumables:</w:t>
      </w:r>
      <w:r w:rsidR="00CF7FF1" w:rsidRPr="004953A2">
        <w:t xml:space="preserve"> </w:t>
      </w:r>
      <w:r w:rsidR="007F4E5E" w:rsidRPr="004953A2">
        <w:t>t</w:t>
      </w:r>
      <w:r w:rsidR="00325F61" w:rsidRPr="004953A2">
        <w:t>emporary pacing cable</w:t>
      </w:r>
      <w:r w:rsidR="007F4E5E" w:rsidRPr="004953A2">
        <w:t>, t</w:t>
      </w:r>
      <w:r w:rsidR="00325F61" w:rsidRPr="004953A2">
        <w:t>emporary pacing box</w:t>
      </w:r>
      <w:r w:rsidR="007F4E5E" w:rsidRPr="004953A2">
        <w:t xml:space="preserve"> and t</w:t>
      </w:r>
      <w:r w:rsidR="00325F61" w:rsidRPr="004953A2">
        <w:t>ransthoracic or transoesophageal probe</w:t>
      </w:r>
      <w:r w:rsidR="00F301F1" w:rsidRPr="004953A2">
        <w:br w:type="page"/>
      </w:r>
    </w:p>
    <w:p w14:paraId="1023ED1D" w14:textId="77777777" w:rsidR="00226777" w:rsidRPr="004953A2" w:rsidRDefault="00530204" w:rsidP="00B5731D">
      <w:pPr>
        <w:pStyle w:val="Heading1"/>
      </w:pPr>
      <w:r w:rsidRPr="004953A2">
        <w:lastRenderedPageBreak/>
        <w:t>PART 3</w:t>
      </w:r>
      <w:r w:rsidR="00F93784" w:rsidRPr="004953A2">
        <w:t xml:space="preserve"> – </w:t>
      </w:r>
      <w:r w:rsidR="00226777" w:rsidRPr="004953A2">
        <w:t>INFORMATION ABOUT REGULATORY REQUIREMENTS</w:t>
      </w:r>
    </w:p>
    <w:p w14:paraId="4D4C326C" w14:textId="77777777" w:rsidR="001A1ADF" w:rsidRPr="004953A2" w:rsidRDefault="0011369B" w:rsidP="0011369B">
      <w:pPr>
        <w:pStyle w:val="Heading2"/>
      </w:pPr>
      <w:r w:rsidRPr="004953A2">
        <w:t xml:space="preserve">(a) </w:t>
      </w:r>
      <w:r w:rsidR="0054594B" w:rsidRPr="004953A2">
        <w:t>If</w:t>
      </w:r>
      <w:r w:rsidR="00226777" w:rsidRPr="004953A2">
        <w:t xml:space="preserve"> the </w:t>
      </w:r>
      <w:r w:rsidR="001A1ADF" w:rsidRPr="004953A2">
        <w:t>p</w:t>
      </w:r>
      <w:r w:rsidR="00226777" w:rsidRPr="004953A2">
        <w:t>roposed medical service involve</w:t>
      </w:r>
      <w:r w:rsidR="009C03FB" w:rsidRPr="004953A2">
        <w:t>s</w:t>
      </w:r>
      <w:r w:rsidR="001A1ADF" w:rsidRPr="004953A2">
        <w:t xml:space="preserve"> the use of a medical device, in-vitro diagnostic test, </w:t>
      </w:r>
      <w:r w:rsidR="00226777" w:rsidRPr="004953A2">
        <w:t xml:space="preserve">pharmaceutical product, </w:t>
      </w:r>
      <w:r w:rsidR="001A1ADF" w:rsidRPr="004953A2">
        <w:t>radioactive tracer or any other type of therape</w:t>
      </w:r>
      <w:r w:rsidR="008127C0" w:rsidRPr="004953A2">
        <w:t xml:space="preserve">utic good, please </w:t>
      </w:r>
      <w:r w:rsidR="001A1ADF" w:rsidRPr="004953A2">
        <w:t xml:space="preserve">provide </w:t>
      </w:r>
      <w:r w:rsidR="008127C0" w:rsidRPr="004953A2">
        <w:t>the following details</w:t>
      </w:r>
      <w:r w:rsidR="001A1ADF" w:rsidRPr="004953A2">
        <w:t>:</w:t>
      </w:r>
    </w:p>
    <w:p w14:paraId="7F373E9C" w14:textId="7E653AD0" w:rsidR="00A26343" w:rsidRPr="004953A2" w:rsidRDefault="00A26343" w:rsidP="007D705B">
      <w:pPr>
        <w:spacing w:before="0" w:after="0"/>
        <w:ind w:left="360"/>
        <w:rPr>
          <w:szCs w:val="20"/>
        </w:rPr>
      </w:pPr>
      <w:r w:rsidRPr="004953A2">
        <w:rPr>
          <w:szCs w:val="20"/>
        </w:rPr>
        <w:t xml:space="preserve">Type of therapeutic good: </w:t>
      </w:r>
      <w:r w:rsidR="00FD2E15" w:rsidRPr="004953A2">
        <w:t>t</w:t>
      </w:r>
      <w:r w:rsidR="0079108A" w:rsidRPr="004953A2">
        <w:t xml:space="preserve">ransfemoral </w:t>
      </w:r>
      <w:r w:rsidR="00FD2E15" w:rsidRPr="004953A2">
        <w:t>-</w:t>
      </w:r>
      <w:r w:rsidR="0079108A" w:rsidRPr="004953A2">
        <w:t xml:space="preserve"> </w:t>
      </w:r>
      <w:r w:rsidR="005411E8" w:rsidRPr="004953A2">
        <w:t>a</w:t>
      </w:r>
      <w:r w:rsidR="0079108A" w:rsidRPr="004953A2">
        <w:t>ortic transcatheter heart valve bioprosthesis, stent-like framework</w:t>
      </w:r>
      <w:r w:rsidR="00557DD8" w:rsidRPr="004953A2">
        <w:t>.</w:t>
      </w:r>
    </w:p>
    <w:p w14:paraId="0569DDA9" w14:textId="25744FDA" w:rsidR="00A26343" w:rsidRPr="004953A2" w:rsidRDefault="00A26343" w:rsidP="007D705B">
      <w:pPr>
        <w:spacing w:before="0" w:after="0"/>
        <w:ind w:left="360"/>
        <w:rPr>
          <w:szCs w:val="20"/>
        </w:rPr>
      </w:pPr>
      <w:r w:rsidRPr="004953A2">
        <w:rPr>
          <w:szCs w:val="20"/>
        </w:rPr>
        <w:t xml:space="preserve">Manufacturer’s name: </w:t>
      </w:r>
      <w:r w:rsidR="0079108A" w:rsidRPr="004953A2">
        <w:t>Edwards Lifesciences LLC</w:t>
      </w:r>
      <w:r w:rsidR="00557DD8" w:rsidRPr="004953A2">
        <w:t>.</w:t>
      </w:r>
    </w:p>
    <w:p w14:paraId="496960F4" w14:textId="204C2D58" w:rsidR="00A26343" w:rsidRPr="004953A2" w:rsidRDefault="00A26343" w:rsidP="007D705B">
      <w:pPr>
        <w:spacing w:before="0" w:after="0"/>
        <w:ind w:left="360"/>
        <w:rPr>
          <w:szCs w:val="20"/>
        </w:rPr>
      </w:pPr>
      <w:r w:rsidRPr="004953A2">
        <w:rPr>
          <w:szCs w:val="20"/>
        </w:rPr>
        <w:t xml:space="preserve">Sponsor’s name: </w:t>
      </w:r>
      <w:r w:rsidR="0079108A" w:rsidRPr="004953A2">
        <w:t>Edwards Lifesciences Pty Ltd</w:t>
      </w:r>
      <w:r w:rsidR="00557DD8" w:rsidRPr="004953A2">
        <w:t>.</w:t>
      </w:r>
    </w:p>
    <w:p w14:paraId="6AB95232" w14:textId="77777777" w:rsidR="005E2CE3" w:rsidRPr="004953A2" w:rsidRDefault="005E2CE3" w:rsidP="0011369B">
      <w:pPr>
        <w:pStyle w:val="Heading2"/>
        <w:numPr>
          <w:ilvl w:val="0"/>
          <w:numId w:val="27"/>
        </w:numPr>
      </w:pPr>
      <w:r w:rsidRPr="004953A2">
        <w:t>Is the medical device classified by the TGA as either a Class III or Active Implantable Medical Device (AIMD) against the TGA regulatory scheme for devices?</w:t>
      </w:r>
    </w:p>
    <w:p w14:paraId="62933508" w14:textId="03811CDA" w:rsidR="00615F42" w:rsidRPr="004953A2" w:rsidRDefault="0079108A" w:rsidP="007D705B">
      <w:pPr>
        <w:spacing w:before="0" w:after="0"/>
        <w:ind w:left="360"/>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615F42" w:rsidRPr="004953A2">
        <w:rPr>
          <w:szCs w:val="20"/>
        </w:rPr>
        <w:t xml:space="preserve"> Class III</w:t>
      </w:r>
    </w:p>
    <w:p w14:paraId="44667130" w14:textId="77777777" w:rsidR="00615F42" w:rsidRPr="004953A2" w:rsidRDefault="00615F42" w:rsidP="007D705B">
      <w:pPr>
        <w:spacing w:before="0" w:after="0"/>
        <w:ind w:left="360"/>
        <w:rPr>
          <w:szCs w:val="20"/>
        </w:rPr>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AIMD</w:t>
      </w:r>
    </w:p>
    <w:p w14:paraId="29110CE4" w14:textId="77777777" w:rsidR="005E2CE3" w:rsidRPr="004953A2" w:rsidRDefault="00615F42" w:rsidP="007D705B">
      <w:pPr>
        <w:spacing w:before="0" w:after="0"/>
        <w:ind w:left="360"/>
        <w:rPr>
          <w:szCs w:val="20"/>
        </w:rPr>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N/A</w:t>
      </w:r>
    </w:p>
    <w:p w14:paraId="0E284120" w14:textId="77777777" w:rsidR="003421AE" w:rsidRPr="004953A2" w:rsidRDefault="0011369B" w:rsidP="00530204">
      <w:pPr>
        <w:pStyle w:val="Heading2"/>
      </w:pPr>
      <w:r w:rsidRPr="004953A2">
        <w:t xml:space="preserve">(a) </w:t>
      </w:r>
      <w:r w:rsidR="003421AE" w:rsidRPr="004953A2">
        <w:t xml:space="preserve">Is the therapeutic good to be used in the service exempt from the regulatory requirements of the </w:t>
      </w:r>
      <w:r w:rsidR="003421AE" w:rsidRPr="004953A2">
        <w:rPr>
          <w:i/>
        </w:rPr>
        <w:t>Therapeutic Goods Act 1989</w:t>
      </w:r>
      <w:r w:rsidR="003421AE" w:rsidRPr="004953A2">
        <w:t>?</w:t>
      </w:r>
    </w:p>
    <w:p w14:paraId="3957283D" w14:textId="77777777" w:rsidR="00615F42" w:rsidRPr="004953A2" w:rsidRDefault="00615F42" w:rsidP="007D705B">
      <w:pPr>
        <w:spacing w:before="0" w:after="0"/>
        <w:ind w:left="360"/>
        <w:rPr>
          <w:szCs w:val="20"/>
        </w:rPr>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Yes (If yes, please provide supporting documentation as an attachment to this application form)</w:t>
      </w:r>
    </w:p>
    <w:p w14:paraId="5FAF8E2A" w14:textId="0A71FCAA" w:rsidR="003421AE" w:rsidRPr="004953A2" w:rsidRDefault="0079108A" w:rsidP="007D705B">
      <w:pPr>
        <w:spacing w:before="0" w:after="0"/>
        <w:ind w:left="360"/>
        <w:rPr>
          <w:b/>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615F42" w:rsidRPr="004953A2">
        <w:rPr>
          <w:szCs w:val="20"/>
        </w:rPr>
        <w:t xml:space="preserve"> No</w:t>
      </w:r>
    </w:p>
    <w:p w14:paraId="6CEDD193" w14:textId="77777777" w:rsidR="00D85676" w:rsidRPr="004953A2" w:rsidRDefault="00D85676" w:rsidP="0011369B">
      <w:pPr>
        <w:pStyle w:val="Heading2"/>
        <w:numPr>
          <w:ilvl w:val="0"/>
          <w:numId w:val="28"/>
        </w:numPr>
      </w:pPr>
      <w:r w:rsidRPr="004953A2">
        <w:t>If no, has it been listed or registered or included in the Australian Register of Therapeutic Goods (ARTG) by the Therapeutic Goods Administration (TGA)</w:t>
      </w:r>
      <w:r w:rsidR="00403333" w:rsidRPr="004953A2">
        <w:t>?</w:t>
      </w:r>
    </w:p>
    <w:p w14:paraId="7A8DD8F4" w14:textId="66D5C5A9" w:rsidR="0043654D" w:rsidRPr="004953A2" w:rsidRDefault="00CF7FF1" w:rsidP="007D705B">
      <w:pPr>
        <w:spacing w:before="0" w:after="0"/>
        <w:ind w:left="360"/>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43654D" w:rsidRPr="004953A2">
        <w:rPr>
          <w:szCs w:val="20"/>
        </w:rPr>
        <w:t xml:space="preserve"> Yes (if yes, please provide details below)</w:t>
      </w:r>
    </w:p>
    <w:p w14:paraId="2EC8FFDA" w14:textId="77777777" w:rsidR="0043654D" w:rsidRPr="004953A2" w:rsidRDefault="0043654D" w:rsidP="007D705B">
      <w:pPr>
        <w:spacing w:before="0" w:after="0"/>
        <w:ind w:left="360"/>
        <w:rPr>
          <w:szCs w:val="20"/>
        </w:rPr>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No</w:t>
      </w:r>
    </w:p>
    <w:p w14:paraId="700C27BB" w14:textId="77777777" w:rsidR="0043654D" w:rsidRPr="004953A2" w:rsidRDefault="0043654D" w:rsidP="0043654D">
      <w:pPr>
        <w:spacing w:before="0" w:after="0"/>
        <w:ind w:left="284"/>
        <w:rPr>
          <w:b/>
          <w:szCs w:val="20"/>
        </w:rPr>
      </w:pPr>
    </w:p>
    <w:p w14:paraId="1D5D3376" w14:textId="3C9D0F31" w:rsidR="0043654D" w:rsidRPr="004953A2" w:rsidRDefault="0043654D" w:rsidP="007D705B">
      <w:pPr>
        <w:spacing w:before="0" w:after="0"/>
        <w:ind w:left="284" w:firstLine="436"/>
        <w:rPr>
          <w:szCs w:val="20"/>
        </w:rPr>
      </w:pPr>
      <w:r w:rsidRPr="004953A2">
        <w:rPr>
          <w:szCs w:val="20"/>
        </w:rPr>
        <w:t xml:space="preserve">ARTG listing, registration or inclusion number: </w:t>
      </w:r>
      <w:r w:rsidR="00E955AF" w:rsidRPr="004953A2">
        <w:rPr>
          <w:szCs w:val="20"/>
        </w:rPr>
        <w:t>284496</w:t>
      </w:r>
      <w:r w:rsidR="00577932" w:rsidRPr="004953A2">
        <w:rPr>
          <w:szCs w:val="20"/>
        </w:rPr>
        <w:t>.</w:t>
      </w:r>
    </w:p>
    <w:p w14:paraId="14D488D4" w14:textId="6A7D95B6" w:rsidR="0084693D" w:rsidRDefault="0084693D" w:rsidP="0043654D">
      <w:pPr>
        <w:spacing w:before="0" w:after="0"/>
        <w:ind w:left="284"/>
        <w:rPr>
          <w:szCs w:val="20"/>
        </w:rPr>
      </w:pPr>
    </w:p>
    <w:p w14:paraId="6EE54EAA" w14:textId="5DC66C80" w:rsidR="003760E8" w:rsidRPr="008B4768" w:rsidRDefault="007D705B" w:rsidP="007D705B">
      <w:pPr>
        <w:spacing w:before="0" w:after="0"/>
        <w:ind w:left="284" w:firstLine="436"/>
        <w:rPr>
          <w:b/>
          <w:szCs w:val="20"/>
        </w:rPr>
      </w:pPr>
      <w:r>
        <w:rPr>
          <w:b/>
          <w:szCs w:val="20"/>
        </w:rPr>
        <w:t>REDACTED</w:t>
      </w:r>
    </w:p>
    <w:p w14:paraId="34EDB6F9" w14:textId="1A04BE56" w:rsidR="00730247" w:rsidRPr="007D705B" w:rsidRDefault="00C0796F" w:rsidP="007D705B">
      <w:pPr>
        <w:pStyle w:val="Heading2"/>
      </w:pPr>
      <w:r w:rsidRPr="004953A2">
        <w:t>If the therapeutic good has not been listed, registered or included in the ARTG, is the therapeutic good in the process of being considered for inclusion by the TGA?</w:t>
      </w:r>
    </w:p>
    <w:p w14:paraId="1F7EE428" w14:textId="203D54E7" w:rsidR="007630AD" w:rsidRPr="008B4768" w:rsidRDefault="007D705B" w:rsidP="007D705B">
      <w:pPr>
        <w:spacing w:before="0" w:after="0"/>
        <w:ind w:firstLine="360"/>
        <w:rPr>
          <w:b/>
          <w:szCs w:val="20"/>
        </w:rPr>
      </w:pPr>
      <w:r>
        <w:rPr>
          <w:b/>
          <w:szCs w:val="20"/>
        </w:rPr>
        <w:t>REDACTED</w:t>
      </w:r>
    </w:p>
    <w:p w14:paraId="3C2D4CEB" w14:textId="77777777" w:rsidR="007630AD" w:rsidRPr="004953A2" w:rsidRDefault="007630AD" w:rsidP="00D45CF4">
      <w:pPr>
        <w:spacing w:before="0" w:after="0"/>
        <w:ind w:left="284"/>
        <w:rPr>
          <w:szCs w:val="20"/>
        </w:rPr>
      </w:pPr>
    </w:p>
    <w:p w14:paraId="24B7E221" w14:textId="77777777" w:rsidR="007D705B" w:rsidRDefault="000A110D" w:rsidP="00440774">
      <w:pPr>
        <w:pStyle w:val="Heading2"/>
        <w:spacing w:before="0" w:after="0"/>
      </w:pPr>
      <w:r w:rsidRPr="004953A2">
        <w:t>I</w:t>
      </w:r>
      <w:r w:rsidR="00C0796F" w:rsidRPr="004953A2">
        <w:t xml:space="preserve">f the therapeutic good </w:t>
      </w:r>
      <w:r w:rsidR="00F83A9D" w:rsidRPr="004953A2">
        <w:t>is not in the process of being considered for listing</w:t>
      </w:r>
      <w:r w:rsidR="00C0796F" w:rsidRPr="004953A2">
        <w:t xml:space="preserve">, </w:t>
      </w:r>
      <w:r w:rsidR="00F83A9D" w:rsidRPr="004953A2">
        <w:t xml:space="preserve">registration </w:t>
      </w:r>
      <w:r w:rsidR="00C0796F" w:rsidRPr="004953A2">
        <w:t xml:space="preserve">or </w:t>
      </w:r>
      <w:r w:rsidR="00F83A9D" w:rsidRPr="004953A2">
        <w:t>inclusion by the TGA, is an application to the TGA being prepared?</w:t>
      </w:r>
    </w:p>
    <w:p w14:paraId="57AC7261" w14:textId="5B59F279" w:rsidR="00730247" w:rsidRPr="007D705B" w:rsidRDefault="007D705B" w:rsidP="007D705B">
      <w:pPr>
        <w:pStyle w:val="Heading2"/>
        <w:numPr>
          <w:ilvl w:val="0"/>
          <w:numId w:val="0"/>
        </w:numPr>
        <w:spacing w:after="0"/>
        <w:ind w:firstLine="357"/>
        <w:contextualSpacing w:val="0"/>
        <w:rPr>
          <w:b w:val="0"/>
        </w:rPr>
      </w:pPr>
      <w:r w:rsidRPr="007D705B">
        <w:rPr>
          <w:b w:val="0"/>
        </w:rPr>
        <w:t>N</w:t>
      </w:r>
      <w:r w:rsidR="00730247" w:rsidRPr="007D705B">
        <w:rPr>
          <w:b w:val="0"/>
        </w:rPr>
        <w:t>ot applicable</w:t>
      </w:r>
      <w:r w:rsidR="00577932" w:rsidRPr="007D705B">
        <w:rPr>
          <w:b w:val="0"/>
        </w:rPr>
        <w:t>.</w:t>
      </w:r>
    </w:p>
    <w:p w14:paraId="00A8B0BD" w14:textId="77777777" w:rsidR="00DD308E" w:rsidRPr="004953A2" w:rsidRDefault="00DD308E" w:rsidP="00440774">
      <w:pPr>
        <w:spacing w:before="0" w:after="0"/>
        <w:rPr>
          <w:b/>
          <w:sz w:val="32"/>
          <w:szCs w:val="32"/>
        </w:rPr>
        <w:sectPr w:rsidR="00DD308E" w:rsidRPr="004953A2" w:rsidSect="007D70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6290E640" w14:textId="77777777" w:rsidR="00DD308E" w:rsidRPr="004953A2" w:rsidRDefault="00B17CBE" w:rsidP="00F222BE">
      <w:pPr>
        <w:pStyle w:val="Heading1"/>
      </w:pPr>
      <w:r w:rsidRPr="004953A2">
        <w:lastRenderedPageBreak/>
        <w:t>PART 4</w:t>
      </w:r>
      <w:r w:rsidR="00DD308E" w:rsidRPr="004953A2">
        <w:t xml:space="preserve"> – SUMMARY OF EVIDENCE</w:t>
      </w:r>
    </w:p>
    <w:p w14:paraId="6BDE09CD" w14:textId="17A32625" w:rsidR="00DD308E" w:rsidRPr="004953A2" w:rsidRDefault="00DD308E" w:rsidP="005C3AE7">
      <w:pPr>
        <w:pStyle w:val="Heading2"/>
        <w:rPr>
          <w:i/>
        </w:rPr>
      </w:pPr>
      <w:r w:rsidRPr="004953A2">
        <w:t xml:space="preserve">Provide an overview of all key journal articles or research published in the public domain related to the proposed service that is for your application (limiting these to the English language only).  </w:t>
      </w:r>
      <w:r w:rsidRPr="004953A2">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44"/>
        <w:gridCol w:w="1216"/>
        <w:gridCol w:w="2368"/>
        <w:gridCol w:w="7108"/>
        <w:gridCol w:w="1400"/>
        <w:gridCol w:w="1412"/>
      </w:tblGrid>
      <w:tr w:rsidR="009B682A" w:rsidRPr="009B682A" w14:paraId="6B9992A1" w14:textId="77777777" w:rsidTr="009B682A">
        <w:trPr>
          <w:cantSplit/>
          <w:trHeight w:val="1030"/>
          <w:tblHeader/>
        </w:trPr>
        <w:tc>
          <w:tcPr>
            <w:tcW w:w="159" w:type="pct"/>
          </w:tcPr>
          <w:p w14:paraId="402B0000" w14:textId="77777777" w:rsidR="00DD308E" w:rsidRPr="009B682A" w:rsidRDefault="00DD308E" w:rsidP="00BB0663">
            <w:pPr>
              <w:pStyle w:val="TableHEADER"/>
              <w:spacing w:before="0" w:after="0"/>
            </w:pPr>
          </w:p>
        </w:tc>
        <w:tc>
          <w:tcPr>
            <w:tcW w:w="436" w:type="pct"/>
          </w:tcPr>
          <w:p w14:paraId="4CABC3A9" w14:textId="77777777" w:rsidR="00DD308E" w:rsidRPr="009B682A" w:rsidRDefault="00DD308E" w:rsidP="00BB0663">
            <w:pPr>
              <w:pStyle w:val="TableHEADER"/>
              <w:spacing w:before="0" w:after="0"/>
            </w:pPr>
            <w:r w:rsidRPr="009B682A">
              <w:t>Type of study design*</w:t>
            </w:r>
          </w:p>
        </w:tc>
        <w:tc>
          <w:tcPr>
            <w:tcW w:w="849" w:type="pct"/>
          </w:tcPr>
          <w:p w14:paraId="747E050E" w14:textId="7E6B9F4F" w:rsidR="00DD308E" w:rsidRPr="009B682A" w:rsidRDefault="00DD308E" w:rsidP="00BB0663">
            <w:pPr>
              <w:pStyle w:val="TableHEADER"/>
              <w:spacing w:before="0" w:after="0"/>
            </w:pPr>
            <w:r w:rsidRPr="009B682A">
              <w:t xml:space="preserve">Title of journal article or research project </w:t>
            </w:r>
          </w:p>
        </w:tc>
        <w:tc>
          <w:tcPr>
            <w:tcW w:w="2548" w:type="pct"/>
          </w:tcPr>
          <w:p w14:paraId="2194E20C" w14:textId="448BE58B" w:rsidR="00DD308E" w:rsidRPr="009B682A" w:rsidRDefault="00DD308E" w:rsidP="00BB0663">
            <w:pPr>
              <w:pStyle w:val="TableHEADER"/>
              <w:spacing w:before="0" w:after="0"/>
            </w:pPr>
            <w:r w:rsidRPr="009B682A">
              <w:t>Short description of research (max 50 words)**</w:t>
            </w:r>
          </w:p>
        </w:tc>
        <w:tc>
          <w:tcPr>
            <w:tcW w:w="502" w:type="pct"/>
          </w:tcPr>
          <w:p w14:paraId="67B0B8DA" w14:textId="687F8058" w:rsidR="00DD308E" w:rsidRPr="009B682A" w:rsidRDefault="00DD308E" w:rsidP="00BB0663">
            <w:pPr>
              <w:pStyle w:val="TableHEADER"/>
              <w:spacing w:before="0" w:after="0"/>
            </w:pPr>
            <w:r w:rsidRPr="009B682A">
              <w:t xml:space="preserve">Website link to journal article or research </w:t>
            </w:r>
          </w:p>
        </w:tc>
        <w:tc>
          <w:tcPr>
            <w:tcW w:w="506" w:type="pct"/>
          </w:tcPr>
          <w:p w14:paraId="01B082E1" w14:textId="77777777" w:rsidR="00DD308E" w:rsidRPr="009B682A" w:rsidRDefault="00DD308E" w:rsidP="00BB0663">
            <w:pPr>
              <w:pStyle w:val="TableHEADER"/>
              <w:spacing w:before="0" w:after="0"/>
            </w:pPr>
            <w:r w:rsidRPr="009B682A">
              <w:t>Date of publication***</w:t>
            </w:r>
          </w:p>
        </w:tc>
      </w:tr>
      <w:tr w:rsidR="009B682A" w:rsidRPr="009B682A" w14:paraId="6C836569" w14:textId="77777777" w:rsidTr="00BB0663">
        <w:trPr>
          <w:cantSplit/>
        </w:trPr>
        <w:tc>
          <w:tcPr>
            <w:tcW w:w="159" w:type="pct"/>
          </w:tcPr>
          <w:p w14:paraId="7D9B20B9" w14:textId="77777777" w:rsidR="00DD308E" w:rsidRPr="009B682A" w:rsidRDefault="00DD308E" w:rsidP="00BB0663">
            <w:pPr>
              <w:spacing w:before="0" w:after="0"/>
              <w:rPr>
                <w:rFonts w:cstheme="minorHAnsi"/>
                <w:szCs w:val="20"/>
              </w:rPr>
            </w:pPr>
            <w:bookmarkStart w:id="4" w:name="_Hlk34056366"/>
            <w:r w:rsidRPr="009B682A">
              <w:rPr>
                <w:rFonts w:cstheme="minorHAnsi"/>
                <w:szCs w:val="20"/>
              </w:rPr>
              <w:t>1.</w:t>
            </w:r>
          </w:p>
        </w:tc>
        <w:tc>
          <w:tcPr>
            <w:tcW w:w="436" w:type="pct"/>
          </w:tcPr>
          <w:p w14:paraId="43436240" w14:textId="5875FD17" w:rsidR="00DD308E" w:rsidRPr="009B682A" w:rsidRDefault="001B2466" w:rsidP="00BB0663">
            <w:pPr>
              <w:spacing w:before="0" w:after="0"/>
              <w:rPr>
                <w:rFonts w:cstheme="minorHAnsi"/>
                <w:bCs/>
                <w:szCs w:val="20"/>
              </w:rPr>
            </w:pPr>
            <w:r w:rsidRPr="009B682A">
              <w:rPr>
                <w:rFonts w:cstheme="minorHAnsi"/>
                <w:bCs/>
                <w:szCs w:val="20"/>
              </w:rPr>
              <w:t>Multi-centr</w:t>
            </w:r>
            <w:r w:rsidR="00577932" w:rsidRPr="009B682A">
              <w:rPr>
                <w:rFonts w:cstheme="minorHAnsi"/>
                <w:bCs/>
                <w:szCs w:val="20"/>
              </w:rPr>
              <w:t>e</w:t>
            </w:r>
            <w:r w:rsidRPr="009B682A">
              <w:rPr>
                <w:rFonts w:cstheme="minorHAnsi"/>
                <w:bCs/>
                <w:szCs w:val="20"/>
              </w:rPr>
              <w:t xml:space="preserve"> randomised clinical trial</w:t>
            </w:r>
            <w:r w:rsidR="00577932" w:rsidRPr="009B682A">
              <w:rPr>
                <w:rFonts w:cstheme="minorHAnsi"/>
                <w:bCs/>
                <w:szCs w:val="20"/>
              </w:rPr>
              <w:t>.</w:t>
            </w:r>
          </w:p>
        </w:tc>
        <w:tc>
          <w:tcPr>
            <w:tcW w:w="849" w:type="pct"/>
          </w:tcPr>
          <w:p w14:paraId="0B1D13A2" w14:textId="4C6A8655" w:rsidR="00DD308E" w:rsidRPr="009B682A" w:rsidRDefault="001B2466" w:rsidP="00BB0663">
            <w:pPr>
              <w:spacing w:before="0" w:after="0"/>
              <w:rPr>
                <w:rFonts w:cstheme="minorHAnsi"/>
                <w:bCs/>
                <w:szCs w:val="20"/>
              </w:rPr>
            </w:pPr>
            <w:r w:rsidRPr="00BB0663">
              <w:rPr>
                <w:rFonts w:cstheme="minorHAnsi"/>
                <w:bCs/>
                <w:szCs w:val="20"/>
                <w:lang w:val="en-US"/>
              </w:rPr>
              <w:t xml:space="preserve">Mack MJ, et al. </w:t>
            </w:r>
            <w:r w:rsidRPr="009B682A">
              <w:rPr>
                <w:rFonts w:cstheme="minorHAnsi"/>
                <w:bCs/>
                <w:szCs w:val="20"/>
              </w:rPr>
              <w:t>Transcatheter Aortic-Valve Replacement with a Balloon-Expandable Valve in Low-Risk Patients. N Engl J Med</w:t>
            </w:r>
            <w:r w:rsidR="00577932" w:rsidRPr="009B682A">
              <w:rPr>
                <w:rFonts w:cstheme="minorHAnsi"/>
                <w:bCs/>
                <w:szCs w:val="20"/>
              </w:rPr>
              <w:t>.</w:t>
            </w:r>
            <w:r w:rsidRPr="009B682A">
              <w:rPr>
                <w:rFonts w:cstheme="minorHAnsi"/>
                <w:bCs/>
                <w:szCs w:val="20"/>
              </w:rPr>
              <w:t xml:space="preserve"> 2019</w:t>
            </w:r>
            <w:r w:rsidR="00577932" w:rsidRPr="009B682A">
              <w:rPr>
                <w:rFonts w:cstheme="minorHAnsi"/>
                <w:bCs/>
                <w:szCs w:val="20"/>
              </w:rPr>
              <w:t>;</w:t>
            </w:r>
            <w:r w:rsidRPr="009B682A">
              <w:rPr>
                <w:rFonts w:cstheme="minorHAnsi"/>
                <w:bCs/>
                <w:szCs w:val="20"/>
              </w:rPr>
              <w:t xml:space="preserve"> 380(18): 1695-1705.</w:t>
            </w:r>
          </w:p>
        </w:tc>
        <w:tc>
          <w:tcPr>
            <w:tcW w:w="2548" w:type="pct"/>
          </w:tcPr>
          <w:p w14:paraId="7586F448" w14:textId="6B6DC5E4" w:rsidR="00577932" w:rsidRPr="009B682A" w:rsidRDefault="00F07BA2" w:rsidP="00BB0663">
            <w:pPr>
              <w:spacing w:before="0" w:after="0"/>
              <w:rPr>
                <w:rFonts w:cstheme="minorHAnsi"/>
                <w:bCs/>
                <w:szCs w:val="20"/>
              </w:rPr>
            </w:pPr>
            <w:r w:rsidRPr="009B682A">
              <w:rPr>
                <w:rFonts w:cstheme="minorHAnsi"/>
                <w:bCs/>
                <w:szCs w:val="20"/>
              </w:rPr>
              <w:t>PARTNER 3</w:t>
            </w:r>
            <w:r w:rsidR="001B2466" w:rsidRPr="009B682A">
              <w:rPr>
                <w:rFonts w:cstheme="minorHAnsi"/>
                <w:bCs/>
                <w:szCs w:val="20"/>
              </w:rPr>
              <w:t xml:space="preserve"> randomised </w:t>
            </w:r>
            <w:r w:rsidR="001F0A6E" w:rsidRPr="009B682A">
              <w:rPr>
                <w:rFonts w:cstheme="minorHAnsi"/>
                <w:bCs/>
                <w:szCs w:val="20"/>
              </w:rPr>
              <w:t xml:space="preserve">950 low risk patients with severe AS </w:t>
            </w:r>
            <w:r w:rsidR="001B2466" w:rsidRPr="009B682A">
              <w:rPr>
                <w:rFonts w:cstheme="minorHAnsi"/>
                <w:bCs/>
                <w:szCs w:val="20"/>
              </w:rPr>
              <w:t>to either</w:t>
            </w:r>
            <w:r w:rsidR="00EF5FC0" w:rsidRPr="009B682A">
              <w:rPr>
                <w:rFonts w:cstheme="minorHAnsi"/>
                <w:bCs/>
                <w:szCs w:val="20"/>
              </w:rPr>
              <w:t xml:space="preserve"> </w:t>
            </w:r>
            <w:r w:rsidR="00551125" w:rsidRPr="009B682A">
              <w:rPr>
                <w:rFonts w:cstheme="minorHAnsi"/>
                <w:bCs/>
                <w:szCs w:val="20"/>
              </w:rPr>
              <w:t>TAV</w:t>
            </w:r>
            <w:r w:rsidR="003A2D29" w:rsidRPr="009B682A">
              <w:rPr>
                <w:rFonts w:cstheme="minorHAnsi"/>
                <w:bCs/>
                <w:szCs w:val="20"/>
              </w:rPr>
              <w:t>I</w:t>
            </w:r>
            <w:r w:rsidR="00551125" w:rsidRPr="009B682A">
              <w:rPr>
                <w:rFonts w:cstheme="minorHAnsi"/>
                <w:bCs/>
                <w:szCs w:val="20"/>
              </w:rPr>
              <w:t xml:space="preserve"> </w:t>
            </w:r>
            <w:r w:rsidR="00EF5FC0" w:rsidRPr="009B682A">
              <w:rPr>
                <w:rFonts w:cstheme="minorHAnsi"/>
                <w:bCs/>
                <w:szCs w:val="20"/>
              </w:rPr>
              <w:t xml:space="preserve">with the SAPIEN 3 </w:t>
            </w:r>
            <w:r w:rsidR="003A2D29" w:rsidRPr="009B682A">
              <w:rPr>
                <w:rFonts w:cstheme="minorHAnsi"/>
                <w:bCs/>
                <w:szCs w:val="20"/>
              </w:rPr>
              <w:t>BEV</w:t>
            </w:r>
            <w:r w:rsidR="001B2466" w:rsidRPr="009B682A">
              <w:rPr>
                <w:rFonts w:cstheme="minorHAnsi"/>
                <w:bCs/>
                <w:szCs w:val="20"/>
              </w:rPr>
              <w:t xml:space="preserve"> (n=496) or surgery (n=454)</w:t>
            </w:r>
            <w:r w:rsidR="00551125" w:rsidRPr="009B682A">
              <w:rPr>
                <w:rFonts w:cstheme="minorHAnsi"/>
                <w:bCs/>
                <w:szCs w:val="20"/>
              </w:rPr>
              <w:t>.</w:t>
            </w:r>
            <w:r w:rsidR="001B2466" w:rsidRPr="009B682A">
              <w:rPr>
                <w:rFonts w:cstheme="minorHAnsi"/>
                <w:bCs/>
                <w:szCs w:val="20"/>
              </w:rPr>
              <w:t xml:space="preserve"> </w:t>
            </w:r>
            <w:r w:rsidR="00577932" w:rsidRPr="009B682A">
              <w:rPr>
                <w:rFonts w:cstheme="minorHAnsi"/>
                <w:bCs/>
                <w:szCs w:val="20"/>
              </w:rPr>
              <w:t>The primary composite end poin</w:t>
            </w:r>
            <w:r w:rsidR="001F0A6E" w:rsidRPr="009B682A">
              <w:rPr>
                <w:rFonts w:cstheme="minorHAnsi"/>
                <w:bCs/>
                <w:szCs w:val="20"/>
              </w:rPr>
              <w:t>t of death, stroke, or rehospitalisation</w:t>
            </w:r>
            <w:r w:rsidR="00577932" w:rsidRPr="009B682A">
              <w:rPr>
                <w:rFonts w:cstheme="minorHAnsi"/>
                <w:bCs/>
                <w:szCs w:val="20"/>
              </w:rPr>
              <w:t xml:space="preserve"> at 1 year was significantly lower in the TAV</w:t>
            </w:r>
            <w:r w:rsidR="001F0A6E" w:rsidRPr="009B682A">
              <w:rPr>
                <w:rFonts w:cstheme="minorHAnsi"/>
                <w:bCs/>
                <w:szCs w:val="20"/>
              </w:rPr>
              <w:t>I</w:t>
            </w:r>
            <w:r w:rsidR="00577932" w:rsidRPr="009B682A">
              <w:rPr>
                <w:rFonts w:cstheme="minorHAnsi"/>
                <w:bCs/>
                <w:szCs w:val="20"/>
              </w:rPr>
              <w:t xml:space="preserve"> group (8.5% vs 15.1%; 95% CI −10.8 to −2.5; P&lt;0.001 for noninferiority; hazard ratio, 0.54</w:t>
            </w:r>
            <w:r w:rsidR="001F0A6E" w:rsidRPr="009B682A">
              <w:rPr>
                <w:rFonts w:cstheme="minorHAnsi"/>
                <w:bCs/>
                <w:szCs w:val="20"/>
              </w:rPr>
              <w:t xml:space="preserve">, </w:t>
            </w:r>
            <w:r w:rsidR="00577932" w:rsidRPr="009B682A">
              <w:rPr>
                <w:rFonts w:cstheme="minorHAnsi"/>
                <w:bCs/>
                <w:szCs w:val="20"/>
              </w:rPr>
              <w:t>95% CI</w:t>
            </w:r>
            <w:r w:rsidR="001F0A6E" w:rsidRPr="009B682A">
              <w:rPr>
                <w:rFonts w:cstheme="minorHAnsi"/>
                <w:bCs/>
                <w:szCs w:val="20"/>
              </w:rPr>
              <w:t xml:space="preserve"> </w:t>
            </w:r>
            <w:r w:rsidR="00577932" w:rsidRPr="009B682A">
              <w:rPr>
                <w:rFonts w:cstheme="minorHAnsi"/>
                <w:bCs/>
                <w:szCs w:val="20"/>
              </w:rPr>
              <w:t xml:space="preserve">0.37 </w:t>
            </w:r>
            <w:r w:rsidR="001F0A6E" w:rsidRPr="009B682A">
              <w:rPr>
                <w:rFonts w:cstheme="minorHAnsi"/>
                <w:bCs/>
                <w:szCs w:val="20"/>
              </w:rPr>
              <w:t>-</w:t>
            </w:r>
            <w:r w:rsidR="00577932" w:rsidRPr="009B682A">
              <w:rPr>
                <w:rFonts w:cstheme="minorHAnsi"/>
                <w:bCs/>
                <w:szCs w:val="20"/>
              </w:rPr>
              <w:t xml:space="preserve"> 0.79; P=0.001 for superiority). At 30 days, TAVR resulted in a lower rate of stroke (P=0.02)</w:t>
            </w:r>
            <w:r w:rsidR="001F0A6E" w:rsidRPr="009B682A">
              <w:rPr>
                <w:rFonts w:cstheme="minorHAnsi"/>
                <w:bCs/>
                <w:szCs w:val="20"/>
              </w:rPr>
              <w:t xml:space="preserve">, </w:t>
            </w:r>
            <w:r w:rsidR="00577932" w:rsidRPr="009B682A">
              <w:rPr>
                <w:rFonts w:cstheme="minorHAnsi"/>
                <w:bCs/>
                <w:szCs w:val="20"/>
              </w:rPr>
              <w:t>death or stroke (P=0.01) and new-onset atrial fibrillation (P&lt;0.001). TAVR also resulted in a shorter index hospitali</w:t>
            </w:r>
            <w:r w:rsidR="001F0A6E" w:rsidRPr="009B682A">
              <w:rPr>
                <w:rFonts w:cstheme="minorHAnsi"/>
                <w:bCs/>
                <w:szCs w:val="20"/>
              </w:rPr>
              <w:t>s</w:t>
            </w:r>
            <w:r w:rsidR="00577932" w:rsidRPr="009B682A">
              <w:rPr>
                <w:rFonts w:cstheme="minorHAnsi"/>
                <w:bCs/>
                <w:szCs w:val="20"/>
              </w:rPr>
              <w:t>ation than surgery (P&lt;0.001). There were no significant differences in major vascular complications, new permanent pacemaker insertions, or moderate or severe paravalvular regurgitation.</w:t>
            </w:r>
          </w:p>
        </w:tc>
        <w:tc>
          <w:tcPr>
            <w:tcW w:w="502" w:type="pct"/>
          </w:tcPr>
          <w:p w14:paraId="55566478" w14:textId="786C0FD4" w:rsidR="00DD308E" w:rsidRPr="009B682A" w:rsidRDefault="001B2466" w:rsidP="00BB0663">
            <w:pPr>
              <w:spacing w:before="0" w:after="0"/>
              <w:rPr>
                <w:rFonts w:cstheme="minorHAnsi"/>
                <w:bCs/>
                <w:szCs w:val="20"/>
              </w:rPr>
            </w:pPr>
            <w:r w:rsidRPr="009B682A">
              <w:rPr>
                <w:rFonts w:cstheme="minorHAnsi"/>
                <w:bCs/>
                <w:szCs w:val="20"/>
              </w:rPr>
              <w:t>https://www.ncbi.nlm.nih.gov/pubmed/30883058</w:t>
            </w:r>
          </w:p>
        </w:tc>
        <w:tc>
          <w:tcPr>
            <w:tcW w:w="506" w:type="pct"/>
          </w:tcPr>
          <w:p w14:paraId="6E59223D" w14:textId="2AD9A513" w:rsidR="00DD308E" w:rsidRPr="009B682A" w:rsidRDefault="00CF54E5" w:rsidP="00BB0663">
            <w:pPr>
              <w:spacing w:before="0" w:after="0"/>
              <w:rPr>
                <w:rFonts w:cstheme="minorHAnsi"/>
                <w:bCs/>
                <w:szCs w:val="20"/>
              </w:rPr>
            </w:pPr>
            <w:r w:rsidRPr="009B682A">
              <w:rPr>
                <w:rFonts w:cstheme="minorHAnsi"/>
                <w:bCs/>
                <w:szCs w:val="20"/>
              </w:rPr>
              <w:t>May 201</w:t>
            </w:r>
            <w:r w:rsidR="001B2466" w:rsidRPr="009B682A">
              <w:rPr>
                <w:rFonts w:cstheme="minorHAnsi"/>
                <w:bCs/>
                <w:szCs w:val="20"/>
              </w:rPr>
              <w:t>9</w:t>
            </w:r>
          </w:p>
        </w:tc>
      </w:tr>
      <w:tr w:rsidR="009B682A" w:rsidRPr="009B682A" w14:paraId="6F583DFF" w14:textId="77777777" w:rsidTr="009B682A">
        <w:trPr>
          <w:cantSplit/>
        </w:trPr>
        <w:tc>
          <w:tcPr>
            <w:tcW w:w="159" w:type="pct"/>
          </w:tcPr>
          <w:p w14:paraId="719AC526" w14:textId="5934267C" w:rsidR="007079D5" w:rsidRPr="009B682A" w:rsidRDefault="007079D5" w:rsidP="00BB0663">
            <w:pPr>
              <w:spacing w:before="0" w:after="0"/>
              <w:rPr>
                <w:rFonts w:cstheme="minorHAnsi"/>
                <w:szCs w:val="20"/>
              </w:rPr>
            </w:pPr>
            <w:r w:rsidRPr="009B682A">
              <w:rPr>
                <w:rFonts w:cstheme="minorHAnsi"/>
                <w:szCs w:val="20"/>
              </w:rPr>
              <w:t>2</w:t>
            </w:r>
          </w:p>
        </w:tc>
        <w:tc>
          <w:tcPr>
            <w:tcW w:w="436" w:type="pct"/>
          </w:tcPr>
          <w:p w14:paraId="598A355E" w14:textId="122A7116" w:rsidR="007079D5" w:rsidRPr="009B682A" w:rsidRDefault="007079D5" w:rsidP="00BB0663">
            <w:pPr>
              <w:spacing w:before="0" w:after="0"/>
              <w:rPr>
                <w:rFonts w:cstheme="minorHAnsi"/>
                <w:bCs/>
                <w:szCs w:val="20"/>
              </w:rPr>
            </w:pPr>
            <w:r w:rsidRPr="009B682A">
              <w:rPr>
                <w:rFonts w:cstheme="minorHAnsi"/>
                <w:bCs/>
                <w:szCs w:val="20"/>
              </w:rPr>
              <w:t>Multi-centre randomised clinical trial.</w:t>
            </w:r>
          </w:p>
        </w:tc>
        <w:tc>
          <w:tcPr>
            <w:tcW w:w="849" w:type="pct"/>
          </w:tcPr>
          <w:p w14:paraId="262E4D03" w14:textId="167626E6" w:rsidR="007079D5" w:rsidRPr="009B682A" w:rsidRDefault="007079D5" w:rsidP="00BB0663">
            <w:pPr>
              <w:spacing w:before="0" w:after="0"/>
              <w:rPr>
                <w:rFonts w:cstheme="minorHAnsi"/>
                <w:bCs/>
                <w:szCs w:val="20"/>
                <w:lang w:val="da-DK"/>
              </w:rPr>
            </w:pPr>
            <w:r w:rsidRPr="00BB0663">
              <w:rPr>
                <w:rFonts w:cstheme="minorHAnsi"/>
                <w:bCs/>
                <w:szCs w:val="20"/>
                <w:lang w:val="en-US"/>
              </w:rPr>
              <w:t xml:space="preserve">Baron SJ, et al. Health status after transcatheter versus surgical aortic valve replacement in low-risk patients with aortic stenosis. </w:t>
            </w:r>
            <w:r w:rsidRPr="009B682A">
              <w:rPr>
                <w:rFonts w:cstheme="minorHAnsi"/>
                <w:bCs/>
                <w:szCs w:val="20"/>
                <w:lang w:val="da-DK"/>
              </w:rPr>
              <w:t>J Am Coll Cardiol. 2019;</w:t>
            </w:r>
            <w:r w:rsidR="009B682A">
              <w:rPr>
                <w:rFonts w:cstheme="minorHAnsi"/>
                <w:bCs/>
                <w:szCs w:val="20"/>
                <w:lang w:val="da-DK"/>
              </w:rPr>
              <w:t xml:space="preserve"> </w:t>
            </w:r>
            <w:r w:rsidRPr="009B682A">
              <w:rPr>
                <w:rFonts w:cstheme="minorHAnsi"/>
                <w:bCs/>
                <w:szCs w:val="20"/>
                <w:lang w:val="da-DK"/>
              </w:rPr>
              <w:t>74(23):2833-42.</w:t>
            </w:r>
          </w:p>
        </w:tc>
        <w:tc>
          <w:tcPr>
            <w:tcW w:w="2548" w:type="pct"/>
          </w:tcPr>
          <w:p w14:paraId="594D3B37" w14:textId="49419048" w:rsidR="007079D5" w:rsidRPr="009B682A" w:rsidRDefault="007079D5" w:rsidP="00BB0663">
            <w:pPr>
              <w:spacing w:before="0" w:after="0"/>
              <w:rPr>
                <w:rFonts w:cstheme="minorHAnsi"/>
                <w:bCs/>
                <w:szCs w:val="20"/>
                <w:lang w:val="en-US"/>
              </w:rPr>
            </w:pPr>
            <w:r w:rsidRPr="009B682A">
              <w:rPr>
                <w:rFonts w:cstheme="minorHAnsi"/>
                <w:bCs/>
                <w:szCs w:val="20"/>
                <w:lang w:val="en-US"/>
              </w:rPr>
              <w:t xml:space="preserve">This study compared the health status of patients in the PARTNER 3 clinical trial. Based on the Kansas City Cardiomyopathy Questionnaire (KCCQ) score, TAVR was associated with significantly better health status at 1 month (mean difference in KCCQ-OS 16.0 points; p &lt; 0.001), 6 months (mean difference in KCCQ-OS 2.6 points; p &lt; 0.04), and 1 year (mean difference in KCCQ-OS 1.8 points; p &lt; 0.04). </w:t>
            </w:r>
          </w:p>
        </w:tc>
        <w:tc>
          <w:tcPr>
            <w:tcW w:w="502" w:type="pct"/>
          </w:tcPr>
          <w:p w14:paraId="02E57FA1" w14:textId="2EB5A94F" w:rsidR="007079D5" w:rsidRPr="009B682A" w:rsidRDefault="007079D5" w:rsidP="00BB0663">
            <w:pPr>
              <w:spacing w:before="0" w:after="0"/>
              <w:rPr>
                <w:rFonts w:cstheme="minorHAnsi"/>
                <w:bCs/>
                <w:szCs w:val="20"/>
                <w:lang w:val="en-US"/>
              </w:rPr>
            </w:pPr>
            <w:r w:rsidRPr="009B682A">
              <w:rPr>
                <w:rFonts w:cstheme="minorHAnsi"/>
                <w:bCs/>
                <w:szCs w:val="20"/>
                <w:lang w:val="en-US"/>
              </w:rPr>
              <w:t>https://www.ncbi.nlm.nih.gov/pubmed/31577923</w:t>
            </w:r>
          </w:p>
        </w:tc>
        <w:tc>
          <w:tcPr>
            <w:tcW w:w="506" w:type="pct"/>
          </w:tcPr>
          <w:p w14:paraId="26D7FC37" w14:textId="77777777" w:rsidR="007079D5" w:rsidRPr="00BB0663" w:rsidRDefault="007079D5" w:rsidP="00BB0663">
            <w:pPr>
              <w:spacing w:before="0" w:after="0"/>
              <w:rPr>
                <w:rFonts w:cstheme="minorHAnsi"/>
                <w:bCs/>
                <w:szCs w:val="20"/>
                <w:lang w:val="en-US"/>
              </w:rPr>
            </w:pPr>
            <w:r w:rsidRPr="009B682A">
              <w:rPr>
                <w:rFonts w:cstheme="minorHAnsi"/>
                <w:bCs/>
                <w:szCs w:val="20"/>
                <w:lang w:val="en-US"/>
              </w:rPr>
              <w:t>Dec 2019</w:t>
            </w:r>
          </w:p>
          <w:p w14:paraId="395E0460" w14:textId="7F271D4A" w:rsidR="009B682A" w:rsidRPr="009B682A" w:rsidRDefault="009B682A" w:rsidP="00BB0663">
            <w:pPr>
              <w:spacing w:before="0" w:after="0"/>
              <w:rPr>
                <w:rFonts w:cstheme="minorHAnsi"/>
                <w:bCs/>
                <w:szCs w:val="20"/>
                <w:lang w:val="en-US"/>
              </w:rPr>
            </w:pPr>
          </w:p>
        </w:tc>
      </w:tr>
      <w:tr w:rsidR="009B682A" w:rsidRPr="009B682A" w14:paraId="754DE251" w14:textId="77777777" w:rsidTr="009B682A">
        <w:trPr>
          <w:cantSplit/>
        </w:trPr>
        <w:tc>
          <w:tcPr>
            <w:tcW w:w="159" w:type="pct"/>
          </w:tcPr>
          <w:p w14:paraId="571D368F" w14:textId="17AFFDE7" w:rsidR="00637ABF" w:rsidRPr="009B682A" w:rsidRDefault="00637ABF" w:rsidP="00BB0663">
            <w:pPr>
              <w:spacing w:before="0" w:after="0"/>
              <w:rPr>
                <w:rFonts w:cstheme="minorHAnsi"/>
                <w:szCs w:val="20"/>
              </w:rPr>
            </w:pPr>
            <w:r w:rsidRPr="009B682A">
              <w:rPr>
                <w:rFonts w:cstheme="minorHAnsi"/>
                <w:szCs w:val="20"/>
              </w:rPr>
              <w:t>3</w:t>
            </w:r>
          </w:p>
        </w:tc>
        <w:tc>
          <w:tcPr>
            <w:tcW w:w="436" w:type="pct"/>
          </w:tcPr>
          <w:p w14:paraId="16C2E0C5" w14:textId="3516DA20" w:rsidR="00637ABF" w:rsidRPr="009B682A" w:rsidRDefault="00637ABF" w:rsidP="00BB0663">
            <w:pPr>
              <w:spacing w:before="0" w:after="0"/>
              <w:rPr>
                <w:rFonts w:cstheme="minorHAnsi"/>
                <w:bCs/>
                <w:szCs w:val="20"/>
              </w:rPr>
            </w:pPr>
            <w:r w:rsidRPr="009B682A">
              <w:rPr>
                <w:rFonts w:cstheme="minorHAnsi"/>
                <w:bCs/>
                <w:szCs w:val="20"/>
              </w:rPr>
              <w:t xml:space="preserve">Prospective, </w:t>
            </w:r>
            <w:r w:rsidR="0078327D" w:rsidRPr="009B682A">
              <w:rPr>
                <w:rFonts w:cstheme="minorHAnsi"/>
                <w:bCs/>
                <w:szCs w:val="20"/>
              </w:rPr>
              <w:t>multi-centre</w:t>
            </w:r>
            <w:r w:rsidRPr="009B682A">
              <w:rPr>
                <w:rFonts w:cstheme="minorHAnsi"/>
                <w:bCs/>
                <w:szCs w:val="20"/>
              </w:rPr>
              <w:t xml:space="preserve"> single-arm study</w:t>
            </w:r>
            <w:r w:rsidR="009B682A" w:rsidRPr="00BB0663">
              <w:rPr>
                <w:rFonts w:cstheme="minorHAnsi"/>
                <w:bCs/>
                <w:szCs w:val="20"/>
              </w:rPr>
              <w:t>.</w:t>
            </w:r>
          </w:p>
        </w:tc>
        <w:tc>
          <w:tcPr>
            <w:tcW w:w="849" w:type="pct"/>
          </w:tcPr>
          <w:p w14:paraId="4D35B0B8" w14:textId="4BA7FCEA" w:rsidR="00637ABF" w:rsidRPr="009B682A" w:rsidRDefault="00637ABF" w:rsidP="00BB0663">
            <w:pPr>
              <w:spacing w:before="0" w:after="0"/>
              <w:rPr>
                <w:rFonts w:cstheme="minorHAnsi"/>
                <w:bCs/>
                <w:szCs w:val="20"/>
                <w:lang w:val="da-DK"/>
              </w:rPr>
            </w:pPr>
            <w:r w:rsidRPr="00BB0663">
              <w:rPr>
                <w:rFonts w:cstheme="minorHAnsi"/>
                <w:bCs/>
                <w:szCs w:val="20"/>
                <w:lang w:val="en-US"/>
              </w:rPr>
              <w:t xml:space="preserve">Waksman R, et al. TAVR in low-risk patients: 1-year results from the LRT trial. </w:t>
            </w:r>
            <w:r w:rsidRPr="009B682A">
              <w:rPr>
                <w:rFonts w:cstheme="minorHAnsi"/>
                <w:bCs/>
                <w:szCs w:val="20"/>
                <w:lang w:val="da-DK"/>
              </w:rPr>
              <w:t>JACC: Cardiovasc Interv. 2019</w:t>
            </w:r>
            <w:r w:rsidR="009B682A">
              <w:rPr>
                <w:rFonts w:cstheme="minorHAnsi"/>
                <w:bCs/>
                <w:szCs w:val="20"/>
                <w:lang w:val="da-DK"/>
              </w:rPr>
              <w:t xml:space="preserve">; </w:t>
            </w:r>
            <w:r w:rsidRPr="009B682A">
              <w:rPr>
                <w:rFonts w:cstheme="minorHAnsi"/>
                <w:bCs/>
                <w:szCs w:val="20"/>
                <w:lang w:val="da-DK"/>
              </w:rPr>
              <w:t>12(10):901-7.</w:t>
            </w:r>
          </w:p>
        </w:tc>
        <w:tc>
          <w:tcPr>
            <w:tcW w:w="2548" w:type="pct"/>
          </w:tcPr>
          <w:p w14:paraId="1FC963CE" w14:textId="08E8ED02" w:rsidR="00637ABF" w:rsidRPr="009B682A" w:rsidRDefault="00637ABF" w:rsidP="00BB0663">
            <w:pPr>
              <w:spacing w:before="0" w:after="0"/>
              <w:rPr>
                <w:rFonts w:cstheme="minorHAnsi"/>
                <w:bCs/>
                <w:szCs w:val="20"/>
                <w:lang w:val="en-US"/>
              </w:rPr>
            </w:pPr>
            <w:r w:rsidRPr="009B682A">
              <w:rPr>
                <w:rFonts w:cstheme="minorHAnsi"/>
                <w:bCs/>
                <w:szCs w:val="20"/>
                <w:lang w:val="en-US"/>
              </w:rPr>
              <w:t xml:space="preserve">The investigator-initiated prospectively enrolled 200 low risk AS patients and treated them with TAVR at 11 centers. Patients underwent TAVR with either BEV SAPIEN 3 or a self-expanding TAVR device. At 30 days and 1-year, respectively, mortality was 0% and 3.0%, stroke was 0% and 2.1%, and PPM was 5.0% and 7.3%.  </w:t>
            </w:r>
          </w:p>
        </w:tc>
        <w:tc>
          <w:tcPr>
            <w:tcW w:w="502" w:type="pct"/>
          </w:tcPr>
          <w:p w14:paraId="0C068AF7" w14:textId="31D3FFBA" w:rsidR="00637ABF" w:rsidRPr="009B682A" w:rsidRDefault="00637ABF" w:rsidP="00BB0663">
            <w:pPr>
              <w:spacing w:before="0" w:after="0"/>
              <w:rPr>
                <w:rFonts w:cstheme="minorHAnsi"/>
                <w:bCs/>
                <w:szCs w:val="20"/>
                <w:lang w:val="en-US"/>
              </w:rPr>
            </w:pPr>
            <w:r w:rsidRPr="009B682A">
              <w:rPr>
                <w:rFonts w:cstheme="minorHAnsi"/>
                <w:bCs/>
                <w:szCs w:val="20"/>
                <w:lang w:val="en-US"/>
              </w:rPr>
              <w:t>https://www.ncbi.nlm.nih.gov/pubmed/30170075</w:t>
            </w:r>
          </w:p>
        </w:tc>
        <w:tc>
          <w:tcPr>
            <w:tcW w:w="506" w:type="pct"/>
          </w:tcPr>
          <w:p w14:paraId="720DD0E3" w14:textId="6A13EB2D" w:rsidR="00637ABF" w:rsidRPr="009B682A" w:rsidRDefault="0078327D" w:rsidP="00BB0663">
            <w:pPr>
              <w:spacing w:before="0" w:after="0"/>
              <w:rPr>
                <w:rFonts w:cstheme="minorHAnsi"/>
                <w:bCs/>
                <w:szCs w:val="20"/>
                <w:lang w:val="en-US"/>
              </w:rPr>
            </w:pPr>
            <w:r w:rsidRPr="009B682A">
              <w:rPr>
                <w:rFonts w:cstheme="minorHAnsi"/>
                <w:bCs/>
                <w:szCs w:val="20"/>
                <w:lang w:val="en-US"/>
              </w:rPr>
              <w:t>May 2019</w:t>
            </w:r>
          </w:p>
        </w:tc>
      </w:tr>
    </w:tbl>
    <w:bookmarkEnd w:id="4"/>
    <w:p w14:paraId="31994DF1" w14:textId="77777777" w:rsidR="00DD308E" w:rsidRPr="00BB0663" w:rsidRDefault="00DD308E" w:rsidP="00BB0663">
      <w:pPr>
        <w:spacing w:before="0" w:after="0"/>
        <w:ind w:left="425"/>
        <w:rPr>
          <w:i/>
          <w:sz w:val="16"/>
          <w:szCs w:val="16"/>
        </w:rPr>
      </w:pPr>
      <w:r w:rsidRPr="00BB0663">
        <w:rPr>
          <w:i/>
          <w:sz w:val="16"/>
          <w:szCs w:val="16"/>
        </w:rPr>
        <w:t xml:space="preserve">* Categorise study design, for example meta-analysis, randomised trials, non-randomised trial or observational study, study of diagnostic accuracy, etc. </w:t>
      </w:r>
    </w:p>
    <w:p w14:paraId="614FE333" w14:textId="77777777" w:rsidR="00DD308E" w:rsidRPr="00BB0663" w:rsidRDefault="00DD308E" w:rsidP="00BB0663">
      <w:pPr>
        <w:spacing w:before="0" w:after="0"/>
        <w:ind w:left="425"/>
        <w:rPr>
          <w:i/>
          <w:sz w:val="16"/>
          <w:szCs w:val="16"/>
        </w:rPr>
      </w:pPr>
      <w:r w:rsidRPr="00BB0663">
        <w:rPr>
          <w:i/>
          <w:sz w:val="16"/>
          <w:szCs w:val="16"/>
        </w:rPr>
        <w:t>**Provide high level information including population numbers and whether patients are being recruited or in post-recruitment, including providing the trial registration number to allow for tracking purposes.</w:t>
      </w:r>
    </w:p>
    <w:p w14:paraId="404552A2" w14:textId="6C5F619A" w:rsidR="00DD308E" w:rsidRPr="00BB0663" w:rsidRDefault="00DD308E" w:rsidP="00BB0663">
      <w:pPr>
        <w:spacing w:before="0" w:after="0"/>
        <w:ind w:left="425"/>
        <w:rPr>
          <w:i/>
          <w:sz w:val="16"/>
          <w:szCs w:val="16"/>
        </w:rPr>
      </w:pPr>
      <w:r w:rsidRPr="00BB0663">
        <w:rPr>
          <w:i/>
          <w:sz w:val="16"/>
          <w:szCs w:val="16"/>
        </w:rPr>
        <w:t>*</w:t>
      </w:r>
      <w:r w:rsidRPr="00BB0663">
        <w:rPr>
          <w:sz w:val="16"/>
          <w:szCs w:val="16"/>
        </w:rPr>
        <w:t>**</w:t>
      </w:r>
      <w:r w:rsidRPr="00BB0663">
        <w:rPr>
          <w:i/>
          <w:sz w:val="16"/>
          <w:szCs w:val="16"/>
        </w:rPr>
        <w:t xml:space="preserve"> If the publication is a follow-up to an initial publication, please advise.</w:t>
      </w:r>
    </w:p>
    <w:p w14:paraId="5D930623" w14:textId="77777777" w:rsidR="005127B8" w:rsidRDefault="005127B8" w:rsidP="00530204">
      <w:pPr>
        <w:pStyle w:val="Heading2"/>
        <w:sectPr w:rsidR="005127B8" w:rsidSect="00DD308E">
          <w:pgSz w:w="16838" w:h="11906" w:orient="landscape"/>
          <w:pgMar w:top="1440" w:right="1440" w:bottom="1440" w:left="1440" w:header="708" w:footer="708" w:gutter="0"/>
          <w:cols w:space="708"/>
          <w:docGrid w:linePitch="360"/>
        </w:sectPr>
      </w:pPr>
    </w:p>
    <w:p w14:paraId="4C3BBB65" w14:textId="2072577C" w:rsidR="004C49EF" w:rsidRPr="004953A2" w:rsidRDefault="004C49EF" w:rsidP="00530204">
      <w:pPr>
        <w:pStyle w:val="Heading2"/>
      </w:pPr>
      <w:r w:rsidRPr="004953A2">
        <w:lastRenderedPageBreak/>
        <w:t>Identify yet to be published research that may have results available in the near future that could be relevant in the consideration of your application by MSAC (limiting these to the English language only).</w:t>
      </w:r>
      <w:r w:rsidRPr="004953A2">
        <w:rPr>
          <w:i/>
        </w:rPr>
        <w:t xml:space="preserve"> Please do not attach full text articles, this is just intended to be a summary.</w:t>
      </w:r>
    </w:p>
    <w:p w14:paraId="2BE522BD" w14:textId="3573F3C2" w:rsidR="009B682A" w:rsidRDefault="009B682A" w:rsidP="004953A2">
      <w:pPr>
        <w:spacing w:after="0"/>
        <w:ind w:left="426"/>
        <w:rPr>
          <w:iCs/>
          <w:szCs w:val="20"/>
        </w:rPr>
      </w:pPr>
      <w:r>
        <w:rPr>
          <w:iCs/>
          <w:szCs w:val="20"/>
        </w:rPr>
        <w:t>In November 2019, a study was presented at the American Heart Association (AHA) Scientific Meeting in New Orleans, LO, USA. The ab</w:t>
      </w:r>
      <w:r w:rsidR="00CB53D7">
        <w:rPr>
          <w:iCs/>
          <w:szCs w:val="20"/>
        </w:rPr>
        <w:t>s</w:t>
      </w:r>
      <w:r>
        <w:rPr>
          <w:iCs/>
          <w:szCs w:val="20"/>
        </w:rPr>
        <w:t>tract was published</w:t>
      </w:r>
      <w:r w:rsidRPr="009B682A">
        <w:t xml:space="preserve"> </w:t>
      </w:r>
      <w:r>
        <w:t>(</w:t>
      </w:r>
      <w:r w:rsidRPr="009B682A">
        <w:rPr>
          <w:iCs/>
          <w:szCs w:val="20"/>
        </w:rPr>
        <w:t>Circulation</w:t>
      </w:r>
      <w:r>
        <w:rPr>
          <w:iCs/>
          <w:szCs w:val="20"/>
        </w:rPr>
        <w:t xml:space="preserve">. </w:t>
      </w:r>
      <w:r w:rsidRPr="009B682A">
        <w:rPr>
          <w:iCs/>
          <w:szCs w:val="20"/>
        </w:rPr>
        <w:t>2019;</w:t>
      </w:r>
      <w:r>
        <w:rPr>
          <w:iCs/>
          <w:szCs w:val="20"/>
        </w:rPr>
        <w:t xml:space="preserve"> </w:t>
      </w:r>
      <w:r w:rsidRPr="009B682A">
        <w:rPr>
          <w:iCs/>
          <w:szCs w:val="20"/>
        </w:rPr>
        <w:t>140:</w:t>
      </w:r>
      <w:r>
        <w:rPr>
          <w:iCs/>
          <w:szCs w:val="20"/>
        </w:rPr>
        <w:t xml:space="preserve"> </w:t>
      </w:r>
      <w:r w:rsidRPr="009B682A">
        <w:rPr>
          <w:iCs/>
          <w:szCs w:val="20"/>
        </w:rPr>
        <w:t>A14484</w:t>
      </w:r>
      <w:r>
        <w:rPr>
          <w:iCs/>
          <w:szCs w:val="20"/>
        </w:rPr>
        <w:t xml:space="preserve">. Available at: </w:t>
      </w:r>
      <w:r w:rsidRPr="009B682A">
        <w:rPr>
          <w:iCs/>
          <w:szCs w:val="20"/>
        </w:rPr>
        <w:t>https://www.ahajournals.org/doi/10.1161/circ.140.suppl_1.14484</w:t>
      </w:r>
      <w:r>
        <w:rPr>
          <w:iCs/>
          <w:szCs w:val="20"/>
        </w:rPr>
        <w:t>), and is reproduced below. The study is currently under review for publication as a full manuscript.</w:t>
      </w:r>
    </w:p>
    <w:p w14:paraId="78D4E52E" w14:textId="77777777" w:rsidR="009B682A" w:rsidRDefault="009B682A" w:rsidP="009B682A">
      <w:pPr>
        <w:spacing w:after="0"/>
        <w:ind w:left="426"/>
        <w:rPr>
          <w:iCs/>
          <w:szCs w:val="20"/>
        </w:rPr>
      </w:pPr>
    </w:p>
    <w:p w14:paraId="3071E759" w14:textId="357E4B37" w:rsidR="009B682A" w:rsidRPr="00BB0663" w:rsidRDefault="009B682A" w:rsidP="009B682A">
      <w:pPr>
        <w:spacing w:after="0"/>
        <w:ind w:left="426"/>
        <w:rPr>
          <w:i/>
          <w:iCs/>
          <w:szCs w:val="20"/>
        </w:rPr>
      </w:pPr>
      <w:r w:rsidRPr="00BB0663">
        <w:rPr>
          <w:i/>
          <w:iCs/>
          <w:szCs w:val="20"/>
        </w:rPr>
        <w:t>Cost-Effectiveness of Transcatheter versus Surgical Aortic Valve Replacement in Low-Risk Patients With Severe Aortic Stenosis</w:t>
      </w:r>
    </w:p>
    <w:p w14:paraId="1CC50BAA" w14:textId="77777777" w:rsidR="009B682A" w:rsidRPr="00BB0663" w:rsidRDefault="009B682A" w:rsidP="009B682A">
      <w:pPr>
        <w:spacing w:after="0"/>
        <w:ind w:left="426"/>
        <w:rPr>
          <w:i/>
          <w:iCs/>
          <w:szCs w:val="20"/>
        </w:rPr>
      </w:pPr>
      <w:r w:rsidRPr="00BB0663">
        <w:rPr>
          <w:i/>
          <w:iCs/>
          <w:szCs w:val="20"/>
        </w:rPr>
        <w:t xml:space="preserve">Jennifer Y Zhou , Danny Liew , Stephen J Duffy , Antony Walton , Nay Htun , Dion Stub </w:t>
      </w:r>
    </w:p>
    <w:p w14:paraId="2AA00C3D" w14:textId="77777777" w:rsidR="009B682A" w:rsidRPr="00BB0663" w:rsidRDefault="009B682A" w:rsidP="009B682A">
      <w:pPr>
        <w:spacing w:after="0"/>
        <w:ind w:left="426"/>
        <w:rPr>
          <w:i/>
          <w:iCs/>
          <w:szCs w:val="20"/>
        </w:rPr>
      </w:pPr>
      <w:r w:rsidRPr="00BB0663">
        <w:rPr>
          <w:i/>
          <w:iCs/>
          <w:szCs w:val="20"/>
        </w:rPr>
        <w:t>Background: Recent studies indicate that transcatheter aortic valve replacement (TAVR) is non-inferior to surgical aortic valve replacement (SAVR) in low-risk patients with severe symptomatic aortic stenosis (AS). However, the cost-effectiveness of TAVR in these patients is unknown. We aimed to perform a cost-effectiveness analysis comparing balloon-expandable and self-expanding TAVR to SAVR in patients with severe AS at low surgical risk.</w:t>
      </w:r>
    </w:p>
    <w:p w14:paraId="5902531B" w14:textId="77777777" w:rsidR="009B682A" w:rsidRPr="00BB0663" w:rsidRDefault="009B682A" w:rsidP="009B682A">
      <w:pPr>
        <w:spacing w:after="0"/>
        <w:ind w:left="426"/>
        <w:rPr>
          <w:i/>
          <w:iCs/>
          <w:szCs w:val="20"/>
        </w:rPr>
      </w:pPr>
      <w:r w:rsidRPr="00BB0663">
        <w:rPr>
          <w:i/>
          <w:iCs/>
          <w:szCs w:val="20"/>
        </w:rPr>
        <w:t>Methods: A Markov model with monthly cycles was constructed to estimate the cost-effectiveness of TAVR compared to SAVR over a ten-year horizon. The perspective was that of the Australian healthcare system. Key data inputs for the model were drawn from the PARTNER 3 trial for balloon-expandable TAVR, and from the Evolut Low Risk trial for self-expanding TAVR. Deterministic and probabilistic sensitivity analyses were performed to assess model uncertainty.</w:t>
      </w:r>
    </w:p>
    <w:p w14:paraId="493B0F92" w14:textId="77777777" w:rsidR="009B682A" w:rsidRPr="00BB0663" w:rsidRDefault="009B682A" w:rsidP="009B682A">
      <w:pPr>
        <w:spacing w:after="0"/>
        <w:ind w:left="426"/>
        <w:rPr>
          <w:i/>
          <w:iCs/>
          <w:szCs w:val="20"/>
        </w:rPr>
      </w:pPr>
      <w:r w:rsidRPr="00BB0663">
        <w:rPr>
          <w:i/>
          <w:iCs/>
          <w:szCs w:val="20"/>
        </w:rPr>
        <w:t>Results: Although procedural costs were higher for TAVR than SAVR, overall costs for TAVR were lower due to a shorter length of hospital and intensive care stay, lower acute complication costs and reduced need for rehabilitation. Over ten years, balloon-expandable TAVR lowered costs by AUD$3,085 (USD$2,141) and increased quality-adjusted life years (QALYs) by 0.15 compared to SAVR, while self-expanding TAVR lowered costs by AUD$425 (USD$295) and increased QALYs by 0.07. Thus, from a health economic perspective, TAVR was dominant over SAVR. Results were robust to sensitivity analyses, with balloon-expandable TAVR being dominant in 61% of 10,000 Monte Carlo iterations and cost-effective in 85% of iterations (at an incremental cost-effectiveness ratio threshold of AUD$50,000 per QALY saved). Self-expanding TAVR was dominant in 51% of iterations and cost-effective in 67% of iterations.</w:t>
      </w:r>
    </w:p>
    <w:p w14:paraId="530FFA92" w14:textId="79D128EE" w:rsidR="009B682A" w:rsidRPr="00BB0663" w:rsidRDefault="009B682A" w:rsidP="009B682A">
      <w:pPr>
        <w:spacing w:after="0"/>
        <w:ind w:left="426"/>
        <w:rPr>
          <w:i/>
          <w:iCs/>
          <w:szCs w:val="20"/>
        </w:rPr>
      </w:pPr>
      <w:r w:rsidRPr="00BB0663">
        <w:rPr>
          <w:i/>
          <w:iCs/>
          <w:szCs w:val="20"/>
        </w:rPr>
        <w:t>Conclusions: Among low-risk patients with severe symptomatic AS, both balloon-expandable and self-expanding TAVR are likely to be cost-effective relative to SAVR.</w:t>
      </w:r>
    </w:p>
    <w:p w14:paraId="2E7BC087" w14:textId="69957068" w:rsidR="00DD308E" w:rsidRPr="00BB0663" w:rsidRDefault="009B682A" w:rsidP="004953A2">
      <w:pPr>
        <w:spacing w:after="0"/>
        <w:ind w:left="426"/>
        <w:rPr>
          <w:b/>
          <w:i/>
          <w:sz w:val="32"/>
          <w:szCs w:val="32"/>
        </w:rPr>
        <w:sectPr w:rsidR="00DD308E" w:rsidRPr="00BB0663" w:rsidSect="005127B8">
          <w:pgSz w:w="11906" w:h="16838"/>
          <w:pgMar w:top="1440" w:right="1440" w:bottom="1440" w:left="1440" w:header="708" w:footer="708" w:gutter="0"/>
          <w:cols w:space="708"/>
          <w:docGrid w:linePitch="360"/>
        </w:sectPr>
      </w:pPr>
      <w:r w:rsidRPr="00BB0663">
        <w:rPr>
          <w:i/>
          <w:iCs/>
          <w:szCs w:val="20"/>
        </w:rPr>
        <w:t xml:space="preserve"> </w:t>
      </w:r>
      <w:r w:rsidR="00F301F1" w:rsidRPr="00BB0663">
        <w:rPr>
          <w:b/>
          <w:i/>
          <w:sz w:val="32"/>
          <w:szCs w:val="32"/>
        </w:rPr>
        <w:br w:type="page"/>
      </w:r>
    </w:p>
    <w:p w14:paraId="5C95C1EC" w14:textId="77777777" w:rsidR="00E82F54" w:rsidRPr="004953A2" w:rsidRDefault="005C3AE7" w:rsidP="00CA26DD">
      <w:pPr>
        <w:pStyle w:val="Heading1"/>
      </w:pPr>
      <w:r w:rsidRPr="004953A2">
        <w:lastRenderedPageBreak/>
        <w:t>PART 5</w:t>
      </w:r>
      <w:r w:rsidR="00F93784" w:rsidRPr="004953A2">
        <w:t xml:space="preserve"> – </w:t>
      </w:r>
      <w:r w:rsidR="00E82F54" w:rsidRPr="004953A2">
        <w:t>CLINICAL ENDORSEMENT AND CONSUMER INFORMATION</w:t>
      </w:r>
    </w:p>
    <w:p w14:paraId="783D747D" w14:textId="77777777" w:rsidR="00E82F54" w:rsidRPr="004953A2" w:rsidRDefault="00E82F54" w:rsidP="005C3AE7">
      <w:pPr>
        <w:pStyle w:val="Heading2"/>
      </w:pPr>
      <w:r w:rsidRPr="004953A2">
        <w:t xml:space="preserve">List </w:t>
      </w:r>
      <w:r w:rsidR="00EA173C" w:rsidRPr="004953A2">
        <w:t>all appropriate professional bodies / organisations</w:t>
      </w:r>
      <w:r w:rsidRPr="004953A2">
        <w:t xml:space="preserve"> representing the group(s) of health profess</w:t>
      </w:r>
      <w:r w:rsidR="00EA173C" w:rsidRPr="004953A2">
        <w:t xml:space="preserve">ionals who provide the service </w:t>
      </w:r>
      <w:r w:rsidR="00F93784" w:rsidRPr="004953A2">
        <w:t xml:space="preserve">(please </w:t>
      </w:r>
      <w:r w:rsidR="00EA173C" w:rsidRPr="004953A2">
        <w:t>attach</w:t>
      </w:r>
      <w:r w:rsidR="00F93784" w:rsidRPr="004953A2">
        <w:t xml:space="preserve"> a </w:t>
      </w:r>
      <w:r w:rsidR="00254813" w:rsidRPr="004953A2">
        <w:t>statement of clinical relevance from</w:t>
      </w:r>
      <w:r w:rsidR="00EA173C" w:rsidRPr="004953A2">
        <w:t xml:space="preserve"> each </w:t>
      </w:r>
      <w:r w:rsidR="00F93784" w:rsidRPr="004953A2">
        <w:t>group</w:t>
      </w:r>
      <w:r w:rsidR="00EA173C" w:rsidRPr="004953A2">
        <w:t xml:space="preserve"> nominated</w:t>
      </w:r>
      <w:r w:rsidR="00F93784" w:rsidRPr="004953A2">
        <w:t>)</w:t>
      </w:r>
      <w:r w:rsidR="00A727B6" w:rsidRPr="004953A2">
        <w:t>:</w:t>
      </w:r>
    </w:p>
    <w:p w14:paraId="227621ED" w14:textId="33377CEE" w:rsidR="00DA1FCB" w:rsidRDefault="00DA1FCB" w:rsidP="00A33DAC">
      <w:pPr>
        <w:ind w:left="426"/>
      </w:pPr>
      <w:r w:rsidRPr="004953A2">
        <w:t>Cardiac Society of Australi</w:t>
      </w:r>
      <w:r w:rsidR="00A33DAC" w:rsidRPr="004953A2">
        <w:t>a</w:t>
      </w:r>
      <w:r w:rsidRPr="004953A2">
        <w:t xml:space="preserve"> and New Zealand (CSANZ)</w:t>
      </w:r>
      <w:r w:rsidR="00724DF6">
        <w:t xml:space="preserve"> – statement pending</w:t>
      </w:r>
    </w:p>
    <w:p w14:paraId="5ED04404" w14:textId="72C08150" w:rsidR="00074897" w:rsidRPr="004953A2" w:rsidRDefault="00074897" w:rsidP="00074897">
      <w:pPr>
        <w:ind w:left="426"/>
      </w:pPr>
      <w:r w:rsidRPr="004953A2">
        <w:t>Australian and New Zealand Society of Cardiac and Thoracic Surgeons (ANZSCTS)</w:t>
      </w:r>
      <w:r w:rsidR="005C54F3">
        <w:t xml:space="preserve"> -</w:t>
      </w:r>
      <w:r w:rsidR="00DF2CCE">
        <w:t xml:space="preserve"> </w:t>
      </w:r>
      <w:r w:rsidR="005C54F3">
        <w:t>statement pending</w:t>
      </w:r>
    </w:p>
    <w:p w14:paraId="7F45B0B6" w14:textId="77777777" w:rsidR="00EA173C" w:rsidRPr="004953A2" w:rsidRDefault="00EA173C" w:rsidP="00530204">
      <w:pPr>
        <w:pStyle w:val="Heading2"/>
      </w:pPr>
      <w:r w:rsidRPr="004953A2">
        <w:t>List any professional bodies / organisations that may be impacted by this medical service</w:t>
      </w:r>
      <w:r w:rsidR="00F93784" w:rsidRPr="004953A2">
        <w:t xml:space="preserve"> (i.e. those who provide the comparator service)</w:t>
      </w:r>
      <w:r w:rsidR="00197D29" w:rsidRPr="004953A2">
        <w:t>:</w:t>
      </w:r>
    </w:p>
    <w:p w14:paraId="2F9930DA" w14:textId="63D31F66" w:rsidR="00EA173C" w:rsidRPr="004953A2" w:rsidRDefault="00DA1FCB" w:rsidP="00A727B6">
      <w:pPr>
        <w:ind w:left="426"/>
      </w:pPr>
      <w:r w:rsidRPr="004953A2">
        <w:t>Australian and New Zealand Society of Cardiac and Thoracic Surgeons</w:t>
      </w:r>
      <w:r w:rsidR="00163A57" w:rsidRPr="004953A2">
        <w:t xml:space="preserve"> (ANZSCTS).</w:t>
      </w:r>
    </w:p>
    <w:p w14:paraId="49D0BEC7" w14:textId="588EFEEC" w:rsidR="00001DAD" w:rsidRPr="004953A2" w:rsidRDefault="00001DAD" w:rsidP="00001DAD">
      <w:pPr>
        <w:ind w:left="426"/>
      </w:pPr>
      <w:r w:rsidRPr="004953A2">
        <w:t>Cardiac Society of Australi</w:t>
      </w:r>
      <w:r w:rsidR="00325F61" w:rsidRPr="004953A2">
        <w:t>a</w:t>
      </w:r>
      <w:r w:rsidRPr="004953A2">
        <w:t xml:space="preserve"> and New Zealand (CSANZ)</w:t>
      </w:r>
      <w:r w:rsidR="00163A57" w:rsidRPr="004953A2">
        <w:t>.</w:t>
      </w:r>
    </w:p>
    <w:p w14:paraId="54F843EA" w14:textId="77777777" w:rsidR="0049398A" w:rsidRPr="004953A2" w:rsidRDefault="0049398A" w:rsidP="00A727B6">
      <w:pPr>
        <w:ind w:left="426"/>
      </w:pPr>
    </w:p>
    <w:p w14:paraId="22F3E30E" w14:textId="558EEBB5" w:rsidR="00E82F54" w:rsidRPr="004953A2" w:rsidRDefault="00E82F54" w:rsidP="00530204">
      <w:pPr>
        <w:pStyle w:val="Heading2"/>
      </w:pPr>
      <w:r w:rsidRPr="004953A2">
        <w:t>List the relevant consumer organisations relevant to the proposed medical service</w:t>
      </w:r>
      <w:r w:rsidR="00C12C5C" w:rsidRPr="004953A2">
        <w:t xml:space="preserve"> (please attach a letter of support for each consumer organisation nominated)</w:t>
      </w:r>
      <w:r w:rsidR="00197D29" w:rsidRPr="004953A2">
        <w:t>:</w:t>
      </w:r>
    </w:p>
    <w:p w14:paraId="66F56F5E" w14:textId="6D6A116A" w:rsidR="00001DAD" w:rsidRPr="004953A2" w:rsidRDefault="00001DAD" w:rsidP="00157381">
      <w:pPr>
        <w:ind w:left="360"/>
      </w:pPr>
      <w:r w:rsidRPr="004953A2">
        <w:t>Consumer Health Forum</w:t>
      </w:r>
      <w:r w:rsidR="00F96BEF" w:rsidRPr="004953A2">
        <w:t>.</w:t>
      </w:r>
    </w:p>
    <w:p w14:paraId="7FFB502D" w14:textId="77777777" w:rsidR="003433D1" w:rsidRPr="004953A2" w:rsidRDefault="003433D1" w:rsidP="00530204">
      <w:pPr>
        <w:pStyle w:val="Heading2"/>
      </w:pPr>
      <w:r w:rsidRPr="004953A2">
        <w:t xml:space="preserve">List the relevant sponsor(s) and / or manufacturer(s) who produce similar products relevant </w:t>
      </w:r>
      <w:r w:rsidR="00197D29" w:rsidRPr="004953A2">
        <w:t>to the proposed medical service:</w:t>
      </w:r>
    </w:p>
    <w:p w14:paraId="43113869" w14:textId="1559C643" w:rsidR="00225768" w:rsidRPr="004953A2" w:rsidRDefault="007D705B" w:rsidP="00EE6450">
      <w:pPr>
        <w:ind w:left="426"/>
      </w:pPr>
      <w:r>
        <w:t>REDACTED</w:t>
      </w:r>
    </w:p>
    <w:p w14:paraId="17EC1D07" w14:textId="77777777" w:rsidR="00E82F54" w:rsidRPr="004953A2" w:rsidRDefault="00E82F54" w:rsidP="00530204">
      <w:pPr>
        <w:pStyle w:val="Heading2"/>
      </w:pPr>
      <w:r w:rsidRPr="004953A2">
        <w:t>Nominate two experts who could be approached about the proposed medical service and the current clinical management of the service(s):</w:t>
      </w:r>
    </w:p>
    <w:p w14:paraId="7AFA7CD6" w14:textId="5DEAFECC" w:rsidR="00987ABE" w:rsidRPr="004953A2" w:rsidRDefault="00987ABE" w:rsidP="007D705B">
      <w:pPr>
        <w:ind w:left="426"/>
        <w:rPr>
          <w:szCs w:val="20"/>
        </w:rPr>
      </w:pPr>
      <w:r w:rsidRPr="004953A2">
        <w:rPr>
          <w:szCs w:val="20"/>
        </w:rPr>
        <w:t>Name of expert 1</w:t>
      </w:r>
      <w:r w:rsidRPr="00166DA5">
        <w:rPr>
          <w:szCs w:val="20"/>
        </w:rPr>
        <w:t xml:space="preserve">: </w:t>
      </w:r>
      <w:r w:rsidR="007D705B" w:rsidRPr="007D705B">
        <w:rPr>
          <w:b/>
          <w:szCs w:val="20"/>
        </w:rPr>
        <w:t>REDACTED</w:t>
      </w:r>
    </w:p>
    <w:p w14:paraId="769422A9" w14:textId="1B3AB3A8" w:rsidR="00987ABE" w:rsidRPr="00166DA5" w:rsidRDefault="00987ABE" w:rsidP="00987ABE">
      <w:pPr>
        <w:ind w:left="426"/>
        <w:rPr>
          <w:rFonts w:cstheme="minorHAnsi"/>
          <w:szCs w:val="20"/>
        </w:rPr>
      </w:pPr>
      <w:r w:rsidRPr="00CB57DB">
        <w:rPr>
          <w:rFonts w:cstheme="minorHAnsi"/>
          <w:szCs w:val="20"/>
        </w:rPr>
        <w:t xml:space="preserve">Name of expert 2: </w:t>
      </w:r>
      <w:r w:rsidR="007D705B" w:rsidRPr="007D705B">
        <w:rPr>
          <w:rFonts w:cstheme="minorHAnsi"/>
          <w:b/>
          <w:szCs w:val="20"/>
        </w:rPr>
        <w:t>REDACTED</w:t>
      </w:r>
    </w:p>
    <w:p w14:paraId="3D6E0F93" w14:textId="6E0A54A0" w:rsidR="003433D1" w:rsidRPr="004953A2" w:rsidRDefault="003433D1" w:rsidP="00C55E75">
      <w:pPr>
        <w:rPr>
          <w:b/>
          <w:sz w:val="32"/>
          <w:szCs w:val="32"/>
        </w:rPr>
      </w:pPr>
      <w:r w:rsidRPr="004953A2">
        <w:rPr>
          <w:b/>
          <w:sz w:val="32"/>
          <w:szCs w:val="32"/>
        </w:rPr>
        <w:br w:type="page"/>
      </w:r>
    </w:p>
    <w:p w14:paraId="42584209" w14:textId="77777777" w:rsidR="00E82F54" w:rsidRPr="004953A2" w:rsidRDefault="00F93784" w:rsidP="00A96329">
      <w:pPr>
        <w:pStyle w:val="Heading1"/>
      </w:pPr>
      <w:r w:rsidRPr="004953A2">
        <w:lastRenderedPageBreak/>
        <w:t>PAR</w:t>
      </w:r>
      <w:r w:rsidR="005C3AE7" w:rsidRPr="004953A2">
        <w:t>T 6</w:t>
      </w:r>
      <w:r w:rsidRPr="004953A2">
        <w:t xml:space="preserve"> – POPULATION</w:t>
      </w:r>
      <w:r w:rsidR="000525BC" w:rsidRPr="004953A2">
        <w:t xml:space="preserve"> (AND PRIOR TESTS)</w:t>
      </w:r>
      <w:r w:rsidRPr="004953A2">
        <w:t>, INDICATION, COMPARATOR, OUTCOME (PICO)</w:t>
      </w:r>
    </w:p>
    <w:p w14:paraId="4EEA1F9F" w14:textId="77777777" w:rsidR="0021185D" w:rsidRPr="004953A2" w:rsidRDefault="005C3AE7" w:rsidP="005C3AE7">
      <w:pPr>
        <w:pStyle w:val="Subtitle"/>
      </w:pPr>
      <w:r w:rsidRPr="004953A2">
        <w:t xml:space="preserve">PART 6a – </w:t>
      </w:r>
      <w:r w:rsidR="0021185D" w:rsidRPr="004953A2">
        <w:t>INFORMATION ABOUT THE PROPOSED POPULATION</w:t>
      </w:r>
    </w:p>
    <w:p w14:paraId="06CBF420" w14:textId="77777777" w:rsidR="0021185D" w:rsidRPr="004953A2" w:rsidRDefault="0021185D" w:rsidP="005C3AE7">
      <w:pPr>
        <w:pStyle w:val="Heading2"/>
      </w:pPr>
      <w:r w:rsidRPr="004953A2">
        <w:t>Define the medical condition, including providing information</w:t>
      </w:r>
      <w:r w:rsidR="00DF0C51" w:rsidRPr="004953A2">
        <w:t xml:space="preserve"> on the natural history of the </w:t>
      </w:r>
      <w:r w:rsidRPr="004953A2">
        <w:t>condition</w:t>
      </w:r>
      <w:r w:rsidR="0018630F" w:rsidRPr="004953A2">
        <w:t xml:space="preserve"> and a high level</w:t>
      </w:r>
      <w:r w:rsidR="009C03FB" w:rsidRPr="004953A2">
        <w:t xml:space="preserve"> summary of associated </w:t>
      </w:r>
      <w:r w:rsidR="0018630F" w:rsidRPr="004953A2">
        <w:t>burden of disea</w:t>
      </w:r>
      <w:r w:rsidR="009C03FB" w:rsidRPr="004953A2">
        <w:t>se</w:t>
      </w:r>
      <w:r w:rsidR="0054594B" w:rsidRPr="004953A2">
        <w:t xml:space="preserve"> in terms of both morbidity and mortality</w:t>
      </w:r>
      <w:r w:rsidR="00197D29" w:rsidRPr="004953A2">
        <w:t>:</w:t>
      </w:r>
    </w:p>
    <w:p w14:paraId="1DB383A6" w14:textId="025AB828" w:rsidR="004F2A9D" w:rsidRPr="004953A2" w:rsidRDefault="004E32C5" w:rsidP="00E910F2">
      <w:pPr>
        <w:ind w:left="426"/>
        <w:rPr>
          <w:szCs w:val="20"/>
        </w:rPr>
      </w:pPr>
      <w:r w:rsidRPr="004953A2">
        <w:rPr>
          <w:szCs w:val="20"/>
        </w:rPr>
        <w:t>Aortic stenosis (AS) is one of the most common and serious valve disease</w:t>
      </w:r>
      <w:r w:rsidR="005A7926" w:rsidRPr="004953A2">
        <w:rPr>
          <w:szCs w:val="20"/>
        </w:rPr>
        <w:t>s</w:t>
      </w:r>
      <w:r w:rsidRPr="004953A2">
        <w:rPr>
          <w:szCs w:val="20"/>
        </w:rPr>
        <w:t xml:space="preserve">. </w:t>
      </w:r>
      <w:r w:rsidR="005A7926" w:rsidRPr="004953A2">
        <w:rPr>
          <w:szCs w:val="20"/>
        </w:rPr>
        <w:t xml:space="preserve">It is characterised by </w:t>
      </w:r>
      <w:r w:rsidRPr="004953A2">
        <w:rPr>
          <w:szCs w:val="20"/>
        </w:rPr>
        <w:t>a narrowing of the aortic valve opening</w:t>
      </w:r>
      <w:r w:rsidR="005A7926" w:rsidRPr="004953A2">
        <w:rPr>
          <w:szCs w:val="20"/>
        </w:rPr>
        <w:t xml:space="preserve">, which </w:t>
      </w:r>
      <w:r w:rsidRPr="004953A2">
        <w:rPr>
          <w:szCs w:val="20"/>
        </w:rPr>
        <w:t xml:space="preserve">restricts blood flow from the left ventricle to the aorta </w:t>
      </w:r>
      <w:r w:rsidR="005A7926" w:rsidRPr="004953A2">
        <w:rPr>
          <w:szCs w:val="20"/>
        </w:rPr>
        <w:t xml:space="preserve">and causes </w:t>
      </w:r>
      <w:r w:rsidR="004F2A9D" w:rsidRPr="004953A2">
        <w:rPr>
          <w:szCs w:val="20"/>
        </w:rPr>
        <w:t>pressure build-up in the left ventricle and consequent left ventricular hypertrophy</w:t>
      </w:r>
      <w:r w:rsidRPr="004953A2">
        <w:rPr>
          <w:szCs w:val="20"/>
        </w:rPr>
        <w:t xml:space="preserve">. </w:t>
      </w:r>
      <w:r w:rsidR="004F2A9D" w:rsidRPr="004953A2">
        <w:rPr>
          <w:szCs w:val="20"/>
        </w:rPr>
        <w:t xml:space="preserve">Furthermore, </w:t>
      </w:r>
      <w:r w:rsidR="004F2A9D" w:rsidRPr="004953A2">
        <w:t xml:space="preserve">stenotic aortic valves may not close fully, resulting in regurgitation back into the left ventricle.  </w:t>
      </w:r>
    </w:p>
    <w:p w14:paraId="59612F8A" w14:textId="08E8732A" w:rsidR="002A6753" w:rsidRPr="004953A2" w:rsidRDefault="004F2A9D" w:rsidP="00F121AE">
      <w:pPr>
        <w:ind w:left="426"/>
        <w:rPr>
          <w:szCs w:val="20"/>
        </w:rPr>
      </w:pPr>
      <w:r w:rsidRPr="004953A2">
        <w:rPr>
          <w:szCs w:val="20"/>
        </w:rPr>
        <w:t xml:space="preserve">The most common cause of AS is age-related calcification of the aortic valve. Less common causes are congenital </w:t>
      </w:r>
      <w:r w:rsidR="004E32C5" w:rsidRPr="004953A2">
        <w:rPr>
          <w:szCs w:val="20"/>
        </w:rPr>
        <w:t>bicuspid aortic valve</w:t>
      </w:r>
      <w:r w:rsidRPr="004953A2">
        <w:rPr>
          <w:szCs w:val="20"/>
        </w:rPr>
        <w:t>s and rheumatic heart disease.</w:t>
      </w:r>
      <w:r w:rsidR="004E32C5" w:rsidRPr="004953A2">
        <w:rPr>
          <w:szCs w:val="20"/>
        </w:rPr>
        <w:t xml:space="preserve"> </w:t>
      </w:r>
      <w:r w:rsidRPr="004953A2">
        <w:rPr>
          <w:szCs w:val="20"/>
        </w:rPr>
        <w:t xml:space="preserve">Other than calcification, the pathophysiological features of </w:t>
      </w:r>
      <w:r w:rsidR="001A7815" w:rsidRPr="004953A2">
        <w:rPr>
          <w:szCs w:val="20"/>
        </w:rPr>
        <w:t>AS</w:t>
      </w:r>
      <w:r w:rsidRPr="004953A2">
        <w:rPr>
          <w:szCs w:val="20"/>
        </w:rPr>
        <w:t xml:space="preserve"> are</w:t>
      </w:r>
      <w:r w:rsidR="001A7815" w:rsidRPr="004953A2">
        <w:rPr>
          <w:szCs w:val="20"/>
        </w:rPr>
        <w:t xml:space="preserve"> inflammation, lipid accumulation </w:t>
      </w:r>
      <w:r w:rsidRPr="004953A2">
        <w:rPr>
          <w:szCs w:val="20"/>
        </w:rPr>
        <w:t>and</w:t>
      </w:r>
      <w:r w:rsidR="001A7815" w:rsidRPr="004953A2">
        <w:rPr>
          <w:szCs w:val="20"/>
        </w:rPr>
        <w:t xml:space="preserve"> subendothelial thickening</w:t>
      </w:r>
      <w:r w:rsidR="009B6B81" w:rsidRPr="004953A2">
        <w:rPr>
          <w:szCs w:val="20"/>
        </w:rPr>
        <w:t>.</w:t>
      </w:r>
      <w:r w:rsidR="001A7815" w:rsidRPr="004953A2">
        <w:rPr>
          <w:rStyle w:val="FootnoteReference"/>
          <w:szCs w:val="20"/>
        </w:rPr>
        <w:footnoteReference w:id="1"/>
      </w:r>
    </w:p>
    <w:p w14:paraId="723AC0EC" w14:textId="2C575A0A" w:rsidR="00F91FBC" w:rsidRPr="004953A2" w:rsidRDefault="00890A19" w:rsidP="00FD2E15">
      <w:pPr>
        <w:pStyle w:val="Heading2"/>
        <w:numPr>
          <w:ilvl w:val="0"/>
          <w:numId w:val="0"/>
        </w:numPr>
        <w:ind w:left="426"/>
        <w:rPr>
          <w:b w:val="0"/>
        </w:rPr>
      </w:pPr>
      <w:r w:rsidRPr="004953A2">
        <w:rPr>
          <w:b w:val="0"/>
        </w:rPr>
        <w:t xml:space="preserve">AS is a progressive disease that is asymptomatic </w:t>
      </w:r>
      <w:r w:rsidR="0012666E" w:rsidRPr="004953A2">
        <w:rPr>
          <w:b w:val="0"/>
        </w:rPr>
        <w:t xml:space="preserve">until late stages. </w:t>
      </w:r>
      <w:r w:rsidR="00753EA1" w:rsidRPr="004953A2">
        <w:rPr>
          <w:b w:val="0"/>
        </w:rPr>
        <w:t>Symptomatic severe AS is classified as Stage D</w:t>
      </w:r>
      <w:r w:rsidR="00631ED4" w:rsidRPr="004953A2">
        <w:rPr>
          <w:b w:val="0"/>
        </w:rPr>
        <w:t xml:space="preserve">, and has the following features: </w:t>
      </w:r>
      <w:r w:rsidR="00753EA1" w:rsidRPr="004953A2">
        <w:rPr>
          <w:b w:val="0"/>
        </w:rPr>
        <w:t xml:space="preserve">symptoms </w:t>
      </w:r>
      <w:r w:rsidR="00631ED4" w:rsidRPr="004953A2">
        <w:rPr>
          <w:b w:val="0"/>
        </w:rPr>
        <w:t>(see below</w:t>
      </w:r>
      <w:r w:rsidR="00753EA1" w:rsidRPr="004953A2">
        <w:rPr>
          <w:b w:val="0"/>
        </w:rPr>
        <w:t>)</w:t>
      </w:r>
      <w:r w:rsidR="00631ED4" w:rsidRPr="004953A2">
        <w:rPr>
          <w:b w:val="0"/>
        </w:rPr>
        <w:t>;</w:t>
      </w:r>
      <w:r w:rsidR="00753EA1" w:rsidRPr="004953A2">
        <w:rPr>
          <w:b w:val="0"/>
        </w:rPr>
        <w:t xml:space="preserve"> calcified valve leaflets with reduced opening</w:t>
      </w:r>
      <w:r w:rsidR="00631ED4" w:rsidRPr="004953A2">
        <w:rPr>
          <w:b w:val="0"/>
        </w:rPr>
        <w:t>;</w:t>
      </w:r>
      <w:r w:rsidR="00753EA1" w:rsidRPr="004953A2">
        <w:rPr>
          <w:b w:val="0"/>
        </w:rPr>
        <w:t xml:space="preserve"> jet velocity (V</w:t>
      </w:r>
      <w:r w:rsidR="00753EA1" w:rsidRPr="004953A2">
        <w:rPr>
          <w:b w:val="0"/>
          <w:vertAlign w:val="subscript"/>
        </w:rPr>
        <w:t>max</w:t>
      </w:r>
      <w:r w:rsidR="00753EA1" w:rsidRPr="004953A2">
        <w:rPr>
          <w:b w:val="0"/>
        </w:rPr>
        <w:t>) ≥4 m/s</w:t>
      </w:r>
      <w:r w:rsidR="00631ED4" w:rsidRPr="004953A2">
        <w:rPr>
          <w:b w:val="0"/>
        </w:rPr>
        <w:t>;</w:t>
      </w:r>
      <w:r w:rsidR="00753EA1" w:rsidRPr="004953A2">
        <w:rPr>
          <w:b w:val="0"/>
        </w:rPr>
        <w:t xml:space="preserve"> and mean gradient ≥40 mm Hg. Variations in valve h</w:t>
      </w:r>
      <w:r w:rsidR="003F4F1B" w:rsidRPr="004953A2">
        <w:rPr>
          <w:b w:val="0"/>
        </w:rPr>
        <w:t>a</w:t>
      </w:r>
      <w:r w:rsidR="00753EA1" w:rsidRPr="004953A2">
        <w:rPr>
          <w:b w:val="0"/>
        </w:rPr>
        <w:t>emodynamics and the presence of symptoms are used to further subclassify symptomatic severe AS</w:t>
      </w:r>
      <w:r w:rsidR="00E93203" w:rsidRPr="004953A2">
        <w:rPr>
          <w:b w:val="0"/>
        </w:rPr>
        <w:t>.</w:t>
      </w:r>
      <w:r w:rsidR="00E93203" w:rsidRPr="004953A2">
        <w:rPr>
          <w:b w:val="0"/>
          <w:vertAlign w:val="superscript"/>
        </w:rPr>
        <w:t>2</w:t>
      </w:r>
      <w:r w:rsidR="00753EA1" w:rsidRPr="004953A2">
        <w:rPr>
          <w:b w:val="0"/>
        </w:rPr>
        <w:t xml:space="preserve"> </w:t>
      </w:r>
      <w:r w:rsidR="0012666E" w:rsidRPr="004953A2">
        <w:rPr>
          <w:b w:val="0"/>
        </w:rPr>
        <w:t>Symptoms</w:t>
      </w:r>
      <w:r w:rsidR="00631ED4" w:rsidRPr="004953A2">
        <w:rPr>
          <w:b w:val="0"/>
        </w:rPr>
        <w:t xml:space="preserve"> of AS</w:t>
      </w:r>
      <w:r w:rsidR="0012666E" w:rsidRPr="004953A2">
        <w:rPr>
          <w:b w:val="0"/>
        </w:rPr>
        <w:t xml:space="preserve"> include exertional dyspn</w:t>
      </w:r>
      <w:r w:rsidR="00521519" w:rsidRPr="004953A2">
        <w:rPr>
          <w:b w:val="0"/>
        </w:rPr>
        <w:t>o</w:t>
      </w:r>
      <w:r w:rsidR="0012666E" w:rsidRPr="004953A2">
        <w:rPr>
          <w:b w:val="0"/>
        </w:rPr>
        <w:t>ea</w:t>
      </w:r>
      <w:r w:rsidR="00631ED4" w:rsidRPr="004953A2">
        <w:rPr>
          <w:b w:val="0"/>
        </w:rPr>
        <w:t>,</w:t>
      </w:r>
      <w:r w:rsidR="0012666E" w:rsidRPr="004953A2">
        <w:rPr>
          <w:b w:val="0"/>
        </w:rPr>
        <w:t xml:space="preserve"> decreased exercise tolerance, exertional angina</w:t>
      </w:r>
      <w:r w:rsidR="00631ED4" w:rsidRPr="004953A2">
        <w:rPr>
          <w:b w:val="0"/>
        </w:rPr>
        <w:t xml:space="preserve"> and</w:t>
      </w:r>
      <w:r w:rsidR="0012666E" w:rsidRPr="004953A2">
        <w:rPr>
          <w:b w:val="0"/>
        </w:rPr>
        <w:t xml:space="preserve"> exertional syncope or presyncope. Left untreated</w:t>
      </w:r>
      <w:r w:rsidR="00631ED4" w:rsidRPr="004953A2">
        <w:rPr>
          <w:b w:val="0"/>
        </w:rPr>
        <w:t>,</w:t>
      </w:r>
      <w:r w:rsidR="0012666E" w:rsidRPr="004953A2">
        <w:rPr>
          <w:b w:val="0"/>
        </w:rPr>
        <w:t xml:space="preserve"> patients will</w:t>
      </w:r>
      <w:r w:rsidR="00631ED4" w:rsidRPr="004953A2">
        <w:rPr>
          <w:b w:val="0"/>
        </w:rPr>
        <w:t xml:space="preserve"> progress to</w:t>
      </w:r>
      <w:r w:rsidR="0012666E" w:rsidRPr="004953A2">
        <w:rPr>
          <w:b w:val="0"/>
        </w:rPr>
        <w:t xml:space="preserve"> heart failure.</w:t>
      </w:r>
      <w:r w:rsidR="0012666E" w:rsidRPr="004953A2">
        <w:rPr>
          <w:rStyle w:val="FootnoteReference"/>
          <w:b w:val="0"/>
        </w:rPr>
        <w:footnoteReference w:id="2"/>
      </w:r>
      <w:r w:rsidR="00F94EBD" w:rsidRPr="004953A2">
        <w:rPr>
          <w:b w:val="0"/>
        </w:rPr>
        <w:t xml:space="preserve"> </w:t>
      </w:r>
      <w:r w:rsidR="00CD76A3" w:rsidRPr="004953A2">
        <w:rPr>
          <w:b w:val="0"/>
        </w:rPr>
        <w:t>Patients are then at high risk for sudden death. Prognosis is poor once there is a mean aortic valve gradient greater than 40mm</w:t>
      </w:r>
      <w:r w:rsidR="00FD2E15" w:rsidRPr="004953A2">
        <w:rPr>
          <w:b w:val="0"/>
        </w:rPr>
        <w:t>H</w:t>
      </w:r>
      <w:r w:rsidR="00CD76A3" w:rsidRPr="004953A2">
        <w:rPr>
          <w:b w:val="0"/>
        </w:rPr>
        <w:t xml:space="preserve">g. Severe AS is associated with death rates of 38%, 32% and 18% at </w:t>
      </w:r>
      <w:r w:rsidR="00631ED4" w:rsidRPr="004953A2">
        <w:rPr>
          <w:b w:val="0"/>
        </w:rPr>
        <w:t>one,</w:t>
      </w:r>
      <w:r w:rsidR="00CD76A3" w:rsidRPr="004953A2">
        <w:rPr>
          <w:b w:val="0"/>
        </w:rPr>
        <w:t xml:space="preserve"> </w:t>
      </w:r>
      <w:r w:rsidR="00631ED4" w:rsidRPr="004953A2">
        <w:rPr>
          <w:b w:val="0"/>
        </w:rPr>
        <w:t>five</w:t>
      </w:r>
      <w:r w:rsidR="00CD76A3" w:rsidRPr="004953A2">
        <w:rPr>
          <w:b w:val="0"/>
        </w:rPr>
        <w:t xml:space="preserve"> years and </w:t>
      </w:r>
      <w:r w:rsidR="00502C0A" w:rsidRPr="004953A2">
        <w:rPr>
          <w:b w:val="0"/>
        </w:rPr>
        <w:t xml:space="preserve">ten </w:t>
      </w:r>
      <w:r w:rsidR="00CD76A3" w:rsidRPr="004953A2">
        <w:rPr>
          <w:b w:val="0"/>
        </w:rPr>
        <w:t>years</w:t>
      </w:r>
      <w:r w:rsidR="00631ED4" w:rsidRPr="004953A2">
        <w:rPr>
          <w:b w:val="0"/>
        </w:rPr>
        <w:t>,</w:t>
      </w:r>
      <w:r w:rsidR="00CD76A3" w:rsidRPr="004953A2">
        <w:rPr>
          <w:b w:val="0"/>
        </w:rPr>
        <w:t xml:space="preserve"> respectively</w:t>
      </w:r>
      <w:r w:rsidR="00CD76A3" w:rsidRPr="004953A2">
        <w:rPr>
          <w:rStyle w:val="FootnoteReference"/>
          <w:b w:val="0"/>
        </w:rPr>
        <w:footnoteReference w:id="3"/>
      </w:r>
      <w:r w:rsidR="00E93203" w:rsidRPr="004953A2">
        <w:rPr>
          <w:b w:val="0"/>
        </w:rPr>
        <w:t xml:space="preserve">. </w:t>
      </w:r>
      <w:r w:rsidR="00631ED4" w:rsidRPr="004953A2">
        <w:rPr>
          <w:b w:val="0"/>
        </w:rPr>
        <w:t>Without</w:t>
      </w:r>
      <w:r w:rsidR="00E93203" w:rsidRPr="004953A2">
        <w:rPr>
          <w:b w:val="0"/>
        </w:rPr>
        <w:t xml:space="preserve"> aortic valve replacement, the survival of these patients can be as low as 50% at two years and 20% at five years.</w:t>
      </w:r>
      <w:r w:rsidR="00E93203" w:rsidRPr="004953A2">
        <w:rPr>
          <w:rStyle w:val="FootnoteReference"/>
          <w:b w:val="0"/>
        </w:rPr>
        <w:footnoteReference w:id="4"/>
      </w:r>
    </w:p>
    <w:p w14:paraId="50370157" w14:textId="02677623" w:rsidR="00FD2E15" w:rsidRPr="004953A2" w:rsidRDefault="00FD2E15" w:rsidP="00157381">
      <w:pPr>
        <w:ind w:left="426"/>
      </w:pPr>
      <w:r w:rsidRPr="004953A2">
        <w:t xml:space="preserve">This application is relevant to patients with severe, symptomatic AS classified as being at </w:t>
      </w:r>
      <w:r w:rsidR="00213254" w:rsidRPr="004953A2">
        <w:t>low</w:t>
      </w:r>
      <w:r w:rsidRPr="004953A2">
        <w:t xml:space="preserve"> risk of surgery. </w:t>
      </w:r>
      <w:r w:rsidR="00213254" w:rsidRPr="004953A2">
        <w:t>Low</w:t>
      </w:r>
      <w:r w:rsidRPr="004953A2">
        <w:t xml:space="preserve"> risk is </w:t>
      </w:r>
      <w:r w:rsidR="00157381" w:rsidRPr="004953A2">
        <w:t xml:space="preserve">historically </w:t>
      </w:r>
      <w:r w:rsidRPr="004953A2">
        <w:t xml:space="preserve">defined by predicted risk of surgical mortality of </w:t>
      </w:r>
      <w:r w:rsidR="00213254" w:rsidRPr="004953A2">
        <w:t>&lt;</w:t>
      </w:r>
      <w:r w:rsidRPr="004953A2">
        <w:t>4% at 30 days, based on the STS</w:t>
      </w:r>
      <w:r w:rsidR="00974D2F" w:rsidRPr="004953A2">
        <w:t xml:space="preserve">-PROM </w:t>
      </w:r>
      <w:r w:rsidRPr="004953A2">
        <w:t>score.</w:t>
      </w:r>
    </w:p>
    <w:p w14:paraId="006998A7" w14:textId="530815EB" w:rsidR="00AA5FDA" w:rsidRPr="004953A2" w:rsidRDefault="00E93203" w:rsidP="00530204">
      <w:pPr>
        <w:pStyle w:val="Heading2"/>
      </w:pPr>
      <w:r w:rsidRPr="004953A2">
        <w:t xml:space="preserve"> </w:t>
      </w:r>
      <w:r w:rsidR="00AA5FDA" w:rsidRPr="004953A2">
        <w:t>Specify any characteristics of patients with the medical condition</w:t>
      </w:r>
      <w:r w:rsidR="00707D4D" w:rsidRPr="004953A2">
        <w:t>, or suspected of,</w:t>
      </w:r>
      <w:r w:rsidR="00AA5FDA" w:rsidRPr="004953A2">
        <w:t xml:space="preserve"> who are proposed to be eligible for the proposed medical service</w:t>
      </w:r>
      <w:r w:rsidR="00102686" w:rsidRPr="004953A2">
        <w:t>, including any details of how a patient w</w:t>
      </w:r>
      <w:r w:rsidR="0054594B" w:rsidRPr="004953A2">
        <w:t>ould be</w:t>
      </w:r>
      <w:r w:rsidR="00102686" w:rsidRPr="004953A2">
        <w:t xml:space="preserve"> </w:t>
      </w:r>
      <w:r w:rsidR="0018630F" w:rsidRPr="004953A2">
        <w:t>investigated</w:t>
      </w:r>
      <w:r w:rsidR="0054594B" w:rsidRPr="004953A2">
        <w:t>,</w:t>
      </w:r>
      <w:r w:rsidR="0018630F" w:rsidRPr="004953A2">
        <w:t xml:space="preserve"> managed </w:t>
      </w:r>
      <w:r w:rsidR="0054594B" w:rsidRPr="004953A2">
        <w:t xml:space="preserve">and referred </w:t>
      </w:r>
      <w:r w:rsidR="007D2358" w:rsidRPr="004953A2">
        <w:t xml:space="preserve">within the Australian health care system </w:t>
      </w:r>
      <w:r w:rsidR="0018630F" w:rsidRPr="004953A2">
        <w:t xml:space="preserve">in the lead up to being considered </w:t>
      </w:r>
      <w:r w:rsidR="00DF6D37" w:rsidRPr="004953A2">
        <w:t xml:space="preserve">eligible </w:t>
      </w:r>
      <w:r w:rsidR="0018630F" w:rsidRPr="004953A2">
        <w:t>for the service</w:t>
      </w:r>
      <w:r w:rsidR="00197D29" w:rsidRPr="004953A2">
        <w:t>:</w:t>
      </w:r>
    </w:p>
    <w:p w14:paraId="6E11F823" w14:textId="1190F421" w:rsidR="007D705B" w:rsidRDefault="007642F7" w:rsidP="00E357B9">
      <w:pPr>
        <w:ind w:left="426"/>
      </w:pPr>
      <w:r w:rsidRPr="004953A2">
        <w:t xml:space="preserve">Patients with severe AS are typically elderly, although </w:t>
      </w:r>
      <w:r w:rsidR="00631ED4" w:rsidRPr="004953A2">
        <w:t xml:space="preserve">those </w:t>
      </w:r>
      <w:r w:rsidRPr="004953A2">
        <w:t>with a congenital malformation of the valve</w:t>
      </w:r>
      <w:r w:rsidR="00631ED4" w:rsidRPr="004953A2">
        <w:t xml:space="preserve"> may present earlier</w:t>
      </w:r>
      <w:r w:rsidRPr="004953A2">
        <w:t xml:space="preserve">. </w:t>
      </w:r>
      <w:r w:rsidR="00BE0ACB" w:rsidRPr="004953A2">
        <w:t xml:space="preserve">Patients may present </w:t>
      </w:r>
      <w:r w:rsidR="00631ED4" w:rsidRPr="004953A2">
        <w:t>with symptoms or be diagnosed incidentally</w:t>
      </w:r>
      <w:r w:rsidR="00BE0ACB" w:rsidRPr="004953A2">
        <w:t>. Regardless of presentation</w:t>
      </w:r>
      <w:r w:rsidR="00631ED4" w:rsidRPr="004953A2">
        <w:t>,</w:t>
      </w:r>
      <w:r w:rsidR="00BE0ACB" w:rsidRPr="004953A2">
        <w:t xml:space="preserve"> an echocardiograph is </w:t>
      </w:r>
      <w:r w:rsidR="00631ED4" w:rsidRPr="004953A2">
        <w:t>needed to</w:t>
      </w:r>
      <w:r w:rsidR="00BE0ACB" w:rsidRPr="004953A2">
        <w:t xml:space="preserve"> confirm the diagnosis of AS. Echocardiographic criteria for </w:t>
      </w:r>
      <w:r w:rsidR="00BE0ACB" w:rsidRPr="004953A2">
        <w:rPr>
          <w:i/>
        </w:rPr>
        <w:t>severe</w:t>
      </w:r>
      <w:r w:rsidR="00BE0ACB" w:rsidRPr="004953A2">
        <w:t xml:space="preserve"> AS are as follows.</w:t>
      </w:r>
      <w:r w:rsidR="00811E28" w:rsidRPr="004953A2">
        <w:rPr>
          <w:rStyle w:val="FootnoteReference"/>
        </w:rPr>
        <w:footnoteReference w:id="5"/>
      </w:r>
    </w:p>
    <w:tbl>
      <w:tblPr>
        <w:tblStyle w:val="TableGrid"/>
        <w:tblW w:w="0" w:type="auto"/>
        <w:tblInd w:w="426" w:type="dxa"/>
        <w:tblLook w:val="04A0" w:firstRow="1" w:lastRow="0" w:firstColumn="1" w:lastColumn="0" w:noHBand="0" w:noVBand="1"/>
        <w:tblCaption w:val="Table"/>
        <w:tblDescription w:val="Table"/>
      </w:tblPr>
      <w:tblGrid>
        <w:gridCol w:w="4295"/>
        <w:gridCol w:w="4295"/>
      </w:tblGrid>
      <w:tr w:rsidR="00E452E2" w14:paraId="03A0635A" w14:textId="77777777" w:rsidTr="00915F02">
        <w:trPr>
          <w:trHeight w:val="201"/>
          <w:tblHeader/>
        </w:trPr>
        <w:tc>
          <w:tcPr>
            <w:tcW w:w="4295" w:type="dxa"/>
          </w:tcPr>
          <w:p w14:paraId="06208AF1" w14:textId="3A542F8F" w:rsidR="00E452E2" w:rsidRDefault="00E452E2" w:rsidP="00E452E2">
            <w:pPr>
              <w:spacing w:before="60" w:after="60"/>
              <w:jc w:val="center"/>
            </w:pPr>
            <w:r w:rsidRPr="004953A2">
              <w:rPr>
                <w:b/>
                <w:szCs w:val="20"/>
              </w:rPr>
              <w:t>Valve area (cm</w:t>
            </w:r>
            <w:r w:rsidRPr="004953A2">
              <w:rPr>
                <w:rFonts w:cstheme="minorHAnsi"/>
                <w:b/>
                <w:szCs w:val="20"/>
              </w:rPr>
              <w:t>²)</w:t>
            </w:r>
          </w:p>
        </w:tc>
        <w:tc>
          <w:tcPr>
            <w:tcW w:w="4295" w:type="dxa"/>
          </w:tcPr>
          <w:p w14:paraId="297EE192" w14:textId="4AB14E50" w:rsidR="00E452E2" w:rsidRDefault="00E452E2" w:rsidP="00E452E2">
            <w:pPr>
              <w:spacing w:before="60" w:after="60"/>
              <w:jc w:val="center"/>
            </w:pPr>
            <w:r w:rsidRPr="004953A2">
              <w:rPr>
                <w:b/>
                <w:szCs w:val="20"/>
              </w:rPr>
              <w:t>&lt;1.0</w:t>
            </w:r>
          </w:p>
        </w:tc>
      </w:tr>
      <w:tr w:rsidR="00E452E2" w14:paraId="18BC8370" w14:textId="77777777" w:rsidTr="00E452E2">
        <w:tc>
          <w:tcPr>
            <w:tcW w:w="4295" w:type="dxa"/>
          </w:tcPr>
          <w:p w14:paraId="3B1027D9" w14:textId="0F162EA1" w:rsidR="00E452E2" w:rsidRDefault="00E452E2" w:rsidP="00E452E2">
            <w:pPr>
              <w:spacing w:before="60" w:after="60"/>
              <w:jc w:val="center"/>
            </w:pPr>
            <w:r w:rsidRPr="004953A2">
              <w:rPr>
                <w:b/>
                <w:szCs w:val="20"/>
              </w:rPr>
              <w:t>Indexed valve area (cm</w:t>
            </w:r>
            <w:r w:rsidRPr="004953A2">
              <w:rPr>
                <w:rFonts w:cstheme="minorHAnsi"/>
                <w:b/>
                <w:szCs w:val="20"/>
              </w:rPr>
              <w:t>²</w:t>
            </w:r>
            <w:r w:rsidRPr="004953A2">
              <w:rPr>
                <w:b/>
                <w:szCs w:val="20"/>
              </w:rPr>
              <w:t>/m</w:t>
            </w:r>
            <w:r w:rsidRPr="004953A2">
              <w:rPr>
                <w:rFonts w:cstheme="minorHAnsi"/>
                <w:b/>
                <w:szCs w:val="20"/>
              </w:rPr>
              <w:t>²</w:t>
            </w:r>
            <w:r w:rsidRPr="004953A2">
              <w:rPr>
                <w:b/>
                <w:szCs w:val="20"/>
              </w:rPr>
              <w:t xml:space="preserve"> body surface area)</w:t>
            </w:r>
          </w:p>
        </w:tc>
        <w:tc>
          <w:tcPr>
            <w:tcW w:w="4295" w:type="dxa"/>
          </w:tcPr>
          <w:p w14:paraId="75D5737D" w14:textId="6107889D" w:rsidR="00E452E2" w:rsidRDefault="00E452E2" w:rsidP="00E452E2">
            <w:pPr>
              <w:spacing w:before="60" w:after="60"/>
              <w:jc w:val="center"/>
            </w:pPr>
            <w:r w:rsidRPr="004953A2">
              <w:rPr>
                <w:b/>
                <w:szCs w:val="20"/>
              </w:rPr>
              <w:t>&lt;0.6</w:t>
            </w:r>
          </w:p>
        </w:tc>
      </w:tr>
      <w:tr w:rsidR="00E452E2" w14:paraId="1C21B6AE" w14:textId="77777777" w:rsidTr="00E452E2">
        <w:tc>
          <w:tcPr>
            <w:tcW w:w="4295" w:type="dxa"/>
          </w:tcPr>
          <w:p w14:paraId="130B3170" w14:textId="7910DCBA" w:rsidR="00E452E2" w:rsidRDefault="00E452E2" w:rsidP="00E452E2">
            <w:pPr>
              <w:spacing w:before="60" w:after="60"/>
              <w:jc w:val="center"/>
            </w:pPr>
            <w:r w:rsidRPr="004953A2">
              <w:rPr>
                <w:b/>
                <w:szCs w:val="20"/>
              </w:rPr>
              <w:t>Mean gradient (mmHg)</w:t>
            </w:r>
          </w:p>
        </w:tc>
        <w:tc>
          <w:tcPr>
            <w:tcW w:w="4295" w:type="dxa"/>
          </w:tcPr>
          <w:p w14:paraId="2F744FAF" w14:textId="16F0C8C7" w:rsidR="00E452E2" w:rsidRDefault="00E452E2" w:rsidP="00E452E2">
            <w:pPr>
              <w:spacing w:before="60" w:after="60"/>
              <w:jc w:val="center"/>
            </w:pPr>
            <w:r w:rsidRPr="004953A2">
              <w:rPr>
                <w:b/>
                <w:szCs w:val="20"/>
              </w:rPr>
              <w:t>&gt;40.0</w:t>
            </w:r>
          </w:p>
        </w:tc>
      </w:tr>
      <w:tr w:rsidR="00E452E2" w14:paraId="129D2118" w14:textId="77777777" w:rsidTr="00E452E2">
        <w:tc>
          <w:tcPr>
            <w:tcW w:w="4295" w:type="dxa"/>
          </w:tcPr>
          <w:p w14:paraId="5469FD56" w14:textId="2E5341DA" w:rsidR="00E452E2" w:rsidRDefault="00E452E2" w:rsidP="00E452E2">
            <w:pPr>
              <w:spacing w:before="60" w:after="60"/>
              <w:jc w:val="center"/>
            </w:pPr>
            <w:r w:rsidRPr="004953A2">
              <w:rPr>
                <w:b/>
                <w:szCs w:val="20"/>
              </w:rPr>
              <w:t>Maximum jet velocity (m/s)</w:t>
            </w:r>
          </w:p>
        </w:tc>
        <w:tc>
          <w:tcPr>
            <w:tcW w:w="4295" w:type="dxa"/>
          </w:tcPr>
          <w:p w14:paraId="0128BB11" w14:textId="4B120D94" w:rsidR="00E452E2" w:rsidRDefault="00E452E2" w:rsidP="00E452E2">
            <w:pPr>
              <w:spacing w:before="60" w:after="60"/>
              <w:jc w:val="center"/>
            </w:pPr>
            <w:r w:rsidRPr="004953A2">
              <w:rPr>
                <w:b/>
                <w:szCs w:val="20"/>
              </w:rPr>
              <w:t>&gt;4.0</w:t>
            </w:r>
          </w:p>
        </w:tc>
      </w:tr>
      <w:tr w:rsidR="00E452E2" w14:paraId="741B244F" w14:textId="77777777" w:rsidTr="00E452E2">
        <w:tc>
          <w:tcPr>
            <w:tcW w:w="4295" w:type="dxa"/>
          </w:tcPr>
          <w:p w14:paraId="310B45C0" w14:textId="0E9FC840" w:rsidR="00E452E2" w:rsidRDefault="00E452E2" w:rsidP="00E452E2">
            <w:pPr>
              <w:spacing w:before="60" w:after="60"/>
              <w:jc w:val="center"/>
            </w:pPr>
            <w:r w:rsidRPr="004953A2">
              <w:rPr>
                <w:b/>
                <w:szCs w:val="20"/>
              </w:rPr>
              <w:t>Velocity ratio</w:t>
            </w:r>
          </w:p>
        </w:tc>
        <w:tc>
          <w:tcPr>
            <w:tcW w:w="4295" w:type="dxa"/>
          </w:tcPr>
          <w:p w14:paraId="187FA64A" w14:textId="22D1FECB" w:rsidR="00E452E2" w:rsidRDefault="00E452E2" w:rsidP="00E452E2">
            <w:pPr>
              <w:spacing w:before="60" w:after="60"/>
              <w:jc w:val="center"/>
            </w:pPr>
            <w:r w:rsidRPr="004953A2">
              <w:rPr>
                <w:b/>
                <w:szCs w:val="20"/>
              </w:rPr>
              <w:t>&lt;0.25</w:t>
            </w:r>
          </w:p>
        </w:tc>
      </w:tr>
    </w:tbl>
    <w:p w14:paraId="7CFD37EE" w14:textId="68315771" w:rsidR="00884947" w:rsidRPr="004953A2" w:rsidRDefault="00811E28" w:rsidP="00884947">
      <w:pPr>
        <w:ind w:left="426"/>
        <w:rPr>
          <w:szCs w:val="20"/>
        </w:rPr>
      </w:pPr>
      <w:r w:rsidRPr="004953A2">
        <w:rPr>
          <w:szCs w:val="20"/>
        </w:rPr>
        <w:lastRenderedPageBreak/>
        <w:t xml:space="preserve">Other </w:t>
      </w:r>
      <w:r w:rsidR="00631ED4" w:rsidRPr="004953A2">
        <w:rPr>
          <w:szCs w:val="20"/>
        </w:rPr>
        <w:t xml:space="preserve">investigations </w:t>
      </w:r>
      <w:r w:rsidRPr="004953A2">
        <w:rPr>
          <w:szCs w:val="20"/>
        </w:rPr>
        <w:t xml:space="preserve">that may be conducted include cardiac </w:t>
      </w:r>
      <w:r w:rsidR="00974D2F" w:rsidRPr="004953A2">
        <w:rPr>
          <w:szCs w:val="20"/>
        </w:rPr>
        <w:t>magnetic resonance imaging (</w:t>
      </w:r>
      <w:r w:rsidRPr="004953A2">
        <w:rPr>
          <w:szCs w:val="20"/>
        </w:rPr>
        <w:t>MRI</w:t>
      </w:r>
      <w:r w:rsidR="00974D2F" w:rsidRPr="004953A2">
        <w:rPr>
          <w:szCs w:val="20"/>
        </w:rPr>
        <w:t>)</w:t>
      </w:r>
      <w:r w:rsidRPr="004953A2">
        <w:rPr>
          <w:szCs w:val="20"/>
        </w:rPr>
        <w:t>, exercise echocardiography</w:t>
      </w:r>
      <w:r w:rsidR="005C7B6C" w:rsidRPr="004953A2">
        <w:rPr>
          <w:szCs w:val="20"/>
        </w:rPr>
        <w:t xml:space="preserve">, multi-slice computed tomography and coronary angiography. </w:t>
      </w:r>
      <w:r w:rsidR="00884947" w:rsidRPr="004953A2">
        <w:rPr>
          <w:szCs w:val="20"/>
        </w:rPr>
        <w:t>Valvular regurgitation is also assessed. Functional status is assessed by the New York Heart Association</w:t>
      </w:r>
      <w:r w:rsidR="00631ED4" w:rsidRPr="004953A2">
        <w:rPr>
          <w:szCs w:val="20"/>
        </w:rPr>
        <w:t xml:space="preserve"> (NYHA)</w:t>
      </w:r>
      <w:r w:rsidR="00884947" w:rsidRPr="004953A2">
        <w:rPr>
          <w:szCs w:val="20"/>
        </w:rPr>
        <w:t xml:space="preserve"> functional class system.</w:t>
      </w:r>
    </w:p>
    <w:p w14:paraId="165FD259" w14:textId="2458A7CB" w:rsidR="005C7B6C" w:rsidRPr="004953A2" w:rsidRDefault="00CC58C1" w:rsidP="00225768">
      <w:pPr>
        <w:ind w:left="426"/>
        <w:rPr>
          <w:szCs w:val="20"/>
        </w:rPr>
      </w:pPr>
      <w:r w:rsidRPr="004953A2">
        <w:rPr>
          <w:szCs w:val="20"/>
        </w:rPr>
        <w:t>Th</w:t>
      </w:r>
      <w:r w:rsidR="006A32EE" w:rsidRPr="004953A2">
        <w:rPr>
          <w:szCs w:val="20"/>
        </w:rPr>
        <w:t xml:space="preserve">e present </w:t>
      </w:r>
      <w:r w:rsidRPr="004953A2">
        <w:rPr>
          <w:szCs w:val="20"/>
        </w:rPr>
        <w:t xml:space="preserve">application pertains to patients who are determined to be at </w:t>
      </w:r>
      <w:r w:rsidR="00213254" w:rsidRPr="004953A2">
        <w:rPr>
          <w:szCs w:val="20"/>
        </w:rPr>
        <w:t>low</w:t>
      </w:r>
      <w:r w:rsidRPr="004953A2">
        <w:rPr>
          <w:szCs w:val="20"/>
        </w:rPr>
        <w:t xml:space="preserve"> risk of surgery</w:t>
      </w:r>
      <w:r w:rsidR="006A32EE" w:rsidRPr="004953A2">
        <w:rPr>
          <w:szCs w:val="20"/>
        </w:rPr>
        <w:t>,</w:t>
      </w:r>
      <w:r w:rsidRPr="004953A2">
        <w:rPr>
          <w:szCs w:val="20"/>
        </w:rPr>
        <w:t xml:space="preserve"> </w:t>
      </w:r>
      <w:r w:rsidR="008879E6" w:rsidRPr="004953A2">
        <w:rPr>
          <w:szCs w:val="20"/>
        </w:rPr>
        <w:t>define</w:t>
      </w:r>
      <w:r w:rsidR="00820ABD" w:rsidRPr="004953A2">
        <w:rPr>
          <w:szCs w:val="20"/>
        </w:rPr>
        <w:t>d</w:t>
      </w:r>
      <w:r w:rsidR="008879E6" w:rsidRPr="004953A2">
        <w:rPr>
          <w:szCs w:val="20"/>
        </w:rPr>
        <w:t xml:space="preserve"> by </w:t>
      </w:r>
      <w:r w:rsidR="00631ED4" w:rsidRPr="004953A2">
        <w:rPr>
          <w:szCs w:val="20"/>
        </w:rPr>
        <w:t>predicted risk of surgical mortality</w:t>
      </w:r>
      <w:r w:rsidR="008879E6" w:rsidRPr="004953A2">
        <w:rPr>
          <w:szCs w:val="20"/>
        </w:rPr>
        <w:t xml:space="preserve"> of </w:t>
      </w:r>
      <w:r w:rsidR="00213254" w:rsidRPr="004953A2">
        <w:rPr>
          <w:szCs w:val="20"/>
        </w:rPr>
        <w:t>&lt;</w:t>
      </w:r>
      <w:r w:rsidR="00820ABD" w:rsidRPr="004953A2">
        <w:rPr>
          <w:szCs w:val="20"/>
        </w:rPr>
        <w:t xml:space="preserve">4% </w:t>
      </w:r>
      <w:r w:rsidR="00631ED4" w:rsidRPr="004953A2">
        <w:rPr>
          <w:szCs w:val="20"/>
        </w:rPr>
        <w:t>at 30 days, based on the STS</w:t>
      </w:r>
      <w:r w:rsidR="00974D2F" w:rsidRPr="004953A2">
        <w:rPr>
          <w:szCs w:val="20"/>
        </w:rPr>
        <w:t xml:space="preserve">-PROM </w:t>
      </w:r>
      <w:r w:rsidR="00631ED4" w:rsidRPr="004953A2">
        <w:rPr>
          <w:szCs w:val="20"/>
        </w:rPr>
        <w:t>score.</w:t>
      </w:r>
    </w:p>
    <w:p w14:paraId="4BE9A3F0" w14:textId="55AF5F15" w:rsidR="00EF7869" w:rsidRPr="004953A2" w:rsidRDefault="00EF7869" w:rsidP="00225768">
      <w:pPr>
        <w:ind w:left="426"/>
        <w:rPr>
          <w:szCs w:val="20"/>
        </w:rPr>
      </w:pPr>
      <w:r w:rsidRPr="004953A2">
        <w:rPr>
          <w:szCs w:val="20"/>
        </w:rPr>
        <w:t xml:space="preserve">In practice, </w:t>
      </w:r>
      <w:r w:rsidR="006A32EE" w:rsidRPr="004953A2">
        <w:rPr>
          <w:szCs w:val="20"/>
        </w:rPr>
        <w:t>suitability of patients for TAVI (and other treatment modalities) are assessed by the multidisciplinary ‘Heart Team’ within each healthcare facility.</w:t>
      </w:r>
      <w:r w:rsidR="005127B8" w:rsidRPr="004953A2">
        <w:rPr>
          <w:szCs w:val="20"/>
        </w:rPr>
        <w:t xml:space="preserve"> </w:t>
      </w:r>
      <w:r w:rsidR="006A32EE" w:rsidRPr="004953A2">
        <w:rPr>
          <w:szCs w:val="20"/>
        </w:rPr>
        <w:t>In contemporary Australian practice, although categorisation of surgical risk into ‘low’, ‘intermediate’ and ‘high’ categories is undertaken, many other factors, including patient choice, are considered by the Heart Team when it determines optimal management pathways for patients.</w:t>
      </w:r>
    </w:p>
    <w:p w14:paraId="2B6A9746" w14:textId="360AE748" w:rsidR="006A32EE" w:rsidRPr="00095DC5" w:rsidRDefault="007D705B" w:rsidP="00225768">
      <w:pPr>
        <w:ind w:left="426"/>
        <w:rPr>
          <w:b/>
          <w:szCs w:val="20"/>
        </w:rPr>
      </w:pPr>
      <w:r>
        <w:rPr>
          <w:b/>
          <w:szCs w:val="20"/>
        </w:rPr>
        <w:t>REDACTED</w:t>
      </w:r>
    </w:p>
    <w:p w14:paraId="42693CC5" w14:textId="49938A03" w:rsidR="0018630F" w:rsidRPr="004953A2" w:rsidRDefault="0018630F" w:rsidP="00530204">
      <w:pPr>
        <w:pStyle w:val="Heading2"/>
      </w:pPr>
      <w:r w:rsidRPr="004953A2">
        <w:t xml:space="preserve">Define and summarise the current clinical management pathway </w:t>
      </w:r>
      <w:r w:rsidRPr="004953A2">
        <w:rPr>
          <w:i/>
        </w:rPr>
        <w:t>before</w:t>
      </w:r>
      <w:r w:rsidRPr="004953A2">
        <w:t xml:space="preserve"> patients would be eligible for the proposed medical service (supplement this summary with </w:t>
      </w:r>
      <w:r w:rsidR="00F33F1A" w:rsidRPr="004953A2">
        <w:t xml:space="preserve">an easy to follow flowchart </w:t>
      </w:r>
      <w:r w:rsidR="00DF0C51" w:rsidRPr="004953A2">
        <w:t xml:space="preserve">[as an attachment to the Application Form] </w:t>
      </w:r>
      <w:r w:rsidR="00F33F1A" w:rsidRPr="004953A2">
        <w:t>dep</w:t>
      </w:r>
      <w:r w:rsidRPr="004953A2">
        <w:t>icting the current clinical manag</w:t>
      </w:r>
      <w:r w:rsidR="00197D29" w:rsidRPr="004953A2">
        <w:t>ement pathway up to this point):</w:t>
      </w:r>
    </w:p>
    <w:p w14:paraId="7A5EF1C4" w14:textId="1B78984F" w:rsidR="00AC506A" w:rsidRPr="004953A2" w:rsidRDefault="00820ABD" w:rsidP="00E452E2">
      <w:pPr>
        <w:ind w:left="357"/>
      </w:pPr>
      <w:r w:rsidRPr="004953A2">
        <w:t xml:space="preserve">At present, </w:t>
      </w:r>
      <w:r w:rsidR="001F4619" w:rsidRPr="004953A2">
        <w:t>patient</w:t>
      </w:r>
      <w:r w:rsidRPr="004953A2">
        <w:t>s</w:t>
      </w:r>
      <w:r w:rsidR="001F4619" w:rsidRPr="004953A2">
        <w:t xml:space="preserve"> </w:t>
      </w:r>
      <w:r w:rsidR="00654D8C" w:rsidRPr="004953A2">
        <w:t xml:space="preserve">with severe symptomatic AS </w:t>
      </w:r>
      <w:r w:rsidR="001F4619" w:rsidRPr="004953A2">
        <w:t xml:space="preserve">at </w:t>
      </w:r>
      <w:r w:rsidR="00213254" w:rsidRPr="004953A2">
        <w:t>low</w:t>
      </w:r>
      <w:r w:rsidR="001F4619" w:rsidRPr="004953A2">
        <w:t xml:space="preserve"> risk of surgery</w:t>
      </w:r>
      <w:r w:rsidR="00502C0A" w:rsidRPr="004953A2">
        <w:t xml:space="preserve"> are managed</w:t>
      </w:r>
      <w:r w:rsidR="00887888" w:rsidRPr="004953A2">
        <w:t xml:space="preserve"> medical</w:t>
      </w:r>
      <w:r w:rsidR="00502C0A" w:rsidRPr="004953A2">
        <w:t>ly and/or undergo surgical</w:t>
      </w:r>
      <w:r w:rsidR="00654D8C" w:rsidRPr="004953A2">
        <w:t xml:space="preserve"> </w:t>
      </w:r>
      <w:r w:rsidR="00887888" w:rsidRPr="004953A2">
        <w:t xml:space="preserve">aortic valve replacement </w:t>
      </w:r>
      <w:r w:rsidR="00654D8C" w:rsidRPr="004953A2">
        <w:t>(SAVR)</w:t>
      </w:r>
      <w:r w:rsidR="00502C0A" w:rsidRPr="004953A2">
        <w:t xml:space="preserve">. </w:t>
      </w:r>
      <w:r w:rsidR="00887888" w:rsidRPr="004953A2">
        <w:t>Medical management consists of pharmacologic</w:t>
      </w:r>
      <w:r w:rsidRPr="004953A2">
        <w:t>al</w:t>
      </w:r>
      <w:r w:rsidR="00887888" w:rsidRPr="004953A2">
        <w:t xml:space="preserve"> treatment to alleviate symptoms</w:t>
      </w:r>
      <w:r w:rsidR="00654D8C" w:rsidRPr="004953A2">
        <w:t xml:space="preserve">. These do not </w:t>
      </w:r>
      <w:r w:rsidR="00887888" w:rsidRPr="004953A2">
        <w:t>alter the disease course</w:t>
      </w:r>
      <w:r w:rsidR="00654D8C" w:rsidRPr="004953A2">
        <w:t xml:space="preserve"> n</w:t>
      </w:r>
      <w:r w:rsidR="00887888" w:rsidRPr="004953A2">
        <w:t>or improve survival.</w:t>
      </w:r>
      <w:r w:rsidR="00502C0A" w:rsidRPr="004953A2">
        <w:t xml:space="preserve"> Some patients undergo</w:t>
      </w:r>
      <w:r w:rsidR="00654D8C" w:rsidRPr="004953A2">
        <w:t xml:space="preserve"> balloon aortic valvuloplasty to enlarge the aortic valve opening</w:t>
      </w:r>
      <w:r w:rsidR="00502C0A" w:rsidRPr="004953A2">
        <w:t xml:space="preserve">, but this procedure also does not alter </w:t>
      </w:r>
      <w:r w:rsidR="001F194A" w:rsidRPr="004953A2">
        <w:t xml:space="preserve">the </w:t>
      </w:r>
      <w:r w:rsidR="00502C0A" w:rsidRPr="004953A2">
        <w:t>disease course nor survival.</w:t>
      </w:r>
    </w:p>
    <w:p w14:paraId="5C33D5B6" w14:textId="77777777" w:rsidR="002A50FD" w:rsidRPr="004953A2" w:rsidRDefault="005C3AE7" w:rsidP="005C3AE7">
      <w:pPr>
        <w:pStyle w:val="Subtitle"/>
      </w:pPr>
      <w:r w:rsidRPr="004953A2">
        <w:t xml:space="preserve">PART 6b – </w:t>
      </w:r>
      <w:r w:rsidR="002A50FD" w:rsidRPr="004953A2">
        <w:t>INFORMATION ABOUT THE INTERVENTION</w:t>
      </w:r>
    </w:p>
    <w:p w14:paraId="4B9A9A6E" w14:textId="77777777" w:rsidR="002A50FD" w:rsidRPr="004953A2" w:rsidRDefault="002A6753" w:rsidP="00530204">
      <w:pPr>
        <w:pStyle w:val="Heading2"/>
      </w:pPr>
      <w:r w:rsidRPr="004953A2">
        <w:t xml:space="preserve">Describe the </w:t>
      </w:r>
      <w:r w:rsidR="00DF6D37" w:rsidRPr="004953A2">
        <w:t>key components and</w:t>
      </w:r>
      <w:r w:rsidR="00B771AD" w:rsidRPr="004953A2">
        <w:t xml:space="preserve"> clinical</w:t>
      </w:r>
      <w:r w:rsidR="00DF6D37" w:rsidRPr="004953A2">
        <w:t xml:space="preserve"> steps involved in delivering </w:t>
      </w:r>
      <w:r w:rsidR="00C05A45" w:rsidRPr="004953A2">
        <w:t xml:space="preserve">the </w:t>
      </w:r>
      <w:r w:rsidR="00197D29" w:rsidRPr="004953A2">
        <w:t>proposed medical service:</w:t>
      </w:r>
    </w:p>
    <w:p w14:paraId="05235CB5" w14:textId="1C1BE571" w:rsidR="002A50FD" w:rsidRPr="004953A2" w:rsidRDefault="006F7493" w:rsidP="006F7493">
      <w:pPr>
        <w:ind w:left="360"/>
        <w:rPr>
          <w:szCs w:val="20"/>
        </w:rPr>
      </w:pPr>
      <w:r w:rsidRPr="004953A2">
        <w:rPr>
          <w:szCs w:val="20"/>
        </w:rPr>
        <w:t>In Australia</w:t>
      </w:r>
      <w:r w:rsidR="00502C0A" w:rsidRPr="004953A2">
        <w:rPr>
          <w:szCs w:val="20"/>
        </w:rPr>
        <w:t>,</w:t>
      </w:r>
      <w:r w:rsidRPr="004953A2">
        <w:rPr>
          <w:szCs w:val="20"/>
        </w:rPr>
        <w:t xml:space="preserve"> TAVI is performed in a cardiac catheterisation or an operating room. TAVI is performed under general</w:t>
      </w:r>
      <w:r w:rsidR="008310E2" w:rsidRPr="004953A2">
        <w:rPr>
          <w:szCs w:val="20"/>
        </w:rPr>
        <w:t xml:space="preserve"> </w:t>
      </w:r>
      <w:r w:rsidR="00502C0A" w:rsidRPr="004953A2">
        <w:rPr>
          <w:szCs w:val="20"/>
        </w:rPr>
        <w:t xml:space="preserve">anaesthesia </w:t>
      </w:r>
      <w:r w:rsidR="008310E2" w:rsidRPr="004953A2">
        <w:rPr>
          <w:szCs w:val="20"/>
        </w:rPr>
        <w:t>or local</w:t>
      </w:r>
      <w:r w:rsidRPr="004953A2">
        <w:rPr>
          <w:szCs w:val="20"/>
        </w:rPr>
        <w:t xml:space="preserve"> anaesthesia</w:t>
      </w:r>
      <w:r w:rsidR="008310E2" w:rsidRPr="004953A2">
        <w:rPr>
          <w:szCs w:val="20"/>
        </w:rPr>
        <w:t xml:space="preserve"> </w:t>
      </w:r>
      <w:r w:rsidR="00502C0A" w:rsidRPr="004953A2">
        <w:rPr>
          <w:szCs w:val="20"/>
        </w:rPr>
        <w:t xml:space="preserve">with </w:t>
      </w:r>
      <w:r w:rsidR="008310E2" w:rsidRPr="004953A2">
        <w:rPr>
          <w:szCs w:val="20"/>
        </w:rPr>
        <w:t>sedation</w:t>
      </w:r>
      <w:r w:rsidR="00502C0A" w:rsidRPr="004953A2">
        <w:rPr>
          <w:szCs w:val="20"/>
        </w:rPr>
        <w:t>. For</w:t>
      </w:r>
      <w:r w:rsidRPr="004953A2">
        <w:rPr>
          <w:szCs w:val="20"/>
        </w:rPr>
        <w:t xml:space="preserve"> transfemoral delivery </w:t>
      </w:r>
      <w:r w:rsidR="00502C0A" w:rsidRPr="004953A2">
        <w:rPr>
          <w:szCs w:val="20"/>
        </w:rPr>
        <w:t xml:space="preserve">(relevant to </w:t>
      </w:r>
      <w:r w:rsidRPr="004953A2">
        <w:rPr>
          <w:szCs w:val="20"/>
        </w:rPr>
        <w:t>this application</w:t>
      </w:r>
      <w:r w:rsidR="00502C0A" w:rsidRPr="004953A2">
        <w:rPr>
          <w:szCs w:val="20"/>
        </w:rPr>
        <w:t>)</w:t>
      </w:r>
      <w:r w:rsidRPr="004953A2">
        <w:rPr>
          <w:szCs w:val="20"/>
        </w:rPr>
        <w:t xml:space="preserve">, </w:t>
      </w:r>
      <w:r w:rsidR="00502C0A" w:rsidRPr="004953A2">
        <w:rPr>
          <w:szCs w:val="20"/>
        </w:rPr>
        <w:t>the latter is often</w:t>
      </w:r>
      <w:r w:rsidRPr="004953A2">
        <w:rPr>
          <w:szCs w:val="20"/>
        </w:rPr>
        <w:t xml:space="preserve"> sufficient. The procedure is performed without cardio-pulmonary bypass</w:t>
      </w:r>
      <w:r w:rsidR="009F3E3D" w:rsidRPr="004953A2">
        <w:rPr>
          <w:szCs w:val="20"/>
        </w:rPr>
        <w:t>.</w:t>
      </w:r>
    </w:p>
    <w:p w14:paraId="0E4D1333" w14:textId="55122A57" w:rsidR="006F7493" w:rsidRPr="004953A2" w:rsidRDefault="00502C0A" w:rsidP="006F7493">
      <w:pPr>
        <w:ind w:left="360"/>
        <w:rPr>
          <w:szCs w:val="20"/>
        </w:rPr>
      </w:pPr>
      <w:r w:rsidRPr="004953A2">
        <w:rPr>
          <w:szCs w:val="20"/>
        </w:rPr>
        <w:t>TAVI</w:t>
      </w:r>
      <w:r w:rsidR="006F7493" w:rsidRPr="004953A2">
        <w:rPr>
          <w:szCs w:val="20"/>
        </w:rPr>
        <w:t xml:space="preserve"> is </w:t>
      </w:r>
      <w:r w:rsidRPr="004953A2">
        <w:rPr>
          <w:szCs w:val="20"/>
        </w:rPr>
        <w:t xml:space="preserve">usually </w:t>
      </w:r>
      <w:r w:rsidR="006F7493" w:rsidRPr="004953A2">
        <w:rPr>
          <w:szCs w:val="20"/>
        </w:rPr>
        <w:t>performed under the guidance of fluoroscopy and transoesophageal echocardiography</w:t>
      </w:r>
      <w:r w:rsidR="000037DC" w:rsidRPr="004953A2">
        <w:rPr>
          <w:szCs w:val="20"/>
        </w:rPr>
        <w:t xml:space="preserve"> (TOE)</w:t>
      </w:r>
      <w:r w:rsidR="006F7493" w:rsidRPr="004953A2">
        <w:rPr>
          <w:szCs w:val="20"/>
        </w:rPr>
        <w:t xml:space="preserve">. </w:t>
      </w:r>
      <w:r w:rsidR="00B206B0" w:rsidRPr="004953A2">
        <w:rPr>
          <w:szCs w:val="20"/>
        </w:rPr>
        <w:t xml:space="preserve">Aortography may also be used. </w:t>
      </w:r>
      <w:r w:rsidR="006F7493" w:rsidRPr="004953A2">
        <w:rPr>
          <w:szCs w:val="20"/>
        </w:rPr>
        <w:t>A percutaneous sheath is inserted into the femoral artery</w:t>
      </w:r>
      <w:r w:rsidR="009F3E3D" w:rsidRPr="004953A2">
        <w:rPr>
          <w:szCs w:val="20"/>
        </w:rPr>
        <w:t xml:space="preserve"> with a guide wire that </w:t>
      </w:r>
      <w:r w:rsidR="006E7190" w:rsidRPr="004953A2">
        <w:rPr>
          <w:szCs w:val="20"/>
        </w:rPr>
        <w:t xml:space="preserve">is pushed passed </w:t>
      </w:r>
      <w:r w:rsidR="009F3E3D" w:rsidRPr="004953A2">
        <w:rPr>
          <w:szCs w:val="20"/>
        </w:rPr>
        <w:t xml:space="preserve">the aortic valve. The aortic valve is predilated via balloon valvuloplasty while the heart is rapidly paced. The </w:t>
      </w:r>
      <w:r w:rsidR="0007223E" w:rsidRPr="004953A2">
        <w:rPr>
          <w:szCs w:val="20"/>
        </w:rPr>
        <w:t>SAPIEN 3</w:t>
      </w:r>
      <w:r w:rsidR="006E7190" w:rsidRPr="004953A2">
        <w:rPr>
          <w:szCs w:val="20"/>
        </w:rPr>
        <w:t xml:space="preserve"> BEV </w:t>
      </w:r>
      <w:r w:rsidR="009F3E3D" w:rsidRPr="004953A2">
        <w:rPr>
          <w:szCs w:val="20"/>
        </w:rPr>
        <w:t>is mounted on a balloon catheter</w:t>
      </w:r>
      <w:r w:rsidR="006E7190" w:rsidRPr="004953A2">
        <w:rPr>
          <w:szCs w:val="20"/>
        </w:rPr>
        <w:t xml:space="preserve"> and</w:t>
      </w:r>
      <w:r w:rsidR="009F3E3D" w:rsidRPr="004953A2">
        <w:rPr>
          <w:szCs w:val="20"/>
        </w:rPr>
        <w:t xml:space="preserve"> is inserted percutaneously over the guidewire until it crosses the aortic valve. Optimum positioning is confirmed by fluoroscopy. Once the correct position is confirmed, the heart is again rapidly paced</w:t>
      </w:r>
      <w:r w:rsidR="006E7190" w:rsidRPr="004953A2">
        <w:rPr>
          <w:szCs w:val="20"/>
        </w:rPr>
        <w:t xml:space="preserve"> and </w:t>
      </w:r>
      <w:r w:rsidR="009F3E3D" w:rsidRPr="004953A2">
        <w:rPr>
          <w:szCs w:val="20"/>
        </w:rPr>
        <w:t xml:space="preserve">the balloon is expanded until the device </w:t>
      </w:r>
      <w:r w:rsidR="00B206B0" w:rsidRPr="004953A2">
        <w:rPr>
          <w:szCs w:val="20"/>
        </w:rPr>
        <w:t>meets the native annular walls</w:t>
      </w:r>
      <w:r w:rsidR="003D0762" w:rsidRPr="004953A2">
        <w:rPr>
          <w:szCs w:val="20"/>
        </w:rPr>
        <w:t>.</w:t>
      </w:r>
      <w:r w:rsidR="00B206B0" w:rsidRPr="004953A2">
        <w:rPr>
          <w:szCs w:val="20"/>
        </w:rPr>
        <w:t xml:space="preserve"> The balloon is </w:t>
      </w:r>
      <w:r w:rsidR="006E7190" w:rsidRPr="004953A2">
        <w:rPr>
          <w:szCs w:val="20"/>
        </w:rPr>
        <w:t xml:space="preserve">then </w:t>
      </w:r>
      <w:r w:rsidR="00B206B0" w:rsidRPr="004953A2">
        <w:rPr>
          <w:szCs w:val="20"/>
        </w:rPr>
        <w:t>deflated and the catheter and guidewire are removed.</w:t>
      </w:r>
    </w:p>
    <w:p w14:paraId="764DB735" w14:textId="45EFC124" w:rsidR="00B206B0" w:rsidRPr="004953A2" w:rsidRDefault="00B206B0" w:rsidP="006F7493">
      <w:pPr>
        <w:ind w:left="360"/>
        <w:rPr>
          <w:szCs w:val="20"/>
        </w:rPr>
      </w:pPr>
      <w:r w:rsidRPr="004953A2">
        <w:rPr>
          <w:szCs w:val="20"/>
        </w:rPr>
        <w:t>Immediately following the procedure, aortography and</w:t>
      </w:r>
      <w:r w:rsidR="000037DC" w:rsidRPr="004953A2">
        <w:rPr>
          <w:szCs w:val="20"/>
        </w:rPr>
        <w:t xml:space="preserve"> </w:t>
      </w:r>
      <w:r w:rsidR="006E7190" w:rsidRPr="004953A2">
        <w:rPr>
          <w:szCs w:val="20"/>
        </w:rPr>
        <w:t>TOE</w:t>
      </w:r>
      <w:r w:rsidRPr="004953A2">
        <w:rPr>
          <w:szCs w:val="20"/>
        </w:rPr>
        <w:t xml:space="preserve"> are again performed to assess the location and the degree of any aortic regurgitation, and the functioning of the coronary arteries.</w:t>
      </w:r>
    </w:p>
    <w:p w14:paraId="18BF2C03" w14:textId="7B7FB3AA" w:rsidR="00B206B0" w:rsidRPr="004953A2" w:rsidRDefault="00B206B0" w:rsidP="006F7493">
      <w:pPr>
        <w:ind w:left="360"/>
        <w:rPr>
          <w:szCs w:val="20"/>
        </w:rPr>
      </w:pPr>
      <w:r w:rsidRPr="004953A2">
        <w:rPr>
          <w:szCs w:val="20"/>
        </w:rPr>
        <w:t>Patients are then transferred for monitoring to either a coronary care</w:t>
      </w:r>
      <w:r w:rsidR="00187346" w:rsidRPr="004953A2">
        <w:rPr>
          <w:szCs w:val="20"/>
        </w:rPr>
        <w:t>,</w:t>
      </w:r>
      <w:r w:rsidRPr="004953A2">
        <w:rPr>
          <w:szCs w:val="20"/>
        </w:rPr>
        <w:t xml:space="preserve"> high dependency or intensive care unit.</w:t>
      </w:r>
    </w:p>
    <w:p w14:paraId="38A85110" w14:textId="77777777" w:rsidR="002A6753" w:rsidRPr="004953A2" w:rsidRDefault="002A6753" w:rsidP="007D705B">
      <w:pPr>
        <w:pStyle w:val="Heading2"/>
      </w:pPr>
      <w:r w:rsidRPr="004953A2">
        <w:t>Does the proposed medical service include a registered trademark</w:t>
      </w:r>
      <w:r w:rsidR="00707D4D" w:rsidRPr="004953A2">
        <w:t xml:space="preserve"> component</w:t>
      </w:r>
      <w:r w:rsidRPr="004953A2">
        <w:t xml:space="preserve"> with characteristics that distinguishes it from other similar health </w:t>
      </w:r>
      <w:r w:rsidR="00707D4D" w:rsidRPr="004953A2">
        <w:t>components</w:t>
      </w:r>
      <w:r w:rsidRPr="004953A2">
        <w:t>?</w:t>
      </w:r>
    </w:p>
    <w:p w14:paraId="2C3AAD54" w14:textId="779EED47" w:rsidR="002A6753" w:rsidRPr="004953A2" w:rsidRDefault="00B206B0" w:rsidP="007D705B">
      <w:pPr>
        <w:ind w:left="360"/>
        <w:rPr>
          <w:szCs w:val="20"/>
        </w:rPr>
      </w:pPr>
      <w:r w:rsidRPr="004953A2">
        <w:t>SAPIEN 3 is a register</w:t>
      </w:r>
      <w:r w:rsidR="006E7190" w:rsidRPr="004953A2">
        <w:t>ed</w:t>
      </w:r>
      <w:r w:rsidRPr="004953A2">
        <w:t xml:space="preserve"> trademark of </w:t>
      </w:r>
      <w:bookmarkStart w:id="5" w:name="_Hlk14118581"/>
      <w:r w:rsidRPr="004953A2">
        <w:t xml:space="preserve">Edwards Lifesciences Corporation </w:t>
      </w:r>
      <w:bookmarkEnd w:id="5"/>
      <w:r w:rsidRPr="004953A2">
        <w:t xml:space="preserve">or its affiliates. </w:t>
      </w:r>
    </w:p>
    <w:p w14:paraId="6218332D" w14:textId="77777777" w:rsidR="00C22AD8" w:rsidRPr="004953A2" w:rsidRDefault="00C22AD8" w:rsidP="007D705B">
      <w:pPr>
        <w:pStyle w:val="Heading2"/>
      </w:pPr>
      <w:r w:rsidRPr="004953A2">
        <w:t>If the proposed medical service has a prosthesis or device component to it, does it involve a new approach towards managing a particular sub-group of the population with the specific medical condition?</w:t>
      </w:r>
    </w:p>
    <w:p w14:paraId="55702003" w14:textId="6B49C356" w:rsidR="00DF0C51" w:rsidRDefault="007D31F9" w:rsidP="007D705B">
      <w:pPr>
        <w:ind w:left="360"/>
        <w:rPr>
          <w:b/>
        </w:rPr>
      </w:pPr>
      <w:r w:rsidRPr="004953A2">
        <w:t>TAVI</w:t>
      </w:r>
      <w:r w:rsidR="005F7568" w:rsidRPr="004953A2">
        <w:t xml:space="preserve"> using </w:t>
      </w:r>
      <w:r w:rsidR="001F4619" w:rsidRPr="004953A2">
        <w:t>the</w:t>
      </w:r>
      <w:r w:rsidR="005F7568" w:rsidRPr="004953A2">
        <w:t xml:space="preserve"> SAPIEN 3 </w:t>
      </w:r>
      <w:r w:rsidR="0007223E" w:rsidRPr="004953A2">
        <w:t xml:space="preserve">BEV </w:t>
      </w:r>
      <w:r w:rsidR="005F7568" w:rsidRPr="004953A2">
        <w:t>system</w:t>
      </w:r>
      <w:r w:rsidRPr="004953A2">
        <w:t xml:space="preserve"> is currently included on the MBS for patients with symptomatic severe aortic stenosis who are at </w:t>
      </w:r>
      <w:r w:rsidRPr="004953A2">
        <w:rPr>
          <w:i/>
        </w:rPr>
        <w:t>high</w:t>
      </w:r>
      <w:r w:rsidR="006E7190" w:rsidRPr="004953A2">
        <w:rPr>
          <w:i/>
        </w:rPr>
        <w:t xml:space="preserve"> </w:t>
      </w:r>
      <w:r w:rsidRPr="004953A2">
        <w:rPr>
          <w:i/>
        </w:rPr>
        <w:t>risk</w:t>
      </w:r>
      <w:r w:rsidRPr="004953A2">
        <w:t xml:space="preserve"> </w:t>
      </w:r>
      <w:r w:rsidR="003D0762" w:rsidRPr="004953A2">
        <w:t xml:space="preserve">for surgery </w:t>
      </w:r>
      <w:r w:rsidRPr="004953A2">
        <w:t>or who are inoperable.</w:t>
      </w:r>
      <w:r w:rsidR="00B24E74" w:rsidRPr="004953A2">
        <w:t xml:space="preserve"> </w:t>
      </w:r>
    </w:p>
    <w:p w14:paraId="170B227D" w14:textId="5B579849" w:rsidR="008B4768" w:rsidRPr="008B4768" w:rsidRDefault="007D705B" w:rsidP="00E452E2">
      <w:pPr>
        <w:ind w:left="360"/>
        <w:rPr>
          <w:b/>
        </w:rPr>
      </w:pPr>
      <w:r>
        <w:rPr>
          <w:b/>
        </w:rPr>
        <w:t>REDACTED</w:t>
      </w:r>
    </w:p>
    <w:p w14:paraId="4988E4B0" w14:textId="77777777" w:rsidR="006B1B49" w:rsidRPr="004953A2" w:rsidRDefault="006B1B49" w:rsidP="007D705B">
      <w:pPr>
        <w:pStyle w:val="Heading2"/>
      </w:pPr>
      <w:r w:rsidRPr="004953A2">
        <w:lastRenderedPageBreak/>
        <w:t xml:space="preserve">If applicable, are there any limitations on the </w:t>
      </w:r>
      <w:r w:rsidR="00DF0C51" w:rsidRPr="004953A2">
        <w:t xml:space="preserve">provision </w:t>
      </w:r>
      <w:r w:rsidRPr="004953A2">
        <w:t>of the proposed medical se</w:t>
      </w:r>
      <w:r w:rsidR="00DF0C51" w:rsidRPr="004953A2">
        <w:t xml:space="preserve">rvice delivered to the patient </w:t>
      </w:r>
      <w:r w:rsidR="00D30BDC" w:rsidRPr="004953A2">
        <w:t>(</w:t>
      </w:r>
      <w:r w:rsidR="00DF0C51" w:rsidRPr="004953A2">
        <w:t>i</w:t>
      </w:r>
      <w:r w:rsidR="00812EDD" w:rsidRPr="004953A2">
        <w:t>.</w:t>
      </w:r>
      <w:r w:rsidR="00DF0C51" w:rsidRPr="004953A2">
        <w:t xml:space="preserve">e. </w:t>
      </w:r>
      <w:r w:rsidR="00707D4D" w:rsidRPr="004953A2">
        <w:t xml:space="preserve">accessibility, </w:t>
      </w:r>
      <w:r w:rsidR="00DF0C51" w:rsidRPr="004953A2">
        <w:t>dosage, quantity, duration or frequency</w:t>
      </w:r>
      <w:r w:rsidR="00D30BDC" w:rsidRPr="004953A2">
        <w:t>)</w:t>
      </w:r>
      <w:r w:rsidR="00AE1188" w:rsidRPr="004953A2">
        <w:t>:</w:t>
      </w:r>
    </w:p>
    <w:p w14:paraId="23BA065C" w14:textId="5EDAC623" w:rsidR="00CC09D7" w:rsidRPr="004953A2" w:rsidRDefault="007D31F9" w:rsidP="007D705B">
      <w:pPr>
        <w:ind w:left="360"/>
        <w:rPr>
          <w:szCs w:val="20"/>
        </w:rPr>
      </w:pPr>
      <w:r w:rsidRPr="004953A2">
        <w:t xml:space="preserve">It is anticipated that in </w:t>
      </w:r>
      <w:r w:rsidR="00C66BBF" w:rsidRPr="004953A2">
        <w:t>nearly all</w:t>
      </w:r>
      <w:r w:rsidRPr="004953A2">
        <w:t xml:space="preserve"> cases</w:t>
      </w:r>
      <w:r w:rsidR="006E7190" w:rsidRPr="004953A2">
        <w:t>,</w:t>
      </w:r>
      <w:r w:rsidRPr="004953A2">
        <w:t xml:space="preserve"> TAVI </w:t>
      </w:r>
      <w:r w:rsidR="001F4619" w:rsidRPr="004953A2">
        <w:t>using the</w:t>
      </w:r>
      <w:r w:rsidR="005F7568" w:rsidRPr="004953A2">
        <w:t xml:space="preserve"> SAPIEN 3 </w:t>
      </w:r>
      <w:r w:rsidR="0007223E" w:rsidRPr="004953A2">
        <w:t xml:space="preserve">BEV </w:t>
      </w:r>
      <w:r w:rsidR="005F7568" w:rsidRPr="004953A2">
        <w:t xml:space="preserve">system </w:t>
      </w:r>
      <w:r w:rsidRPr="004953A2">
        <w:t>would be delivered only once in a</w:t>
      </w:r>
      <w:r w:rsidR="003D0762" w:rsidRPr="004953A2">
        <w:t xml:space="preserve"> patient’s</w:t>
      </w:r>
      <w:r w:rsidRPr="004953A2">
        <w:t xml:space="preserve"> lifetime.</w:t>
      </w:r>
    </w:p>
    <w:p w14:paraId="3292C9C5" w14:textId="77777777" w:rsidR="00791C8D" w:rsidRPr="004953A2" w:rsidRDefault="00791C8D" w:rsidP="007D705B">
      <w:pPr>
        <w:pStyle w:val="Heading2"/>
      </w:pPr>
      <w:r w:rsidRPr="004953A2">
        <w:t xml:space="preserve">If applicable, identify any healthcare resources </w:t>
      </w:r>
      <w:r w:rsidR="007522E3" w:rsidRPr="004953A2">
        <w:t xml:space="preserve">or other medical services </w:t>
      </w:r>
      <w:r w:rsidRPr="004953A2">
        <w:t xml:space="preserve">that would need to be delivered </w:t>
      </w:r>
      <w:r w:rsidRPr="004953A2">
        <w:rPr>
          <w:u w:val="single"/>
        </w:rPr>
        <w:t>at the same time</w:t>
      </w:r>
      <w:r w:rsidRPr="004953A2">
        <w:t xml:space="preserve"> </w:t>
      </w:r>
      <w:r w:rsidR="00197D29" w:rsidRPr="004953A2">
        <w:t>as the proposed medical service:</w:t>
      </w:r>
    </w:p>
    <w:p w14:paraId="445355F2" w14:textId="2E8E7E38" w:rsidR="00791C8D" w:rsidRPr="004953A2" w:rsidRDefault="007D31F9" w:rsidP="007D705B">
      <w:pPr>
        <w:ind w:left="360"/>
        <w:rPr>
          <w:szCs w:val="20"/>
        </w:rPr>
      </w:pPr>
      <w:r w:rsidRPr="004953A2">
        <w:t>It is not anticipated that additional resources or medical services would be delivered at the same time, other than those that would occur during the TAVI</w:t>
      </w:r>
      <w:r w:rsidR="00283152" w:rsidRPr="004953A2">
        <w:t>.</w:t>
      </w:r>
    </w:p>
    <w:p w14:paraId="4C14F46A" w14:textId="77777777" w:rsidR="00B17E26" w:rsidRPr="004953A2" w:rsidRDefault="00B17E26" w:rsidP="007D705B">
      <w:pPr>
        <w:pStyle w:val="Heading2"/>
      </w:pPr>
      <w:r w:rsidRPr="004953A2">
        <w:t>If applicable, advise which health profession</w:t>
      </w:r>
      <w:r w:rsidR="00E4321E" w:rsidRPr="004953A2">
        <w:t xml:space="preserve">als </w:t>
      </w:r>
      <w:r w:rsidRPr="004953A2">
        <w:t>will</w:t>
      </w:r>
      <w:r w:rsidR="00E4321E" w:rsidRPr="004953A2">
        <w:t xml:space="preserve"> </w:t>
      </w:r>
      <w:r w:rsidR="007D2358" w:rsidRPr="004953A2">
        <w:t xml:space="preserve">primarily deliver the </w:t>
      </w:r>
      <w:r w:rsidR="00E4321E" w:rsidRPr="004953A2">
        <w:t xml:space="preserve">proposed </w:t>
      </w:r>
      <w:r w:rsidR="00AE1188" w:rsidRPr="004953A2">
        <w:t>service:</w:t>
      </w:r>
    </w:p>
    <w:p w14:paraId="5AF155A1" w14:textId="49468AE1" w:rsidR="00B17E26" w:rsidRPr="004953A2" w:rsidRDefault="00283152" w:rsidP="007D705B">
      <w:pPr>
        <w:ind w:left="360"/>
        <w:rPr>
          <w:szCs w:val="20"/>
        </w:rPr>
      </w:pPr>
      <w:r w:rsidRPr="004953A2">
        <w:t>An interventional cardiologist or a cardiothoracic surgeon must perform the procedure</w:t>
      </w:r>
      <w:r w:rsidR="006E7190" w:rsidRPr="004953A2">
        <w:t>.</w:t>
      </w:r>
    </w:p>
    <w:p w14:paraId="776EFA7F" w14:textId="77777777" w:rsidR="00B17E26" w:rsidRPr="004953A2" w:rsidRDefault="00B17E26" w:rsidP="007D705B">
      <w:pPr>
        <w:pStyle w:val="Heading2"/>
      </w:pPr>
      <w:r w:rsidRPr="004953A2">
        <w:t>If applicable, advise whether the proposed medical service could be delegated or referred to another professional for delive</w:t>
      </w:r>
      <w:r w:rsidR="00AE1188" w:rsidRPr="004953A2">
        <w:t>ry:</w:t>
      </w:r>
    </w:p>
    <w:p w14:paraId="778CC163" w14:textId="324AA471" w:rsidR="00B17E26" w:rsidRPr="004953A2" w:rsidRDefault="00283152" w:rsidP="007D705B">
      <w:pPr>
        <w:ind w:left="360"/>
        <w:rPr>
          <w:szCs w:val="20"/>
        </w:rPr>
      </w:pPr>
      <w:r w:rsidRPr="004953A2">
        <w:t>The service cannot be delegated</w:t>
      </w:r>
      <w:r w:rsidR="006E7190" w:rsidRPr="004953A2">
        <w:t>.</w:t>
      </w:r>
    </w:p>
    <w:p w14:paraId="6DE3D87D" w14:textId="77777777" w:rsidR="00EA0E25" w:rsidRPr="004953A2" w:rsidRDefault="00EA0E25" w:rsidP="007D705B">
      <w:pPr>
        <w:pStyle w:val="Heading2"/>
      </w:pPr>
      <w:r w:rsidRPr="004953A2">
        <w:t xml:space="preserve">If applicable, specify any proposed limitations on who might deliver the proposed medical service, or who </w:t>
      </w:r>
      <w:r w:rsidR="00AE1188" w:rsidRPr="004953A2">
        <w:t>might provide a referral for it:</w:t>
      </w:r>
    </w:p>
    <w:p w14:paraId="58F53868" w14:textId="7C4BB2A5" w:rsidR="00EA0E25" w:rsidRPr="004953A2" w:rsidRDefault="00283152" w:rsidP="007D705B">
      <w:pPr>
        <w:ind w:left="360"/>
        <w:rPr>
          <w:szCs w:val="20"/>
        </w:rPr>
      </w:pPr>
      <w:r w:rsidRPr="004953A2">
        <w:t>MBS funding is only available for cardiothoracic surgeons or interventional cardiologists who are accredited TAVI practitioners</w:t>
      </w:r>
      <w:r w:rsidR="0007223E" w:rsidRPr="004953A2">
        <w:t>.</w:t>
      </w:r>
    </w:p>
    <w:p w14:paraId="5281D781" w14:textId="77777777" w:rsidR="00EA0E25" w:rsidRPr="004953A2" w:rsidRDefault="00EA0E25" w:rsidP="007D705B">
      <w:pPr>
        <w:pStyle w:val="Heading2"/>
      </w:pPr>
      <w:r w:rsidRPr="004953A2">
        <w:t xml:space="preserve">If applicable, advise what type of training </w:t>
      </w:r>
      <w:r w:rsidR="009C03FB" w:rsidRPr="004953A2">
        <w:t xml:space="preserve">or qualifications </w:t>
      </w:r>
      <w:r w:rsidRPr="004953A2">
        <w:t xml:space="preserve">would be required to perform the </w:t>
      </w:r>
      <w:r w:rsidR="007522E3" w:rsidRPr="004953A2">
        <w:t xml:space="preserve">proposed </w:t>
      </w:r>
      <w:r w:rsidRPr="004953A2">
        <w:t>service</w:t>
      </w:r>
      <w:r w:rsidR="00257FF2" w:rsidRPr="004953A2">
        <w:t xml:space="preserve"> as well as any accreditation requirements to suppor</w:t>
      </w:r>
      <w:r w:rsidR="009C03FB" w:rsidRPr="004953A2">
        <w:t xml:space="preserve">t </w:t>
      </w:r>
      <w:r w:rsidR="00257FF2" w:rsidRPr="004953A2">
        <w:t>service</w:t>
      </w:r>
      <w:r w:rsidR="009C03FB" w:rsidRPr="004953A2">
        <w:t xml:space="preserve"> delivery</w:t>
      </w:r>
      <w:r w:rsidR="00AE1188" w:rsidRPr="004953A2">
        <w:t>:</w:t>
      </w:r>
    </w:p>
    <w:p w14:paraId="060D9944" w14:textId="7493608F" w:rsidR="00677C28" w:rsidRPr="004953A2" w:rsidRDefault="00283152" w:rsidP="007D705B">
      <w:pPr>
        <w:ind w:left="360"/>
      </w:pPr>
      <w:r w:rsidRPr="004953A2">
        <w:t>Cardiothoracic surgeons</w:t>
      </w:r>
      <w:r w:rsidR="00187346" w:rsidRPr="004953A2">
        <w:t xml:space="preserve"> must </w:t>
      </w:r>
      <w:r w:rsidRPr="004953A2">
        <w:t>have completed the Cardiothoracic Surgery Program and be eligible to be a Fellow of the Royal Australasian College of Surgeons</w:t>
      </w:r>
      <w:r w:rsidR="006E7190" w:rsidRPr="004953A2">
        <w:t>,</w:t>
      </w:r>
      <w:r w:rsidR="00677C28" w:rsidRPr="004953A2">
        <w:t xml:space="preserve"> or otherwise qualified to practice cardiothoracic surgery in Australia</w:t>
      </w:r>
      <w:r w:rsidRPr="004953A2">
        <w:t>.</w:t>
      </w:r>
    </w:p>
    <w:p w14:paraId="5A355504" w14:textId="3561609B" w:rsidR="00EA0E25" w:rsidRPr="004953A2" w:rsidRDefault="00677C28" w:rsidP="007D705B">
      <w:pPr>
        <w:ind w:left="360"/>
      </w:pPr>
      <w:r w:rsidRPr="004953A2">
        <w:t xml:space="preserve">Interventional </w:t>
      </w:r>
      <w:r w:rsidR="006E7190" w:rsidRPr="004953A2">
        <w:t>c</w:t>
      </w:r>
      <w:r w:rsidRPr="004953A2">
        <w:t>ardiologists must have completed the Advanced Training Curriculum in Cardiology and be eligible to be a Fellow of the Royal Australasian College of Physicians or otherwise qualified to practice interventional cardiology in Australia.</w:t>
      </w:r>
    </w:p>
    <w:p w14:paraId="0B606A23" w14:textId="2EF51468" w:rsidR="00677C28" w:rsidRPr="004953A2" w:rsidRDefault="00677C28" w:rsidP="007D705B">
      <w:pPr>
        <w:ind w:left="360"/>
      </w:pPr>
      <w:r w:rsidRPr="004953A2">
        <w:t xml:space="preserve">Additionally, the </w:t>
      </w:r>
      <w:r w:rsidR="006E7190" w:rsidRPr="004953A2">
        <w:t>i</w:t>
      </w:r>
      <w:r w:rsidRPr="004953A2">
        <w:t>nterventional cardiologist o</w:t>
      </w:r>
      <w:r w:rsidR="003A3C48">
        <w:t>r</w:t>
      </w:r>
      <w:r w:rsidRPr="004953A2">
        <w:t xml:space="preserve"> cardiothoracic surgeon must be an accredited TAVI </w:t>
      </w:r>
      <w:r w:rsidR="006E7190" w:rsidRPr="004953A2">
        <w:t>p</w:t>
      </w:r>
      <w:r w:rsidRPr="004953A2">
        <w:t>ractitioner. Accreditation is conducted by the Accreditation Committee appointed by Cardiac Accreditation Services Limited</w:t>
      </w:r>
      <w:r w:rsidR="000838D3" w:rsidRPr="004953A2">
        <w:rPr>
          <w:rStyle w:val="FootnoteReference"/>
        </w:rPr>
        <w:footnoteReference w:id="6"/>
      </w:r>
      <w:r w:rsidR="00077A80" w:rsidRPr="004953A2">
        <w:t>.</w:t>
      </w:r>
    </w:p>
    <w:p w14:paraId="4B0B5C89" w14:textId="373A6FA3" w:rsidR="005F3F07" w:rsidRPr="004953A2" w:rsidRDefault="005C3AE7" w:rsidP="00530204">
      <w:pPr>
        <w:pStyle w:val="Heading2"/>
      </w:pPr>
      <w:r w:rsidRPr="004953A2">
        <w:t xml:space="preserve">(a) </w:t>
      </w:r>
      <w:r w:rsidR="005F3F07" w:rsidRPr="004953A2">
        <w:t>Indicate the proposed setting</w:t>
      </w:r>
      <w:r w:rsidR="00D30BDC" w:rsidRPr="004953A2">
        <w:t>(</w:t>
      </w:r>
      <w:r w:rsidR="005F3F07" w:rsidRPr="004953A2">
        <w:t>s</w:t>
      </w:r>
      <w:r w:rsidR="00D30BDC" w:rsidRPr="004953A2">
        <w:t>)</w:t>
      </w:r>
      <w:r w:rsidR="005F3F07" w:rsidRPr="004953A2">
        <w:t xml:space="preserve"> in which the proposed medical service will be delivered</w:t>
      </w:r>
      <w:r w:rsidR="00D30BDC" w:rsidRPr="004953A2">
        <w:t xml:space="preserve"> (select all relevant settings)</w:t>
      </w:r>
      <w:r w:rsidR="00AE1188" w:rsidRPr="004953A2">
        <w:t>:</w:t>
      </w:r>
    </w:p>
    <w:p w14:paraId="0DE9C4B2" w14:textId="34FD98EB" w:rsidR="000A478F" w:rsidRPr="004953A2" w:rsidRDefault="000838D3" w:rsidP="000A478F">
      <w:pPr>
        <w:spacing w:before="0" w:after="0"/>
        <w:ind w:left="426"/>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0A478F" w:rsidRPr="004953A2">
        <w:rPr>
          <w:szCs w:val="20"/>
        </w:rPr>
        <w:t xml:space="preserve"> </w:t>
      </w:r>
      <w:r w:rsidR="000A478F" w:rsidRPr="004953A2">
        <w:t>Inpatient private hospital</w:t>
      </w:r>
    </w:p>
    <w:p w14:paraId="5C2B9ABB" w14:textId="6C0C576F" w:rsidR="000A478F" w:rsidRPr="004953A2" w:rsidRDefault="000838D3" w:rsidP="000A478F">
      <w:pPr>
        <w:spacing w:before="0" w:after="0"/>
        <w:ind w:left="426"/>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0A478F" w:rsidRPr="004953A2">
        <w:rPr>
          <w:szCs w:val="20"/>
        </w:rPr>
        <w:t xml:space="preserve"> </w:t>
      </w:r>
      <w:r w:rsidR="000A478F" w:rsidRPr="004953A2">
        <w:t>Inpatient public hospital</w:t>
      </w:r>
    </w:p>
    <w:p w14:paraId="0FDBEF5F" w14:textId="77777777" w:rsidR="000A478F" w:rsidRPr="004953A2" w:rsidRDefault="000A478F" w:rsidP="000A478F">
      <w:pPr>
        <w:spacing w:before="0" w:after="0"/>
        <w:ind w:left="426"/>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w:t>
      </w:r>
      <w:r w:rsidRPr="004953A2">
        <w:t>Outpatient clinic</w:t>
      </w:r>
    </w:p>
    <w:p w14:paraId="037AD786" w14:textId="77777777" w:rsidR="000A478F" w:rsidRPr="004953A2" w:rsidRDefault="000A478F" w:rsidP="000A478F">
      <w:pPr>
        <w:spacing w:before="0" w:after="0"/>
        <w:ind w:left="426"/>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w:t>
      </w:r>
      <w:r w:rsidRPr="004953A2">
        <w:t>Emergency Department</w:t>
      </w:r>
    </w:p>
    <w:p w14:paraId="1AAAD226" w14:textId="77777777" w:rsidR="000A478F" w:rsidRPr="004953A2" w:rsidRDefault="000A478F" w:rsidP="000A478F">
      <w:pPr>
        <w:spacing w:before="0" w:after="0"/>
        <w:ind w:left="426"/>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w:t>
      </w:r>
      <w:r w:rsidRPr="004953A2">
        <w:t>Consulting rooms</w:t>
      </w:r>
    </w:p>
    <w:p w14:paraId="264CC490" w14:textId="77777777" w:rsidR="000A478F" w:rsidRPr="004953A2" w:rsidRDefault="000A478F" w:rsidP="000A478F">
      <w:pPr>
        <w:spacing w:before="0" w:after="0"/>
        <w:ind w:left="426"/>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w:t>
      </w:r>
      <w:r w:rsidRPr="004953A2">
        <w:t>Day surgery centre</w:t>
      </w:r>
    </w:p>
    <w:p w14:paraId="6A1D8A19" w14:textId="77777777" w:rsidR="000A478F" w:rsidRPr="004953A2" w:rsidRDefault="000A478F" w:rsidP="000A478F">
      <w:pPr>
        <w:spacing w:before="0" w:after="0"/>
        <w:ind w:left="426"/>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w:t>
      </w:r>
      <w:r w:rsidRPr="004953A2">
        <w:t>Residential aged care facility</w:t>
      </w:r>
    </w:p>
    <w:p w14:paraId="0A47CD5B" w14:textId="77777777" w:rsidR="000A478F" w:rsidRPr="004953A2" w:rsidRDefault="000A478F" w:rsidP="000A478F">
      <w:pPr>
        <w:spacing w:before="0" w:after="0"/>
        <w:ind w:left="426"/>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w:t>
      </w:r>
      <w:r w:rsidRPr="004953A2">
        <w:t>Patient’s home</w:t>
      </w:r>
    </w:p>
    <w:p w14:paraId="7F9DE197" w14:textId="77777777" w:rsidR="000A478F" w:rsidRPr="004953A2" w:rsidRDefault="000A478F" w:rsidP="000A478F">
      <w:pPr>
        <w:spacing w:before="0" w:after="0"/>
        <w:ind w:left="426"/>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w:t>
      </w:r>
      <w:r w:rsidRPr="004953A2">
        <w:t>Laboratory</w:t>
      </w:r>
    </w:p>
    <w:p w14:paraId="66E44D46" w14:textId="77777777" w:rsidR="000A478F" w:rsidRPr="004953A2" w:rsidRDefault="000A478F" w:rsidP="000A478F">
      <w:pPr>
        <w:spacing w:before="0" w:after="0"/>
        <w:ind w:left="426"/>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w:t>
      </w:r>
      <w:r w:rsidRPr="004953A2">
        <w:t>Other – please specify below</w:t>
      </w:r>
    </w:p>
    <w:p w14:paraId="5F75542A" w14:textId="492A2E3F" w:rsidR="005F3F07" w:rsidRPr="004953A2" w:rsidRDefault="000838D3" w:rsidP="0073597B">
      <w:pPr>
        <w:ind w:left="426"/>
        <w:rPr>
          <w:b/>
          <w:szCs w:val="20"/>
        </w:rPr>
      </w:pPr>
      <w:r w:rsidRPr="004953A2">
        <w:t xml:space="preserve">The service must be provided in a hospital that has been </w:t>
      </w:r>
      <w:r w:rsidR="00C33262" w:rsidRPr="004953A2">
        <w:t xml:space="preserve">endorsed </w:t>
      </w:r>
      <w:r w:rsidR="0007223E" w:rsidRPr="004953A2">
        <w:t xml:space="preserve">for </w:t>
      </w:r>
      <w:r w:rsidR="00C33262" w:rsidRPr="004953A2">
        <w:t xml:space="preserve">undertaking </w:t>
      </w:r>
      <w:r w:rsidR="0007223E" w:rsidRPr="004953A2">
        <w:t>TAVIs.</w:t>
      </w:r>
    </w:p>
    <w:p w14:paraId="332AB204" w14:textId="77777777" w:rsidR="003433D1" w:rsidRPr="004953A2" w:rsidRDefault="00E048ED" w:rsidP="005C3AE7">
      <w:pPr>
        <w:pStyle w:val="ListParagraph"/>
        <w:numPr>
          <w:ilvl w:val="0"/>
          <w:numId w:val="29"/>
        </w:numPr>
        <w:rPr>
          <w:b/>
          <w:szCs w:val="20"/>
        </w:rPr>
      </w:pPr>
      <w:r w:rsidRPr="004953A2">
        <w:rPr>
          <w:b/>
          <w:szCs w:val="20"/>
        </w:rPr>
        <w:t>Where the proposed medical service is provided in more than one setting, please describ</w:t>
      </w:r>
      <w:r w:rsidR="00AE1188" w:rsidRPr="004953A2">
        <w:rPr>
          <w:b/>
          <w:szCs w:val="20"/>
        </w:rPr>
        <w:t>e the rationale related to each:</w:t>
      </w:r>
    </w:p>
    <w:p w14:paraId="07FC065E" w14:textId="5FBC4157" w:rsidR="00E452E2" w:rsidRDefault="000838D3" w:rsidP="0073597B">
      <w:pPr>
        <w:ind w:left="426"/>
      </w:pPr>
      <w:r w:rsidRPr="004953A2">
        <w:t>The service may be provided in either a public or private hospital</w:t>
      </w:r>
      <w:r w:rsidR="006E7190" w:rsidRPr="004953A2">
        <w:t>, as long as it is endorsed (see above).</w:t>
      </w:r>
      <w:r w:rsidRPr="004953A2">
        <w:t xml:space="preserve"> </w:t>
      </w:r>
    </w:p>
    <w:p w14:paraId="41406DAC" w14:textId="77777777" w:rsidR="0073597B" w:rsidRPr="004953A2" w:rsidRDefault="0073597B" w:rsidP="0073597B">
      <w:pPr>
        <w:ind w:left="426"/>
        <w:rPr>
          <w:b/>
          <w:szCs w:val="20"/>
        </w:rPr>
      </w:pPr>
    </w:p>
    <w:p w14:paraId="6A8CFF7D" w14:textId="3F8CE668" w:rsidR="003E30FB" w:rsidRPr="004953A2" w:rsidRDefault="003E30FB" w:rsidP="00530204">
      <w:pPr>
        <w:pStyle w:val="Heading2"/>
      </w:pPr>
      <w:r w:rsidRPr="004953A2">
        <w:lastRenderedPageBreak/>
        <w:t>Is the proposed medical service intended to be entirely rendered in Australia?</w:t>
      </w:r>
    </w:p>
    <w:p w14:paraId="3E325938" w14:textId="5E7E8012" w:rsidR="000A478F" w:rsidRPr="004953A2" w:rsidRDefault="000838D3" w:rsidP="000A478F">
      <w:pPr>
        <w:spacing w:before="0" w:after="0"/>
        <w:ind w:left="426"/>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0A478F" w:rsidRPr="004953A2">
        <w:rPr>
          <w:szCs w:val="20"/>
        </w:rPr>
        <w:t xml:space="preserve"> Yes</w:t>
      </w:r>
    </w:p>
    <w:p w14:paraId="2C958805" w14:textId="77777777" w:rsidR="000A478F" w:rsidRPr="004953A2" w:rsidRDefault="000A478F" w:rsidP="000A478F">
      <w:pPr>
        <w:spacing w:before="0" w:after="0"/>
        <w:ind w:left="426"/>
        <w:rPr>
          <w:szCs w:val="20"/>
        </w:rPr>
      </w:pPr>
      <w:r w:rsidRPr="004953A2">
        <w:rPr>
          <w:szCs w:val="20"/>
        </w:rPr>
        <w:fldChar w:fldCharType="begin">
          <w:ffData>
            <w:name w:val="Check2"/>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No</w:t>
      </w:r>
      <w:r w:rsidR="00C4696B" w:rsidRPr="004953A2">
        <w:rPr>
          <w:szCs w:val="20"/>
        </w:rPr>
        <w:t xml:space="preserve"> – please specify below</w:t>
      </w:r>
    </w:p>
    <w:p w14:paraId="51042E11" w14:textId="1CA63200" w:rsidR="000A478F" w:rsidRPr="004953A2" w:rsidRDefault="000A478F" w:rsidP="00881F93">
      <w:pPr>
        <w:rPr>
          <w:b/>
          <w:i/>
          <w:szCs w:val="20"/>
          <w:u w:val="single"/>
        </w:rPr>
      </w:pPr>
    </w:p>
    <w:p w14:paraId="2868254F" w14:textId="77777777" w:rsidR="00E60529" w:rsidRPr="004953A2" w:rsidRDefault="005C3AE7" w:rsidP="005C3AE7">
      <w:pPr>
        <w:pStyle w:val="Subtitle"/>
      </w:pPr>
      <w:r w:rsidRPr="004953A2">
        <w:t xml:space="preserve">PART 6c – </w:t>
      </w:r>
      <w:r w:rsidR="00E60529" w:rsidRPr="004953A2">
        <w:t>INFORMATION ABOUT THE COMPARATOR</w:t>
      </w:r>
      <w:r w:rsidR="00A83EC6" w:rsidRPr="004953A2">
        <w:t>(S)</w:t>
      </w:r>
    </w:p>
    <w:p w14:paraId="3E6C0717" w14:textId="77777777" w:rsidR="00E60529" w:rsidRPr="004953A2" w:rsidRDefault="00A83EC6" w:rsidP="00530204">
      <w:pPr>
        <w:pStyle w:val="Heading2"/>
      </w:pPr>
      <w:r w:rsidRPr="004953A2">
        <w:t>Nominate the appropriate comparator(s) for the proposed medical service</w:t>
      </w:r>
      <w:r w:rsidR="00757232" w:rsidRPr="004953A2">
        <w:t>, i</w:t>
      </w:r>
      <w:r w:rsidR="00D30BDC" w:rsidRPr="004953A2">
        <w:t>.</w:t>
      </w:r>
      <w:r w:rsidR="000159B9" w:rsidRPr="004953A2">
        <w:t xml:space="preserve">e. how is the proposed population currently managed in </w:t>
      </w:r>
      <w:r w:rsidR="00707D4D" w:rsidRPr="004953A2">
        <w:t>the</w:t>
      </w:r>
      <w:r w:rsidR="000159B9" w:rsidRPr="004953A2">
        <w:t xml:space="preserve"> absence of the proposed medical service </w:t>
      </w:r>
      <w:r w:rsidR="00257FF2" w:rsidRPr="004953A2">
        <w:t>being available in the Australian health care system (</w:t>
      </w:r>
      <w:r w:rsidR="00757232" w:rsidRPr="004953A2">
        <w:t xml:space="preserve">including </w:t>
      </w:r>
      <w:r w:rsidR="00257FF2" w:rsidRPr="004953A2">
        <w:t>identify</w:t>
      </w:r>
      <w:r w:rsidR="00757232" w:rsidRPr="004953A2">
        <w:t>ing</w:t>
      </w:r>
      <w:r w:rsidR="00E4321E" w:rsidRPr="004953A2">
        <w:t xml:space="preserve"> health care resources that </w:t>
      </w:r>
      <w:r w:rsidR="00257FF2" w:rsidRPr="004953A2">
        <w:t xml:space="preserve">are </w:t>
      </w:r>
      <w:r w:rsidR="00E4321E" w:rsidRPr="004953A2">
        <w:t>need</w:t>
      </w:r>
      <w:r w:rsidR="00757232" w:rsidRPr="004953A2">
        <w:t>ed</w:t>
      </w:r>
      <w:r w:rsidR="00E4321E" w:rsidRPr="004953A2">
        <w:t xml:space="preserve"> to be delivered at </w:t>
      </w:r>
      <w:r w:rsidR="00257FF2" w:rsidRPr="004953A2">
        <w:t xml:space="preserve">the </w:t>
      </w:r>
      <w:r w:rsidR="00E4321E" w:rsidRPr="004953A2">
        <w:t xml:space="preserve">same time </w:t>
      </w:r>
      <w:r w:rsidR="00257FF2" w:rsidRPr="004953A2">
        <w:t>as the</w:t>
      </w:r>
      <w:r w:rsidR="00E4321E" w:rsidRPr="004953A2">
        <w:t xml:space="preserve"> </w:t>
      </w:r>
      <w:r w:rsidR="00257FF2" w:rsidRPr="004953A2">
        <w:t xml:space="preserve">comparator </w:t>
      </w:r>
      <w:r w:rsidR="00E4321E" w:rsidRPr="004953A2">
        <w:t>service</w:t>
      </w:r>
      <w:r w:rsidR="00257FF2" w:rsidRPr="004953A2">
        <w:t>)</w:t>
      </w:r>
      <w:r w:rsidR="00AE1188" w:rsidRPr="004953A2">
        <w:t>:</w:t>
      </w:r>
    </w:p>
    <w:p w14:paraId="5158CA75" w14:textId="76F024C0" w:rsidR="00E60529" w:rsidRPr="004953A2" w:rsidRDefault="000838D3" w:rsidP="001B29A1">
      <w:pPr>
        <w:ind w:left="426"/>
        <w:rPr>
          <w:szCs w:val="20"/>
        </w:rPr>
      </w:pPr>
      <w:r w:rsidRPr="004953A2">
        <w:t>The comparator is SAVR with a bioprosthe</w:t>
      </w:r>
      <w:r w:rsidR="003D0762" w:rsidRPr="004953A2">
        <w:t>tic</w:t>
      </w:r>
      <w:r w:rsidRPr="004953A2">
        <w:t xml:space="preserve"> or mechanical aortic valve. As with TAVI</w:t>
      </w:r>
      <w:r w:rsidR="00C33262" w:rsidRPr="004953A2">
        <w:t xml:space="preserve"> with the SAPIEN 3</w:t>
      </w:r>
      <w:r w:rsidR="001F4619" w:rsidRPr="004953A2">
        <w:t xml:space="preserve"> BEV</w:t>
      </w:r>
      <w:r w:rsidRPr="004953A2">
        <w:t xml:space="preserve">, it is not anticipated that other resources would be required at the same time other than those that are provided during the SAVR </w:t>
      </w:r>
      <w:r w:rsidR="006E7190" w:rsidRPr="004953A2">
        <w:t>procedure.</w:t>
      </w:r>
    </w:p>
    <w:p w14:paraId="565BC0D2" w14:textId="77777777" w:rsidR="00757232" w:rsidRPr="004953A2" w:rsidRDefault="00AF5D1E" w:rsidP="00530204">
      <w:pPr>
        <w:pStyle w:val="Heading2"/>
      </w:pPr>
      <w:r w:rsidRPr="004953A2">
        <w:t>Does the medical service that has been nominated as the comparator</w:t>
      </w:r>
      <w:r w:rsidR="000159B9" w:rsidRPr="004953A2">
        <w:t xml:space="preserve"> </w:t>
      </w:r>
      <w:r w:rsidRPr="004953A2">
        <w:t>have an existing MBS item number</w:t>
      </w:r>
      <w:r w:rsidR="00D30BDC" w:rsidRPr="004953A2">
        <w:t>(s)</w:t>
      </w:r>
      <w:r w:rsidR="00757232" w:rsidRPr="004953A2">
        <w:t>?</w:t>
      </w:r>
    </w:p>
    <w:p w14:paraId="19011BB9" w14:textId="1A84752C" w:rsidR="006A1038" w:rsidRPr="004953A2" w:rsidRDefault="000838D3" w:rsidP="006A1038">
      <w:pPr>
        <w:spacing w:before="0" w:after="0"/>
        <w:ind w:left="426"/>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6A1038" w:rsidRPr="004953A2">
        <w:rPr>
          <w:szCs w:val="20"/>
        </w:rPr>
        <w:t xml:space="preserve"> Yes (please provide all relevant MBS item numbers below)</w:t>
      </w:r>
    </w:p>
    <w:p w14:paraId="4C2346C2" w14:textId="3B3D8033" w:rsidR="00A919D6" w:rsidRPr="004953A2" w:rsidRDefault="00A919D6" w:rsidP="006A1038">
      <w:pPr>
        <w:spacing w:before="0" w:after="0"/>
        <w:ind w:left="426"/>
        <w:rPr>
          <w:szCs w:val="20"/>
        </w:rPr>
      </w:pPr>
      <w:r w:rsidRPr="004953A2">
        <w:rPr>
          <w:szCs w:val="20"/>
        </w:rPr>
        <w:fldChar w:fldCharType="begin">
          <w:ffData>
            <w:name w:val="Check2"/>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No</w:t>
      </w:r>
    </w:p>
    <w:p w14:paraId="10E217CB" w14:textId="76B7AB84" w:rsidR="000159B9" w:rsidRPr="004953A2" w:rsidRDefault="00F06096" w:rsidP="001B29A1">
      <w:pPr>
        <w:ind w:left="426"/>
        <w:rPr>
          <w:szCs w:val="20"/>
        </w:rPr>
      </w:pPr>
      <w:r w:rsidRPr="004953A2">
        <w:rPr>
          <w:noProof/>
          <w:szCs w:val="20"/>
          <w:lang w:eastAsia="en-AU"/>
        </w:rPr>
        <mc:AlternateContent>
          <mc:Choice Requires="wps">
            <w:drawing>
              <wp:inline distT="0" distB="0" distL="0" distR="0" wp14:anchorId="7F3BD671" wp14:editId="359EB80B">
                <wp:extent cx="5276850" cy="8763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876300"/>
                        </a:xfrm>
                        <a:prstGeom prst="rect">
                          <a:avLst/>
                        </a:prstGeom>
                        <a:solidFill>
                          <a:srgbClr val="FFFFFF"/>
                        </a:solidFill>
                        <a:ln w="9525">
                          <a:solidFill>
                            <a:srgbClr val="000000"/>
                          </a:solidFill>
                          <a:miter lim="800000"/>
                          <a:headEnd/>
                          <a:tailEnd/>
                        </a:ln>
                      </wps:spPr>
                      <wps:txbx>
                        <w:txbxContent>
                          <w:p w14:paraId="35C7A306" w14:textId="77777777" w:rsidR="007D705B" w:rsidRDefault="007D705B" w:rsidP="00F06096">
                            <w:pPr>
                              <w:rPr>
                                <w:b/>
                              </w:rPr>
                            </w:pPr>
                            <w:r w:rsidRPr="003B402C">
                              <w:rPr>
                                <w:b/>
                              </w:rPr>
                              <w:t>38488</w:t>
                            </w:r>
                          </w:p>
                          <w:p w14:paraId="46C5F72B" w14:textId="77777777" w:rsidR="007D705B" w:rsidRPr="003B402C" w:rsidRDefault="007D705B" w:rsidP="00F06096">
                            <w:pPr>
                              <w:rPr>
                                <w:b/>
                              </w:rPr>
                            </w:pPr>
                            <w:r w:rsidRPr="003B402C">
                              <w:rPr>
                                <w:b/>
                              </w:rPr>
                              <w:t>VALVE REPLACEMENT with BIOPROSTHESIS OR MECHANICAL PROSTHESIS</w:t>
                            </w:r>
                          </w:p>
                          <w:p w14:paraId="33A80C3B" w14:textId="1B779D7F" w:rsidR="007D705B" w:rsidRPr="003B402C" w:rsidRDefault="007D705B" w:rsidP="00F06096">
                            <w:pPr>
                              <w:rPr>
                                <w:b/>
                              </w:rPr>
                            </w:pPr>
                            <w:r w:rsidRPr="003B402C">
                              <w:rPr>
                                <w:b/>
                                <w:bCs/>
                              </w:rPr>
                              <w:t>Fee:</w:t>
                            </w:r>
                            <w:r w:rsidRPr="003B402C">
                              <w:rPr>
                                <w:b/>
                              </w:rPr>
                              <w:t> $1,9</w:t>
                            </w:r>
                            <w:r>
                              <w:rPr>
                                <w:b/>
                              </w:rPr>
                              <w:t>40</w:t>
                            </w:r>
                            <w:r w:rsidRPr="003B402C">
                              <w:rPr>
                                <w:b/>
                              </w:rPr>
                              <w:t>.</w:t>
                            </w:r>
                            <w:r>
                              <w:rPr>
                                <w:b/>
                              </w:rPr>
                              <w:t>15</w:t>
                            </w:r>
                          </w:p>
                          <w:p w14:paraId="50EA0495" w14:textId="77777777" w:rsidR="007D705B" w:rsidRDefault="007D705B" w:rsidP="00F06096"/>
                        </w:txbxContent>
                      </wps:txbx>
                      <wps:bodyPr rot="0" vert="horz" wrap="square" lIns="91440" tIns="45720" rIns="91440" bIns="45720" anchor="t" anchorCtr="0">
                        <a:noAutofit/>
                      </wps:bodyPr>
                    </wps:wsp>
                  </a:graphicData>
                </a:graphic>
              </wp:inline>
            </w:drawing>
          </mc:Choice>
          <mc:Fallback>
            <w:pict>
              <v:shapetype w14:anchorId="7F3BD671" id="_x0000_t202" coordsize="21600,21600" o:spt="202" path="m,l,21600r21600,l21600,xe">
                <v:stroke joinstyle="miter"/>
                <v:path gradientshapeok="t" o:connecttype="rect"/>
              </v:shapetype>
              <v:shape id="Text Box 2" o:spid="_x0000_s1026" type="#_x0000_t202" style="width:415.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JgIgIAAEQ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5RYphG&#10;iZ7EEMhbGEgR2emtLzHo0WJYGPAaVU6VevsA/JsnBjYdMztx5xz0nWANZjeNL7OLpyOOjyB1/xEa&#10;/IbtAySgoXU6UodkEERHlY5nZWIqHC/nxfViOUcXR9/yenGVJ+kyVj6/ts6H9wI0iYeKOlQ+obPD&#10;gw8xG1Y+h8TPPCjZbKVSyXC7eqMcOTDskm1aqYAXYcqQvqI382I+EvBXiDytP0FoGbDdldRYxTmI&#10;lZG2d6ZJzRiYVOMZU1bmxGOkbiQxDPVw0qWG5oiMOhjbGscQDx24H5T02NIV9d/3zAlK1AeDqtxM&#10;Z7M4A8mYza8LNNylp770MMMRqqKBkvG4CWluImEG7lC9ViZio8xjJqdcsVUT36exirNwaaeoX8O/&#10;/gkAAP//AwBQSwMEFAAGAAgAAAAhACVfC5DbAAAABQEAAA8AAABkcnMvZG93bnJldi54bWxMj8FO&#10;wzAQRO9I/IO1SFxQ65SgNoQ4FUICwa0UBFc33iYR9jrYbhr+noULXFYazWj2TbWenBUjhth7UrCY&#10;ZyCQGm96ahW8vtzPChAxaTLaekIFXxhhXZ+eVLo0/kjPOG5TK7iEYqkVdCkNpZSx6dDpOPcDEnt7&#10;H5xOLEMrTdBHLndWXmbZUjrdE3/o9IB3HTYf24NTUFw9ju/xKd+8Ncu9vU4Xq/HhMyh1fjbd3oBI&#10;OKW/MPzgMzrUzLTzBzJRWAU8JP1e9op8wXLHobzIQNaV/E9ffwMAAP//AwBQSwECLQAUAAYACAAA&#10;ACEAtoM4kv4AAADhAQAAEwAAAAAAAAAAAAAAAAAAAAAAW0NvbnRlbnRfVHlwZXNdLnhtbFBLAQIt&#10;ABQABgAIAAAAIQA4/SH/1gAAAJQBAAALAAAAAAAAAAAAAAAAAC8BAABfcmVscy8ucmVsc1BLAQIt&#10;ABQABgAIAAAAIQADqMJgIgIAAEQEAAAOAAAAAAAAAAAAAAAAAC4CAABkcnMvZTJvRG9jLnhtbFBL&#10;AQItABQABgAIAAAAIQAlXwuQ2wAAAAUBAAAPAAAAAAAAAAAAAAAAAHwEAABkcnMvZG93bnJldi54&#10;bWxQSwUGAAAAAAQABADzAAAAhAUAAAAA&#10;">
                <v:textbox>
                  <w:txbxContent>
                    <w:p w14:paraId="35C7A306" w14:textId="77777777" w:rsidR="007D705B" w:rsidRDefault="007D705B" w:rsidP="00F06096">
                      <w:pPr>
                        <w:rPr>
                          <w:b/>
                        </w:rPr>
                      </w:pPr>
                      <w:r w:rsidRPr="003B402C">
                        <w:rPr>
                          <w:b/>
                        </w:rPr>
                        <w:t>38488</w:t>
                      </w:r>
                    </w:p>
                    <w:p w14:paraId="46C5F72B" w14:textId="77777777" w:rsidR="007D705B" w:rsidRPr="003B402C" w:rsidRDefault="007D705B" w:rsidP="00F06096">
                      <w:pPr>
                        <w:rPr>
                          <w:b/>
                        </w:rPr>
                      </w:pPr>
                      <w:r w:rsidRPr="003B402C">
                        <w:rPr>
                          <w:b/>
                        </w:rPr>
                        <w:t>VALVE REPLACEMENT with BIOPROSTHESIS OR MECHANICAL PROSTHESIS</w:t>
                      </w:r>
                    </w:p>
                    <w:p w14:paraId="33A80C3B" w14:textId="1B779D7F" w:rsidR="007D705B" w:rsidRPr="003B402C" w:rsidRDefault="007D705B" w:rsidP="00F06096">
                      <w:pPr>
                        <w:rPr>
                          <w:b/>
                        </w:rPr>
                      </w:pPr>
                      <w:r w:rsidRPr="003B402C">
                        <w:rPr>
                          <w:b/>
                          <w:bCs/>
                        </w:rPr>
                        <w:t>Fee:</w:t>
                      </w:r>
                      <w:r w:rsidRPr="003B402C">
                        <w:rPr>
                          <w:b/>
                        </w:rPr>
                        <w:t> $1,9</w:t>
                      </w:r>
                      <w:r>
                        <w:rPr>
                          <w:b/>
                        </w:rPr>
                        <w:t>40</w:t>
                      </w:r>
                      <w:r w:rsidRPr="003B402C">
                        <w:rPr>
                          <w:b/>
                        </w:rPr>
                        <w:t>.</w:t>
                      </w:r>
                      <w:r>
                        <w:rPr>
                          <w:b/>
                        </w:rPr>
                        <w:t>15</w:t>
                      </w:r>
                    </w:p>
                    <w:p w14:paraId="50EA0495" w14:textId="77777777" w:rsidR="007D705B" w:rsidRDefault="007D705B" w:rsidP="00F06096"/>
                  </w:txbxContent>
                </v:textbox>
                <w10:anchorlock/>
              </v:shape>
            </w:pict>
          </mc:Fallback>
        </mc:AlternateContent>
      </w:r>
      <w:r w:rsidR="003B402C" w:rsidRPr="004953A2">
        <w:rPr>
          <w:noProof/>
          <w:szCs w:val="20"/>
          <w:lang w:eastAsia="en-AU"/>
        </w:rPr>
        <mc:AlternateContent>
          <mc:Choice Requires="wps">
            <w:drawing>
              <wp:inline distT="0" distB="0" distL="0" distR="0" wp14:anchorId="499D35D0" wp14:editId="76A6AFAE">
                <wp:extent cx="5276850" cy="88582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885825"/>
                        </a:xfrm>
                        <a:prstGeom prst="rect">
                          <a:avLst/>
                        </a:prstGeom>
                        <a:solidFill>
                          <a:srgbClr val="FFFFFF"/>
                        </a:solidFill>
                        <a:ln w="9525">
                          <a:solidFill>
                            <a:srgbClr val="000000"/>
                          </a:solidFill>
                          <a:miter lim="800000"/>
                          <a:headEnd/>
                          <a:tailEnd/>
                        </a:ln>
                      </wps:spPr>
                      <wps:txbx>
                        <w:txbxContent>
                          <w:p w14:paraId="4C1F8795" w14:textId="2DABF7E8" w:rsidR="007D705B" w:rsidRPr="003B402C" w:rsidRDefault="007D705B">
                            <w:pPr>
                              <w:rPr>
                                <w:b/>
                              </w:rPr>
                            </w:pPr>
                            <w:r w:rsidRPr="003B402C">
                              <w:rPr>
                                <w:b/>
                              </w:rPr>
                              <w:t>38489</w:t>
                            </w:r>
                          </w:p>
                          <w:p w14:paraId="3DD5FFAB" w14:textId="77777777" w:rsidR="007D705B" w:rsidRPr="003B402C" w:rsidRDefault="007D705B" w:rsidP="003B402C">
                            <w:pPr>
                              <w:rPr>
                                <w:b/>
                              </w:rPr>
                            </w:pPr>
                            <w:r w:rsidRPr="003B402C">
                              <w:rPr>
                                <w:b/>
                              </w:rPr>
                              <w:t>VALVE REPLACEMENT with allograft (subcoronary or cylindrical implant), or unstented xenograft</w:t>
                            </w:r>
                          </w:p>
                          <w:p w14:paraId="7B4E0D52" w14:textId="56E1E3EE" w:rsidR="007D705B" w:rsidRPr="003B402C" w:rsidRDefault="007D705B" w:rsidP="003B402C">
                            <w:pPr>
                              <w:rPr>
                                <w:b/>
                              </w:rPr>
                            </w:pPr>
                            <w:r w:rsidRPr="003B402C">
                              <w:rPr>
                                <w:b/>
                                <w:bCs/>
                              </w:rPr>
                              <w:t>Fee:</w:t>
                            </w:r>
                            <w:r w:rsidRPr="003B402C">
                              <w:rPr>
                                <w:b/>
                              </w:rPr>
                              <w:t> $2,</w:t>
                            </w:r>
                            <w:r>
                              <w:rPr>
                                <w:b/>
                              </w:rPr>
                              <w:t>307</w:t>
                            </w:r>
                            <w:r w:rsidRPr="003B402C">
                              <w:rPr>
                                <w:b/>
                              </w:rPr>
                              <w:t>.</w:t>
                            </w:r>
                            <w:r>
                              <w:rPr>
                                <w:b/>
                              </w:rPr>
                              <w:t>40</w:t>
                            </w:r>
                          </w:p>
                          <w:p w14:paraId="39525779" w14:textId="77777777" w:rsidR="007D705B" w:rsidRDefault="007D705B"/>
                        </w:txbxContent>
                      </wps:txbx>
                      <wps:bodyPr rot="0" vert="horz" wrap="square" lIns="91440" tIns="45720" rIns="91440" bIns="45720" anchor="t" anchorCtr="0">
                        <a:noAutofit/>
                      </wps:bodyPr>
                    </wps:wsp>
                  </a:graphicData>
                </a:graphic>
              </wp:inline>
            </w:drawing>
          </mc:Choice>
          <mc:Fallback>
            <w:pict>
              <v:shape w14:anchorId="499D35D0" id="_x0000_s1027" type="#_x0000_t202" style="width:415.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BNIwIAAEsEAAAOAAAAZHJzL2Uyb0RvYy54bWysVM1u2zAMvg/YOwi6L06MuE2NOEWXLsOA&#10;rhvQ7gFoWY6FyaImKbG7px+lpGn2gx2G+SCQIvWR/Eh6eT32mu2l8wpNxWeTKWfSCGyU2Vb8y+Pm&#10;zYIzH8A0oNHIij9Jz69Xr18tB1vKHDvUjXSMQIwvB1vxLgRbZpkXnezBT9BKQ8YWXQ+BVLfNGgcD&#10;ofc6y6fTi2xA11iHQnpPt7cHI18l/LaVInxqWy8D0xWn3EI6XTrreGarJZRbB7ZT4pgG/EMWPShD&#10;QU9QtxCA7Zz6DapXwqHHNkwE9hm2rRIy1UDVzKa/VPPQgZWpFiLH2xNN/v/Bivv9Z8dUU/GcMwM9&#10;tehRjoG9xZHlkZ3B+pKcHiy5hZGuqcupUm/vUHz1zOC6A7OVN87h0EloKLtZfJmdPT3g+AhSDx+x&#10;oTCwC5iAxtb1kToigxE6denp1JmYiqDLIr+8WBRkEmRbLIpFXqQQUD6/ts6H9xJ7FoWKO+p8Qof9&#10;nQ8xGyifXWIwj1o1G6V1Uty2XmvH9kBTsknfEf0nN23YUPGrgmL/HWKavj9B9CrQuGvVUxUnJygj&#10;be9Mk4YxgNIHmVLW5shjpO5AYhjrMTUskRw5rrF5ImIdHqabtpGEDt13zgaa7Ir7bztwkjP9wVBz&#10;rmbzeVyFpMyLy5wUd26pzy1gBEFVPHB2ENchrU9kwOANNbFVid+XTI4p08Qm2o/bFVfiXE9eL/+A&#10;1Q8AAAD//wMAUEsDBBQABgAIAAAAIQDZ6ebL2wAAAAUBAAAPAAAAZHJzL2Rvd25yZXYueG1sTI/B&#10;TsMwEETvSPyDtUhcEHVKoKQhToWQQPQGBcHVjbdJhL0OtpuGv2fhApeVRjOafVOtJmfFiCH2nhTM&#10;ZxkIpMabnloFry/35wWImDQZbT2hgi+MsKqPjypdGn+gZxw3qRVcQrHUCrqUhlLK2HTodJz5AYm9&#10;nQ9OJ5ahlSboA5c7Ky+ybCGd7ok/dHrAuw6bj83eKSguH8f3uM6f3prFzi7T2fX48BmUOj2Zbm9A&#10;JJzSXxh+8Bkdamba+j2ZKKwCHpJ+L3tFPme55VC+vAJZV/I/ff0NAAD//wMAUEsBAi0AFAAGAAgA&#10;AAAhALaDOJL+AAAA4QEAABMAAAAAAAAAAAAAAAAAAAAAAFtDb250ZW50X1R5cGVzXS54bWxQSwEC&#10;LQAUAAYACAAAACEAOP0h/9YAAACUAQAACwAAAAAAAAAAAAAAAAAvAQAAX3JlbHMvLnJlbHNQSwEC&#10;LQAUAAYACAAAACEAW3ggTSMCAABLBAAADgAAAAAAAAAAAAAAAAAuAgAAZHJzL2Uyb0RvYy54bWxQ&#10;SwECLQAUAAYACAAAACEA2enmy9sAAAAFAQAADwAAAAAAAAAAAAAAAAB9BAAAZHJzL2Rvd25yZXYu&#10;eG1sUEsFBgAAAAAEAAQA8wAAAIUFAAAAAA==&#10;">
                <v:textbox>
                  <w:txbxContent>
                    <w:p w14:paraId="4C1F8795" w14:textId="2DABF7E8" w:rsidR="007D705B" w:rsidRPr="003B402C" w:rsidRDefault="007D705B">
                      <w:pPr>
                        <w:rPr>
                          <w:b/>
                        </w:rPr>
                      </w:pPr>
                      <w:r w:rsidRPr="003B402C">
                        <w:rPr>
                          <w:b/>
                        </w:rPr>
                        <w:t>38489</w:t>
                      </w:r>
                    </w:p>
                    <w:p w14:paraId="3DD5FFAB" w14:textId="77777777" w:rsidR="007D705B" w:rsidRPr="003B402C" w:rsidRDefault="007D705B" w:rsidP="003B402C">
                      <w:pPr>
                        <w:rPr>
                          <w:b/>
                        </w:rPr>
                      </w:pPr>
                      <w:r w:rsidRPr="003B402C">
                        <w:rPr>
                          <w:b/>
                        </w:rPr>
                        <w:t>VALVE REPLACEMENT with allograft (subcoronary or cylindrical implant), or unstented xenograft</w:t>
                      </w:r>
                    </w:p>
                    <w:p w14:paraId="7B4E0D52" w14:textId="56E1E3EE" w:rsidR="007D705B" w:rsidRPr="003B402C" w:rsidRDefault="007D705B" w:rsidP="003B402C">
                      <w:pPr>
                        <w:rPr>
                          <w:b/>
                        </w:rPr>
                      </w:pPr>
                      <w:r w:rsidRPr="003B402C">
                        <w:rPr>
                          <w:b/>
                          <w:bCs/>
                        </w:rPr>
                        <w:t>Fee:</w:t>
                      </w:r>
                      <w:r w:rsidRPr="003B402C">
                        <w:rPr>
                          <w:b/>
                        </w:rPr>
                        <w:t> $2,</w:t>
                      </w:r>
                      <w:r>
                        <w:rPr>
                          <w:b/>
                        </w:rPr>
                        <w:t>307</w:t>
                      </w:r>
                      <w:r w:rsidRPr="003B402C">
                        <w:rPr>
                          <w:b/>
                        </w:rPr>
                        <w:t>.</w:t>
                      </w:r>
                      <w:r>
                        <w:rPr>
                          <w:b/>
                        </w:rPr>
                        <w:t>40</w:t>
                      </w:r>
                    </w:p>
                    <w:p w14:paraId="39525779" w14:textId="77777777" w:rsidR="007D705B" w:rsidRDefault="007D705B"/>
                  </w:txbxContent>
                </v:textbox>
                <w10:anchorlock/>
              </v:shape>
            </w:pict>
          </mc:Fallback>
        </mc:AlternateContent>
      </w:r>
    </w:p>
    <w:p w14:paraId="4CB77833" w14:textId="3B6ECEFF" w:rsidR="00AF5D1E" w:rsidRPr="004953A2" w:rsidRDefault="00AF5D1E" w:rsidP="00530204">
      <w:pPr>
        <w:pStyle w:val="Heading2"/>
      </w:pPr>
      <w:r w:rsidRPr="004953A2">
        <w:t>Define and summarise the current cl</w:t>
      </w:r>
      <w:r w:rsidR="00F33F1A" w:rsidRPr="004953A2">
        <w:t xml:space="preserve">inical management pathways that patients may follow </w:t>
      </w:r>
      <w:r w:rsidR="00F33F1A" w:rsidRPr="004953A2">
        <w:rPr>
          <w:i/>
        </w:rPr>
        <w:t>after</w:t>
      </w:r>
      <w:r w:rsidR="00757232" w:rsidRPr="004953A2">
        <w:t xml:space="preserve"> they receive</w:t>
      </w:r>
      <w:r w:rsidRPr="004953A2">
        <w:t xml:space="preserve"> </w:t>
      </w:r>
      <w:r w:rsidR="00F33F1A" w:rsidRPr="004953A2">
        <w:t xml:space="preserve">the medical service that has been nominated as the comparator </w:t>
      </w:r>
      <w:r w:rsidRPr="004953A2">
        <w:t xml:space="preserve">(supplement this summary with </w:t>
      </w:r>
      <w:r w:rsidR="00F33F1A" w:rsidRPr="004953A2">
        <w:t xml:space="preserve">an easy to follow flowchart </w:t>
      </w:r>
      <w:r w:rsidR="00757232" w:rsidRPr="004953A2">
        <w:t xml:space="preserve">[as an attachment to the Application Form] </w:t>
      </w:r>
      <w:r w:rsidR="00F33F1A" w:rsidRPr="004953A2">
        <w:t>dep</w:t>
      </w:r>
      <w:r w:rsidRPr="004953A2">
        <w:t>icting the current c</w:t>
      </w:r>
      <w:r w:rsidR="0054594B" w:rsidRPr="004953A2">
        <w:t>linical management pathway</w:t>
      </w:r>
      <w:r w:rsidR="00757232" w:rsidRPr="004953A2">
        <w:t xml:space="preserve"> </w:t>
      </w:r>
      <w:r w:rsidR="0054594B" w:rsidRPr="004953A2">
        <w:t>that patients may follow from the point of receiving the comparator onwards</w:t>
      </w:r>
      <w:r w:rsidR="00E4321E" w:rsidRPr="004953A2">
        <w:t xml:space="preserve"> including health care resources</w:t>
      </w:r>
      <w:r w:rsidR="00AE1188" w:rsidRPr="004953A2">
        <w:t>):</w:t>
      </w:r>
    </w:p>
    <w:p w14:paraId="358B11DF" w14:textId="3981BD63" w:rsidR="003433D1" w:rsidRPr="004953A2" w:rsidRDefault="00DF2299" w:rsidP="00DF2299">
      <w:pPr>
        <w:ind w:left="360"/>
      </w:pPr>
      <w:r w:rsidRPr="004953A2">
        <w:t xml:space="preserve">Patients receiving SAVR </w:t>
      </w:r>
      <w:r w:rsidR="00AB4B84" w:rsidRPr="004953A2">
        <w:t xml:space="preserve">receive an echocardiogram at one month, </w:t>
      </w:r>
      <w:r w:rsidR="00F06096" w:rsidRPr="004953A2">
        <w:t>six</w:t>
      </w:r>
      <w:r w:rsidR="00AB4B84" w:rsidRPr="004953A2">
        <w:t xml:space="preserve"> months and </w:t>
      </w:r>
      <w:r w:rsidR="003D0762" w:rsidRPr="004953A2">
        <w:t xml:space="preserve">one </w:t>
      </w:r>
      <w:r w:rsidR="00AB4B84" w:rsidRPr="004953A2">
        <w:t>year</w:t>
      </w:r>
      <w:r w:rsidR="00F06096" w:rsidRPr="004953A2">
        <w:t xml:space="preserve"> after the procedure</w:t>
      </w:r>
      <w:r w:rsidR="00AB4B84" w:rsidRPr="004953A2">
        <w:t xml:space="preserve">. Complications of SAVR include stroke, heart failure, permanent pacemaker implantation, and other cardiovascular events. </w:t>
      </w:r>
      <w:r w:rsidR="00F06096" w:rsidRPr="004953A2">
        <w:t>R</w:t>
      </w:r>
      <w:r w:rsidR="00AB4B84" w:rsidRPr="004953A2">
        <w:t xml:space="preserve">e-operation </w:t>
      </w:r>
      <w:r w:rsidR="00F06096" w:rsidRPr="004953A2">
        <w:t xml:space="preserve">may </w:t>
      </w:r>
      <w:r w:rsidR="00AB4B84" w:rsidRPr="004953A2">
        <w:t xml:space="preserve">be needed, </w:t>
      </w:r>
      <w:r w:rsidR="00F06096" w:rsidRPr="004953A2">
        <w:t xml:space="preserve">but </w:t>
      </w:r>
      <w:r w:rsidR="00AB4B84" w:rsidRPr="004953A2">
        <w:t xml:space="preserve">this is rare. </w:t>
      </w:r>
      <w:r w:rsidR="00CF23B4" w:rsidRPr="004953A2">
        <w:t>S</w:t>
      </w:r>
      <w:r w:rsidR="0046738D" w:rsidRPr="004953A2">
        <w:t>ee the attached ‘Clinical Pathway after SAVR</w:t>
      </w:r>
      <w:r w:rsidR="00F06096" w:rsidRPr="004953A2">
        <w:t>’.</w:t>
      </w:r>
    </w:p>
    <w:p w14:paraId="5D60909C" w14:textId="5B3644DA" w:rsidR="003D0762" w:rsidRPr="004953A2" w:rsidRDefault="007D0E47" w:rsidP="00DF2299">
      <w:pPr>
        <w:ind w:left="360"/>
      </w:pPr>
      <w:r w:rsidRPr="004953A2">
        <w:rPr>
          <w:noProof/>
          <w:lang w:eastAsia="en-AU"/>
        </w:rPr>
        <w:lastRenderedPageBreak/>
        <w:drawing>
          <wp:inline distT="0" distB="0" distL="0" distR="0" wp14:anchorId="0A63D2D3" wp14:editId="791EEBA0">
            <wp:extent cx="5295900" cy="3972929"/>
            <wp:effectExtent l="0" t="0" r="0" b="8890"/>
            <wp:docPr id="257" name="Picture 257" descr="Picture" title="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5290" cy="3994977"/>
                    </a:xfrm>
                    <a:prstGeom prst="rect">
                      <a:avLst/>
                    </a:prstGeom>
                    <a:noFill/>
                  </pic:spPr>
                </pic:pic>
              </a:graphicData>
            </a:graphic>
          </wp:inline>
        </w:drawing>
      </w:r>
    </w:p>
    <w:p w14:paraId="02BEF4F6" w14:textId="44FAEC33" w:rsidR="00262865" w:rsidRPr="004953A2" w:rsidRDefault="00262865" w:rsidP="00DF2299">
      <w:pPr>
        <w:ind w:left="360"/>
        <w:rPr>
          <w:b/>
          <w:szCs w:val="20"/>
        </w:rPr>
      </w:pPr>
    </w:p>
    <w:p w14:paraId="33396D95" w14:textId="06EDE10A" w:rsidR="00A83EC6" w:rsidRPr="004953A2" w:rsidRDefault="005C3AE7" w:rsidP="00530204">
      <w:pPr>
        <w:pStyle w:val="Heading2"/>
      </w:pPr>
      <w:r w:rsidRPr="004953A2">
        <w:t xml:space="preserve">(a) </w:t>
      </w:r>
      <w:r w:rsidR="00CD7A7D" w:rsidRPr="004953A2">
        <w:t xml:space="preserve">Will </w:t>
      </w:r>
      <w:r w:rsidR="00A83EC6" w:rsidRPr="004953A2">
        <w:t>the proposed medical service be used in addition to, or instead of, the nominated comparator(s)</w:t>
      </w:r>
      <w:r w:rsidR="00D30BDC" w:rsidRPr="004953A2">
        <w:t>?</w:t>
      </w:r>
    </w:p>
    <w:p w14:paraId="6EDEF3B4" w14:textId="02693ED7" w:rsidR="00AB4B84" w:rsidRPr="004953A2" w:rsidRDefault="00AB4B84" w:rsidP="00AB4B84">
      <w:pPr>
        <w:ind w:left="360"/>
      </w:pPr>
      <w:r w:rsidRPr="004953A2">
        <w:t xml:space="preserve">It will be </w:t>
      </w:r>
      <w:r w:rsidRPr="004953A2">
        <w:rPr>
          <w:i/>
        </w:rPr>
        <w:t>instead of</w:t>
      </w:r>
      <w:r w:rsidRPr="004953A2">
        <w:t xml:space="preserve"> the nominated comparator</w:t>
      </w:r>
      <w:r w:rsidR="00025EE9" w:rsidRPr="004953A2">
        <w:t>.</w:t>
      </w:r>
    </w:p>
    <w:p w14:paraId="3D2DB13D" w14:textId="029C88B5" w:rsidR="001B29A1" w:rsidRPr="004953A2" w:rsidRDefault="00F342C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D1F51">
        <w:rPr>
          <w:szCs w:val="20"/>
        </w:rPr>
      </w:r>
      <w:r w:rsidR="006D1F51">
        <w:rPr>
          <w:szCs w:val="20"/>
        </w:rPr>
        <w:fldChar w:fldCharType="separate"/>
      </w:r>
      <w:r>
        <w:rPr>
          <w:szCs w:val="20"/>
        </w:rPr>
        <w:fldChar w:fldCharType="end"/>
      </w:r>
      <w:r w:rsidR="001B29A1" w:rsidRPr="004953A2">
        <w:rPr>
          <w:szCs w:val="20"/>
        </w:rPr>
        <w:t xml:space="preserve"> Yes </w:t>
      </w:r>
    </w:p>
    <w:p w14:paraId="1CF54F46" w14:textId="77777777" w:rsidR="001B29A1" w:rsidRPr="004953A2" w:rsidRDefault="001B29A1" w:rsidP="001B29A1">
      <w:pPr>
        <w:spacing w:before="0" w:after="0"/>
        <w:ind w:left="426"/>
        <w:rPr>
          <w:szCs w:val="20"/>
        </w:rPr>
      </w:pPr>
      <w:r w:rsidRPr="004953A2">
        <w:rPr>
          <w:szCs w:val="20"/>
        </w:rPr>
        <w:fldChar w:fldCharType="begin">
          <w:ffData>
            <w:name w:val="Check2"/>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No  </w:t>
      </w:r>
    </w:p>
    <w:p w14:paraId="09EEE94E" w14:textId="77777777" w:rsidR="00E70D86" w:rsidRPr="004953A2" w:rsidRDefault="00E70D86" w:rsidP="005C3AE7">
      <w:pPr>
        <w:pStyle w:val="Heading2"/>
        <w:numPr>
          <w:ilvl w:val="0"/>
          <w:numId w:val="30"/>
        </w:numPr>
      </w:pPr>
      <w:r w:rsidRPr="004953A2">
        <w:t xml:space="preserve">If </w:t>
      </w:r>
      <w:r w:rsidR="00D00122" w:rsidRPr="004953A2">
        <w:t xml:space="preserve">yes, </w:t>
      </w:r>
      <w:r w:rsidRPr="004953A2">
        <w:t xml:space="preserve">please </w:t>
      </w:r>
      <w:r w:rsidR="00F33F1A" w:rsidRPr="004953A2">
        <w:t xml:space="preserve">outline </w:t>
      </w:r>
      <w:r w:rsidRPr="004953A2">
        <w:t xml:space="preserve">the extent of </w:t>
      </w:r>
      <w:r w:rsidR="00F33F1A" w:rsidRPr="004953A2">
        <w:t xml:space="preserve">which </w:t>
      </w:r>
      <w:r w:rsidR="00D00122" w:rsidRPr="004953A2">
        <w:t xml:space="preserve">the </w:t>
      </w:r>
      <w:r w:rsidR="00F33F1A" w:rsidRPr="004953A2">
        <w:t xml:space="preserve">current service/comparator is expected to be </w:t>
      </w:r>
      <w:r w:rsidR="00AE1188" w:rsidRPr="004953A2">
        <w:t>substituted:</w:t>
      </w:r>
    </w:p>
    <w:p w14:paraId="2D7903A5" w14:textId="0E63EDF6" w:rsidR="003433D1" w:rsidRPr="004953A2" w:rsidRDefault="00C66BBF" w:rsidP="001B29A1">
      <w:pPr>
        <w:ind w:left="426"/>
        <w:rPr>
          <w:szCs w:val="20"/>
        </w:rPr>
      </w:pPr>
      <w:r w:rsidRPr="004953A2">
        <w:rPr>
          <w:szCs w:val="20"/>
        </w:rPr>
        <w:t xml:space="preserve">It is </w:t>
      </w:r>
      <w:r w:rsidR="00F342C8">
        <w:rPr>
          <w:szCs w:val="20"/>
        </w:rPr>
        <w:t>currently unknown</w:t>
      </w:r>
      <w:r w:rsidR="00F342C8" w:rsidRPr="004953A2">
        <w:rPr>
          <w:szCs w:val="20"/>
        </w:rPr>
        <w:t xml:space="preserve"> </w:t>
      </w:r>
      <w:r w:rsidR="00F342C8">
        <w:rPr>
          <w:szCs w:val="20"/>
        </w:rPr>
        <w:t>what proportion of</w:t>
      </w:r>
      <w:r w:rsidRPr="004953A2">
        <w:rPr>
          <w:szCs w:val="20"/>
        </w:rPr>
        <w:t xml:space="preserve"> </w:t>
      </w:r>
      <w:r w:rsidR="00A27FE0" w:rsidRPr="004953A2">
        <w:rPr>
          <w:szCs w:val="20"/>
        </w:rPr>
        <w:t>low</w:t>
      </w:r>
      <w:r w:rsidRPr="004953A2">
        <w:rPr>
          <w:szCs w:val="20"/>
        </w:rPr>
        <w:t xml:space="preserve"> risk patients </w:t>
      </w:r>
      <w:r w:rsidR="00F342C8">
        <w:rPr>
          <w:szCs w:val="20"/>
        </w:rPr>
        <w:t>will</w:t>
      </w:r>
      <w:r w:rsidRPr="004953A2">
        <w:rPr>
          <w:szCs w:val="20"/>
        </w:rPr>
        <w:t xml:space="preserve"> access TAVI</w:t>
      </w:r>
      <w:r w:rsidR="001F4619" w:rsidRPr="004953A2">
        <w:rPr>
          <w:szCs w:val="20"/>
        </w:rPr>
        <w:t xml:space="preserve"> BEV</w:t>
      </w:r>
      <w:r w:rsidRPr="004953A2">
        <w:rPr>
          <w:szCs w:val="20"/>
        </w:rPr>
        <w:t xml:space="preserve"> should the service be included on the MBS. </w:t>
      </w:r>
      <w:r w:rsidR="00F342C8">
        <w:rPr>
          <w:szCs w:val="20"/>
        </w:rPr>
        <w:t>The proportion may be up to 80%; p</w:t>
      </w:r>
      <w:r w:rsidRPr="004953A2">
        <w:rPr>
          <w:szCs w:val="20"/>
        </w:rPr>
        <w:t xml:space="preserve">lease see </w:t>
      </w:r>
      <w:r w:rsidR="005F2638" w:rsidRPr="004953A2">
        <w:rPr>
          <w:szCs w:val="20"/>
        </w:rPr>
        <w:t xml:space="preserve">responses to </w:t>
      </w:r>
      <w:r w:rsidRPr="004953A2">
        <w:rPr>
          <w:szCs w:val="20"/>
        </w:rPr>
        <w:t>Questions 49 and 50 for further information.</w:t>
      </w:r>
    </w:p>
    <w:p w14:paraId="168D8E29" w14:textId="65E3D57F" w:rsidR="0054594B" w:rsidRPr="004953A2" w:rsidRDefault="009C03FB" w:rsidP="00530204">
      <w:pPr>
        <w:pStyle w:val="Heading2"/>
      </w:pPr>
      <w:r w:rsidRPr="004953A2">
        <w:t>Define and summarise how</w:t>
      </w:r>
      <w:r w:rsidR="00F33F1A" w:rsidRPr="004953A2">
        <w:t xml:space="preserve"> curr</w:t>
      </w:r>
      <w:r w:rsidRPr="004953A2">
        <w:t>ent clinical management pathways (from the point of service delivery onwards) are</w:t>
      </w:r>
      <w:r w:rsidR="00F33F1A" w:rsidRPr="004953A2">
        <w:t xml:space="preserve"> expected to change as a consequence of introducing the proposed medical service </w:t>
      </w:r>
      <w:r w:rsidR="007D2358" w:rsidRPr="004953A2">
        <w:t xml:space="preserve">including variation in health care resources </w:t>
      </w:r>
      <w:r w:rsidRPr="004953A2">
        <w:t>(</w:t>
      </w:r>
      <w:r w:rsidR="002053F2" w:rsidRPr="004953A2">
        <w:t xml:space="preserve">Refer to </w:t>
      </w:r>
      <w:r w:rsidR="00F33F1A" w:rsidRPr="004953A2">
        <w:t xml:space="preserve">Question </w:t>
      </w:r>
      <w:r w:rsidR="00197D29" w:rsidRPr="004953A2">
        <w:t>39</w:t>
      </w:r>
      <w:r w:rsidR="00F33F1A" w:rsidRPr="004953A2">
        <w:t xml:space="preserve"> as baseline)</w:t>
      </w:r>
      <w:r w:rsidR="00AE1188" w:rsidRPr="004953A2">
        <w:t>:</w:t>
      </w:r>
    </w:p>
    <w:p w14:paraId="4F937DBB" w14:textId="2AACB323" w:rsidR="0054594B" w:rsidRPr="004953A2" w:rsidRDefault="00B52F91" w:rsidP="00D10B47">
      <w:pPr>
        <w:pStyle w:val="ListParagraph"/>
        <w:ind w:left="360"/>
      </w:pPr>
      <w:r w:rsidRPr="004953A2">
        <w:t xml:space="preserve">The clinical </w:t>
      </w:r>
      <w:r w:rsidR="00227D9F" w:rsidRPr="004953A2">
        <w:t xml:space="preserve">outcomes </w:t>
      </w:r>
      <w:r w:rsidRPr="004953A2">
        <w:t xml:space="preserve">will be the same after TAVI </w:t>
      </w:r>
      <w:r w:rsidR="00C33262" w:rsidRPr="004953A2">
        <w:t xml:space="preserve">with the SAPIEN 3 </w:t>
      </w:r>
      <w:r w:rsidR="001F4619" w:rsidRPr="004953A2">
        <w:t xml:space="preserve">BEV </w:t>
      </w:r>
      <w:r w:rsidRPr="004953A2">
        <w:t>as for SAVR</w:t>
      </w:r>
      <w:r w:rsidR="00F06096" w:rsidRPr="004953A2">
        <w:t>, but</w:t>
      </w:r>
      <w:r w:rsidR="00CF23B4" w:rsidRPr="004953A2">
        <w:t xml:space="preserve"> the likelihood of</w:t>
      </w:r>
      <w:r w:rsidRPr="004953A2">
        <w:t xml:space="preserve"> </w:t>
      </w:r>
      <w:r w:rsidR="00F06096" w:rsidRPr="004953A2">
        <w:t xml:space="preserve">outcomes will differ. Efficacy data suggest that </w:t>
      </w:r>
      <w:r w:rsidRPr="004953A2">
        <w:t xml:space="preserve">survival at one year is higher for </w:t>
      </w:r>
      <w:r w:rsidR="00C33262" w:rsidRPr="004953A2">
        <w:t xml:space="preserve">TAVI with the </w:t>
      </w:r>
      <w:r w:rsidR="00F52BD8" w:rsidRPr="004953A2">
        <w:t xml:space="preserve">SAPIEN 3 </w:t>
      </w:r>
      <w:r w:rsidR="001F4619" w:rsidRPr="004953A2">
        <w:t xml:space="preserve">BEV </w:t>
      </w:r>
      <w:r w:rsidRPr="004953A2">
        <w:t>(</w:t>
      </w:r>
      <w:r w:rsidR="00A27FE0" w:rsidRPr="004953A2">
        <w:t>99.0% vs 97.5%</w:t>
      </w:r>
      <w:r w:rsidRPr="004953A2">
        <w:t>)</w:t>
      </w:r>
      <w:r w:rsidR="00F06096" w:rsidRPr="004953A2">
        <w:t xml:space="preserve"> and</w:t>
      </w:r>
      <w:r w:rsidRPr="004953A2">
        <w:t xml:space="preserve"> stroke is lower</w:t>
      </w:r>
      <w:r w:rsidR="001F4619" w:rsidRPr="004953A2">
        <w:t xml:space="preserve"> </w:t>
      </w:r>
      <w:r w:rsidRPr="004953A2">
        <w:t>(</w:t>
      </w:r>
      <w:r w:rsidR="00A27FE0" w:rsidRPr="004953A2">
        <w:t>1.2% vs 3.1%</w:t>
      </w:r>
      <w:r w:rsidRPr="004953A2">
        <w:t>)</w:t>
      </w:r>
      <w:r w:rsidR="00F06096" w:rsidRPr="004953A2">
        <w:t>.</w:t>
      </w:r>
      <w:r w:rsidRPr="004953A2">
        <w:t xml:space="preserve"> </w:t>
      </w:r>
      <w:r w:rsidR="00F06096" w:rsidRPr="004953A2">
        <w:t>However,</w:t>
      </w:r>
      <w:r w:rsidRPr="004953A2">
        <w:t xml:space="preserve"> pacemaker implantation is higher (</w:t>
      </w:r>
      <w:r w:rsidR="003E419A" w:rsidRPr="004953A2">
        <w:t>7.5% vs 5.5%</w:t>
      </w:r>
      <w:r w:rsidRPr="004953A2">
        <w:t>)</w:t>
      </w:r>
      <w:r w:rsidR="000E6705" w:rsidRPr="004953A2">
        <w:rPr>
          <w:rStyle w:val="FootnoteReference"/>
        </w:rPr>
        <w:footnoteReference w:id="7"/>
      </w:r>
      <w:r w:rsidR="000037DC" w:rsidRPr="004953A2">
        <w:t>. It should also be noted that SAVR</w:t>
      </w:r>
      <w:r w:rsidR="00F06096" w:rsidRPr="004953A2">
        <w:t xml:space="preserve"> requires</w:t>
      </w:r>
      <w:r w:rsidR="000037DC" w:rsidRPr="004953A2">
        <w:t xml:space="preserve"> open chest </w:t>
      </w:r>
      <w:r w:rsidR="00F06096" w:rsidRPr="004953A2">
        <w:t>surgery,</w:t>
      </w:r>
      <w:r w:rsidR="000037DC" w:rsidRPr="004953A2">
        <w:t xml:space="preserve"> </w:t>
      </w:r>
      <w:r w:rsidR="00F06096" w:rsidRPr="004953A2">
        <w:t>and hence typically</w:t>
      </w:r>
      <w:r w:rsidR="00AA7A6C" w:rsidRPr="004953A2">
        <w:t xml:space="preserve"> involve</w:t>
      </w:r>
      <w:r w:rsidR="00F06096" w:rsidRPr="004953A2">
        <w:t>s</w:t>
      </w:r>
      <w:r w:rsidR="00AA7A6C" w:rsidRPr="004953A2">
        <w:t xml:space="preserve"> a longer hospital stay, including </w:t>
      </w:r>
      <w:r w:rsidR="00F06096" w:rsidRPr="004953A2">
        <w:t xml:space="preserve">in the intensive care unit (ICU) or </w:t>
      </w:r>
      <w:r w:rsidR="00AA7A6C" w:rsidRPr="004953A2">
        <w:t xml:space="preserve">high dependency unit </w:t>
      </w:r>
      <w:r w:rsidR="00F06096" w:rsidRPr="004953A2">
        <w:t>compared to</w:t>
      </w:r>
      <w:r w:rsidR="00AA7A6C" w:rsidRPr="004953A2">
        <w:t xml:space="preserve"> TAVI</w:t>
      </w:r>
      <w:r w:rsidR="001F4619" w:rsidRPr="004953A2">
        <w:t xml:space="preserve"> BEV</w:t>
      </w:r>
      <w:r w:rsidR="00AA7A6C" w:rsidRPr="004953A2">
        <w:t>. Recovery time is also likely to be longer</w:t>
      </w:r>
      <w:r w:rsidR="00BB0663">
        <w:t xml:space="preserve"> post SAVR</w:t>
      </w:r>
      <w:r w:rsidR="00F342C8">
        <w:t>, meaning a delay in return to function.</w:t>
      </w:r>
    </w:p>
    <w:p w14:paraId="2CFF6BE1" w14:textId="551E10B1" w:rsidR="00262865" w:rsidRPr="004953A2" w:rsidRDefault="00262865" w:rsidP="00D10B47">
      <w:pPr>
        <w:pStyle w:val="ListParagraph"/>
        <w:ind w:left="360"/>
      </w:pPr>
    </w:p>
    <w:p w14:paraId="3D2C061C" w14:textId="77777777" w:rsidR="00E452E2" w:rsidRDefault="00E452E2">
      <w:pPr>
        <w:spacing w:before="0" w:after="200" w:line="276" w:lineRule="auto"/>
        <w:rPr>
          <w:b/>
          <w:i/>
          <w:szCs w:val="20"/>
          <w:u w:val="single"/>
        </w:rPr>
      </w:pPr>
      <w:r>
        <w:br w:type="page"/>
      </w:r>
    </w:p>
    <w:p w14:paraId="22B1D506" w14:textId="70BDD1F1" w:rsidR="00DF0D47" w:rsidRPr="004953A2" w:rsidRDefault="005C3AE7" w:rsidP="005C3AE7">
      <w:pPr>
        <w:pStyle w:val="Subtitle"/>
      </w:pPr>
      <w:r w:rsidRPr="004953A2">
        <w:lastRenderedPageBreak/>
        <w:t xml:space="preserve">PART 6d – </w:t>
      </w:r>
      <w:r w:rsidR="00DF0D47" w:rsidRPr="004953A2">
        <w:t xml:space="preserve">INFORMATION ABOUT THE </w:t>
      </w:r>
      <w:r w:rsidR="00CF5AD8" w:rsidRPr="004953A2">
        <w:t xml:space="preserve">CLINICAL </w:t>
      </w:r>
      <w:r w:rsidR="00DF0D47" w:rsidRPr="004953A2">
        <w:t>OUTCOME</w:t>
      </w:r>
    </w:p>
    <w:p w14:paraId="1B4619E7" w14:textId="77777777" w:rsidR="004E3CC7" w:rsidRPr="004953A2" w:rsidRDefault="004E3CC7" w:rsidP="00530204">
      <w:pPr>
        <w:pStyle w:val="Heading2"/>
      </w:pPr>
      <w:r w:rsidRPr="004953A2">
        <w:t>Summarise the clinical claims for the proposed medical service against the appropriate comparator(s), in terms of consequences for health outcomes</w:t>
      </w:r>
      <w:r w:rsidR="00CF5AD8" w:rsidRPr="004953A2">
        <w:t xml:space="preserve"> (</w:t>
      </w:r>
      <w:r w:rsidR="009F0C02" w:rsidRPr="004953A2">
        <w:t>comparative benefits and harms)</w:t>
      </w:r>
      <w:r w:rsidR="00AE1188" w:rsidRPr="004953A2">
        <w:t>:</w:t>
      </w:r>
    </w:p>
    <w:p w14:paraId="6B5C7AC6" w14:textId="27E452E1" w:rsidR="004E3CC7" w:rsidRPr="004953A2" w:rsidRDefault="006B1584" w:rsidP="001B29A1">
      <w:pPr>
        <w:ind w:left="426"/>
      </w:pPr>
      <w:r w:rsidRPr="004953A2">
        <w:t xml:space="preserve">Among patients with symptomatic severe AS and at low risk of surgery, </w:t>
      </w:r>
      <w:r w:rsidR="0082616B" w:rsidRPr="004953A2">
        <w:t xml:space="preserve">TAVI </w:t>
      </w:r>
      <w:r w:rsidR="00C33262" w:rsidRPr="004953A2">
        <w:t xml:space="preserve">with the SAPIEN 3 </w:t>
      </w:r>
      <w:r w:rsidR="001F4619" w:rsidRPr="004953A2">
        <w:t xml:space="preserve">BEV </w:t>
      </w:r>
      <w:r w:rsidR="0082616B" w:rsidRPr="004953A2">
        <w:t>is superior to SAVR in terms of</w:t>
      </w:r>
      <w:r w:rsidR="003E419A" w:rsidRPr="004953A2">
        <w:t xml:space="preserve"> the composite endpoint of</w:t>
      </w:r>
      <w:r w:rsidR="0082616B" w:rsidRPr="004953A2">
        <w:t xml:space="preserve"> </w:t>
      </w:r>
      <w:r w:rsidR="003E419A" w:rsidRPr="004953A2">
        <w:t>death, stroke, or rehospitalization</w:t>
      </w:r>
      <w:r w:rsidR="000F5D2C" w:rsidRPr="004953A2">
        <w:t>. TAVI</w:t>
      </w:r>
      <w:r w:rsidR="0046738D" w:rsidRPr="004953A2">
        <w:t xml:space="preserve"> </w:t>
      </w:r>
      <w:r w:rsidR="00C33262" w:rsidRPr="004953A2">
        <w:t xml:space="preserve">with the SAPIEN 3 </w:t>
      </w:r>
      <w:r w:rsidR="001F4619" w:rsidRPr="004953A2">
        <w:t xml:space="preserve">BEV </w:t>
      </w:r>
      <w:r w:rsidR="0046738D" w:rsidRPr="004953A2">
        <w:t>also</w:t>
      </w:r>
      <w:r w:rsidR="000F5D2C" w:rsidRPr="004953A2">
        <w:t xml:space="preserve"> results in significantly lower rates for new onset atrial fibrillation (AF)</w:t>
      </w:r>
      <w:r w:rsidR="003E419A" w:rsidRPr="004953A2">
        <w:t xml:space="preserve"> and</w:t>
      </w:r>
      <w:r w:rsidR="000F5D2C" w:rsidRPr="004953A2">
        <w:t xml:space="preserve"> major bleeding events</w:t>
      </w:r>
      <w:r w:rsidR="00F06096" w:rsidRPr="004953A2">
        <w:t>.</w:t>
      </w:r>
    </w:p>
    <w:p w14:paraId="307DB192" w14:textId="77777777" w:rsidR="002B701C" w:rsidRPr="004953A2" w:rsidRDefault="002B701C" w:rsidP="001B29A1">
      <w:pPr>
        <w:ind w:left="426"/>
      </w:pPr>
    </w:p>
    <w:p w14:paraId="4878AF82" w14:textId="46927F38" w:rsidR="009B50A6" w:rsidRPr="004953A2" w:rsidRDefault="00BE40B6" w:rsidP="001B29A1">
      <w:pPr>
        <w:ind w:left="426"/>
        <w:rPr>
          <w:szCs w:val="20"/>
          <w:u w:val="single"/>
        </w:rPr>
      </w:pPr>
      <w:r w:rsidRPr="004953A2">
        <w:rPr>
          <w:szCs w:val="20"/>
          <w:u w:val="single"/>
        </w:rPr>
        <w:t>Clinical effectiveness outcome</w:t>
      </w:r>
      <w:r w:rsidR="009B50A6" w:rsidRPr="004953A2">
        <w:rPr>
          <w:szCs w:val="20"/>
          <w:u w:val="single"/>
        </w:rPr>
        <w:t xml:space="preserve">: </w:t>
      </w:r>
      <w:r w:rsidR="00251C4B" w:rsidRPr="004953A2">
        <w:rPr>
          <w:szCs w:val="20"/>
          <w:u w:val="single"/>
        </w:rPr>
        <w:t xml:space="preserve">composite of </w:t>
      </w:r>
      <w:r w:rsidR="009B50A6" w:rsidRPr="004953A2">
        <w:rPr>
          <w:szCs w:val="20"/>
          <w:u w:val="single"/>
        </w:rPr>
        <w:t>death, stroke</w:t>
      </w:r>
      <w:r w:rsidR="00251C4B" w:rsidRPr="004953A2">
        <w:rPr>
          <w:szCs w:val="20"/>
          <w:u w:val="single"/>
        </w:rPr>
        <w:t xml:space="preserve"> and</w:t>
      </w:r>
      <w:r w:rsidR="009B50A6" w:rsidRPr="004953A2">
        <w:rPr>
          <w:szCs w:val="20"/>
          <w:u w:val="single"/>
        </w:rPr>
        <w:t xml:space="preserve"> rehospitali</w:t>
      </w:r>
      <w:r w:rsidR="006B1584" w:rsidRPr="004953A2">
        <w:rPr>
          <w:szCs w:val="20"/>
          <w:u w:val="single"/>
        </w:rPr>
        <w:t>s</w:t>
      </w:r>
      <w:r w:rsidR="009B50A6" w:rsidRPr="004953A2">
        <w:rPr>
          <w:szCs w:val="20"/>
          <w:u w:val="single"/>
        </w:rPr>
        <w:t>ation</w:t>
      </w:r>
    </w:p>
    <w:p w14:paraId="29AC9723" w14:textId="02CCF8EB" w:rsidR="009B50A6" w:rsidRPr="004953A2" w:rsidRDefault="009B50A6" w:rsidP="001B29A1">
      <w:pPr>
        <w:ind w:left="426"/>
        <w:rPr>
          <w:szCs w:val="20"/>
        </w:rPr>
      </w:pPr>
      <w:r w:rsidRPr="004953A2">
        <w:rPr>
          <w:szCs w:val="20"/>
        </w:rPr>
        <w:t xml:space="preserve">In the </w:t>
      </w:r>
      <w:r w:rsidR="006B1584" w:rsidRPr="004953A2">
        <w:rPr>
          <w:szCs w:val="20"/>
        </w:rPr>
        <w:t xml:space="preserve">pivotal </w:t>
      </w:r>
      <w:r w:rsidRPr="004953A2">
        <w:rPr>
          <w:szCs w:val="20"/>
        </w:rPr>
        <w:t>randomised clinical trial (PARTNER 3)</w:t>
      </w:r>
      <w:r w:rsidR="006B1584" w:rsidRPr="004953A2">
        <w:rPr>
          <w:szCs w:val="20"/>
        </w:rPr>
        <w:t xml:space="preserve">, </w:t>
      </w:r>
      <w:r w:rsidRPr="004953A2">
        <w:rPr>
          <w:szCs w:val="20"/>
        </w:rPr>
        <w:t xml:space="preserve">950 low risk patients with severe AS were randomised to either TAVI with the SAPIEN 3 BEV (n=496) or surgery (n=454).  SAPIEN 3 was superior to SAVR with respect to the primary composite endpoint of death, stroke </w:t>
      </w:r>
      <w:r w:rsidR="00251C4B" w:rsidRPr="004953A2">
        <w:rPr>
          <w:szCs w:val="20"/>
        </w:rPr>
        <w:t xml:space="preserve">and </w:t>
      </w:r>
      <w:r w:rsidRPr="004953A2">
        <w:rPr>
          <w:szCs w:val="20"/>
        </w:rPr>
        <w:t>rehospitali</w:t>
      </w:r>
      <w:r w:rsidR="00251C4B" w:rsidRPr="004953A2">
        <w:rPr>
          <w:szCs w:val="20"/>
        </w:rPr>
        <w:t>s</w:t>
      </w:r>
      <w:r w:rsidRPr="004953A2">
        <w:rPr>
          <w:szCs w:val="20"/>
        </w:rPr>
        <w:t>ation</w:t>
      </w:r>
      <w:r w:rsidR="00251C4B" w:rsidRPr="004953A2">
        <w:rPr>
          <w:szCs w:val="20"/>
        </w:rPr>
        <w:t>,</w:t>
      </w:r>
      <w:r w:rsidRPr="004953A2">
        <w:rPr>
          <w:szCs w:val="20"/>
        </w:rPr>
        <w:t xml:space="preserve"> with a hazard ratio</w:t>
      </w:r>
      <w:r w:rsidR="00251C4B" w:rsidRPr="004953A2">
        <w:rPr>
          <w:szCs w:val="20"/>
        </w:rPr>
        <w:t xml:space="preserve"> of </w:t>
      </w:r>
      <w:r w:rsidRPr="004953A2">
        <w:rPr>
          <w:szCs w:val="20"/>
        </w:rPr>
        <w:t xml:space="preserve">0.54 </w:t>
      </w:r>
      <w:r w:rsidR="00251C4B" w:rsidRPr="004953A2">
        <w:rPr>
          <w:szCs w:val="20"/>
        </w:rPr>
        <w:t>(</w:t>
      </w:r>
      <w:r w:rsidRPr="004953A2">
        <w:rPr>
          <w:szCs w:val="20"/>
        </w:rPr>
        <w:t xml:space="preserve">95% confidence interval </w:t>
      </w:r>
      <w:r w:rsidR="00251C4B" w:rsidRPr="004953A2">
        <w:rPr>
          <w:szCs w:val="20"/>
        </w:rPr>
        <w:t>[CI] 0</w:t>
      </w:r>
      <w:r w:rsidRPr="004953A2">
        <w:rPr>
          <w:szCs w:val="20"/>
        </w:rPr>
        <w:t>.37</w:t>
      </w:r>
      <w:r w:rsidR="00251C4B" w:rsidRPr="004953A2">
        <w:rPr>
          <w:szCs w:val="20"/>
        </w:rPr>
        <w:t>-</w:t>
      </w:r>
      <w:r w:rsidRPr="004953A2">
        <w:rPr>
          <w:szCs w:val="20"/>
        </w:rPr>
        <w:t>0.79</w:t>
      </w:r>
      <w:r w:rsidR="00251C4B" w:rsidRPr="004953A2">
        <w:rPr>
          <w:szCs w:val="20"/>
        </w:rPr>
        <w:t>). Figure 6.1, reproduced from the publication of PARTNER 3, depicts the Kaplan-Meier curves for the primary outcome.</w:t>
      </w:r>
    </w:p>
    <w:p w14:paraId="0BA855B5" w14:textId="76F17946" w:rsidR="002B701C" w:rsidRPr="004953A2" w:rsidRDefault="002B701C" w:rsidP="001B29A1">
      <w:pPr>
        <w:ind w:left="426"/>
        <w:rPr>
          <w:szCs w:val="20"/>
        </w:rPr>
      </w:pPr>
    </w:p>
    <w:p w14:paraId="28C67495" w14:textId="5C6FE19E" w:rsidR="00251C4B" w:rsidRPr="004953A2" w:rsidRDefault="00251C4B" w:rsidP="004953A2">
      <w:pPr>
        <w:tabs>
          <w:tab w:val="left" w:pos="1418"/>
        </w:tabs>
        <w:ind w:left="1418" w:hanging="992"/>
        <w:rPr>
          <w:szCs w:val="20"/>
        </w:rPr>
      </w:pPr>
      <w:r w:rsidRPr="004953A2">
        <w:rPr>
          <w:b/>
          <w:szCs w:val="20"/>
        </w:rPr>
        <w:t>Figure 6.1</w:t>
      </w:r>
      <w:r w:rsidRPr="004953A2">
        <w:rPr>
          <w:szCs w:val="20"/>
        </w:rPr>
        <w:t xml:space="preserve"> </w:t>
      </w:r>
      <w:r w:rsidRPr="004953A2">
        <w:rPr>
          <w:szCs w:val="20"/>
        </w:rPr>
        <w:tab/>
        <w:t>Kaplan-Meier curves for the primary outcome (composite of death, stroke and rehospitalisation) from PARTNER 3.</w:t>
      </w:r>
    </w:p>
    <w:p w14:paraId="02CED3F0" w14:textId="198C36F6" w:rsidR="008233FB" w:rsidRPr="004953A2" w:rsidRDefault="009B50A6" w:rsidP="008233FB">
      <w:pPr>
        <w:ind w:left="426"/>
        <w:rPr>
          <w:szCs w:val="20"/>
        </w:rPr>
      </w:pPr>
      <w:r w:rsidRPr="004953A2">
        <w:rPr>
          <w:noProof/>
          <w:lang w:eastAsia="en-AU"/>
        </w:rPr>
        <w:drawing>
          <wp:inline distT="0" distB="0" distL="0" distR="0" wp14:anchorId="2CAC90CD" wp14:editId="79216745">
            <wp:extent cx="3657600" cy="2833450"/>
            <wp:effectExtent l="19050" t="19050" r="19050" b="24130"/>
            <wp:docPr id="4" name="Picture 4" descr="Picture" title="Fig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3698861" cy="286541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76CDD3C" w14:textId="638FDAB3" w:rsidR="002B701C" w:rsidRPr="004953A2" w:rsidRDefault="002B701C" w:rsidP="008233FB">
      <w:pPr>
        <w:ind w:left="426"/>
        <w:rPr>
          <w:szCs w:val="20"/>
        </w:rPr>
      </w:pPr>
    </w:p>
    <w:p w14:paraId="6C1A9355" w14:textId="77777777" w:rsidR="00E452E2" w:rsidRDefault="00E452E2">
      <w:pPr>
        <w:spacing w:before="0" w:after="200" w:line="276" w:lineRule="auto"/>
        <w:rPr>
          <w:szCs w:val="20"/>
          <w:u w:val="single"/>
        </w:rPr>
      </w:pPr>
      <w:r>
        <w:rPr>
          <w:szCs w:val="20"/>
          <w:u w:val="single"/>
        </w:rPr>
        <w:br w:type="page"/>
      </w:r>
    </w:p>
    <w:p w14:paraId="20C5DF3E" w14:textId="65AE55B3" w:rsidR="002B701C" w:rsidRPr="004953A2" w:rsidRDefault="002B701C" w:rsidP="008233FB">
      <w:pPr>
        <w:ind w:left="426"/>
        <w:rPr>
          <w:szCs w:val="20"/>
          <w:u w:val="single"/>
        </w:rPr>
      </w:pPr>
      <w:r w:rsidRPr="004953A2">
        <w:rPr>
          <w:szCs w:val="20"/>
          <w:u w:val="single"/>
        </w:rPr>
        <w:lastRenderedPageBreak/>
        <w:t>Health related quality of life</w:t>
      </w:r>
    </w:p>
    <w:p w14:paraId="280D8BC2" w14:textId="4EC06F9E" w:rsidR="001A1D57" w:rsidRPr="004953A2" w:rsidRDefault="00251C4B" w:rsidP="001B29A1">
      <w:pPr>
        <w:ind w:left="426"/>
        <w:rPr>
          <w:szCs w:val="20"/>
        </w:rPr>
      </w:pPr>
      <w:r w:rsidRPr="004953A2">
        <w:rPr>
          <w:szCs w:val="20"/>
        </w:rPr>
        <w:t>In PARTNER 3, q</w:t>
      </w:r>
      <w:r w:rsidR="002B701C" w:rsidRPr="004953A2">
        <w:rPr>
          <w:szCs w:val="20"/>
        </w:rPr>
        <w:t>uality of life</w:t>
      </w:r>
      <w:r w:rsidR="00B54241" w:rsidRPr="004953A2">
        <w:rPr>
          <w:szCs w:val="20"/>
        </w:rPr>
        <w:t xml:space="preserve">, </w:t>
      </w:r>
      <w:r w:rsidR="002B701C" w:rsidRPr="004953A2">
        <w:rPr>
          <w:szCs w:val="20"/>
        </w:rPr>
        <w:t>as measured by the Kansas City Cardiomyopathy Questionnaire (KCCQ) overall summary (OS)</w:t>
      </w:r>
      <w:r w:rsidR="00B54241" w:rsidRPr="004953A2">
        <w:rPr>
          <w:szCs w:val="20"/>
        </w:rPr>
        <w:t xml:space="preserve">, </w:t>
      </w:r>
      <w:r w:rsidR="002B701C" w:rsidRPr="004953A2">
        <w:rPr>
          <w:szCs w:val="20"/>
        </w:rPr>
        <w:t xml:space="preserve">was observed to be statistically significantly </w:t>
      </w:r>
      <w:r w:rsidR="00B54241" w:rsidRPr="004953A2">
        <w:rPr>
          <w:szCs w:val="20"/>
        </w:rPr>
        <w:t xml:space="preserve">improved </w:t>
      </w:r>
      <w:r w:rsidR="002B701C" w:rsidRPr="004953A2">
        <w:rPr>
          <w:szCs w:val="20"/>
        </w:rPr>
        <w:t>for TAVI at both 30 days and 1 year (</w:t>
      </w:r>
      <w:r w:rsidR="00B54241" w:rsidRPr="004953A2">
        <w:rPr>
          <w:szCs w:val="20"/>
        </w:rPr>
        <w:t>Table 6.1</w:t>
      </w:r>
      <w:r w:rsidR="002B701C" w:rsidRPr="004953A2">
        <w:rPr>
          <w:szCs w:val="20"/>
        </w:rPr>
        <w:t>).</w:t>
      </w:r>
    </w:p>
    <w:p w14:paraId="7B4BAE6B" w14:textId="0ABBDCF1" w:rsidR="00251C4B" w:rsidRPr="004953A2" w:rsidRDefault="00251C4B" w:rsidP="00251C4B">
      <w:pPr>
        <w:tabs>
          <w:tab w:val="left" w:pos="1418"/>
        </w:tabs>
        <w:ind w:left="1418" w:hanging="992"/>
        <w:rPr>
          <w:szCs w:val="20"/>
        </w:rPr>
      </w:pPr>
      <w:r w:rsidRPr="004953A2">
        <w:rPr>
          <w:b/>
          <w:szCs w:val="20"/>
        </w:rPr>
        <w:t>Table 6.1.</w:t>
      </w:r>
      <w:r w:rsidRPr="004953A2">
        <w:rPr>
          <w:szCs w:val="20"/>
        </w:rPr>
        <w:t xml:space="preserve"> </w:t>
      </w:r>
      <w:r w:rsidRPr="004953A2">
        <w:rPr>
          <w:szCs w:val="20"/>
        </w:rPr>
        <w:tab/>
      </w:r>
      <w:r w:rsidR="00103E33" w:rsidRPr="004953A2">
        <w:rPr>
          <w:szCs w:val="20"/>
        </w:rPr>
        <w:t>Quality of life outcomes observed in</w:t>
      </w:r>
      <w:r w:rsidRPr="004953A2">
        <w:rPr>
          <w:szCs w:val="20"/>
        </w:rPr>
        <w:t xml:space="preserve"> PARTNER 3.</w:t>
      </w:r>
    </w:p>
    <w:tbl>
      <w:tblPr>
        <w:tblW w:w="4539"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CE9E5"/>
        <w:tblCellMar>
          <w:top w:w="115" w:type="dxa"/>
          <w:left w:w="115" w:type="dxa"/>
          <w:bottom w:w="115" w:type="dxa"/>
          <w:right w:w="115" w:type="dxa"/>
        </w:tblCellMar>
        <w:tblLook w:val="04A0" w:firstRow="1" w:lastRow="0" w:firstColumn="1" w:lastColumn="0" w:noHBand="0" w:noVBand="1"/>
      </w:tblPr>
      <w:tblGrid>
        <w:gridCol w:w="2874"/>
        <w:gridCol w:w="1891"/>
        <w:gridCol w:w="1531"/>
        <w:gridCol w:w="1889"/>
      </w:tblGrid>
      <w:tr w:rsidR="00BE40B6" w:rsidRPr="004953A2" w14:paraId="5B76EF6B" w14:textId="77777777" w:rsidTr="00083F4C">
        <w:trPr>
          <w:trHeight w:val="253"/>
          <w:tblHeader/>
          <w:jc w:val="center"/>
        </w:trPr>
        <w:tc>
          <w:tcPr>
            <w:tcW w:w="1756" w:type="pct"/>
            <w:shd w:val="clear" w:color="auto" w:fill="A39382"/>
            <w:vAlign w:val="center"/>
          </w:tcPr>
          <w:p w14:paraId="3B0E5AD6" w14:textId="77777777" w:rsidR="00BE40B6" w:rsidRPr="004953A2" w:rsidRDefault="00BE40B6" w:rsidP="00083F4C">
            <w:pPr>
              <w:pStyle w:val="TableText"/>
              <w:keepNext/>
              <w:keepLines/>
              <w:rPr>
                <w:rFonts w:asciiTheme="minorHAnsi" w:hAnsiTheme="minorHAnsi" w:cstheme="minorHAnsi"/>
                <w:b/>
                <w:color w:val="FFFFFF" w:themeColor="background1"/>
                <w:szCs w:val="18"/>
              </w:rPr>
            </w:pPr>
          </w:p>
        </w:tc>
        <w:tc>
          <w:tcPr>
            <w:tcW w:w="1155" w:type="pct"/>
            <w:shd w:val="clear" w:color="auto" w:fill="A39382"/>
          </w:tcPr>
          <w:p w14:paraId="30BFA081" w14:textId="77777777" w:rsidR="00BE40B6" w:rsidRPr="004953A2" w:rsidRDefault="00BE40B6" w:rsidP="00083F4C">
            <w:pPr>
              <w:pStyle w:val="TableText"/>
              <w:keepNext/>
              <w:keepLines/>
              <w:spacing w:after="40"/>
              <w:jc w:val="center"/>
              <w:rPr>
                <w:rFonts w:asciiTheme="minorHAnsi" w:hAnsiTheme="minorHAnsi" w:cstheme="minorHAnsi"/>
                <w:b/>
                <w:color w:val="FFFFFF" w:themeColor="background1"/>
                <w:szCs w:val="18"/>
              </w:rPr>
            </w:pPr>
            <w:r w:rsidRPr="004953A2">
              <w:rPr>
                <w:rFonts w:asciiTheme="minorHAnsi" w:hAnsiTheme="minorHAnsi" w:cstheme="minorHAnsi"/>
                <w:b/>
                <w:color w:val="FFFFFF" w:themeColor="background1"/>
                <w:szCs w:val="18"/>
              </w:rPr>
              <w:t>TAVI using the SAPIEN 3 BEV</w:t>
            </w:r>
          </w:p>
        </w:tc>
        <w:tc>
          <w:tcPr>
            <w:tcW w:w="935" w:type="pct"/>
            <w:shd w:val="clear" w:color="auto" w:fill="A39382"/>
          </w:tcPr>
          <w:p w14:paraId="427D49C2" w14:textId="77777777" w:rsidR="00BE40B6" w:rsidRPr="004953A2" w:rsidRDefault="00BE40B6" w:rsidP="00083F4C">
            <w:pPr>
              <w:pStyle w:val="TableText"/>
              <w:keepNext/>
              <w:keepLines/>
              <w:jc w:val="center"/>
              <w:rPr>
                <w:rFonts w:asciiTheme="minorHAnsi" w:hAnsiTheme="minorHAnsi" w:cstheme="minorHAnsi"/>
                <w:b/>
                <w:color w:val="FFFFFF" w:themeColor="background1"/>
                <w:szCs w:val="18"/>
              </w:rPr>
            </w:pPr>
            <w:r w:rsidRPr="004953A2">
              <w:rPr>
                <w:rFonts w:asciiTheme="minorHAnsi" w:hAnsiTheme="minorHAnsi" w:cstheme="minorHAnsi"/>
                <w:b/>
                <w:color w:val="FFFFFF" w:themeColor="background1"/>
                <w:szCs w:val="18"/>
              </w:rPr>
              <w:t>SAVR</w:t>
            </w:r>
          </w:p>
        </w:tc>
        <w:tc>
          <w:tcPr>
            <w:tcW w:w="1154" w:type="pct"/>
            <w:shd w:val="clear" w:color="auto" w:fill="A39382"/>
          </w:tcPr>
          <w:p w14:paraId="5B836999" w14:textId="77777777" w:rsidR="00BE40B6" w:rsidRPr="004953A2" w:rsidRDefault="00BE40B6" w:rsidP="00083F4C">
            <w:pPr>
              <w:pStyle w:val="TableText"/>
              <w:keepNext/>
              <w:keepLines/>
              <w:jc w:val="center"/>
              <w:rPr>
                <w:rFonts w:asciiTheme="minorHAnsi" w:hAnsiTheme="minorHAnsi" w:cstheme="minorHAnsi"/>
                <w:b/>
                <w:color w:val="FFFFFF" w:themeColor="background1"/>
                <w:szCs w:val="18"/>
              </w:rPr>
            </w:pPr>
            <w:r w:rsidRPr="004953A2">
              <w:rPr>
                <w:rFonts w:asciiTheme="minorHAnsi" w:hAnsiTheme="minorHAnsi" w:cstheme="minorHAnsi"/>
                <w:b/>
                <w:color w:val="FFFFFF" w:themeColor="background1"/>
                <w:szCs w:val="18"/>
              </w:rPr>
              <w:t>Treatment effect</w:t>
            </w:r>
          </w:p>
        </w:tc>
      </w:tr>
      <w:tr w:rsidR="002B701C" w:rsidRPr="004953A2" w14:paraId="5D2E352C" w14:textId="77777777" w:rsidTr="00083F4C">
        <w:trPr>
          <w:trHeight w:val="73"/>
          <w:jc w:val="center"/>
        </w:trPr>
        <w:tc>
          <w:tcPr>
            <w:tcW w:w="1756" w:type="pct"/>
            <w:shd w:val="clear" w:color="auto" w:fill="ECE9E5"/>
          </w:tcPr>
          <w:p w14:paraId="2E54754C" w14:textId="19DE2ACF" w:rsidR="002B701C" w:rsidRPr="004953A2" w:rsidRDefault="002B701C" w:rsidP="002B701C">
            <w:pPr>
              <w:pStyle w:val="TableText"/>
              <w:rPr>
                <w:rFonts w:asciiTheme="minorHAnsi" w:hAnsiTheme="minorHAnsi" w:cstheme="minorHAnsi"/>
                <w:color w:val="auto"/>
                <w:szCs w:val="18"/>
              </w:rPr>
            </w:pPr>
            <w:r w:rsidRPr="004953A2">
              <w:rPr>
                <w:rFonts w:asciiTheme="minorHAnsi" w:hAnsiTheme="minorHAnsi" w:cstheme="minorHAnsi"/>
                <w:color w:val="auto"/>
                <w:szCs w:val="18"/>
              </w:rPr>
              <w:t>KCCQ-OS Score 30 days</w:t>
            </w:r>
          </w:p>
        </w:tc>
        <w:tc>
          <w:tcPr>
            <w:tcW w:w="1155" w:type="pct"/>
            <w:shd w:val="clear" w:color="auto" w:fill="ECE9E5"/>
            <w:tcMar>
              <w:top w:w="115" w:type="dxa"/>
              <w:left w:w="115" w:type="dxa"/>
              <w:bottom w:w="115" w:type="dxa"/>
              <w:right w:w="115" w:type="dxa"/>
            </w:tcMar>
          </w:tcPr>
          <w:p w14:paraId="7924C1E4" w14:textId="1129F7A9" w:rsidR="002B701C" w:rsidRPr="004953A2" w:rsidRDefault="002B701C" w:rsidP="002B701C">
            <w:pPr>
              <w:pStyle w:val="TableText"/>
              <w:jc w:val="center"/>
              <w:rPr>
                <w:rFonts w:asciiTheme="minorHAnsi" w:hAnsiTheme="minorHAnsi" w:cstheme="minorHAnsi"/>
                <w:szCs w:val="18"/>
              </w:rPr>
            </w:pPr>
            <w:r w:rsidRPr="004953A2">
              <w:rPr>
                <w:rFonts w:ascii="Calibri" w:hAnsi="Calibri" w:cs="Calibri"/>
                <w:szCs w:val="20"/>
              </w:rPr>
              <w:t>18.5 ± 0.83</w:t>
            </w:r>
          </w:p>
        </w:tc>
        <w:tc>
          <w:tcPr>
            <w:tcW w:w="935" w:type="pct"/>
            <w:shd w:val="clear" w:color="auto" w:fill="ECE9E5"/>
            <w:tcMar>
              <w:top w:w="115" w:type="dxa"/>
              <w:left w:w="115" w:type="dxa"/>
              <w:bottom w:w="115" w:type="dxa"/>
              <w:right w:w="115" w:type="dxa"/>
            </w:tcMar>
          </w:tcPr>
          <w:p w14:paraId="122F4D81" w14:textId="3128A686" w:rsidR="002B701C" w:rsidRPr="004953A2" w:rsidRDefault="002B701C" w:rsidP="002B701C">
            <w:pPr>
              <w:pStyle w:val="TableText"/>
              <w:jc w:val="center"/>
              <w:rPr>
                <w:rFonts w:asciiTheme="minorHAnsi" w:hAnsiTheme="minorHAnsi" w:cstheme="minorHAnsi"/>
                <w:szCs w:val="18"/>
              </w:rPr>
            </w:pPr>
            <w:r w:rsidRPr="004953A2">
              <w:rPr>
                <w:rFonts w:ascii="Calibri" w:hAnsi="Calibri" w:cs="Calibri"/>
                <w:szCs w:val="20"/>
              </w:rPr>
              <w:t xml:space="preserve">2.5 ± 1.05 </w:t>
            </w:r>
          </w:p>
        </w:tc>
        <w:tc>
          <w:tcPr>
            <w:tcW w:w="1154" w:type="pct"/>
            <w:shd w:val="clear" w:color="auto" w:fill="ECE9E5"/>
          </w:tcPr>
          <w:p w14:paraId="3BBD0323" w14:textId="7F89225D" w:rsidR="002B701C" w:rsidRPr="004953A2" w:rsidRDefault="002B701C" w:rsidP="002B701C">
            <w:pPr>
              <w:pStyle w:val="TableText"/>
              <w:jc w:val="center"/>
              <w:rPr>
                <w:rFonts w:asciiTheme="minorHAnsi" w:hAnsiTheme="minorHAnsi" w:cstheme="minorHAnsi"/>
                <w:szCs w:val="18"/>
              </w:rPr>
            </w:pPr>
            <w:r w:rsidRPr="004953A2">
              <w:rPr>
                <w:rFonts w:ascii="Calibri" w:hAnsi="Calibri" w:cs="Calibri"/>
                <w:szCs w:val="20"/>
              </w:rPr>
              <w:t>16.1 [14.2, 18.0]</w:t>
            </w:r>
          </w:p>
        </w:tc>
      </w:tr>
      <w:tr w:rsidR="00BE40B6" w:rsidRPr="004953A2" w14:paraId="2283DD73" w14:textId="77777777" w:rsidTr="00083F4C">
        <w:trPr>
          <w:trHeight w:val="73"/>
          <w:jc w:val="center"/>
        </w:trPr>
        <w:tc>
          <w:tcPr>
            <w:tcW w:w="1756" w:type="pct"/>
            <w:shd w:val="clear" w:color="auto" w:fill="ECE9E5"/>
          </w:tcPr>
          <w:p w14:paraId="50BAC28F" w14:textId="4EA7363C" w:rsidR="00BE40B6" w:rsidRPr="004953A2" w:rsidRDefault="002B701C" w:rsidP="00083F4C">
            <w:pPr>
              <w:pStyle w:val="TableText"/>
              <w:rPr>
                <w:rFonts w:asciiTheme="minorHAnsi" w:hAnsiTheme="minorHAnsi" w:cstheme="minorHAnsi"/>
                <w:color w:val="auto"/>
                <w:szCs w:val="18"/>
              </w:rPr>
            </w:pPr>
            <w:r w:rsidRPr="004953A2">
              <w:rPr>
                <w:rFonts w:asciiTheme="minorHAnsi" w:hAnsiTheme="minorHAnsi" w:cstheme="minorHAnsi"/>
                <w:color w:val="auto"/>
                <w:szCs w:val="18"/>
              </w:rPr>
              <w:t>KCCQ-OS Score 1 year</w:t>
            </w:r>
          </w:p>
        </w:tc>
        <w:tc>
          <w:tcPr>
            <w:tcW w:w="1155" w:type="pct"/>
            <w:shd w:val="clear" w:color="auto" w:fill="ECE9E5"/>
            <w:tcMar>
              <w:top w:w="115" w:type="dxa"/>
              <w:left w:w="115" w:type="dxa"/>
              <w:bottom w:w="115" w:type="dxa"/>
              <w:right w:w="115" w:type="dxa"/>
            </w:tcMar>
          </w:tcPr>
          <w:p w14:paraId="27C6BF2B" w14:textId="29BBDB4E" w:rsidR="00BE40B6" w:rsidRPr="004953A2" w:rsidRDefault="002B701C" w:rsidP="00083F4C">
            <w:pPr>
              <w:pStyle w:val="TableText"/>
              <w:jc w:val="center"/>
              <w:rPr>
                <w:rFonts w:asciiTheme="minorHAnsi" w:hAnsiTheme="minorHAnsi" w:cstheme="minorHAnsi"/>
                <w:szCs w:val="18"/>
              </w:rPr>
            </w:pPr>
            <w:r w:rsidRPr="004953A2">
              <w:rPr>
                <w:rFonts w:ascii="Calibri" w:hAnsi="Calibri" w:cs="Calibri"/>
                <w:szCs w:val="20"/>
              </w:rPr>
              <w:t>19.4 ± 0.87</w:t>
            </w:r>
          </w:p>
        </w:tc>
        <w:tc>
          <w:tcPr>
            <w:tcW w:w="935" w:type="pct"/>
            <w:shd w:val="clear" w:color="auto" w:fill="ECE9E5"/>
            <w:tcMar>
              <w:top w:w="115" w:type="dxa"/>
              <w:left w:w="115" w:type="dxa"/>
              <w:bottom w:w="115" w:type="dxa"/>
              <w:right w:w="115" w:type="dxa"/>
            </w:tcMar>
          </w:tcPr>
          <w:p w14:paraId="0EA09896" w14:textId="581964A7" w:rsidR="00BE40B6" w:rsidRPr="004953A2" w:rsidRDefault="002B701C" w:rsidP="00083F4C">
            <w:pPr>
              <w:pStyle w:val="TableText"/>
              <w:jc w:val="center"/>
              <w:rPr>
                <w:rFonts w:asciiTheme="minorHAnsi" w:hAnsiTheme="minorHAnsi" w:cstheme="minorHAnsi"/>
                <w:szCs w:val="18"/>
              </w:rPr>
            </w:pPr>
            <w:r w:rsidRPr="004953A2">
              <w:rPr>
                <w:rFonts w:ascii="Calibri" w:hAnsi="Calibri" w:cs="Calibri"/>
                <w:szCs w:val="20"/>
              </w:rPr>
              <w:t>17.4 ± 0.99</w:t>
            </w:r>
          </w:p>
        </w:tc>
        <w:tc>
          <w:tcPr>
            <w:tcW w:w="1154" w:type="pct"/>
            <w:shd w:val="clear" w:color="auto" w:fill="ECE9E5"/>
          </w:tcPr>
          <w:p w14:paraId="420A5C4D" w14:textId="23832D50" w:rsidR="00BE40B6" w:rsidRPr="004953A2" w:rsidRDefault="002B701C" w:rsidP="00083F4C">
            <w:pPr>
              <w:pStyle w:val="TableText"/>
              <w:jc w:val="center"/>
              <w:rPr>
                <w:rFonts w:asciiTheme="minorHAnsi" w:hAnsiTheme="minorHAnsi" w:cstheme="minorHAnsi"/>
                <w:szCs w:val="18"/>
              </w:rPr>
            </w:pPr>
            <w:r w:rsidRPr="004953A2">
              <w:rPr>
                <w:rFonts w:ascii="Calibri" w:hAnsi="Calibri" w:cs="Calibri"/>
                <w:szCs w:val="20"/>
              </w:rPr>
              <w:t>1.8 [0.2, 3.4]</w:t>
            </w:r>
          </w:p>
        </w:tc>
      </w:tr>
    </w:tbl>
    <w:p w14:paraId="4801AC4C" w14:textId="02886C96" w:rsidR="00BE40B6" w:rsidRPr="004953A2" w:rsidRDefault="002B701C" w:rsidP="001B29A1">
      <w:pPr>
        <w:ind w:left="426"/>
        <w:rPr>
          <w:sz w:val="16"/>
          <w:szCs w:val="16"/>
        </w:rPr>
      </w:pPr>
      <w:r w:rsidRPr="004953A2">
        <w:rPr>
          <w:sz w:val="16"/>
          <w:szCs w:val="16"/>
        </w:rPr>
        <w:t>KCCQ-OS: Kansas City Cardiomyopathy Questionnaire Overall Summary.</w:t>
      </w:r>
    </w:p>
    <w:p w14:paraId="23DEF29E" w14:textId="1B9850DB" w:rsidR="00BE40B6" w:rsidRPr="004953A2" w:rsidRDefault="00BE40B6" w:rsidP="001B29A1">
      <w:pPr>
        <w:ind w:left="426"/>
        <w:rPr>
          <w:szCs w:val="20"/>
          <w:u w:val="single"/>
        </w:rPr>
      </w:pPr>
    </w:p>
    <w:p w14:paraId="1F92EF7B" w14:textId="4786CCC0" w:rsidR="0022101E" w:rsidRPr="004953A2" w:rsidRDefault="00BE40B6" w:rsidP="001B29A1">
      <w:pPr>
        <w:ind w:left="426"/>
        <w:rPr>
          <w:szCs w:val="20"/>
        </w:rPr>
      </w:pPr>
      <w:r w:rsidRPr="004953A2">
        <w:rPr>
          <w:szCs w:val="20"/>
          <w:u w:val="single"/>
        </w:rPr>
        <w:t xml:space="preserve">Safety </w:t>
      </w:r>
      <w:r w:rsidR="001A1D57" w:rsidRPr="004953A2">
        <w:rPr>
          <w:szCs w:val="20"/>
          <w:u w:val="single"/>
        </w:rPr>
        <w:t>outcomes</w:t>
      </w:r>
    </w:p>
    <w:p w14:paraId="7E0CAB8E" w14:textId="11FA45EA" w:rsidR="0022101E" w:rsidRPr="004953A2" w:rsidRDefault="00B54241" w:rsidP="001B29A1">
      <w:pPr>
        <w:ind w:left="426"/>
      </w:pPr>
      <w:r w:rsidRPr="004953A2">
        <w:t>In PARTNER 3, r</w:t>
      </w:r>
      <w:r w:rsidR="00BA74CA" w:rsidRPr="004953A2">
        <w:t xml:space="preserve">ates of </w:t>
      </w:r>
      <w:r w:rsidRPr="004953A2">
        <w:t>l</w:t>
      </w:r>
      <w:r w:rsidR="00BA74CA" w:rsidRPr="004953A2">
        <w:t xml:space="preserve">ife-threatening/disabling, or major bleeding and new onset of atrial fibrillation were statistically significantly lower </w:t>
      </w:r>
      <w:r w:rsidR="00103E33" w:rsidRPr="004953A2">
        <w:t xml:space="preserve">in the </w:t>
      </w:r>
      <w:r w:rsidR="00BA74CA" w:rsidRPr="004953A2">
        <w:t xml:space="preserve">TAVI </w:t>
      </w:r>
      <w:r w:rsidR="00103E33" w:rsidRPr="004953A2">
        <w:t>group</w:t>
      </w:r>
      <w:r w:rsidR="00BA74CA" w:rsidRPr="004953A2">
        <w:t xml:space="preserve"> compared to </w:t>
      </w:r>
      <w:r w:rsidR="00103E33" w:rsidRPr="004953A2">
        <w:t xml:space="preserve">the </w:t>
      </w:r>
      <w:r w:rsidR="00BA74CA" w:rsidRPr="004953A2">
        <w:t>SAVR</w:t>
      </w:r>
      <w:r w:rsidR="00103E33" w:rsidRPr="004953A2">
        <w:t xml:space="preserve"> group</w:t>
      </w:r>
      <w:r w:rsidR="00BA74CA" w:rsidRPr="004953A2">
        <w:t>. However, TAVI patients had higher rates of major vascular complications, new left bundle</w:t>
      </w:r>
      <w:r w:rsidR="00103E33" w:rsidRPr="004953A2">
        <w:t xml:space="preserve"> </w:t>
      </w:r>
      <w:r w:rsidR="00BA74CA" w:rsidRPr="004953A2">
        <w:t>branch block and new permanent pacemaker than SAVR. Lastly, lower rates of myocardial infarction were observed for TAVI.</w:t>
      </w:r>
      <w:r w:rsidR="00103E33" w:rsidRPr="004953A2">
        <w:t xml:space="preserve"> Table 6.2 summarises the safety outcomes, for which o</w:t>
      </w:r>
      <w:r w:rsidR="00BE40B6" w:rsidRPr="004953A2">
        <w:t xml:space="preserve">nly </w:t>
      </w:r>
      <w:r w:rsidR="00103E33" w:rsidRPr="004953A2">
        <w:t xml:space="preserve">those </w:t>
      </w:r>
      <w:r w:rsidR="00BE40B6" w:rsidRPr="004953A2">
        <w:t>with a rate of 1% or more are reported.</w:t>
      </w:r>
    </w:p>
    <w:p w14:paraId="7F7931BE" w14:textId="77777777" w:rsidR="00E452E2" w:rsidRDefault="00E452E2" w:rsidP="004953A2">
      <w:pPr>
        <w:tabs>
          <w:tab w:val="left" w:pos="1418"/>
        </w:tabs>
        <w:ind w:left="1418" w:hanging="992"/>
        <w:rPr>
          <w:b/>
          <w:szCs w:val="20"/>
        </w:rPr>
      </w:pPr>
    </w:p>
    <w:p w14:paraId="12FACC95" w14:textId="72BAB330" w:rsidR="00103E33" w:rsidRPr="004953A2" w:rsidRDefault="00103E33" w:rsidP="004953A2">
      <w:pPr>
        <w:tabs>
          <w:tab w:val="left" w:pos="1418"/>
        </w:tabs>
        <w:ind w:left="1418" w:hanging="992"/>
        <w:rPr>
          <w:szCs w:val="20"/>
        </w:rPr>
      </w:pPr>
      <w:r w:rsidRPr="004953A2">
        <w:rPr>
          <w:b/>
          <w:szCs w:val="20"/>
        </w:rPr>
        <w:t>Table 6.</w:t>
      </w:r>
      <w:r w:rsidR="00905B0D" w:rsidRPr="004953A2">
        <w:rPr>
          <w:b/>
          <w:szCs w:val="20"/>
        </w:rPr>
        <w:t>2</w:t>
      </w:r>
      <w:r w:rsidRPr="004953A2">
        <w:rPr>
          <w:b/>
          <w:szCs w:val="20"/>
        </w:rPr>
        <w:t>.</w:t>
      </w:r>
      <w:r w:rsidRPr="004953A2">
        <w:rPr>
          <w:szCs w:val="20"/>
        </w:rPr>
        <w:t xml:space="preserve"> </w:t>
      </w:r>
      <w:r w:rsidRPr="004953A2">
        <w:rPr>
          <w:szCs w:val="20"/>
        </w:rPr>
        <w:tab/>
        <w:t>Safety outcomes observed in PARTNER 3</w:t>
      </w:r>
      <w:r w:rsidR="0091529A" w:rsidRPr="004953A2">
        <w:rPr>
          <w:szCs w:val="20"/>
        </w:rPr>
        <w:t xml:space="preserve"> at 1 year.</w:t>
      </w:r>
    </w:p>
    <w:tbl>
      <w:tblPr>
        <w:tblW w:w="4714"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CE9E5"/>
        <w:tblCellMar>
          <w:top w:w="115" w:type="dxa"/>
          <w:left w:w="115" w:type="dxa"/>
          <w:bottom w:w="115" w:type="dxa"/>
          <w:right w:w="115" w:type="dxa"/>
        </w:tblCellMar>
        <w:tblLook w:val="04A0" w:firstRow="1" w:lastRow="0" w:firstColumn="1" w:lastColumn="0" w:noHBand="0" w:noVBand="1"/>
      </w:tblPr>
      <w:tblGrid>
        <w:gridCol w:w="2875"/>
        <w:gridCol w:w="1890"/>
        <w:gridCol w:w="1532"/>
        <w:gridCol w:w="2203"/>
      </w:tblGrid>
      <w:tr w:rsidR="001A1D57" w:rsidRPr="004953A2" w14:paraId="43CCD285" w14:textId="6A58D7B3" w:rsidTr="00E452E2">
        <w:trPr>
          <w:trHeight w:val="253"/>
          <w:tblHeader/>
          <w:jc w:val="center"/>
        </w:trPr>
        <w:tc>
          <w:tcPr>
            <w:tcW w:w="1691" w:type="pct"/>
            <w:shd w:val="clear" w:color="auto" w:fill="A39382"/>
            <w:vAlign w:val="center"/>
          </w:tcPr>
          <w:p w14:paraId="2023914E" w14:textId="77777777" w:rsidR="001A1D57" w:rsidRPr="004953A2" w:rsidRDefault="001A1D57" w:rsidP="00FA347A">
            <w:pPr>
              <w:pStyle w:val="TableText"/>
              <w:keepNext/>
              <w:keepLines/>
              <w:rPr>
                <w:rFonts w:asciiTheme="minorHAnsi" w:hAnsiTheme="minorHAnsi" w:cstheme="minorHAnsi"/>
                <w:b/>
                <w:color w:val="FFFFFF" w:themeColor="background1"/>
                <w:szCs w:val="18"/>
              </w:rPr>
            </w:pPr>
          </w:p>
        </w:tc>
        <w:tc>
          <w:tcPr>
            <w:tcW w:w="1112" w:type="pct"/>
            <w:shd w:val="clear" w:color="auto" w:fill="A39382"/>
          </w:tcPr>
          <w:p w14:paraId="5C33E845" w14:textId="594196DE" w:rsidR="001A1D57" w:rsidRPr="004953A2" w:rsidRDefault="001A1D57" w:rsidP="00FA347A">
            <w:pPr>
              <w:pStyle w:val="TableText"/>
              <w:keepNext/>
              <w:keepLines/>
              <w:spacing w:after="40"/>
              <w:jc w:val="center"/>
              <w:rPr>
                <w:rFonts w:asciiTheme="minorHAnsi" w:hAnsiTheme="minorHAnsi" w:cstheme="minorHAnsi"/>
                <w:b/>
                <w:color w:val="FFFFFF" w:themeColor="background1"/>
                <w:szCs w:val="18"/>
              </w:rPr>
            </w:pPr>
            <w:r w:rsidRPr="004953A2">
              <w:rPr>
                <w:rFonts w:asciiTheme="minorHAnsi" w:hAnsiTheme="minorHAnsi" w:cstheme="minorHAnsi"/>
                <w:b/>
                <w:color w:val="FFFFFF" w:themeColor="background1"/>
                <w:szCs w:val="18"/>
              </w:rPr>
              <w:t>TAVI using the SAPIEN 3 BEV</w:t>
            </w:r>
          </w:p>
        </w:tc>
        <w:tc>
          <w:tcPr>
            <w:tcW w:w="901" w:type="pct"/>
            <w:shd w:val="clear" w:color="auto" w:fill="A39382"/>
          </w:tcPr>
          <w:p w14:paraId="0F8A32D5" w14:textId="59DE9CD1" w:rsidR="001A1D57" w:rsidRPr="004953A2" w:rsidRDefault="001A1D57" w:rsidP="00FA347A">
            <w:pPr>
              <w:pStyle w:val="TableText"/>
              <w:keepNext/>
              <w:keepLines/>
              <w:jc w:val="center"/>
              <w:rPr>
                <w:rFonts w:asciiTheme="minorHAnsi" w:hAnsiTheme="minorHAnsi" w:cstheme="minorHAnsi"/>
                <w:b/>
                <w:color w:val="FFFFFF" w:themeColor="background1"/>
                <w:szCs w:val="18"/>
              </w:rPr>
            </w:pPr>
            <w:r w:rsidRPr="004953A2">
              <w:rPr>
                <w:rFonts w:asciiTheme="minorHAnsi" w:hAnsiTheme="minorHAnsi" w:cstheme="minorHAnsi"/>
                <w:b/>
                <w:color w:val="FFFFFF" w:themeColor="background1"/>
                <w:szCs w:val="18"/>
              </w:rPr>
              <w:t>SAVR</w:t>
            </w:r>
          </w:p>
        </w:tc>
        <w:tc>
          <w:tcPr>
            <w:tcW w:w="1296" w:type="pct"/>
            <w:shd w:val="clear" w:color="auto" w:fill="A39382"/>
          </w:tcPr>
          <w:p w14:paraId="6D57D68D" w14:textId="338C41C6" w:rsidR="001A1D57" w:rsidRPr="004953A2" w:rsidRDefault="001A1D57" w:rsidP="00FA347A">
            <w:pPr>
              <w:pStyle w:val="TableText"/>
              <w:keepNext/>
              <w:keepLines/>
              <w:jc w:val="center"/>
              <w:rPr>
                <w:rFonts w:asciiTheme="minorHAnsi" w:hAnsiTheme="minorHAnsi" w:cstheme="minorHAnsi"/>
                <w:b/>
                <w:color w:val="FFFFFF" w:themeColor="background1"/>
                <w:szCs w:val="18"/>
              </w:rPr>
            </w:pPr>
            <w:r w:rsidRPr="004953A2">
              <w:rPr>
                <w:rFonts w:asciiTheme="minorHAnsi" w:hAnsiTheme="minorHAnsi" w:cstheme="minorHAnsi"/>
                <w:b/>
                <w:color w:val="FFFFFF" w:themeColor="background1"/>
                <w:szCs w:val="18"/>
              </w:rPr>
              <w:t>Treatment effect</w:t>
            </w:r>
          </w:p>
        </w:tc>
      </w:tr>
      <w:tr w:rsidR="00BE40B6" w:rsidRPr="004953A2" w14:paraId="003A50FD" w14:textId="77777777" w:rsidTr="00E452E2">
        <w:trPr>
          <w:trHeight w:val="73"/>
          <w:jc w:val="center"/>
        </w:trPr>
        <w:tc>
          <w:tcPr>
            <w:tcW w:w="1691" w:type="pct"/>
            <w:shd w:val="clear" w:color="auto" w:fill="ECE9E5"/>
          </w:tcPr>
          <w:p w14:paraId="05A6E0BF" w14:textId="77777777" w:rsidR="00BE40B6" w:rsidRPr="004953A2" w:rsidRDefault="00BE40B6" w:rsidP="00BE40B6">
            <w:pPr>
              <w:pStyle w:val="TableText"/>
              <w:rPr>
                <w:rFonts w:asciiTheme="minorHAnsi" w:hAnsiTheme="minorHAnsi" w:cstheme="minorHAnsi"/>
                <w:color w:val="auto"/>
                <w:szCs w:val="18"/>
              </w:rPr>
            </w:pPr>
            <w:r w:rsidRPr="004953A2">
              <w:rPr>
                <w:rFonts w:asciiTheme="minorHAnsi" w:hAnsiTheme="minorHAnsi" w:cstheme="minorHAnsi"/>
                <w:color w:val="auto"/>
                <w:szCs w:val="18"/>
              </w:rPr>
              <w:t>Life-threatening / disabling, or</w:t>
            </w:r>
          </w:p>
          <w:p w14:paraId="48969F53" w14:textId="6E08ABBE" w:rsidR="00BE40B6" w:rsidRPr="004953A2" w:rsidRDefault="00BE40B6" w:rsidP="00BE40B6">
            <w:pPr>
              <w:pStyle w:val="TableText"/>
              <w:rPr>
                <w:rFonts w:asciiTheme="minorHAnsi" w:hAnsiTheme="minorHAnsi" w:cstheme="minorHAnsi"/>
                <w:color w:val="auto"/>
                <w:szCs w:val="18"/>
              </w:rPr>
            </w:pPr>
            <w:r w:rsidRPr="004953A2">
              <w:rPr>
                <w:rFonts w:asciiTheme="minorHAnsi" w:hAnsiTheme="minorHAnsi" w:cstheme="minorHAnsi"/>
                <w:color w:val="auto"/>
                <w:szCs w:val="18"/>
              </w:rPr>
              <w:t>major bleeding</w:t>
            </w:r>
          </w:p>
        </w:tc>
        <w:tc>
          <w:tcPr>
            <w:tcW w:w="1112" w:type="pct"/>
            <w:shd w:val="clear" w:color="auto" w:fill="ECE9E5"/>
            <w:tcMar>
              <w:top w:w="115" w:type="dxa"/>
              <w:left w:w="115" w:type="dxa"/>
              <w:bottom w:w="115" w:type="dxa"/>
              <w:right w:w="115" w:type="dxa"/>
            </w:tcMar>
          </w:tcPr>
          <w:p w14:paraId="556B02CD" w14:textId="5DB1863E"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7.7%</w:t>
            </w:r>
          </w:p>
        </w:tc>
        <w:tc>
          <w:tcPr>
            <w:tcW w:w="901" w:type="pct"/>
            <w:shd w:val="clear" w:color="auto" w:fill="ECE9E5"/>
            <w:tcMar>
              <w:top w:w="115" w:type="dxa"/>
              <w:left w:w="115" w:type="dxa"/>
              <w:bottom w:w="115" w:type="dxa"/>
              <w:right w:w="115" w:type="dxa"/>
            </w:tcMar>
          </w:tcPr>
          <w:p w14:paraId="05574F8A" w14:textId="7E77D9DA"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25.9%</w:t>
            </w:r>
          </w:p>
        </w:tc>
        <w:tc>
          <w:tcPr>
            <w:tcW w:w="1296" w:type="pct"/>
            <w:shd w:val="clear" w:color="auto" w:fill="ECE9E5"/>
          </w:tcPr>
          <w:p w14:paraId="0193052D" w14:textId="56ED7E86"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0.25 [0.17, 0.37]</w:t>
            </w:r>
          </w:p>
        </w:tc>
      </w:tr>
      <w:tr w:rsidR="00BE40B6" w:rsidRPr="004953A2" w14:paraId="75D5DB42" w14:textId="5DCEC7F9" w:rsidTr="00E452E2">
        <w:trPr>
          <w:trHeight w:val="73"/>
          <w:jc w:val="center"/>
        </w:trPr>
        <w:tc>
          <w:tcPr>
            <w:tcW w:w="1691" w:type="pct"/>
            <w:shd w:val="clear" w:color="auto" w:fill="ECE9E5"/>
          </w:tcPr>
          <w:p w14:paraId="726AAFA7" w14:textId="10263EE5" w:rsidR="00BE40B6" w:rsidRPr="004953A2" w:rsidRDefault="00BE40B6" w:rsidP="00BE40B6">
            <w:pPr>
              <w:pStyle w:val="TableText"/>
              <w:rPr>
                <w:rFonts w:asciiTheme="minorHAnsi" w:hAnsiTheme="minorHAnsi" w:cstheme="minorHAnsi"/>
                <w:color w:val="auto"/>
                <w:szCs w:val="18"/>
              </w:rPr>
            </w:pPr>
            <w:r w:rsidRPr="004953A2">
              <w:rPr>
                <w:rFonts w:asciiTheme="minorHAnsi" w:hAnsiTheme="minorHAnsi" w:cstheme="minorHAnsi"/>
                <w:color w:val="auto"/>
                <w:szCs w:val="18"/>
              </w:rPr>
              <w:t>Major vascular complications</w:t>
            </w:r>
          </w:p>
        </w:tc>
        <w:tc>
          <w:tcPr>
            <w:tcW w:w="1112" w:type="pct"/>
            <w:shd w:val="clear" w:color="auto" w:fill="ECE9E5"/>
            <w:tcMar>
              <w:top w:w="115" w:type="dxa"/>
              <w:left w:w="115" w:type="dxa"/>
              <w:bottom w:w="115" w:type="dxa"/>
              <w:right w:w="115" w:type="dxa"/>
            </w:tcMar>
          </w:tcPr>
          <w:p w14:paraId="01E18199" w14:textId="77777777"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1.0%</w:t>
            </w:r>
          </w:p>
        </w:tc>
        <w:tc>
          <w:tcPr>
            <w:tcW w:w="901" w:type="pct"/>
            <w:shd w:val="clear" w:color="auto" w:fill="ECE9E5"/>
            <w:tcMar>
              <w:top w:w="115" w:type="dxa"/>
              <w:left w:w="115" w:type="dxa"/>
              <w:bottom w:w="115" w:type="dxa"/>
              <w:right w:w="115" w:type="dxa"/>
            </w:tcMar>
          </w:tcPr>
          <w:p w14:paraId="43357BA9" w14:textId="77777777"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2.3%</w:t>
            </w:r>
          </w:p>
        </w:tc>
        <w:tc>
          <w:tcPr>
            <w:tcW w:w="1296" w:type="pct"/>
            <w:shd w:val="clear" w:color="auto" w:fill="ECE9E5"/>
          </w:tcPr>
          <w:p w14:paraId="60DA72E6" w14:textId="19750567"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1.83 [0.74, 4.55]</w:t>
            </w:r>
          </w:p>
        </w:tc>
      </w:tr>
      <w:tr w:rsidR="00BE40B6" w:rsidRPr="004953A2" w14:paraId="741F3945" w14:textId="77777777" w:rsidTr="00E452E2">
        <w:trPr>
          <w:jc w:val="center"/>
        </w:trPr>
        <w:tc>
          <w:tcPr>
            <w:tcW w:w="1691" w:type="pct"/>
            <w:shd w:val="clear" w:color="auto" w:fill="ECE9E5"/>
          </w:tcPr>
          <w:p w14:paraId="09B6510D" w14:textId="53726FA5" w:rsidR="00BE40B6" w:rsidRPr="004953A2" w:rsidRDefault="00BE40B6" w:rsidP="00BE40B6">
            <w:pPr>
              <w:pStyle w:val="TableText"/>
              <w:rPr>
                <w:rFonts w:asciiTheme="minorHAnsi" w:hAnsiTheme="minorHAnsi" w:cstheme="minorHAnsi"/>
                <w:color w:val="auto"/>
                <w:szCs w:val="18"/>
              </w:rPr>
            </w:pPr>
            <w:r w:rsidRPr="004953A2">
              <w:rPr>
                <w:rFonts w:asciiTheme="minorHAnsi" w:hAnsiTheme="minorHAnsi" w:cstheme="minorHAnsi"/>
                <w:color w:val="auto"/>
                <w:szCs w:val="18"/>
              </w:rPr>
              <w:t>Myocardial infarction</w:t>
            </w:r>
          </w:p>
        </w:tc>
        <w:tc>
          <w:tcPr>
            <w:tcW w:w="1112" w:type="pct"/>
            <w:shd w:val="clear" w:color="auto" w:fill="ECE9E5"/>
            <w:tcMar>
              <w:top w:w="115" w:type="dxa"/>
              <w:left w:w="115" w:type="dxa"/>
              <w:bottom w:w="115" w:type="dxa"/>
              <w:right w:w="115" w:type="dxa"/>
            </w:tcMar>
          </w:tcPr>
          <w:p w14:paraId="3250154C" w14:textId="6831E7E7"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1.2%</w:t>
            </w:r>
          </w:p>
        </w:tc>
        <w:tc>
          <w:tcPr>
            <w:tcW w:w="901" w:type="pct"/>
            <w:shd w:val="clear" w:color="auto" w:fill="ECE9E5"/>
            <w:tcMar>
              <w:top w:w="115" w:type="dxa"/>
              <w:left w:w="115" w:type="dxa"/>
              <w:bottom w:w="115" w:type="dxa"/>
              <w:right w:w="115" w:type="dxa"/>
            </w:tcMar>
          </w:tcPr>
          <w:p w14:paraId="454DD994" w14:textId="5D9A7663"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2.2%</w:t>
            </w:r>
          </w:p>
        </w:tc>
        <w:tc>
          <w:tcPr>
            <w:tcW w:w="1296" w:type="pct"/>
            <w:shd w:val="clear" w:color="auto" w:fill="ECE9E5"/>
          </w:tcPr>
          <w:p w14:paraId="56A0DBDB" w14:textId="09BC9C45"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0.54 [0.20, 1.49]</w:t>
            </w:r>
          </w:p>
        </w:tc>
      </w:tr>
      <w:tr w:rsidR="00BE40B6" w:rsidRPr="004953A2" w14:paraId="6EAD0561" w14:textId="77777777" w:rsidTr="00E452E2">
        <w:trPr>
          <w:jc w:val="center"/>
        </w:trPr>
        <w:tc>
          <w:tcPr>
            <w:tcW w:w="1691" w:type="pct"/>
            <w:shd w:val="clear" w:color="auto" w:fill="ECE9E5"/>
          </w:tcPr>
          <w:p w14:paraId="20A6E187" w14:textId="3CC17BB0" w:rsidR="00BE40B6" w:rsidRPr="004953A2" w:rsidRDefault="00BE40B6" w:rsidP="00BE40B6">
            <w:pPr>
              <w:pStyle w:val="TableText"/>
              <w:rPr>
                <w:rFonts w:asciiTheme="minorHAnsi" w:hAnsiTheme="minorHAnsi" w:cstheme="minorHAnsi"/>
                <w:color w:val="auto"/>
                <w:szCs w:val="18"/>
              </w:rPr>
            </w:pPr>
            <w:r w:rsidRPr="004953A2">
              <w:rPr>
                <w:rFonts w:asciiTheme="minorHAnsi" w:hAnsiTheme="minorHAnsi" w:cstheme="minorHAnsi"/>
                <w:color w:val="auto"/>
                <w:szCs w:val="18"/>
              </w:rPr>
              <w:t xml:space="preserve">New </w:t>
            </w:r>
            <w:r w:rsidR="0091529A" w:rsidRPr="004953A2">
              <w:rPr>
                <w:rFonts w:asciiTheme="minorHAnsi" w:hAnsiTheme="minorHAnsi" w:cstheme="minorHAnsi"/>
                <w:color w:val="auto"/>
                <w:szCs w:val="18"/>
              </w:rPr>
              <w:t>l</w:t>
            </w:r>
            <w:r w:rsidRPr="004953A2">
              <w:rPr>
                <w:rFonts w:asciiTheme="minorHAnsi" w:hAnsiTheme="minorHAnsi" w:cstheme="minorHAnsi"/>
                <w:color w:val="auto"/>
                <w:szCs w:val="18"/>
              </w:rPr>
              <w:t xml:space="preserve">eft </w:t>
            </w:r>
            <w:r w:rsidR="0091529A" w:rsidRPr="004953A2">
              <w:rPr>
                <w:rFonts w:asciiTheme="minorHAnsi" w:hAnsiTheme="minorHAnsi" w:cstheme="minorHAnsi"/>
                <w:color w:val="auto"/>
                <w:szCs w:val="18"/>
              </w:rPr>
              <w:t>b</w:t>
            </w:r>
            <w:r w:rsidRPr="004953A2">
              <w:rPr>
                <w:rFonts w:asciiTheme="minorHAnsi" w:hAnsiTheme="minorHAnsi" w:cstheme="minorHAnsi"/>
                <w:color w:val="auto"/>
                <w:szCs w:val="18"/>
              </w:rPr>
              <w:t>undle</w:t>
            </w:r>
            <w:r w:rsidR="0091529A" w:rsidRPr="004953A2">
              <w:rPr>
                <w:rFonts w:asciiTheme="minorHAnsi" w:hAnsiTheme="minorHAnsi" w:cstheme="minorHAnsi"/>
                <w:color w:val="auto"/>
                <w:szCs w:val="18"/>
              </w:rPr>
              <w:t xml:space="preserve"> b</w:t>
            </w:r>
            <w:r w:rsidRPr="004953A2">
              <w:rPr>
                <w:rFonts w:asciiTheme="minorHAnsi" w:hAnsiTheme="minorHAnsi" w:cstheme="minorHAnsi"/>
                <w:color w:val="auto"/>
                <w:szCs w:val="18"/>
              </w:rPr>
              <w:t xml:space="preserve">ranch </w:t>
            </w:r>
            <w:r w:rsidR="0091529A" w:rsidRPr="004953A2">
              <w:rPr>
                <w:rFonts w:asciiTheme="minorHAnsi" w:hAnsiTheme="minorHAnsi" w:cstheme="minorHAnsi"/>
                <w:color w:val="auto"/>
                <w:szCs w:val="18"/>
              </w:rPr>
              <w:t>b</w:t>
            </w:r>
            <w:r w:rsidRPr="004953A2">
              <w:rPr>
                <w:rFonts w:asciiTheme="minorHAnsi" w:hAnsiTheme="minorHAnsi" w:cstheme="minorHAnsi"/>
                <w:color w:val="auto"/>
                <w:szCs w:val="18"/>
              </w:rPr>
              <w:t>lock</w:t>
            </w:r>
          </w:p>
        </w:tc>
        <w:tc>
          <w:tcPr>
            <w:tcW w:w="1112" w:type="pct"/>
            <w:shd w:val="clear" w:color="auto" w:fill="ECE9E5"/>
            <w:tcMar>
              <w:top w:w="115" w:type="dxa"/>
              <w:left w:w="115" w:type="dxa"/>
              <w:bottom w:w="115" w:type="dxa"/>
              <w:right w:w="115" w:type="dxa"/>
            </w:tcMar>
          </w:tcPr>
          <w:p w14:paraId="3D26C632" w14:textId="136519C0"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23.7%</w:t>
            </w:r>
          </w:p>
        </w:tc>
        <w:tc>
          <w:tcPr>
            <w:tcW w:w="901" w:type="pct"/>
            <w:shd w:val="clear" w:color="auto" w:fill="ECE9E5"/>
            <w:tcMar>
              <w:top w:w="115" w:type="dxa"/>
              <w:left w:w="115" w:type="dxa"/>
              <w:bottom w:w="115" w:type="dxa"/>
              <w:right w:w="115" w:type="dxa"/>
            </w:tcMar>
          </w:tcPr>
          <w:p w14:paraId="138E30F4" w14:textId="171E5AE2"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8.0%</w:t>
            </w:r>
          </w:p>
        </w:tc>
        <w:tc>
          <w:tcPr>
            <w:tcW w:w="1296" w:type="pct"/>
            <w:shd w:val="clear" w:color="auto" w:fill="ECE9E5"/>
          </w:tcPr>
          <w:p w14:paraId="50F8AA60" w14:textId="068C93F2"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3.43 [2.32, 5.08]</w:t>
            </w:r>
          </w:p>
        </w:tc>
      </w:tr>
      <w:tr w:rsidR="00BE40B6" w:rsidRPr="004953A2" w14:paraId="1D2FDA94" w14:textId="77777777" w:rsidTr="00E452E2">
        <w:trPr>
          <w:jc w:val="center"/>
        </w:trPr>
        <w:tc>
          <w:tcPr>
            <w:tcW w:w="1691" w:type="pct"/>
            <w:shd w:val="clear" w:color="auto" w:fill="ECE9E5"/>
          </w:tcPr>
          <w:p w14:paraId="1810BBEF" w14:textId="1084E334" w:rsidR="00BE40B6" w:rsidRPr="004953A2" w:rsidRDefault="00BE40B6" w:rsidP="00BE40B6">
            <w:pPr>
              <w:pStyle w:val="TableText"/>
              <w:rPr>
                <w:rFonts w:asciiTheme="minorHAnsi" w:hAnsiTheme="minorHAnsi" w:cstheme="minorHAnsi"/>
                <w:color w:val="auto"/>
                <w:szCs w:val="18"/>
              </w:rPr>
            </w:pPr>
            <w:r w:rsidRPr="004953A2">
              <w:rPr>
                <w:rFonts w:asciiTheme="minorHAnsi" w:hAnsiTheme="minorHAnsi" w:cstheme="minorHAnsi"/>
                <w:color w:val="auto"/>
                <w:szCs w:val="18"/>
              </w:rPr>
              <w:t>New permanent pacemaker</w:t>
            </w:r>
          </w:p>
        </w:tc>
        <w:tc>
          <w:tcPr>
            <w:tcW w:w="1112" w:type="pct"/>
            <w:shd w:val="clear" w:color="auto" w:fill="ECE9E5"/>
            <w:tcMar>
              <w:top w:w="115" w:type="dxa"/>
              <w:left w:w="115" w:type="dxa"/>
              <w:bottom w:w="115" w:type="dxa"/>
              <w:right w:w="115" w:type="dxa"/>
            </w:tcMar>
          </w:tcPr>
          <w:p w14:paraId="55068176" w14:textId="541E9179"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7.3%</w:t>
            </w:r>
          </w:p>
        </w:tc>
        <w:tc>
          <w:tcPr>
            <w:tcW w:w="901" w:type="pct"/>
            <w:shd w:val="clear" w:color="auto" w:fill="ECE9E5"/>
            <w:tcMar>
              <w:top w:w="115" w:type="dxa"/>
              <w:left w:w="115" w:type="dxa"/>
              <w:bottom w:w="115" w:type="dxa"/>
              <w:right w:w="115" w:type="dxa"/>
            </w:tcMar>
          </w:tcPr>
          <w:p w14:paraId="75A16A33" w14:textId="5E16E51C"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5.4%</w:t>
            </w:r>
          </w:p>
        </w:tc>
        <w:tc>
          <w:tcPr>
            <w:tcW w:w="1296" w:type="pct"/>
            <w:shd w:val="clear" w:color="auto" w:fill="ECE9E5"/>
          </w:tcPr>
          <w:p w14:paraId="4C741AAA" w14:textId="1BD92EE4"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1.39 [0.83, 2.33]</w:t>
            </w:r>
          </w:p>
        </w:tc>
      </w:tr>
      <w:tr w:rsidR="00BE40B6" w:rsidRPr="004953A2" w14:paraId="457F4D7F" w14:textId="77777777" w:rsidTr="00E452E2">
        <w:trPr>
          <w:trHeight w:val="25"/>
          <w:jc w:val="center"/>
        </w:trPr>
        <w:tc>
          <w:tcPr>
            <w:tcW w:w="1691" w:type="pct"/>
            <w:shd w:val="clear" w:color="auto" w:fill="ECE9E5"/>
          </w:tcPr>
          <w:p w14:paraId="4E896D74" w14:textId="019F4AA6" w:rsidR="00BE40B6" w:rsidRPr="004953A2" w:rsidRDefault="00BE40B6" w:rsidP="00BE40B6">
            <w:pPr>
              <w:pStyle w:val="TableText"/>
              <w:rPr>
                <w:rFonts w:asciiTheme="minorHAnsi" w:hAnsiTheme="minorHAnsi" w:cstheme="minorHAnsi"/>
                <w:color w:val="auto"/>
                <w:szCs w:val="18"/>
              </w:rPr>
            </w:pPr>
            <w:r w:rsidRPr="004953A2">
              <w:rPr>
                <w:rFonts w:asciiTheme="minorHAnsi" w:hAnsiTheme="minorHAnsi" w:cstheme="minorHAnsi"/>
                <w:color w:val="auto"/>
                <w:szCs w:val="18"/>
              </w:rPr>
              <w:t>New onset atrial fibrillation</w:t>
            </w:r>
          </w:p>
        </w:tc>
        <w:tc>
          <w:tcPr>
            <w:tcW w:w="1112" w:type="pct"/>
            <w:shd w:val="clear" w:color="auto" w:fill="ECE9E5"/>
            <w:tcMar>
              <w:top w:w="115" w:type="dxa"/>
              <w:left w:w="115" w:type="dxa"/>
              <w:bottom w:w="115" w:type="dxa"/>
              <w:right w:w="115" w:type="dxa"/>
            </w:tcMar>
          </w:tcPr>
          <w:p w14:paraId="0938CF70" w14:textId="666B9260"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7.0%</w:t>
            </w:r>
          </w:p>
        </w:tc>
        <w:tc>
          <w:tcPr>
            <w:tcW w:w="901" w:type="pct"/>
            <w:shd w:val="clear" w:color="auto" w:fill="ECE9E5"/>
            <w:tcMar>
              <w:top w:w="115" w:type="dxa"/>
              <w:left w:w="115" w:type="dxa"/>
              <w:bottom w:w="115" w:type="dxa"/>
              <w:right w:w="115" w:type="dxa"/>
            </w:tcMar>
          </w:tcPr>
          <w:p w14:paraId="637ABC6C" w14:textId="535D623E"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40.9%</w:t>
            </w:r>
          </w:p>
        </w:tc>
        <w:tc>
          <w:tcPr>
            <w:tcW w:w="1296" w:type="pct"/>
            <w:shd w:val="clear" w:color="auto" w:fill="ECE9E5"/>
          </w:tcPr>
          <w:p w14:paraId="769B7909" w14:textId="295A7F20" w:rsidR="00BE40B6" w:rsidRPr="004953A2" w:rsidRDefault="00BE40B6" w:rsidP="00BE40B6">
            <w:pPr>
              <w:pStyle w:val="TableText"/>
              <w:jc w:val="center"/>
              <w:rPr>
                <w:rFonts w:asciiTheme="minorHAnsi" w:hAnsiTheme="minorHAnsi" w:cstheme="minorHAnsi"/>
                <w:szCs w:val="18"/>
              </w:rPr>
            </w:pPr>
            <w:r w:rsidRPr="004953A2">
              <w:rPr>
                <w:rFonts w:asciiTheme="minorHAnsi" w:hAnsiTheme="minorHAnsi" w:cstheme="minorHAnsi"/>
                <w:szCs w:val="18"/>
              </w:rPr>
              <w:t>0.13 [0.09, 0.20]</w:t>
            </w:r>
          </w:p>
        </w:tc>
      </w:tr>
    </w:tbl>
    <w:p w14:paraId="59F6E97C" w14:textId="77777777" w:rsidR="00EE39C0" w:rsidRPr="004953A2" w:rsidRDefault="00EE39C0" w:rsidP="001B29A1">
      <w:pPr>
        <w:ind w:left="426"/>
        <w:rPr>
          <w:szCs w:val="20"/>
        </w:rPr>
      </w:pPr>
    </w:p>
    <w:p w14:paraId="55DEDF30" w14:textId="77777777" w:rsidR="004E3CC7" w:rsidRPr="004953A2" w:rsidRDefault="004E3CC7" w:rsidP="00530204">
      <w:pPr>
        <w:pStyle w:val="Heading2"/>
      </w:pPr>
      <w:r w:rsidRPr="004953A2">
        <w:t xml:space="preserve">Please advise if the </w:t>
      </w:r>
      <w:r w:rsidR="00CF5AD8" w:rsidRPr="004953A2">
        <w:t xml:space="preserve">overall </w:t>
      </w:r>
      <w:r w:rsidRPr="004953A2">
        <w:t>clinical claim is for:</w:t>
      </w:r>
    </w:p>
    <w:p w14:paraId="62250595" w14:textId="5BE980CA" w:rsidR="001B29A1" w:rsidRPr="004953A2" w:rsidRDefault="0082616B" w:rsidP="001B29A1">
      <w:pPr>
        <w:spacing w:before="0" w:after="0"/>
        <w:ind w:left="426"/>
        <w:rPr>
          <w:szCs w:val="20"/>
        </w:rPr>
      </w:pPr>
      <w:r w:rsidRPr="004953A2">
        <w:rPr>
          <w:szCs w:val="20"/>
        </w:rPr>
        <w:fldChar w:fldCharType="begin">
          <w:ffData>
            <w:name w:val=""/>
            <w:enabled/>
            <w:calcOnExit w:val="0"/>
            <w:checkBox>
              <w:sizeAuto/>
              <w:default w:val="1"/>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001B29A1" w:rsidRPr="004953A2">
        <w:rPr>
          <w:szCs w:val="20"/>
        </w:rPr>
        <w:t xml:space="preserve"> Superiority</w:t>
      </w:r>
      <w:r w:rsidR="001B29A1" w:rsidRPr="004953A2">
        <w:rPr>
          <w:szCs w:val="20"/>
        </w:rPr>
        <w:tab/>
      </w:r>
    </w:p>
    <w:p w14:paraId="41541A78" w14:textId="77777777" w:rsidR="004E3CC7" w:rsidRPr="004953A2" w:rsidRDefault="001B29A1" w:rsidP="001B29A1">
      <w:pPr>
        <w:spacing w:before="0" w:after="0"/>
        <w:ind w:left="426"/>
        <w:rPr>
          <w:szCs w:val="20"/>
        </w:rPr>
      </w:pPr>
      <w:r w:rsidRPr="004953A2">
        <w:rPr>
          <w:szCs w:val="20"/>
        </w:rPr>
        <w:fldChar w:fldCharType="begin">
          <w:ffData>
            <w:name w:val="Check1"/>
            <w:enabled/>
            <w:calcOnExit w:val="0"/>
            <w:checkBox>
              <w:sizeAuto/>
              <w:default w:val="0"/>
            </w:checkBox>
          </w:ffData>
        </w:fldChar>
      </w:r>
      <w:r w:rsidRPr="004953A2">
        <w:rPr>
          <w:szCs w:val="20"/>
        </w:rPr>
        <w:instrText xml:space="preserve"> FORMCHECKBOX </w:instrText>
      </w:r>
      <w:r w:rsidR="006D1F51">
        <w:rPr>
          <w:szCs w:val="20"/>
        </w:rPr>
      </w:r>
      <w:r w:rsidR="006D1F51">
        <w:rPr>
          <w:szCs w:val="20"/>
        </w:rPr>
        <w:fldChar w:fldCharType="separate"/>
      </w:r>
      <w:r w:rsidRPr="004953A2">
        <w:rPr>
          <w:szCs w:val="20"/>
        </w:rPr>
        <w:fldChar w:fldCharType="end"/>
      </w:r>
      <w:r w:rsidRPr="004953A2">
        <w:rPr>
          <w:szCs w:val="20"/>
        </w:rPr>
        <w:t xml:space="preserve"> Non-inferiority</w:t>
      </w:r>
      <w:r w:rsidRPr="004953A2">
        <w:rPr>
          <w:szCs w:val="20"/>
        </w:rPr>
        <w:tab/>
      </w:r>
    </w:p>
    <w:p w14:paraId="7EF99DFF" w14:textId="77777777" w:rsidR="0091529A" w:rsidRPr="004953A2" w:rsidRDefault="0091529A">
      <w:pPr>
        <w:spacing w:before="0" w:after="200" w:line="276" w:lineRule="auto"/>
        <w:rPr>
          <w:b/>
          <w:szCs w:val="20"/>
        </w:rPr>
      </w:pPr>
      <w:r w:rsidRPr="004953A2">
        <w:br w:type="page"/>
      </w:r>
    </w:p>
    <w:p w14:paraId="5288324D" w14:textId="2BAF4BBF" w:rsidR="00B25D20" w:rsidRPr="004953A2" w:rsidRDefault="001B29A1" w:rsidP="00530204">
      <w:pPr>
        <w:pStyle w:val="Heading2"/>
      </w:pPr>
      <w:r w:rsidRPr="004953A2">
        <w:lastRenderedPageBreak/>
        <w:t>Below, l</w:t>
      </w:r>
      <w:r w:rsidR="00B25D20" w:rsidRPr="004953A2">
        <w:t xml:space="preserve">ist the key health outcomes </w:t>
      </w:r>
      <w:r w:rsidR="00707D4D" w:rsidRPr="004953A2">
        <w:t xml:space="preserve">(major and minor – prioritising major key health outcomes first) </w:t>
      </w:r>
      <w:r w:rsidR="00B25D20" w:rsidRPr="004953A2">
        <w:t>that will ne</w:t>
      </w:r>
      <w:r w:rsidR="00AD37D4" w:rsidRPr="004953A2">
        <w:t xml:space="preserve">ed to be specifically measured </w:t>
      </w:r>
      <w:r w:rsidR="00B25D20" w:rsidRPr="004953A2">
        <w:t>in assessing the clinical claim of the proposed medica</w:t>
      </w:r>
      <w:r w:rsidRPr="004953A2">
        <w:t>l service versus the comparator</w:t>
      </w:r>
      <w:r w:rsidR="00AD37D4" w:rsidRPr="004953A2">
        <w:t>:</w:t>
      </w:r>
    </w:p>
    <w:p w14:paraId="511E8D8A" w14:textId="77777777" w:rsidR="00BE40B6" w:rsidRPr="004953A2" w:rsidRDefault="00BE40B6" w:rsidP="00BE40B6">
      <w:pPr>
        <w:pBdr>
          <w:top w:val="single" w:sz="4" w:space="1" w:color="auto"/>
          <w:left w:val="single" w:sz="4" w:space="4" w:color="auto"/>
          <w:bottom w:val="single" w:sz="4" w:space="1" w:color="auto"/>
          <w:right w:val="single" w:sz="4" w:space="4" w:color="auto"/>
        </w:pBdr>
        <w:rPr>
          <w:b/>
          <w:szCs w:val="20"/>
        </w:rPr>
      </w:pPr>
      <w:r w:rsidRPr="004953A2">
        <w:rPr>
          <w:b/>
          <w:szCs w:val="20"/>
        </w:rPr>
        <w:t xml:space="preserve">Clinical Effectiveness Outcomes: </w:t>
      </w:r>
    </w:p>
    <w:p w14:paraId="2996252B" w14:textId="4B3DE4E8" w:rsidR="00BE40B6" w:rsidRPr="004953A2" w:rsidRDefault="0091529A" w:rsidP="00BE40B6">
      <w:pPr>
        <w:pBdr>
          <w:top w:val="single" w:sz="4" w:space="1" w:color="auto"/>
          <w:left w:val="single" w:sz="4" w:space="4" w:color="auto"/>
          <w:bottom w:val="single" w:sz="4" w:space="1" w:color="auto"/>
          <w:right w:val="single" w:sz="4" w:space="4" w:color="auto"/>
        </w:pBdr>
        <w:rPr>
          <w:szCs w:val="20"/>
        </w:rPr>
      </w:pPr>
      <w:r w:rsidRPr="004953A2">
        <w:rPr>
          <w:szCs w:val="20"/>
        </w:rPr>
        <w:t>Composite of d</w:t>
      </w:r>
      <w:r w:rsidR="00BE40B6" w:rsidRPr="004953A2">
        <w:rPr>
          <w:szCs w:val="20"/>
        </w:rPr>
        <w:t>eath, stroke</w:t>
      </w:r>
      <w:r w:rsidRPr="004953A2">
        <w:rPr>
          <w:szCs w:val="20"/>
        </w:rPr>
        <w:t xml:space="preserve"> and</w:t>
      </w:r>
      <w:r w:rsidR="00BE40B6" w:rsidRPr="004953A2">
        <w:rPr>
          <w:szCs w:val="20"/>
        </w:rPr>
        <w:t xml:space="preserve"> rehospitali</w:t>
      </w:r>
      <w:r w:rsidRPr="004953A2">
        <w:rPr>
          <w:szCs w:val="20"/>
        </w:rPr>
        <w:t>s</w:t>
      </w:r>
      <w:r w:rsidR="00BE40B6" w:rsidRPr="004953A2">
        <w:rPr>
          <w:szCs w:val="20"/>
        </w:rPr>
        <w:t xml:space="preserve">ation </w:t>
      </w:r>
    </w:p>
    <w:p w14:paraId="6ED4AD4E" w14:textId="7851E94E" w:rsidR="0091529A" w:rsidRPr="004953A2" w:rsidRDefault="0091529A" w:rsidP="00BE40B6">
      <w:pPr>
        <w:pBdr>
          <w:top w:val="single" w:sz="4" w:space="1" w:color="auto"/>
          <w:left w:val="single" w:sz="4" w:space="4" w:color="auto"/>
          <w:bottom w:val="single" w:sz="4" w:space="1" w:color="auto"/>
          <w:right w:val="single" w:sz="4" w:space="4" w:color="auto"/>
        </w:pBdr>
        <w:rPr>
          <w:szCs w:val="20"/>
        </w:rPr>
      </w:pPr>
      <w:r w:rsidRPr="004953A2">
        <w:rPr>
          <w:szCs w:val="20"/>
        </w:rPr>
        <w:t>Death</w:t>
      </w:r>
    </w:p>
    <w:p w14:paraId="79703B29" w14:textId="30669A13" w:rsidR="0091529A" w:rsidRPr="004953A2" w:rsidRDefault="0091529A" w:rsidP="00BE40B6">
      <w:pPr>
        <w:pBdr>
          <w:top w:val="single" w:sz="4" w:space="1" w:color="auto"/>
          <w:left w:val="single" w:sz="4" w:space="4" w:color="auto"/>
          <w:bottom w:val="single" w:sz="4" w:space="1" w:color="auto"/>
          <w:right w:val="single" w:sz="4" w:space="4" w:color="auto"/>
        </w:pBdr>
        <w:rPr>
          <w:szCs w:val="20"/>
        </w:rPr>
      </w:pPr>
      <w:r w:rsidRPr="004953A2">
        <w:rPr>
          <w:szCs w:val="20"/>
        </w:rPr>
        <w:t>Stroke</w:t>
      </w:r>
    </w:p>
    <w:p w14:paraId="6B31A8DC" w14:textId="62387A0E" w:rsidR="0091529A" w:rsidRPr="004953A2" w:rsidRDefault="0091529A" w:rsidP="00BE40B6">
      <w:pPr>
        <w:pBdr>
          <w:top w:val="single" w:sz="4" w:space="1" w:color="auto"/>
          <w:left w:val="single" w:sz="4" w:space="4" w:color="auto"/>
          <w:bottom w:val="single" w:sz="4" w:space="1" w:color="auto"/>
          <w:right w:val="single" w:sz="4" w:space="4" w:color="auto"/>
        </w:pBdr>
        <w:rPr>
          <w:szCs w:val="20"/>
        </w:rPr>
      </w:pPr>
      <w:r w:rsidRPr="004953A2">
        <w:rPr>
          <w:szCs w:val="20"/>
        </w:rPr>
        <w:t>Rehospitalisation</w:t>
      </w:r>
    </w:p>
    <w:p w14:paraId="64A2098E" w14:textId="308641C6" w:rsidR="00BE40B6" w:rsidRPr="004953A2" w:rsidRDefault="00BE40B6" w:rsidP="00BE40B6">
      <w:pPr>
        <w:pBdr>
          <w:top w:val="single" w:sz="4" w:space="1" w:color="auto"/>
          <w:left w:val="single" w:sz="4" w:space="4" w:color="auto"/>
          <w:bottom w:val="single" w:sz="4" w:space="1" w:color="auto"/>
          <w:right w:val="single" w:sz="4" w:space="4" w:color="auto"/>
        </w:pBdr>
        <w:rPr>
          <w:szCs w:val="20"/>
        </w:rPr>
      </w:pPr>
      <w:r w:rsidRPr="004953A2">
        <w:rPr>
          <w:szCs w:val="20"/>
        </w:rPr>
        <w:t>Health-related quality of life</w:t>
      </w:r>
    </w:p>
    <w:p w14:paraId="1261E86E" w14:textId="77777777" w:rsidR="00BE40B6" w:rsidRPr="004953A2" w:rsidRDefault="00BE40B6" w:rsidP="001B29A1">
      <w:pPr>
        <w:pBdr>
          <w:top w:val="single" w:sz="4" w:space="1" w:color="auto"/>
          <w:left w:val="single" w:sz="4" w:space="4" w:color="auto"/>
          <w:bottom w:val="single" w:sz="4" w:space="1" w:color="auto"/>
          <w:right w:val="single" w:sz="4" w:space="4" w:color="auto"/>
        </w:pBdr>
        <w:rPr>
          <w:b/>
          <w:szCs w:val="20"/>
        </w:rPr>
      </w:pPr>
    </w:p>
    <w:p w14:paraId="4DFEA377" w14:textId="1404ACB2" w:rsidR="001B29A1" w:rsidRPr="004953A2" w:rsidRDefault="001B29A1" w:rsidP="001B29A1">
      <w:pPr>
        <w:pBdr>
          <w:top w:val="single" w:sz="4" w:space="1" w:color="auto"/>
          <w:left w:val="single" w:sz="4" w:space="4" w:color="auto"/>
          <w:bottom w:val="single" w:sz="4" w:space="1" w:color="auto"/>
          <w:right w:val="single" w:sz="4" w:space="4" w:color="auto"/>
        </w:pBdr>
        <w:rPr>
          <w:b/>
          <w:szCs w:val="20"/>
        </w:rPr>
      </w:pPr>
      <w:r w:rsidRPr="004953A2">
        <w:rPr>
          <w:b/>
          <w:szCs w:val="20"/>
        </w:rPr>
        <w:t xml:space="preserve">Safety Outcomes: </w:t>
      </w:r>
    </w:p>
    <w:p w14:paraId="578C83F8" w14:textId="77777777" w:rsidR="00BE40B6" w:rsidRPr="004953A2" w:rsidRDefault="00BE40B6" w:rsidP="00BE40B6">
      <w:pPr>
        <w:pBdr>
          <w:top w:val="single" w:sz="4" w:space="1" w:color="auto"/>
          <w:left w:val="single" w:sz="4" w:space="4" w:color="auto"/>
          <w:bottom w:val="single" w:sz="4" w:space="1" w:color="auto"/>
          <w:right w:val="single" w:sz="4" w:space="4" w:color="auto"/>
        </w:pBdr>
        <w:rPr>
          <w:bCs/>
          <w:szCs w:val="20"/>
        </w:rPr>
      </w:pPr>
      <w:r w:rsidRPr="004953A2">
        <w:rPr>
          <w:bCs/>
          <w:szCs w:val="20"/>
        </w:rPr>
        <w:t>Life-threatening / disabling, or major bleeding</w:t>
      </w:r>
    </w:p>
    <w:p w14:paraId="223FF39D" w14:textId="7359136F" w:rsidR="00BE40B6" w:rsidRPr="004953A2" w:rsidRDefault="00BE40B6" w:rsidP="00BE40B6">
      <w:pPr>
        <w:pBdr>
          <w:top w:val="single" w:sz="4" w:space="1" w:color="auto"/>
          <w:left w:val="single" w:sz="4" w:space="4" w:color="auto"/>
          <w:bottom w:val="single" w:sz="4" w:space="1" w:color="auto"/>
          <w:right w:val="single" w:sz="4" w:space="4" w:color="auto"/>
        </w:pBdr>
        <w:rPr>
          <w:bCs/>
          <w:szCs w:val="20"/>
        </w:rPr>
      </w:pPr>
      <w:r w:rsidRPr="004953A2">
        <w:rPr>
          <w:bCs/>
          <w:szCs w:val="20"/>
        </w:rPr>
        <w:t>Major vascular complications</w:t>
      </w:r>
    </w:p>
    <w:p w14:paraId="57FAFBDF" w14:textId="77777777" w:rsidR="00BE40B6" w:rsidRPr="004953A2" w:rsidRDefault="00BE40B6" w:rsidP="00BE40B6">
      <w:pPr>
        <w:pBdr>
          <w:top w:val="single" w:sz="4" w:space="1" w:color="auto"/>
          <w:left w:val="single" w:sz="4" w:space="4" w:color="auto"/>
          <w:bottom w:val="single" w:sz="4" w:space="1" w:color="auto"/>
          <w:right w:val="single" w:sz="4" w:space="4" w:color="auto"/>
        </w:pBdr>
        <w:rPr>
          <w:bCs/>
          <w:szCs w:val="20"/>
        </w:rPr>
      </w:pPr>
      <w:r w:rsidRPr="004953A2">
        <w:rPr>
          <w:bCs/>
          <w:szCs w:val="20"/>
        </w:rPr>
        <w:t>Myocardial infarction</w:t>
      </w:r>
    </w:p>
    <w:p w14:paraId="529D6E9B" w14:textId="2FF48DEA" w:rsidR="00BE40B6" w:rsidRPr="004953A2" w:rsidRDefault="00BE40B6" w:rsidP="00BE40B6">
      <w:pPr>
        <w:pBdr>
          <w:top w:val="single" w:sz="4" w:space="1" w:color="auto"/>
          <w:left w:val="single" w:sz="4" w:space="4" w:color="auto"/>
          <w:bottom w:val="single" w:sz="4" w:space="1" w:color="auto"/>
          <w:right w:val="single" w:sz="4" w:space="4" w:color="auto"/>
        </w:pBdr>
        <w:rPr>
          <w:bCs/>
          <w:szCs w:val="20"/>
        </w:rPr>
      </w:pPr>
      <w:r w:rsidRPr="004953A2">
        <w:rPr>
          <w:bCs/>
          <w:szCs w:val="20"/>
        </w:rPr>
        <w:t xml:space="preserve">New </w:t>
      </w:r>
      <w:r w:rsidR="0091529A" w:rsidRPr="004953A2">
        <w:rPr>
          <w:bCs/>
          <w:szCs w:val="20"/>
        </w:rPr>
        <w:t>l</w:t>
      </w:r>
      <w:r w:rsidRPr="004953A2">
        <w:rPr>
          <w:bCs/>
          <w:szCs w:val="20"/>
        </w:rPr>
        <w:t xml:space="preserve">eft </w:t>
      </w:r>
      <w:r w:rsidR="0091529A" w:rsidRPr="004953A2">
        <w:rPr>
          <w:bCs/>
          <w:szCs w:val="20"/>
        </w:rPr>
        <w:t>b</w:t>
      </w:r>
      <w:r w:rsidRPr="004953A2">
        <w:rPr>
          <w:bCs/>
          <w:szCs w:val="20"/>
        </w:rPr>
        <w:t>undle</w:t>
      </w:r>
      <w:r w:rsidR="0091529A" w:rsidRPr="004953A2">
        <w:rPr>
          <w:bCs/>
          <w:szCs w:val="20"/>
        </w:rPr>
        <w:t xml:space="preserve"> b</w:t>
      </w:r>
      <w:r w:rsidRPr="004953A2">
        <w:rPr>
          <w:bCs/>
          <w:szCs w:val="20"/>
        </w:rPr>
        <w:t xml:space="preserve">ranch </w:t>
      </w:r>
      <w:r w:rsidR="0091529A" w:rsidRPr="004953A2">
        <w:rPr>
          <w:bCs/>
          <w:szCs w:val="20"/>
        </w:rPr>
        <w:t>b</w:t>
      </w:r>
      <w:r w:rsidRPr="004953A2">
        <w:rPr>
          <w:bCs/>
          <w:szCs w:val="20"/>
        </w:rPr>
        <w:t>lock</w:t>
      </w:r>
    </w:p>
    <w:p w14:paraId="7CA90CEB" w14:textId="77777777" w:rsidR="00BE40B6" w:rsidRPr="004953A2" w:rsidRDefault="00BE40B6" w:rsidP="00BE40B6">
      <w:pPr>
        <w:pBdr>
          <w:top w:val="single" w:sz="4" w:space="1" w:color="auto"/>
          <w:left w:val="single" w:sz="4" w:space="4" w:color="auto"/>
          <w:bottom w:val="single" w:sz="4" w:space="1" w:color="auto"/>
          <w:right w:val="single" w:sz="4" w:space="4" w:color="auto"/>
        </w:pBdr>
        <w:rPr>
          <w:bCs/>
          <w:szCs w:val="20"/>
        </w:rPr>
      </w:pPr>
      <w:r w:rsidRPr="004953A2">
        <w:rPr>
          <w:bCs/>
          <w:szCs w:val="20"/>
        </w:rPr>
        <w:t>New permanent pacemaker</w:t>
      </w:r>
    </w:p>
    <w:p w14:paraId="3CD1F0DC" w14:textId="7C6180B0" w:rsidR="001B29A1" w:rsidRPr="004953A2" w:rsidRDefault="00BE40B6" w:rsidP="00BE40B6">
      <w:pPr>
        <w:pBdr>
          <w:top w:val="single" w:sz="4" w:space="1" w:color="auto"/>
          <w:left w:val="single" w:sz="4" w:space="4" w:color="auto"/>
          <w:bottom w:val="single" w:sz="4" w:space="1" w:color="auto"/>
          <w:right w:val="single" w:sz="4" w:space="4" w:color="auto"/>
        </w:pBdr>
        <w:rPr>
          <w:bCs/>
          <w:szCs w:val="20"/>
        </w:rPr>
      </w:pPr>
      <w:r w:rsidRPr="004953A2">
        <w:rPr>
          <w:bCs/>
          <w:szCs w:val="20"/>
        </w:rPr>
        <w:t>New onset atrial fibrillation</w:t>
      </w:r>
    </w:p>
    <w:p w14:paraId="34B34C23" w14:textId="77777777" w:rsidR="00BE40B6" w:rsidRPr="004953A2" w:rsidRDefault="00BE40B6" w:rsidP="001B29A1">
      <w:pPr>
        <w:pBdr>
          <w:top w:val="single" w:sz="4" w:space="1" w:color="auto"/>
          <w:left w:val="single" w:sz="4" w:space="4" w:color="auto"/>
          <w:bottom w:val="single" w:sz="4" w:space="1" w:color="auto"/>
          <w:right w:val="single" w:sz="4" w:space="4" w:color="auto"/>
        </w:pBdr>
        <w:rPr>
          <w:b/>
          <w:szCs w:val="20"/>
        </w:rPr>
      </w:pPr>
    </w:p>
    <w:p w14:paraId="2402C392" w14:textId="492F4802" w:rsidR="009C42EB" w:rsidRPr="004953A2" w:rsidRDefault="009C42EB" w:rsidP="009C42EB">
      <w:pPr>
        <w:pBdr>
          <w:top w:val="single" w:sz="4" w:space="1" w:color="auto"/>
          <w:left w:val="single" w:sz="4" w:space="4" w:color="auto"/>
          <w:bottom w:val="single" w:sz="4" w:space="1" w:color="auto"/>
          <w:right w:val="single" w:sz="4" w:space="4" w:color="auto"/>
        </w:pBdr>
        <w:rPr>
          <w:b/>
          <w:bCs/>
          <w:szCs w:val="20"/>
        </w:rPr>
      </w:pPr>
      <w:r w:rsidRPr="004953A2">
        <w:rPr>
          <w:b/>
          <w:bCs/>
          <w:szCs w:val="20"/>
        </w:rPr>
        <w:t>Healthcare resources</w:t>
      </w:r>
      <w:r w:rsidR="0091529A" w:rsidRPr="004953A2">
        <w:rPr>
          <w:b/>
          <w:bCs/>
          <w:szCs w:val="20"/>
        </w:rPr>
        <w:t>:</w:t>
      </w:r>
    </w:p>
    <w:p w14:paraId="191587B1" w14:textId="5B420394" w:rsidR="009C42EB" w:rsidRPr="004953A2" w:rsidRDefault="009C42EB" w:rsidP="009C42EB">
      <w:pPr>
        <w:pBdr>
          <w:top w:val="single" w:sz="4" w:space="1" w:color="auto"/>
          <w:left w:val="single" w:sz="4" w:space="4" w:color="auto"/>
          <w:bottom w:val="single" w:sz="4" w:space="1" w:color="auto"/>
          <w:right w:val="single" w:sz="4" w:space="4" w:color="auto"/>
        </w:pBdr>
        <w:rPr>
          <w:szCs w:val="20"/>
        </w:rPr>
      </w:pPr>
      <w:r w:rsidRPr="004953A2">
        <w:rPr>
          <w:szCs w:val="20"/>
        </w:rPr>
        <w:t>Cost of valvular prosthesis</w:t>
      </w:r>
    </w:p>
    <w:p w14:paraId="6A0347FF" w14:textId="27B056C8" w:rsidR="009C42EB" w:rsidRPr="004953A2" w:rsidRDefault="009C42EB" w:rsidP="009C42EB">
      <w:pPr>
        <w:pBdr>
          <w:top w:val="single" w:sz="4" w:space="1" w:color="auto"/>
          <w:left w:val="single" w:sz="4" w:space="4" w:color="auto"/>
          <w:bottom w:val="single" w:sz="4" w:space="1" w:color="auto"/>
          <w:right w:val="single" w:sz="4" w:space="4" w:color="auto"/>
        </w:pBdr>
        <w:rPr>
          <w:szCs w:val="20"/>
        </w:rPr>
      </w:pPr>
      <w:r w:rsidRPr="004953A2">
        <w:rPr>
          <w:szCs w:val="20"/>
        </w:rPr>
        <w:t>Cost associated with changes in clinical management (testing required before the procedure, length of stay, post-discharge rehabilitation)</w:t>
      </w:r>
    </w:p>
    <w:p w14:paraId="0372110F" w14:textId="77777777" w:rsidR="009C42EB" w:rsidRPr="004953A2" w:rsidRDefault="009C42EB" w:rsidP="009C42EB">
      <w:pPr>
        <w:pBdr>
          <w:top w:val="single" w:sz="4" w:space="1" w:color="auto"/>
          <w:left w:val="single" w:sz="4" w:space="4" w:color="auto"/>
          <w:bottom w:val="single" w:sz="4" w:space="1" w:color="auto"/>
          <w:right w:val="single" w:sz="4" w:space="4" w:color="auto"/>
        </w:pBdr>
        <w:rPr>
          <w:szCs w:val="20"/>
        </w:rPr>
      </w:pPr>
    </w:p>
    <w:p w14:paraId="1AEDF268" w14:textId="29D8F66A" w:rsidR="009C42EB" w:rsidRPr="004953A2" w:rsidRDefault="009C42EB" w:rsidP="009C42EB">
      <w:pPr>
        <w:pBdr>
          <w:top w:val="single" w:sz="4" w:space="1" w:color="auto"/>
          <w:left w:val="single" w:sz="4" w:space="4" w:color="auto"/>
          <w:bottom w:val="single" w:sz="4" w:space="1" w:color="auto"/>
          <w:right w:val="single" w:sz="4" w:space="4" w:color="auto"/>
        </w:pBdr>
        <w:rPr>
          <w:b/>
          <w:bCs/>
          <w:szCs w:val="20"/>
        </w:rPr>
      </w:pPr>
      <w:r w:rsidRPr="004953A2">
        <w:rPr>
          <w:b/>
          <w:bCs/>
          <w:szCs w:val="20"/>
        </w:rPr>
        <w:t>Cost-effectiveness:</w:t>
      </w:r>
    </w:p>
    <w:p w14:paraId="3579416B" w14:textId="378D7160" w:rsidR="009C42EB" w:rsidRPr="004953A2" w:rsidRDefault="009C42EB" w:rsidP="009C42EB">
      <w:pPr>
        <w:pBdr>
          <w:top w:val="single" w:sz="4" w:space="1" w:color="auto"/>
          <w:left w:val="single" w:sz="4" w:space="4" w:color="auto"/>
          <w:bottom w:val="single" w:sz="4" w:space="1" w:color="auto"/>
          <w:right w:val="single" w:sz="4" w:space="4" w:color="auto"/>
        </w:pBdr>
        <w:rPr>
          <w:szCs w:val="20"/>
        </w:rPr>
      </w:pPr>
      <w:r w:rsidRPr="004953A2">
        <w:rPr>
          <w:szCs w:val="20"/>
        </w:rPr>
        <w:t>Cost per life-year gained</w:t>
      </w:r>
    </w:p>
    <w:p w14:paraId="07CF8436" w14:textId="72055586" w:rsidR="009C42EB" w:rsidRPr="004953A2" w:rsidRDefault="009C42EB" w:rsidP="009C42EB">
      <w:pPr>
        <w:pBdr>
          <w:top w:val="single" w:sz="4" w:space="1" w:color="auto"/>
          <w:left w:val="single" w:sz="4" w:space="4" w:color="auto"/>
          <w:bottom w:val="single" w:sz="4" w:space="1" w:color="auto"/>
          <w:right w:val="single" w:sz="4" w:space="4" w:color="auto"/>
        </w:pBdr>
        <w:rPr>
          <w:szCs w:val="20"/>
        </w:rPr>
      </w:pPr>
      <w:r w:rsidRPr="004953A2">
        <w:rPr>
          <w:szCs w:val="20"/>
        </w:rPr>
        <w:t>Cost per QALY gained</w:t>
      </w:r>
    </w:p>
    <w:p w14:paraId="5F6E5EA0" w14:textId="77777777" w:rsidR="009C42EB" w:rsidRPr="004953A2" w:rsidRDefault="009C42EB" w:rsidP="009C42EB">
      <w:pPr>
        <w:pBdr>
          <w:top w:val="single" w:sz="4" w:space="1" w:color="auto"/>
          <w:left w:val="single" w:sz="4" w:space="4" w:color="auto"/>
          <w:bottom w:val="single" w:sz="4" w:space="1" w:color="auto"/>
          <w:right w:val="single" w:sz="4" w:space="4" w:color="auto"/>
        </w:pBdr>
        <w:rPr>
          <w:b/>
          <w:bCs/>
          <w:szCs w:val="20"/>
        </w:rPr>
      </w:pPr>
    </w:p>
    <w:p w14:paraId="3F0FB308" w14:textId="481EC4BD" w:rsidR="009C42EB" w:rsidRPr="004953A2" w:rsidRDefault="009C42EB" w:rsidP="009C42EB">
      <w:pPr>
        <w:pBdr>
          <w:top w:val="single" w:sz="4" w:space="1" w:color="auto"/>
          <w:left w:val="single" w:sz="4" w:space="4" w:color="auto"/>
          <w:bottom w:val="single" w:sz="4" w:space="1" w:color="auto"/>
          <w:right w:val="single" w:sz="4" w:space="4" w:color="auto"/>
        </w:pBdr>
        <w:rPr>
          <w:b/>
          <w:bCs/>
          <w:szCs w:val="20"/>
        </w:rPr>
      </w:pPr>
      <w:r w:rsidRPr="004953A2">
        <w:rPr>
          <w:b/>
          <w:bCs/>
          <w:szCs w:val="20"/>
        </w:rPr>
        <w:t>Total Australian Government healthcare costs:</w:t>
      </w:r>
    </w:p>
    <w:p w14:paraId="28E1DC54" w14:textId="64E01B38" w:rsidR="009C42EB" w:rsidRPr="004953A2" w:rsidRDefault="009C42EB" w:rsidP="009C42EB">
      <w:pPr>
        <w:pBdr>
          <w:top w:val="single" w:sz="4" w:space="1" w:color="auto"/>
          <w:left w:val="single" w:sz="4" w:space="4" w:color="auto"/>
          <w:bottom w:val="single" w:sz="4" w:space="1" w:color="auto"/>
          <w:right w:val="single" w:sz="4" w:space="4" w:color="auto"/>
        </w:pBdr>
        <w:rPr>
          <w:szCs w:val="20"/>
        </w:rPr>
      </w:pPr>
      <w:r w:rsidRPr="004953A2">
        <w:rPr>
          <w:szCs w:val="20"/>
        </w:rPr>
        <w:t>Total cost to the Medical Benefits Schedule (MBS)</w:t>
      </w:r>
    </w:p>
    <w:p w14:paraId="16870B44" w14:textId="77777777" w:rsidR="001B29A1" w:rsidRPr="004953A2" w:rsidRDefault="001B29A1" w:rsidP="001B29A1">
      <w:pPr>
        <w:pBdr>
          <w:top w:val="single" w:sz="4" w:space="1" w:color="auto"/>
          <w:left w:val="single" w:sz="4" w:space="4" w:color="auto"/>
          <w:bottom w:val="single" w:sz="4" w:space="1" w:color="auto"/>
          <w:right w:val="single" w:sz="4" w:space="4" w:color="auto"/>
        </w:pBdr>
        <w:rPr>
          <w:b/>
          <w:szCs w:val="20"/>
        </w:rPr>
      </w:pPr>
    </w:p>
    <w:p w14:paraId="55C7E726" w14:textId="77777777" w:rsidR="00C776B1" w:rsidRPr="004953A2" w:rsidRDefault="003433D1" w:rsidP="00092580">
      <w:pPr>
        <w:pStyle w:val="Heading1"/>
      </w:pPr>
      <w:r w:rsidRPr="004953A2">
        <w:rPr>
          <w:b/>
          <w:sz w:val="32"/>
        </w:rPr>
        <w:br w:type="page"/>
      </w:r>
      <w:r w:rsidR="005C3AE7" w:rsidRPr="004953A2">
        <w:lastRenderedPageBreak/>
        <w:t>PART 7</w:t>
      </w:r>
      <w:r w:rsidR="00F93784" w:rsidRPr="004953A2">
        <w:t xml:space="preserve"> – </w:t>
      </w:r>
      <w:r w:rsidR="006C74B1" w:rsidRPr="004953A2">
        <w:t xml:space="preserve">INFORMATION ABOUT </w:t>
      </w:r>
      <w:r w:rsidR="0018630F" w:rsidRPr="004953A2">
        <w:t xml:space="preserve">ESTIMATED </w:t>
      </w:r>
      <w:r w:rsidR="00974D50" w:rsidRPr="004953A2">
        <w:t>UTILISATION</w:t>
      </w:r>
    </w:p>
    <w:p w14:paraId="70FB8687" w14:textId="5555CDEE" w:rsidR="006C74B1" w:rsidRPr="004953A2" w:rsidRDefault="00BE0FDE" w:rsidP="001B5169">
      <w:pPr>
        <w:pStyle w:val="Heading2"/>
      </w:pPr>
      <w:r w:rsidRPr="004953A2">
        <w:t>Estimate</w:t>
      </w:r>
      <w:r w:rsidR="00974D50" w:rsidRPr="004953A2">
        <w:t xml:space="preserve"> the prevalence</w:t>
      </w:r>
      <w:r w:rsidR="00B771AD" w:rsidRPr="004953A2">
        <w:t xml:space="preserve"> and/or incidence</w:t>
      </w:r>
      <w:r w:rsidR="00974D50" w:rsidRPr="004953A2">
        <w:t xml:space="preserve"> of </w:t>
      </w:r>
      <w:r w:rsidR="00AE1188" w:rsidRPr="004953A2">
        <w:t>the proposed population:</w:t>
      </w:r>
    </w:p>
    <w:p w14:paraId="5A4F15B8" w14:textId="53F51071" w:rsidR="00B35945" w:rsidRPr="004953A2" w:rsidRDefault="00837987" w:rsidP="00133F25">
      <w:pPr>
        <w:ind w:left="426"/>
      </w:pPr>
      <w:r w:rsidRPr="004953A2">
        <w:t xml:space="preserve">Osnabrugge estimated that 3.4% of the population </w:t>
      </w:r>
      <w:r w:rsidR="00F06096" w:rsidRPr="004953A2">
        <w:t xml:space="preserve">aged </w:t>
      </w:r>
      <w:r w:rsidRPr="004953A2">
        <w:t xml:space="preserve">over 75 years </w:t>
      </w:r>
      <w:r w:rsidR="00F06096" w:rsidRPr="004953A2">
        <w:t>hav</w:t>
      </w:r>
      <w:r w:rsidRPr="004953A2">
        <w:t xml:space="preserve">e severe AS. Of those, 75.6% would be symptomatic. </w:t>
      </w:r>
      <w:r w:rsidR="00133F25" w:rsidRPr="004953A2">
        <w:t xml:space="preserve">It is estimated that </w:t>
      </w:r>
      <w:r w:rsidR="0098203B" w:rsidRPr="004953A2">
        <w:t>79.1%</w:t>
      </w:r>
      <w:r w:rsidR="00133F25" w:rsidRPr="004953A2">
        <w:t xml:space="preserve"> of patients with severe symptomatic AS are at </w:t>
      </w:r>
      <w:r w:rsidR="00AE6257" w:rsidRPr="004953A2">
        <w:t>low</w:t>
      </w:r>
      <w:r w:rsidR="00133F25" w:rsidRPr="004953A2">
        <w:t xml:space="preserve"> risk of surgery.</w:t>
      </w:r>
      <w:r w:rsidR="00133F25" w:rsidRPr="004953A2">
        <w:rPr>
          <w:rStyle w:val="FootnoteReference"/>
        </w:rPr>
        <w:footnoteReference w:id="8"/>
      </w:r>
      <w:r w:rsidRPr="004953A2">
        <w:t xml:space="preserve"> </w:t>
      </w:r>
      <w:r w:rsidR="00AA7A6C" w:rsidRPr="004953A2">
        <w:t xml:space="preserve"> Thourani et al </w:t>
      </w:r>
      <w:r w:rsidR="00AA7A6C" w:rsidRPr="004953A2">
        <w:rPr>
          <w:rStyle w:val="FootnoteReference"/>
        </w:rPr>
        <w:footnoteReference w:id="9"/>
      </w:r>
      <w:r w:rsidR="00AA7A6C" w:rsidRPr="004953A2">
        <w:t xml:space="preserve"> estimated that </w:t>
      </w:r>
      <w:r w:rsidR="0098203B" w:rsidRPr="004953A2">
        <w:t>79.9%</w:t>
      </w:r>
      <w:r w:rsidR="00AA7A6C" w:rsidRPr="004953A2">
        <w:t xml:space="preserve"> of patients who underwent SAVR were of </w:t>
      </w:r>
      <w:r w:rsidR="0098203B" w:rsidRPr="004953A2">
        <w:t>low</w:t>
      </w:r>
      <w:r w:rsidR="00AA7A6C" w:rsidRPr="004953A2">
        <w:t xml:space="preserve"> risk. </w:t>
      </w:r>
    </w:p>
    <w:p w14:paraId="6C74525E" w14:textId="5F9E5278" w:rsidR="00B35945" w:rsidRPr="004953A2" w:rsidRDefault="00722E75" w:rsidP="00133F25">
      <w:pPr>
        <w:ind w:left="426"/>
      </w:pPr>
      <w:r w:rsidRPr="004953A2">
        <w:t xml:space="preserve">It was assumed that the same prevalence of severe AS (3.4%) would apply to people aged 65 years and above as those aged 75 years and above. </w:t>
      </w:r>
      <w:r w:rsidR="00905B0D" w:rsidRPr="004953A2">
        <w:t>T</w:t>
      </w:r>
      <w:r w:rsidR="00B35945" w:rsidRPr="004953A2">
        <w:t>able</w:t>
      </w:r>
      <w:r w:rsidR="00905B0D" w:rsidRPr="004953A2">
        <w:t xml:space="preserve"> 7.1</w:t>
      </w:r>
      <w:r w:rsidR="00B35945" w:rsidRPr="004953A2">
        <w:t xml:space="preserve"> lists the estimated Australian population aged 65 years and above.</w:t>
      </w:r>
    </w:p>
    <w:p w14:paraId="3C0AEBE5" w14:textId="39B67013" w:rsidR="00BE7973" w:rsidRPr="004953A2" w:rsidRDefault="00905B0D" w:rsidP="00133F25">
      <w:pPr>
        <w:ind w:left="426"/>
        <w:rPr>
          <w:b/>
        </w:rPr>
      </w:pPr>
      <w:r w:rsidRPr="004953A2">
        <w:rPr>
          <w:b/>
          <w:szCs w:val="20"/>
        </w:rPr>
        <w:t>Table 7.1.</w:t>
      </w:r>
      <w:r w:rsidRPr="004953A2">
        <w:rPr>
          <w:szCs w:val="20"/>
        </w:rPr>
        <w:t xml:space="preserve"> </w:t>
      </w:r>
      <w:r w:rsidRPr="004953A2">
        <w:rPr>
          <w:szCs w:val="20"/>
        </w:rPr>
        <w:tab/>
      </w:r>
      <w:r w:rsidRPr="004953A2">
        <w:t>Australian population over 65 years</w:t>
      </w:r>
      <w:r w:rsidRPr="004953A2">
        <w:rPr>
          <w:rStyle w:val="FootnoteReference"/>
        </w:rPr>
        <w:footnoteReference w:id="10"/>
      </w:r>
      <w:r w:rsidR="007E37B5" w:rsidRPr="004953A2">
        <w:t>.</w:t>
      </w:r>
    </w:p>
    <w:tbl>
      <w:tblPr>
        <w:tblStyle w:val="TableGrid"/>
        <w:tblW w:w="0" w:type="auto"/>
        <w:tblInd w:w="426" w:type="dxa"/>
        <w:tblLook w:val="04A0" w:firstRow="1" w:lastRow="0" w:firstColumn="1" w:lastColumn="0" w:noHBand="0" w:noVBand="1"/>
        <w:tblCaption w:val="Table 7.1"/>
        <w:tblDescription w:val="Table"/>
      </w:tblPr>
      <w:tblGrid>
        <w:gridCol w:w="2155"/>
        <w:gridCol w:w="2145"/>
        <w:gridCol w:w="2145"/>
        <w:gridCol w:w="2145"/>
      </w:tblGrid>
      <w:tr w:rsidR="00D16F23" w:rsidRPr="004953A2" w14:paraId="73B18BF3" w14:textId="77777777" w:rsidTr="00915F02">
        <w:trPr>
          <w:tblHeader/>
        </w:trPr>
        <w:tc>
          <w:tcPr>
            <w:tcW w:w="2155" w:type="dxa"/>
          </w:tcPr>
          <w:p w14:paraId="67B0B3B7" w14:textId="52A9A5D2" w:rsidR="00D16F23" w:rsidRPr="004953A2" w:rsidRDefault="00D16F23" w:rsidP="00D16F23">
            <w:pPr>
              <w:jc w:val="center"/>
              <w:rPr>
                <w:b/>
              </w:rPr>
            </w:pPr>
          </w:p>
        </w:tc>
        <w:tc>
          <w:tcPr>
            <w:tcW w:w="2145" w:type="dxa"/>
            <w:shd w:val="clear" w:color="auto" w:fill="D9D9D9" w:themeFill="background1" w:themeFillShade="D9"/>
          </w:tcPr>
          <w:p w14:paraId="00EB5FE8" w14:textId="57F39C87" w:rsidR="00D16F23" w:rsidRPr="004953A2" w:rsidRDefault="00D16F23" w:rsidP="00A04D67">
            <w:pPr>
              <w:jc w:val="center"/>
              <w:rPr>
                <w:b/>
              </w:rPr>
            </w:pPr>
            <w:r w:rsidRPr="004953A2">
              <w:rPr>
                <w:b/>
              </w:rPr>
              <w:t>201</w:t>
            </w:r>
            <w:r w:rsidR="0098203B" w:rsidRPr="004953A2">
              <w:rPr>
                <w:b/>
              </w:rPr>
              <w:t>9</w:t>
            </w:r>
          </w:p>
        </w:tc>
        <w:tc>
          <w:tcPr>
            <w:tcW w:w="2145" w:type="dxa"/>
            <w:shd w:val="clear" w:color="auto" w:fill="D9D9D9" w:themeFill="background1" w:themeFillShade="D9"/>
          </w:tcPr>
          <w:p w14:paraId="60CAF463" w14:textId="0410BA32" w:rsidR="00D16F23" w:rsidRPr="004953A2" w:rsidRDefault="00D16F23" w:rsidP="00A04D67">
            <w:pPr>
              <w:jc w:val="center"/>
              <w:rPr>
                <w:b/>
              </w:rPr>
            </w:pPr>
            <w:r w:rsidRPr="004953A2">
              <w:rPr>
                <w:b/>
              </w:rPr>
              <w:t>20</w:t>
            </w:r>
            <w:r w:rsidR="0098203B" w:rsidRPr="004953A2">
              <w:rPr>
                <w:b/>
              </w:rPr>
              <w:t>20</w:t>
            </w:r>
          </w:p>
        </w:tc>
        <w:tc>
          <w:tcPr>
            <w:tcW w:w="2145" w:type="dxa"/>
            <w:shd w:val="clear" w:color="auto" w:fill="D9D9D9" w:themeFill="background1" w:themeFillShade="D9"/>
          </w:tcPr>
          <w:p w14:paraId="650E6124" w14:textId="3E8EDAC5" w:rsidR="00D16F23" w:rsidRPr="004953A2" w:rsidRDefault="00D16F23" w:rsidP="00A04D67">
            <w:pPr>
              <w:jc w:val="center"/>
              <w:rPr>
                <w:b/>
              </w:rPr>
            </w:pPr>
            <w:r w:rsidRPr="004953A2">
              <w:rPr>
                <w:b/>
              </w:rPr>
              <w:t>20</w:t>
            </w:r>
            <w:r w:rsidR="00A04D67" w:rsidRPr="004953A2">
              <w:rPr>
                <w:b/>
              </w:rPr>
              <w:t>2</w:t>
            </w:r>
            <w:r w:rsidR="0098203B" w:rsidRPr="004953A2">
              <w:rPr>
                <w:b/>
              </w:rPr>
              <w:t>1</w:t>
            </w:r>
          </w:p>
        </w:tc>
      </w:tr>
      <w:tr w:rsidR="0098203B" w:rsidRPr="004953A2" w14:paraId="282B794E" w14:textId="77777777" w:rsidTr="007D705B">
        <w:trPr>
          <w:trHeight w:val="467"/>
        </w:trPr>
        <w:tc>
          <w:tcPr>
            <w:tcW w:w="2155" w:type="dxa"/>
            <w:shd w:val="clear" w:color="auto" w:fill="D9D9D9" w:themeFill="background1" w:themeFillShade="D9"/>
          </w:tcPr>
          <w:p w14:paraId="7D52DC5D" w14:textId="775C4DF6" w:rsidR="0098203B" w:rsidRPr="004953A2" w:rsidRDefault="0098203B" w:rsidP="0098203B">
            <w:pPr>
              <w:jc w:val="center"/>
              <w:rPr>
                <w:b/>
              </w:rPr>
            </w:pPr>
            <w:r w:rsidRPr="004953A2">
              <w:rPr>
                <w:b/>
              </w:rPr>
              <w:t>Australian Population over 65 years of age</w:t>
            </w:r>
          </w:p>
        </w:tc>
        <w:tc>
          <w:tcPr>
            <w:tcW w:w="2145" w:type="dxa"/>
            <w:vAlign w:val="center"/>
          </w:tcPr>
          <w:p w14:paraId="6EDCDBFC" w14:textId="7114B153" w:rsidR="0098203B" w:rsidRPr="004953A2" w:rsidRDefault="0098203B" w:rsidP="0098203B">
            <w:pPr>
              <w:jc w:val="center"/>
              <w:rPr>
                <w:b/>
              </w:rPr>
            </w:pPr>
            <w:r w:rsidRPr="004953A2">
              <w:rPr>
                <w:b/>
              </w:rPr>
              <w:t>4,026,056</w:t>
            </w:r>
          </w:p>
        </w:tc>
        <w:tc>
          <w:tcPr>
            <w:tcW w:w="2145" w:type="dxa"/>
            <w:vAlign w:val="center"/>
          </w:tcPr>
          <w:p w14:paraId="29F04AA9" w14:textId="57E16972" w:rsidR="0098203B" w:rsidRPr="004953A2" w:rsidRDefault="0098203B" w:rsidP="0098203B">
            <w:pPr>
              <w:jc w:val="center"/>
              <w:rPr>
                <w:b/>
              </w:rPr>
            </w:pPr>
            <w:r w:rsidRPr="004953A2">
              <w:rPr>
                <w:b/>
              </w:rPr>
              <w:t>4,145,275</w:t>
            </w:r>
          </w:p>
        </w:tc>
        <w:tc>
          <w:tcPr>
            <w:tcW w:w="2145" w:type="dxa"/>
            <w:vAlign w:val="center"/>
          </w:tcPr>
          <w:p w14:paraId="026CEF78" w14:textId="5AA0252F" w:rsidR="0098203B" w:rsidRPr="004953A2" w:rsidRDefault="0098203B" w:rsidP="0098203B">
            <w:pPr>
              <w:jc w:val="center"/>
              <w:rPr>
                <w:b/>
              </w:rPr>
            </w:pPr>
            <w:r w:rsidRPr="004953A2">
              <w:rPr>
                <w:b/>
              </w:rPr>
              <w:t>4,271,505</w:t>
            </w:r>
          </w:p>
        </w:tc>
      </w:tr>
    </w:tbl>
    <w:p w14:paraId="7F38A1FD" w14:textId="26F64ED0" w:rsidR="00D16F23" w:rsidRPr="004953A2" w:rsidRDefault="00D16F23" w:rsidP="00D16F23">
      <w:pPr>
        <w:ind w:left="426"/>
        <w:rPr>
          <w:szCs w:val="20"/>
        </w:rPr>
      </w:pPr>
      <w:r w:rsidRPr="004953A2">
        <w:rPr>
          <w:szCs w:val="20"/>
        </w:rPr>
        <w:t xml:space="preserve">An estimate of the number of patients who would be eligible for the proposed service can be </w:t>
      </w:r>
      <w:r w:rsidR="00905B0D" w:rsidRPr="004953A2">
        <w:rPr>
          <w:szCs w:val="20"/>
        </w:rPr>
        <w:t xml:space="preserve">derived </w:t>
      </w:r>
      <w:r w:rsidRPr="004953A2">
        <w:rPr>
          <w:szCs w:val="20"/>
        </w:rPr>
        <w:t xml:space="preserve">from the number of MBS item numbers that have been claimed for SAVR procedures. TAVI became available on the MBS in November 2017. This is likely to </w:t>
      </w:r>
      <w:r w:rsidR="00722E75" w:rsidRPr="004953A2">
        <w:rPr>
          <w:szCs w:val="20"/>
        </w:rPr>
        <w:t xml:space="preserve">have </w:t>
      </w:r>
      <w:r w:rsidRPr="004953A2">
        <w:rPr>
          <w:szCs w:val="20"/>
        </w:rPr>
        <w:t>reduce</w:t>
      </w:r>
      <w:r w:rsidR="00722E75" w:rsidRPr="004953A2">
        <w:rPr>
          <w:szCs w:val="20"/>
        </w:rPr>
        <w:t>d</w:t>
      </w:r>
      <w:r w:rsidRPr="004953A2">
        <w:rPr>
          <w:szCs w:val="20"/>
        </w:rPr>
        <w:t xml:space="preserve"> the overall population that receive</w:t>
      </w:r>
      <w:r w:rsidR="00722E75" w:rsidRPr="004953A2">
        <w:rPr>
          <w:szCs w:val="20"/>
        </w:rPr>
        <w:t>d</w:t>
      </w:r>
      <w:r w:rsidRPr="004953A2">
        <w:rPr>
          <w:szCs w:val="20"/>
        </w:rPr>
        <w:t xml:space="preserve"> SAVR </w:t>
      </w:r>
      <w:r w:rsidR="00722E75" w:rsidRPr="004953A2">
        <w:rPr>
          <w:szCs w:val="20"/>
        </w:rPr>
        <w:t>since</w:t>
      </w:r>
      <w:r w:rsidRPr="004953A2">
        <w:rPr>
          <w:szCs w:val="20"/>
        </w:rPr>
        <w:t xml:space="preserve"> this date. Therefore, Medicare statistics prior to November 2017 </w:t>
      </w:r>
      <w:r w:rsidR="00722E75" w:rsidRPr="004953A2">
        <w:rPr>
          <w:szCs w:val="20"/>
        </w:rPr>
        <w:t>were</w:t>
      </w:r>
      <w:r w:rsidRPr="004953A2">
        <w:rPr>
          <w:szCs w:val="20"/>
        </w:rPr>
        <w:t xml:space="preserve"> accessed to avoid underestimating the population</w:t>
      </w:r>
      <w:r w:rsidR="00B35945" w:rsidRPr="004953A2">
        <w:rPr>
          <w:szCs w:val="20"/>
        </w:rPr>
        <w:t>.</w:t>
      </w:r>
    </w:p>
    <w:p w14:paraId="0C7A6FC0" w14:textId="523A4718" w:rsidR="00A006A6" w:rsidRPr="004953A2" w:rsidRDefault="00D16F23" w:rsidP="00D16F23">
      <w:pPr>
        <w:ind w:left="426"/>
        <w:rPr>
          <w:szCs w:val="20"/>
        </w:rPr>
      </w:pPr>
      <w:r w:rsidRPr="004953A2">
        <w:rPr>
          <w:szCs w:val="20"/>
        </w:rPr>
        <w:t xml:space="preserve">In the </w:t>
      </w:r>
      <w:r w:rsidR="00905B0D" w:rsidRPr="004953A2">
        <w:rPr>
          <w:szCs w:val="20"/>
        </w:rPr>
        <w:t xml:space="preserve">time </w:t>
      </w:r>
      <w:r w:rsidRPr="004953A2">
        <w:rPr>
          <w:szCs w:val="20"/>
        </w:rPr>
        <w:t>from Quarter 4 2016 to Quarter 3 2017</w:t>
      </w:r>
      <w:r w:rsidR="00B35945" w:rsidRPr="004953A2">
        <w:rPr>
          <w:szCs w:val="20"/>
        </w:rPr>
        <w:t>,</w:t>
      </w:r>
      <w:r w:rsidRPr="004953A2">
        <w:rPr>
          <w:szCs w:val="20"/>
        </w:rPr>
        <w:t xml:space="preserve"> MBS Item 38488 was claimed 2601 times and MBS Item 38489 was claimed 90 times. </w:t>
      </w:r>
      <w:r w:rsidR="00B35945" w:rsidRPr="004953A2">
        <w:rPr>
          <w:szCs w:val="20"/>
        </w:rPr>
        <w:t>Eighty percent</w:t>
      </w:r>
      <w:r w:rsidRPr="004953A2">
        <w:rPr>
          <w:szCs w:val="20"/>
        </w:rPr>
        <w:t xml:space="preserve"> of these patients were</w:t>
      </w:r>
      <w:r w:rsidR="00B35945" w:rsidRPr="004953A2">
        <w:rPr>
          <w:szCs w:val="20"/>
        </w:rPr>
        <w:t xml:space="preserve"> aged</w:t>
      </w:r>
      <w:r w:rsidRPr="004953A2">
        <w:rPr>
          <w:szCs w:val="20"/>
        </w:rPr>
        <w:t xml:space="preserve"> over 65 years and likely to be eligible for TAVI.</w:t>
      </w:r>
      <w:r w:rsidRPr="004953A2">
        <w:rPr>
          <w:rStyle w:val="FootnoteReference"/>
          <w:szCs w:val="20"/>
        </w:rPr>
        <w:footnoteReference w:id="11"/>
      </w:r>
      <w:r w:rsidRPr="004953A2">
        <w:rPr>
          <w:szCs w:val="20"/>
        </w:rPr>
        <w:t xml:space="preserve"> </w:t>
      </w:r>
    </w:p>
    <w:p w14:paraId="454009E3" w14:textId="3ABD6B01" w:rsidR="00877C92" w:rsidRPr="004953A2" w:rsidRDefault="00A006A6" w:rsidP="006A7146">
      <w:pPr>
        <w:ind w:left="426"/>
        <w:rPr>
          <w:szCs w:val="20"/>
        </w:rPr>
      </w:pPr>
      <w:r w:rsidRPr="004953A2">
        <w:rPr>
          <w:szCs w:val="20"/>
        </w:rPr>
        <w:t>According to Australian Institute of Health and Welfare statistics</w:t>
      </w:r>
      <w:r w:rsidR="002C7453" w:rsidRPr="004953A2">
        <w:rPr>
          <w:rStyle w:val="FootnoteReference"/>
          <w:szCs w:val="20"/>
        </w:rPr>
        <w:footnoteReference w:id="12"/>
      </w:r>
      <w:r w:rsidRPr="004953A2">
        <w:rPr>
          <w:szCs w:val="20"/>
        </w:rPr>
        <w:t xml:space="preserve">, </w:t>
      </w:r>
      <w:r w:rsidR="006A7146" w:rsidRPr="004953A2">
        <w:rPr>
          <w:szCs w:val="20"/>
        </w:rPr>
        <w:t>1827</w:t>
      </w:r>
      <w:r w:rsidRPr="004953A2">
        <w:rPr>
          <w:szCs w:val="20"/>
        </w:rPr>
        <w:t xml:space="preserve"> patients received TAVI in Australia</w:t>
      </w:r>
      <w:r w:rsidR="00FE1F97" w:rsidRPr="004953A2">
        <w:rPr>
          <w:szCs w:val="20"/>
        </w:rPr>
        <w:t xml:space="preserve"> </w:t>
      </w:r>
      <w:r w:rsidR="00B35945" w:rsidRPr="004953A2">
        <w:rPr>
          <w:szCs w:val="20"/>
        </w:rPr>
        <w:t xml:space="preserve">in </w:t>
      </w:r>
      <w:r w:rsidR="00FE1F97" w:rsidRPr="004953A2">
        <w:rPr>
          <w:szCs w:val="20"/>
        </w:rPr>
        <w:t>201</w:t>
      </w:r>
      <w:r w:rsidR="006A7146" w:rsidRPr="004953A2">
        <w:rPr>
          <w:szCs w:val="20"/>
        </w:rPr>
        <w:t>7</w:t>
      </w:r>
      <w:r w:rsidR="00FE1F97" w:rsidRPr="004953A2">
        <w:rPr>
          <w:szCs w:val="20"/>
        </w:rPr>
        <w:t>/201</w:t>
      </w:r>
      <w:r w:rsidR="006A7146" w:rsidRPr="004953A2">
        <w:rPr>
          <w:szCs w:val="20"/>
        </w:rPr>
        <w:t>8</w:t>
      </w:r>
      <w:r w:rsidRPr="004953A2">
        <w:rPr>
          <w:szCs w:val="20"/>
        </w:rPr>
        <w:t>. It is possible that some of these patients would have been treated in private hospitals should the option have been available. To avoid underestimation of the population</w:t>
      </w:r>
      <w:r w:rsidR="00877C92" w:rsidRPr="004953A2">
        <w:rPr>
          <w:szCs w:val="20"/>
        </w:rPr>
        <w:t xml:space="preserve">, it </w:t>
      </w:r>
      <w:r w:rsidR="00722E75" w:rsidRPr="004953A2">
        <w:rPr>
          <w:szCs w:val="20"/>
        </w:rPr>
        <w:t xml:space="preserve">was </w:t>
      </w:r>
      <w:r w:rsidR="00877C92" w:rsidRPr="004953A2">
        <w:rPr>
          <w:szCs w:val="20"/>
        </w:rPr>
        <w:t>assumed that all these patients would have been treated in the private sector if TAVI had been available</w:t>
      </w:r>
      <w:r w:rsidR="00362EC4" w:rsidRPr="004953A2">
        <w:rPr>
          <w:szCs w:val="20"/>
        </w:rPr>
        <w:t>.</w:t>
      </w:r>
    </w:p>
    <w:p w14:paraId="3AAB5CC6" w14:textId="20C65324" w:rsidR="00D16F23" w:rsidRPr="004953A2" w:rsidRDefault="00D16F23" w:rsidP="006A7146">
      <w:pPr>
        <w:ind w:left="426"/>
        <w:rPr>
          <w:szCs w:val="20"/>
        </w:rPr>
      </w:pPr>
      <w:r w:rsidRPr="004953A2">
        <w:rPr>
          <w:szCs w:val="20"/>
        </w:rPr>
        <w:t xml:space="preserve">The following estimates are made using the utilisation of MBS item numbers 38488 and 38489 as a proportion of the population </w:t>
      </w:r>
      <w:r w:rsidR="00B35945" w:rsidRPr="004953A2">
        <w:rPr>
          <w:szCs w:val="20"/>
        </w:rPr>
        <w:t xml:space="preserve">aged </w:t>
      </w:r>
      <w:r w:rsidRPr="004953A2">
        <w:rPr>
          <w:szCs w:val="20"/>
        </w:rPr>
        <w:t>65</w:t>
      </w:r>
      <w:r w:rsidR="006A7146" w:rsidRPr="004953A2">
        <w:rPr>
          <w:szCs w:val="20"/>
        </w:rPr>
        <w:t xml:space="preserve"> </w:t>
      </w:r>
      <w:r w:rsidR="00B35945" w:rsidRPr="004953A2">
        <w:rPr>
          <w:szCs w:val="20"/>
        </w:rPr>
        <w:t>years</w:t>
      </w:r>
      <w:r w:rsidR="006A7146" w:rsidRPr="004953A2">
        <w:rPr>
          <w:szCs w:val="20"/>
        </w:rPr>
        <w:t xml:space="preserve"> and over</w:t>
      </w:r>
      <w:r w:rsidRPr="004953A2">
        <w:rPr>
          <w:szCs w:val="20"/>
        </w:rPr>
        <w:t xml:space="preserve">. </w:t>
      </w:r>
      <w:r w:rsidR="00362EC4" w:rsidRPr="004953A2">
        <w:rPr>
          <w:szCs w:val="20"/>
        </w:rPr>
        <w:t xml:space="preserve">The same method is applied to TAVI procedures. </w:t>
      </w:r>
      <w:r w:rsidRPr="004953A2">
        <w:rPr>
          <w:szCs w:val="20"/>
        </w:rPr>
        <w:t>Only 80% of patients receiving SAVR under these item numbers are</w:t>
      </w:r>
      <w:r w:rsidR="00B35945" w:rsidRPr="004953A2">
        <w:rPr>
          <w:szCs w:val="20"/>
        </w:rPr>
        <w:t xml:space="preserve"> for those aged</w:t>
      </w:r>
      <w:r w:rsidRPr="004953A2">
        <w:rPr>
          <w:szCs w:val="20"/>
        </w:rPr>
        <w:t xml:space="preserve"> 65 </w:t>
      </w:r>
      <w:r w:rsidR="00B35945" w:rsidRPr="004953A2">
        <w:rPr>
          <w:szCs w:val="20"/>
        </w:rPr>
        <w:t xml:space="preserve">and over, </w:t>
      </w:r>
      <w:r w:rsidRPr="004953A2">
        <w:rPr>
          <w:szCs w:val="20"/>
        </w:rPr>
        <w:t>so this is likely to be a conservative estimate.</w:t>
      </w:r>
    </w:p>
    <w:p w14:paraId="3F3AD256" w14:textId="7AC410B0" w:rsidR="003373A0" w:rsidRPr="004953A2" w:rsidRDefault="007E37B5" w:rsidP="006A7146">
      <w:pPr>
        <w:ind w:left="426"/>
        <w:rPr>
          <w:szCs w:val="20"/>
        </w:rPr>
      </w:pPr>
      <w:r w:rsidRPr="004953A2">
        <w:rPr>
          <w:szCs w:val="20"/>
        </w:rPr>
        <w:t>The estimations for utilisation are summarised in Table 7.2.</w:t>
      </w:r>
    </w:p>
    <w:p w14:paraId="05462717" w14:textId="6F564F68" w:rsidR="003373A0" w:rsidRPr="004953A2" w:rsidRDefault="003373A0" w:rsidP="006A7146">
      <w:pPr>
        <w:ind w:left="426"/>
        <w:rPr>
          <w:szCs w:val="20"/>
        </w:rPr>
      </w:pPr>
    </w:p>
    <w:p w14:paraId="1F847EB4" w14:textId="77777777" w:rsidR="007E37B5" w:rsidRPr="004953A2" w:rsidRDefault="007E37B5">
      <w:pPr>
        <w:spacing w:before="0" w:after="200" w:line="276" w:lineRule="auto"/>
        <w:rPr>
          <w:b/>
          <w:szCs w:val="20"/>
        </w:rPr>
      </w:pPr>
      <w:r w:rsidRPr="004953A2">
        <w:rPr>
          <w:b/>
          <w:szCs w:val="20"/>
        </w:rPr>
        <w:br w:type="page"/>
      </w:r>
    </w:p>
    <w:p w14:paraId="277357AC" w14:textId="404026F0" w:rsidR="007E37B5" w:rsidRPr="004953A2" w:rsidRDefault="007E37B5" w:rsidP="007E37B5">
      <w:pPr>
        <w:ind w:left="426"/>
        <w:rPr>
          <w:b/>
        </w:rPr>
      </w:pPr>
      <w:r w:rsidRPr="004953A2">
        <w:rPr>
          <w:b/>
          <w:szCs w:val="20"/>
        </w:rPr>
        <w:lastRenderedPageBreak/>
        <w:t>Table 7.2.</w:t>
      </w:r>
      <w:r w:rsidRPr="004953A2">
        <w:rPr>
          <w:szCs w:val="20"/>
        </w:rPr>
        <w:t xml:space="preserve"> </w:t>
      </w:r>
      <w:r w:rsidRPr="004953A2">
        <w:rPr>
          <w:szCs w:val="20"/>
        </w:rPr>
        <w:tab/>
      </w:r>
      <w:r w:rsidRPr="004953A2">
        <w:t>Estimations of health service utilisation.</w:t>
      </w:r>
    </w:p>
    <w:tbl>
      <w:tblPr>
        <w:tblStyle w:val="TableGrid"/>
        <w:tblW w:w="8644" w:type="dxa"/>
        <w:tblInd w:w="426" w:type="dxa"/>
        <w:tblLook w:val="04A0" w:firstRow="1" w:lastRow="0" w:firstColumn="1" w:lastColumn="0" w:noHBand="0" w:noVBand="1"/>
        <w:tblCaption w:val="Table 7.2"/>
        <w:tblDescription w:val="Table"/>
      </w:tblPr>
      <w:tblGrid>
        <w:gridCol w:w="562"/>
        <w:gridCol w:w="2268"/>
        <w:gridCol w:w="1134"/>
        <w:gridCol w:w="1134"/>
        <w:gridCol w:w="1134"/>
        <w:gridCol w:w="1188"/>
        <w:gridCol w:w="1224"/>
      </w:tblGrid>
      <w:tr w:rsidR="00B56A25" w:rsidRPr="004953A2" w14:paraId="58FC8A8A" w14:textId="73BAB5DC" w:rsidTr="00915F02">
        <w:trPr>
          <w:tblHeader/>
        </w:trPr>
        <w:tc>
          <w:tcPr>
            <w:tcW w:w="562" w:type="dxa"/>
          </w:tcPr>
          <w:p w14:paraId="3AD1C11D" w14:textId="77777777" w:rsidR="00B56A25" w:rsidRPr="004953A2" w:rsidRDefault="00B56A25" w:rsidP="00B56A25">
            <w:pPr>
              <w:jc w:val="center"/>
            </w:pPr>
          </w:p>
        </w:tc>
        <w:tc>
          <w:tcPr>
            <w:tcW w:w="2268" w:type="dxa"/>
          </w:tcPr>
          <w:p w14:paraId="6801EC82" w14:textId="34D3C24D" w:rsidR="00B56A25" w:rsidRPr="004953A2" w:rsidRDefault="00B56A25" w:rsidP="00B56A25">
            <w:pPr>
              <w:jc w:val="center"/>
            </w:pPr>
          </w:p>
        </w:tc>
        <w:tc>
          <w:tcPr>
            <w:tcW w:w="1134" w:type="dxa"/>
            <w:shd w:val="clear" w:color="auto" w:fill="D9D9D9" w:themeFill="background1" w:themeFillShade="D9"/>
          </w:tcPr>
          <w:p w14:paraId="098307C2" w14:textId="289CD82B" w:rsidR="00B56A25" w:rsidRPr="004953A2" w:rsidRDefault="00B56A25" w:rsidP="00B56A25">
            <w:pPr>
              <w:jc w:val="center"/>
              <w:rPr>
                <w:b/>
              </w:rPr>
            </w:pPr>
            <w:r w:rsidRPr="004953A2">
              <w:rPr>
                <w:b/>
              </w:rPr>
              <w:t>2018</w:t>
            </w:r>
          </w:p>
        </w:tc>
        <w:tc>
          <w:tcPr>
            <w:tcW w:w="1134" w:type="dxa"/>
            <w:shd w:val="clear" w:color="auto" w:fill="D9D9D9" w:themeFill="background1" w:themeFillShade="D9"/>
          </w:tcPr>
          <w:p w14:paraId="2CDB1D6E" w14:textId="1FB33329" w:rsidR="00B56A25" w:rsidRPr="004953A2" w:rsidRDefault="00B56A25" w:rsidP="00B56A25">
            <w:pPr>
              <w:jc w:val="center"/>
              <w:rPr>
                <w:b/>
              </w:rPr>
            </w:pPr>
            <w:r w:rsidRPr="004953A2">
              <w:rPr>
                <w:b/>
              </w:rPr>
              <w:t>2019</w:t>
            </w:r>
          </w:p>
        </w:tc>
        <w:tc>
          <w:tcPr>
            <w:tcW w:w="1134" w:type="dxa"/>
            <w:shd w:val="clear" w:color="auto" w:fill="D9D9D9" w:themeFill="background1" w:themeFillShade="D9"/>
          </w:tcPr>
          <w:p w14:paraId="6D04D582" w14:textId="7D4BCF6D" w:rsidR="00B56A25" w:rsidRPr="004953A2" w:rsidRDefault="00B56A25" w:rsidP="00B56A25">
            <w:pPr>
              <w:jc w:val="center"/>
              <w:rPr>
                <w:b/>
              </w:rPr>
            </w:pPr>
            <w:r w:rsidRPr="004953A2">
              <w:rPr>
                <w:b/>
              </w:rPr>
              <w:t>2020</w:t>
            </w:r>
          </w:p>
        </w:tc>
        <w:tc>
          <w:tcPr>
            <w:tcW w:w="1188" w:type="dxa"/>
            <w:shd w:val="clear" w:color="auto" w:fill="D9D9D9" w:themeFill="background1" w:themeFillShade="D9"/>
          </w:tcPr>
          <w:p w14:paraId="6D7FC02E" w14:textId="2F6622FB" w:rsidR="00B56A25" w:rsidRPr="004953A2" w:rsidRDefault="00B56A25" w:rsidP="00B56A25">
            <w:pPr>
              <w:jc w:val="center"/>
              <w:rPr>
                <w:b/>
              </w:rPr>
            </w:pPr>
            <w:r w:rsidRPr="004953A2">
              <w:rPr>
                <w:b/>
              </w:rPr>
              <w:t>2021</w:t>
            </w:r>
          </w:p>
        </w:tc>
        <w:tc>
          <w:tcPr>
            <w:tcW w:w="1224" w:type="dxa"/>
            <w:shd w:val="clear" w:color="auto" w:fill="D9D9D9" w:themeFill="background1" w:themeFillShade="D9"/>
          </w:tcPr>
          <w:p w14:paraId="5CDF9CA6" w14:textId="7CCF1504" w:rsidR="00B56A25" w:rsidRPr="004953A2" w:rsidRDefault="00B56A25" w:rsidP="00B56A25">
            <w:pPr>
              <w:jc w:val="center"/>
              <w:rPr>
                <w:b/>
              </w:rPr>
            </w:pPr>
            <w:r w:rsidRPr="004953A2">
              <w:rPr>
                <w:b/>
              </w:rPr>
              <w:t>2022</w:t>
            </w:r>
          </w:p>
        </w:tc>
      </w:tr>
      <w:tr w:rsidR="00B56A25" w:rsidRPr="004953A2" w14:paraId="1FFA25B9" w14:textId="09898385" w:rsidTr="007D705B">
        <w:tc>
          <w:tcPr>
            <w:tcW w:w="562" w:type="dxa"/>
            <w:vAlign w:val="center"/>
          </w:tcPr>
          <w:p w14:paraId="0835D911" w14:textId="5C26D9EB" w:rsidR="00B56A25" w:rsidRPr="004953A2" w:rsidRDefault="00B56A25" w:rsidP="007D705B">
            <w:pPr>
              <w:spacing w:before="0" w:after="0"/>
              <w:jc w:val="center"/>
              <w:rPr>
                <w:b/>
              </w:rPr>
            </w:pPr>
            <w:r w:rsidRPr="004953A2">
              <w:rPr>
                <w:b/>
              </w:rPr>
              <w:t>A</w:t>
            </w:r>
          </w:p>
        </w:tc>
        <w:tc>
          <w:tcPr>
            <w:tcW w:w="2268" w:type="dxa"/>
            <w:vAlign w:val="center"/>
          </w:tcPr>
          <w:p w14:paraId="6B5BA446" w14:textId="00DB61DE" w:rsidR="00B56A25" w:rsidRPr="004953A2" w:rsidRDefault="00B56A25" w:rsidP="007D705B">
            <w:pPr>
              <w:spacing w:before="0" w:after="0"/>
              <w:jc w:val="center"/>
            </w:pPr>
            <w:r w:rsidRPr="004953A2">
              <w:t xml:space="preserve">Australian </w:t>
            </w:r>
            <w:r w:rsidR="007E37B5" w:rsidRPr="004953A2">
              <w:t>po</w:t>
            </w:r>
            <w:r w:rsidRPr="004953A2">
              <w:t xml:space="preserve">pulation </w:t>
            </w:r>
            <w:r w:rsidR="007E37B5" w:rsidRPr="004953A2">
              <w:t xml:space="preserve">aged </w:t>
            </w:r>
            <w:r w:rsidRPr="004953A2">
              <w:t xml:space="preserve">over 65 years </w:t>
            </w:r>
          </w:p>
        </w:tc>
        <w:tc>
          <w:tcPr>
            <w:tcW w:w="1134" w:type="dxa"/>
            <w:vAlign w:val="center"/>
          </w:tcPr>
          <w:p w14:paraId="194B7674" w14:textId="52E2AA4A" w:rsidR="00B56A25" w:rsidRPr="004953A2" w:rsidRDefault="00B56A25" w:rsidP="007D705B">
            <w:pPr>
              <w:spacing w:before="0" w:after="0"/>
              <w:jc w:val="center"/>
            </w:pPr>
            <w:r w:rsidRPr="004953A2">
              <w:t>3,909,104</w:t>
            </w:r>
          </w:p>
        </w:tc>
        <w:tc>
          <w:tcPr>
            <w:tcW w:w="1134" w:type="dxa"/>
            <w:vAlign w:val="center"/>
          </w:tcPr>
          <w:p w14:paraId="35BA10F5" w14:textId="415EBB9B" w:rsidR="00B56A25" w:rsidRPr="004953A2" w:rsidRDefault="00B56A25" w:rsidP="007D705B">
            <w:pPr>
              <w:spacing w:before="0" w:after="0"/>
              <w:jc w:val="center"/>
            </w:pPr>
            <w:r w:rsidRPr="004953A2">
              <w:t>4,026,056</w:t>
            </w:r>
          </w:p>
        </w:tc>
        <w:tc>
          <w:tcPr>
            <w:tcW w:w="1134" w:type="dxa"/>
            <w:vAlign w:val="center"/>
          </w:tcPr>
          <w:p w14:paraId="3E2966D6" w14:textId="1822F6AC" w:rsidR="00B56A25" w:rsidRPr="004953A2" w:rsidRDefault="00B56A25" w:rsidP="007D705B">
            <w:pPr>
              <w:spacing w:before="0" w:after="0"/>
              <w:jc w:val="center"/>
            </w:pPr>
            <w:r w:rsidRPr="004953A2">
              <w:t>4,145,275</w:t>
            </w:r>
          </w:p>
        </w:tc>
        <w:tc>
          <w:tcPr>
            <w:tcW w:w="1188" w:type="dxa"/>
            <w:vAlign w:val="center"/>
          </w:tcPr>
          <w:p w14:paraId="555B05CB" w14:textId="7D88AF23" w:rsidR="00B56A25" w:rsidRPr="004953A2" w:rsidRDefault="00B56A25" w:rsidP="007D705B">
            <w:pPr>
              <w:spacing w:before="0" w:after="0"/>
              <w:jc w:val="center"/>
            </w:pPr>
            <w:r w:rsidRPr="004953A2">
              <w:t>4,271,505</w:t>
            </w:r>
          </w:p>
        </w:tc>
        <w:tc>
          <w:tcPr>
            <w:tcW w:w="1224" w:type="dxa"/>
            <w:vAlign w:val="center"/>
          </w:tcPr>
          <w:p w14:paraId="7B87386A" w14:textId="79FA76F4" w:rsidR="00B56A25" w:rsidRPr="004953A2" w:rsidRDefault="00B56A25" w:rsidP="007D705B">
            <w:pPr>
              <w:spacing w:before="0" w:after="0"/>
              <w:jc w:val="center"/>
            </w:pPr>
            <w:r w:rsidRPr="004953A2">
              <w:rPr>
                <w:rFonts w:ascii="Calibri" w:hAnsi="Calibri" w:cs="Calibri"/>
                <w:bCs/>
                <w:color w:val="000000"/>
                <w:szCs w:val="20"/>
              </w:rPr>
              <w:t>4,397,463</w:t>
            </w:r>
          </w:p>
        </w:tc>
      </w:tr>
      <w:tr w:rsidR="00B56A25" w:rsidRPr="004953A2" w14:paraId="1BC57BF4" w14:textId="0D8C3611" w:rsidTr="007D705B">
        <w:tc>
          <w:tcPr>
            <w:tcW w:w="562" w:type="dxa"/>
            <w:vAlign w:val="center"/>
          </w:tcPr>
          <w:p w14:paraId="4D46DF2F" w14:textId="5982F7AB" w:rsidR="00B56A25" w:rsidRPr="004953A2" w:rsidRDefault="00B56A25" w:rsidP="007D705B">
            <w:pPr>
              <w:spacing w:before="0" w:after="0"/>
              <w:jc w:val="center"/>
              <w:rPr>
                <w:b/>
              </w:rPr>
            </w:pPr>
            <w:r w:rsidRPr="004953A2">
              <w:rPr>
                <w:b/>
              </w:rPr>
              <w:t>B</w:t>
            </w:r>
          </w:p>
        </w:tc>
        <w:tc>
          <w:tcPr>
            <w:tcW w:w="2268" w:type="dxa"/>
            <w:vAlign w:val="center"/>
          </w:tcPr>
          <w:p w14:paraId="27F8D738" w14:textId="14D51302" w:rsidR="00B56A25" w:rsidRPr="004953A2" w:rsidRDefault="00B56A25" w:rsidP="007D705B">
            <w:pPr>
              <w:spacing w:before="0" w:after="0"/>
              <w:jc w:val="center"/>
            </w:pPr>
            <w:r w:rsidRPr="004953A2">
              <w:t>MBS item numbers 38488 and 38489</w:t>
            </w:r>
          </w:p>
        </w:tc>
        <w:tc>
          <w:tcPr>
            <w:tcW w:w="1134" w:type="dxa"/>
            <w:vAlign w:val="center"/>
          </w:tcPr>
          <w:p w14:paraId="0B0080E2" w14:textId="2E7DCDA8" w:rsidR="00B56A25" w:rsidRPr="004953A2" w:rsidRDefault="00B56A25" w:rsidP="007D705B">
            <w:pPr>
              <w:spacing w:before="0" w:after="0"/>
              <w:jc w:val="center"/>
            </w:pPr>
            <w:r w:rsidRPr="004953A2">
              <w:rPr>
                <w:rFonts w:ascii="Calibri" w:hAnsi="Calibri" w:cs="Calibri"/>
                <w:bCs/>
                <w:color w:val="000000"/>
                <w:szCs w:val="20"/>
              </w:rPr>
              <w:t>2775</w:t>
            </w:r>
          </w:p>
        </w:tc>
        <w:tc>
          <w:tcPr>
            <w:tcW w:w="1134" w:type="dxa"/>
            <w:vAlign w:val="center"/>
          </w:tcPr>
          <w:p w14:paraId="10653991" w14:textId="6F69320C" w:rsidR="00B56A25" w:rsidRPr="004953A2" w:rsidRDefault="00B56A25" w:rsidP="007D705B">
            <w:pPr>
              <w:spacing w:before="0" w:after="0"/>
              <w:jc w:val="center"/>
            </w:pPr>
            <w:r w:rsidRPr="004953A2">
              <w:rPr>
                <w:rFonts w:ascii="Calibri" w:hAnsi="Calibri" w:cs="Calibri"/>
                <w:bCs/>
                <w:color w:val="000000"/>
                <w:szCs w:val="20"/>
              </w:rPr>
              <w:t>2858</w:t>
            </w:r>
          </w:p>
        </w:tc>
        <w:tc>
          <w:tcPr>
            <w:tcW w:w="1134" w:type="dxa"/>
            <w:vAlign w:val="center"/>
          </w:tcPr>
          <w:p w14:paraId="165E2853" w14:textId="0EF1763E" w:rsidR="00B56A25" w:rsidRPr="004953A2" w:rsidRDefault="00B56A25" w:rsidP="007D705B">
            <w:pPr>
              <w:spacing w:before="0" w:after="0"/>
              <w:jc w:val="center"/>
            </w:pPr>
            <w:r w:rsidRPr="004953A2">
              <w:rPr>
                <w:rFonts w:ascii="Calibri" w:hAnsi="Calibri" w:cs="Calibri"/>
                <w:bCs/>
                <w:color w:val="000000"/>
                <w:szCs w:val="20"/>
              </w:rPr>
              <w:t>2943</w:t>
            </w:r>
          </w:p>
        </w:tc>
        <w:tc>
          <w:tcPr>
            <w:tcW w:w="1188" w:type="dxa"/>
            <w:vAlign w:val="center"/>
          </w:tcPr>
          <w:p w14:paraId="353DB7EB" w14:textId="3E9467A1" w:rsidR="00B56A25" w:rsidRPr="004953A2" w:rsidRDefault="00B56A25" w:rsidP="007D705B">
            <w:pPr>
              <w:spacing w:before="0" w:after="0"/>
              <w:jc w:val="center"/>
            </w:pPr>
            <w:r w:rsidRPr="004953A2">
              <w:rPr>
                <w:rFonts w:ascii="Calibri" w:hAnsi="Calibri" w:cs="Calibri"/>
                <w:bCs/>
                <w:color w:val="000000"/>
                <w:szCs w:val="20"/>
              </w:rPr>
              <w:t>3032</w:t>
            </w:r>
          </w:p>
        </w:tc>
        <w:tc>
          <w:tcPr>
            <w:tcW w:w="1224" w:type="dxa"/>
            <w:vAlign w:val="center"/>
          </w:tcPr>
          <w:p w14:paraId="5702F1E2" w14:textId="18B27058" w:rsidR="00B56A25" w:rsidRPr="004953A2" w:rsidRDefault="00B56A25" w:rsidP="007D705B">
            <w:pPr>
              <w:spacing w:before="0" w:after="0"/>
              <w:jc w:val="center"/>
            </w:pPr>
            <w:r w:rsidRPr="004953A2">
              <w:rPr>
                <w:rFonts w:ascii="Calibri" w:hAnsi="Calibri" w:cs="Calibri"/>
                <w:bCs/>
                <w:color w:val="000000"/>
                <w:szCs w:val="20"/>
              </w:rPr>
              <w:t>3122</w:t>
            </w:r>
          </w:p>
        </w:tc>
      </w:tr>
      <w:tr w:rsidR="00B56A25" w:rsidRPr="004953A2" w14:paraId="25817929" w14:textId="27063E6C" w:rsidTr="007D705B">
        <w:trPr>
          <w:trHeight w:val="445"/>
        </w:trPr>
        <w:tc>
          <w:tcPr>
            <w:tcW w:w="562" w:type="dxa"/>
            <w:vAlign w:val="center"/>
          </w:tcPr>
          <w:p w14:paraId="0347FA83" w14:textId="7311ED5D" w:rsidR="00B56A25" w:rsidRPr="004953A2" w:rsidRDefault="00B56A25" w:rsidP="007D705B">
            <w:pPr>
              <w:spacing w:before="0" w:after="0"/>
              <w:jc w:val="center"/>
              <w:rPr>
                <w:b/>
              </w:rPr>
            </w:pPr>
            <w:r w:rsidRPr="004953A2">
              <w:rPr>
                <w:b/>
              </w:rPr>
              <w:t>C</w:t>
            </w:r>
          </w:p>
        </w:tc>
        <w:tc>
          <w:tcPr>
            <w:tcW w:w="2268" w:type="dxa"/>
            <w:vAlign w:val="center"/>
          </w:tcPr>
          <w:p w14:paraId="7B6212FB" w14:textId="7B464395" w:rsidR="00B56A25" w:rsidRPr="004953A2" w:rsidRDefault="00B56A25" w:rsidP="007D705B">
            <w:pPr>
              <w:spacing w:before="0" w:after="0"/>
              <w:jc w:val="center"/>
            </w:pPr>
            <w:r w:rsidRPr="004953A2">
              <w:t xml:space="preserve">TAVI </w:t>
            </w:r>
            <w:r w:rsidR="007E37B5" w:rsidRPr="004953A2">
              <w:t>p</w:t>
            </w:r>
            <w:r w:rsidRPr="004953A2">
              <w:t>rocedures</w:t>
            </w:r>
          </w:p>
        </w:tc>
        <w:tc>
          <w:tcPr>
            <w:tcW w:w="1134" w:type="dxa"/>
            <w:vAlign w:val="center"/>
          </w:tcPr>
          <w:p w14:paraId="7C7F2B82" w14:textId="01B267FE" w:rsidR="00B56A25" w:rsidRPr="004953A2" w:rsidRDefault="00B56A25" w:rsidP="007D705B">
            <w:pPr>
              <w:spacing w:before="0" w:after="0"/>
              <w:jc w:val="center"/>
            </w:pPr>
            <w:r w:rsidRPr="004953A2">
              <w:rPr>
                <w:rFonts w:ascii="Calibri" w:hAnsi="Calibri" w:cs="Calibri"/>
                <w:bCs/>
                <w:color w:val="000000"/>
                <w:szCs w:val="20"/>
              </w:rPr>
              <w:t>1884</w:t>
            </w:r>
          </w:p>
        </w:tc>
        <w:tc>
          <w:tcPr>
            <w:tcW w:w="1134" w:type="dxa"/>
            <w:vAlign w:val="center"/>
          </w:tcPr>
          <w:p w14:paraId="35B5029A" w14:textId="67F28135" w:rsidR="00B56A25" w:rsidRPr="004953A2" w:rsidRDefault="00B56A25" w:rsidP="007D705B">
            <w:pPr>
              <w:spacing w:before="0" w:after="0"/>
              <w:jc w:val="center"/>
            </w:pPr>
            <w:r w:rsidRPr="004953A2">
              <w:rPr>
                <w:rFonts w:ascii="Calibri" w:hAnsi="Calibri" w:cs="Calibri"/>
                <w:bCs/>
                <w:color w:val="000000"/>
                <w:szCs w:val="20"/>
              </w:rPr>
              <w:t>1940</w:t>
            </w:r>
          </w:p>
        </w:tc>
        <w:tc>
          <w:tcPr>
            <w:tcW w:w="1134" w:type="dxa"/>
            <w:vAlign w:val="center"/>
          </w:tcPr>
          <w:p w14:paraId="7C31A8D4" w14:textId="7346AE9F" w:rsidR="00B56A25" w:rsidRPr="004953A2" w:rsidRDefault="00B56A25" w:rsidP="007D705B">
            <w:pPr>
              <w:spacing w:before="0" w:after="0"/>
              <w:jc w:val="center"/>
            </w:pPr>
            <w:r w:rsidRPr="004953A2">
              <w:rPr>
                <w:rFonts w:ascii="Calibri" w:hAnsi="Calibri" w:cs="Calibri"/>
                <w:bCs/>
                <w:color w:val="000000"/>
                <w:szCs w:val="20"/>
              </w:rPr>
              <w:t>1998</w:t>
            </w:r>
          </w:p>
        </w:tc>
        <w:tc>
          <w:tcPr>
            <w:tcW w:w="1188" w:type="dxa"/>
            <w:vAlign w:val="center"/>
          </w:tcPr>
          <w:p w14:paraId="1826D9E2" w14:textId="701E6E64" w:rsidR="00B56A25" w:rsidRPr="004953A2" w:rsidRDefault="00B56A25" w:rsidP="007D705B">
            <w:pPr>
              <w:spacing w:before="0" w:after="0"/>
              <w:jc w:val="center"/>
            </w:pPr>
            <w:r w:rsidRPr="004953A2">
              <w:rPr>
                <w:rFonts w:ascii="Calibri" w:hAnsi="Calibri" w:cs="Calibri"/>
                <w:bCs/>
                <w:color w:val="000000"/>
                <w:szCs w:val="20"/>
              </w:rPr>
              <w:t>2059</w:t>
            </w:r>
          </w:p>
        </w:tc>
        <w:tc>
          <w:tcPr>
            <w:tcW w:w="1224" w:type="dxa"/>
            <w:vAlign w:val="center"/>
          </w:tcPr>
          <w:p w14:paraId="35958E7A" w14:textId="108CA3A2" w:rsidR="00B56A25" w:rsidRPr="004953A2" w:rsidRDefault="00B56A25" w:rsidP="007D705B">
            <w:pPr>
              <w:spacing w:before="0" w:after="0"/>
              <w:jc w:val="center"/>
            </w:pPr>
            <w:r w:rsidRPr="004953A2">
              <w:rPr>
                <w:rFonts w:ascii="Calibri" w:hAnsi="Calibri" w:cs="Calibri"/>
                <w:bCs/>
                <w:color w:val="000000"/>
                <w:szCs w:val="20"/>
              </w:rPr>
              <w:t>2119</w:t>
            </w:r>
          </w:p>
        </w:tc>
      </w:tr>
      <w:tr w:rsidR="00B56A25" w:rsidRPr="004953A2" w14:paraId="6AFF8051" w14:textId="45879E9C" w:rsidTr="007D705B">
        <w:tc>
          <w:tcPr>
            <w:tcW w:w="562" w:type="dxa"/>
            <w:vAlign w:val="center"/>
          </w:tcPr>
          <w:p w14:paraId="0A8679B8" w14:textId="66EA8667" w:rsidR="00B56A25" w:rsidRPr="004953A2" w:rsidRDefault="00B56A25" w:rsidP="007D705B">
            <w:pPr>
              <w:spacing w:before="0" w:after="0"/>
              <w:jc w:val="center"/>
              <w:rPr>
                <w:b/>
              </w:rPr>
            </w:pPr>
            <w:r w:rsidRPr="004953A2">
              <w:rPr>
                <w:b/>
              </w:rPr>
              <w:t>D</w:t>
            </w:r>
          </w:p>
        </w:tc>
        <w:tc>
          <w:tcPr>
            <w:tcW w:w="2268" w:type="dxa"/>
            <w:vAlign w:val="center"/>
          </w:tcPr>
          <w:p w14:paraId="63F8449C" w14:textId="27B47F5C" w:rsidR="00B56A25" w:rsidRPr="004953A2" w:rsidRDefault="00B56A25" w:rsidP="007D705B">
            <w:pPr>
              <w:spacing w:before="0" w:after="0"/>
              <w:jc w:val="center"/>
              <w:rPr>
                <w:lang w:val="fr-FR"/>
              </w:rPr>
            </w:pPr>
            <w:r w:rsidRPr="004953A2">
              <w:rPr>
                <w:lang w:val="fr-FR"/>
              </w:rPr>
              <w:t>Total AVR population (B+C)</w:t>
            </w:r>
          </w:p>
        </w:tc>
        <w:tc>
          <w:tcPr>
            <w:tcW w:w="1134" w:type="dxa"/>
            <w:vAlign w:val="center"/>
          </w:tcPr>
          <w:p w14:paraId="466CFA6D" w14:textId="2B2A7009" w:rsidR="00B56A25" w:rsidRPr="004953A2" w:rsidRDefault="00B56A25" w:rsidP="007D705B">
            <w:pPr>
              <w:spacing w:before="0" w:after="0"/>
              <w:jc w:val="center"/>
            </w:pPr>
            <w:r w:rsidRPr="004953A2">
              <w:rPr>
                <w:rFonts w:ascii="Calibri" w:hAnsi="Calibri" w:cs="Calibri"/>
                <w:bCs/>
                <w:color w:val="000000"/>
                <w:szCs w:val="20"/>
              </w:rPr>
              <w:t>4659</w:t>
            </w:r>
          </w:p>
        </w:tc>
        <w:tc>
          <w:tcPr>
            <w:tcW w:w="1134" w:type="dxa"/>
            <w:vAlign w:val="center"/>
          </w:tcPr>
          <w:p w14:paraId="5DCFF4B3" w14:textId="52F5E48B" w:rsidR="00B56A25" w:rsidRPr="004953A2" w:rsidRDefault="00B56A25" w:rsidP="007D705B">
            <w:pPr>
              <w:spacing w:before="0" w:after="0"/>
              <w:jc w:val="center"/>
            </w:pPr>
            <w:r w:rsidRPr="004953A2">
              <w:rPr>
                <w:rFonts w:ascii="Calibri" w:hAnsi="Calibri" w:cs="Calibri"/>
                <w:bCs/>
                <w:color w:val="000000"/>
                <w:szCs w:val="20"/>
              </w:rPr>
              <w:t>4799</w:t>
            </w:r>
          </w:p>
        </w:tc>
        <w:tc>
          <w:tcPr>
            <w:tcW w:w="1134" w:type="dxa"/>
            <w:vAlign w:val="center"/>
          </w:tcPr>
          <w:p w14:paraId="0DEB4D59" w14:textId="3ED00BF1" w:rsidR="00B56A25" w:rsidRPr="004953A2" w:rsidRDefault="00B56A25" w:rsidP="007D705B">
            <w:pPr>
              <w:spacing w:before="0" w:after="0"/>
              <w:jc w:val="center"/>
            </w:pPr>
            <w:r w:rsidRPr="004953A2">
              <w:rPr>
                <w:rFonts w:ascii="Calibri" w:hAnsi="Calibri" w:cs="Calibri"/>
                <w:bCs/>
                <w:color w:val="000000"/>
                <w:szCs w:val="20"/>
              </w:rPr>
              <w:t>4941</w:t>
            </w:r>
          </w:p>
        </w:tc>
        <w:tc>
          <w:tcPr>
            <w:tcW w:w="1188" w:type="dxa"/>
            <w:vAlign w:val="center"/>
          </w:tcPr>
          <w:p w14:paraId="17030C67" w14:textId="5C412BF1" w:rsidR="00B56A25" w:rsidRPr="004953A2" w:rsidRDefault="00B56A25" w:rsidP="007D705B">
            <w:pPr>
              <w:spacing w:before="0" w:after="0"/>
              <w:jc w:val="center"/>
            </w:pPr>
            <w:r w:rsidRPr="004953A2">
              <w:rPr>
                <w:rFonts w:ascii="Calibri" w:hAnsi="Calibri" w:cs="Calibri"/>
                <w:bCs/>
                <w:color w:val="000000"/>
                <w:szCs w:val="20"/>
              </w:rPr>
              <w:t>5091</w:t>
            </w:r>
          </w:p>
        </w:tc>
        <w:tc>
          <w:tcPr>
            <w:tcW w:w="1224" w:type="dxa"/>
            <w:vAlign w:val="center"/>
          </w:tcPr>
          <w:p w14:paraId="7EDC9AAA" w14:textId="7E6E3226" w:rsidR="00B56A25" w:rsidRPr="004953A2" w:rsidRDefault="00B56A25" w:rsidP="007D705B">
            <w:pPr>
              <w:spacing w:before="0" w:after="0"/>
              <w:jc w:val="center"/>
            </w:pPr>
            <w:r w:rsidRPr="004953A2">
              <w:rPr>
                <w:rFonts w:ascii="Calibri" w:hAnsi="Calibri" w:cs="Calibri"/>
                <w:bCs/>
                <w:color w:val="000000"/>
                <w:szCs w:val="20"/>
              </w:rPr>
              <w:t>5241</w:t>
            </w:r>
          </w:p>
        </w:tc>
      </w:tr>
      <w:tr w:rsidR="00B56A25" w:rsidRPr="004953A2" w14:paraId="51D50DDD" w14:textId="70265D59" w:rsidTr="007D705B">
        <w:tc>
          <w:tcPr>
            <w:tcW w:w="562" w:type="dxa"/>
            <w:vAlign w:val="center"/>
          </w:tcPr>
          <w:p w14:paraId="478F3667" w14:textId="3D7D11F6" w:rsidR="00B56A25" w:rsidRPr="004953A2" w:rsidRDefault="00B56A25" w:rsidP="007D705B">
            <w:pPr>
              <w:spacing w:before="0" w:after="0"/>
              <w:jc w:val="center"/>
              <w:rPr>
                <w:b/>
              </w:rPr>
            </w:pPr>
            <w:r w:rsidRPr="004953A2">
              <w:rPr>
                <w:b/>
              </w:rPr>
              <w:t>E</w:t>
            </w:r>
          </w:p>
        </w:tc>
        <w:tc>
          <w:tcPr>
            <w:tcW w:w="2268" w:type="dxa"/>
            <w:vAlign w:val="center"/>
          </w:tcPr>
          <w:p w14:paraId="3B38B5A0" w14:textId="5FB34850" w:rsidR="00B56A25" w:rsidRPr="004953A2" w:rsidRDefault="00B56A25" w:rsidP="007D705B">
            <w:pPr>
              <w:spacing w:before="0" w:after="0"/>
              <w:jc w:val="center"/>
            </w:pPr>
            <w:r w:rsidRPr="004953A2">
              <w:t xml:space="preserve">Low </w:t>
            </w:r>
            <w:r w:rsidR="007E37B5" w:rsidRPr="004953A2">
              <w:t>r</w:t>
            </w:r>
            <w:r w:rsidRPr="004953A2">
              <w:t xml:space="preserve">isk </w:t>
            </w:r>
            <w:r w:rsidR="007E37B5" w:rsidRPr="004953A2">
              <w:t>g</w:t>
            </w:r>
            <w:r w:rsidRPr="004953A2">
              <w:t>roup (79.9%</w:t>
            </w:r>
            <w:r w:rsidR="000F1F35" w:rsidRPr="004953A2">
              <w:t>*</w:t>
            </w:r>
            <w:r w:rsidRPr="004953A2">
              <w:t xml:space="preserve"> D)</w:t>
            </w:r>
          </w:p>
        </w:tc>
        <w:tc>
          <w:tcPr>
            <w:tcW w:w="1134" w:type="dxa"/>
            <w:vAlign w:val="center"/>
          </w:tcPr>
          <w:p w14:paraId="68669631" w14:textId="65C4582D" w:rsidR="00B56A25" w:rsidRPr="004953A2" w:rsidRDefault="00B56A25" w:rsidP="007D705B">
            <w:pPr>
              <w:spacing w:before="0" w:after="0"/>
              <w:jc w:val="center"/>
            </w:pPr>
            <w:r w:rsidRPr="004953A2">
              <w:rPr>
                <w:rFonts w:ascii="Calibri" w:hAnsi="Calibri" w:cs="Calibri"/>
                <w:bCs/>
                <w:color w:val="000000"/>
                <w:szCs w:val="20"/>
              </w:rPr>
              <w:t>3723</w:t>
            </w:r>
          </w:p>
        </w:tc>
        <w:tc>
          <w:tcPr>
            <w:tcW w:w="1134" w:type="dxa"/>
            <w:vAlign w:val="center"/>
          </w:tcPr>
          <w:p w14:paraId="099C9B69" w14:textId="635B3420" w:rsidR="00B56A25" w:rsidRPr="004953A2" w:rsidRDefault="00B56A25" w:rsidP="007D705B">
            <w:pPr>
              <w:spacing w:before="0" w:after="0"/>
              <w:jc w:val="center"/>
            </w:pPr>
            <w:r w:rsidRPr="004953A2">
              <w:rPr>
                <w:rFonts w:ascii="Calibri" w:hAnsi="Calibri" w:cs="Calibri"/>
                <w:bCs/>
                <w:color w:val="000000"/>
                <w:szCs w:val="20"/>
              </w:rPr>
              <w:t>3834</w:t>
            </w:r>
          </w:p>
        </w:tc>
        <w:tc>
          <w:tcPr>
            <w:tcW w:w="1134" w:type="dxa"/>
            <w:vAlign w:val="center"/>
          </w:tcPr>
          <w:p w14:paraId="5802CE47" w14:textId="36E51F49" w:rsidR="00B56A25" w:rsidRPr="004953A2" w:rsidRDefault="00B56A25" w:rsidP="007D705B">
            <w:pPr>
              <w:spacing w:before="0" w:after="0"/>
              <w:jc w:val="center"/>
            </w:pPr>
            <w:r w:rsidRPr="004953A2">
              <w:rPr>
                <w:rFonts w:ascii="Calibri" w:hAnsi="Calibri" w:cs="Calibri"/>
                <w:bCs/>
                <w:color w:val="000000"/>
                <w:szCs w:val="20"/>
              </w:rPr>
              <w:t>3948</w:t>
            </w:r>
          </w:p>
        </w:tc>
        <w:tc>
          <w:tcPr>
            <w:tcW w:w="1188" w:type="dxa"/>
            <w:vAlign w:val="center"/>
          </w:tcPr>
          <w:p w14:paraId="7EB07067" w14:textId="5D18F8E1" w:rsidR="00B56A25" w:rsidRPr="004953A2" w:rsidRDefault="00B56A25" w:rsidP="007D705B">
            <w:pPr>
              <w:spacing w:before="0" w:after="0"/>
              <w:jc w:val="center"/>
            </w:pPr>
            <w:r w:rsidRPr="004953A2">
              <w:rPr>
                <w:rFonts w:ascii="Calibri" w:hAnsi="Calibri" w:cs="Calibri"/>
                <w:bCs/>
                <w:color w:val="000000"/>
                <w:szCs w:val="20"/>
              </w:rPr>
              <w:t>4068</w:t>
            </w:r>
          </w:p>
        </w:tc>
        <w:tc>
          <w:tcPr>
            <w:tcW w:w="1224" w:type="dxa"/>
            <w:vAlign w:val="center"/>
          </w:tcPr>
          <w:p w14:paraId="0AD80743" w14:textId="2210A828" w:rsidR="00B56A25" w:rsidRPr="004953A2" w:rsidRDefault="00B56A25" w:rsidP="007D705B">
            <w:pPr>
              <w:spacing w:before="0" w:after="0"/>
              <w:jc w:val="center"/>
            </w:pPr>
            <w:r w:rsidRPr="004953A2">
              <w:rPr>
                <w:rFonts w:ascii="Calibri" w:hAnsi="Calibri" w:cs="Calibri"/>
                <w:bCs/>
                <w:color w:val="000000"/>
                <w:szCs w:val="20"/>
              </w:rPr>
              <w:t>4188</w:t>
            </w:r>
          </w:p>
        </w:tc>
      </w:tr>
    </w:tbl>
    <w:p w14:paraId="24936A4F" w14:textId="77777777" w:rsidR="00BE7973" w:rsidRPr="004953A2" w:rsidRDefault="00BE7973" w:rsidP="00133F25">
      <w:pPr>
        <w:ind w:left="426"/>
      </w:pPr>
    </w:p>
    <w:p w14:paraId="42473665" w14:textId="77777777" w:rsidR="00382407" w:rsidRPr="004953A2" w:rsidRDefault="00382407" w:rsidP="00530204">
      <w:pPr>
        <w:pStyle w:val="Heading2"/>
      </w:pPr>
      <w:r w:rsidRPr="004953A2">
        <w:t>Estimate the number of times the proposed medical service</w:t>
      </w:r>
      <w:r w:rsidR="005A58BA" w:rsidRPr="004953A2">
        <w:t>(s)</w:t>
      </w:r>
      <w:r w:rsidRPr="004953A2">
        <w:t xml:space="preserve"> would be </w:t>
      </w:r>
      <w:r w:rsidR="00AE1188" w:rsidRPr="004953A2">
        <w:t>delivered to a patient per year:</w:t>
      </w:r>
    </w:p>
    <w:p w14:paraId="40FE9FA0" w14:textId="4012376B" w:rsidR="00382407" w:rsidRPr="004953A2" w:rsidRDefault="00362EC4" w:rsidP="00AE1188">
      <w:pPr>
        <w:ind w:left="426"/>
        <w:rPr>
          <w:szCs w:val="20"/>
        </w:rPr>
      </w:pPr>
      <w:r w:rsidRPr="004953A2">
        <w:t>As this intervention is usually performed late in life, it is anticipated that the service would only be delivered once per patient</w:t>
      </w:r>
      <w:r w:rsidR="00B35945" w:rsidRPr="004953A2">
        <w:t>.</w:t>
      </w:r>
    </w:p>
    <w:p w14:paraId="033E9C4A" w14:textId="77777777" w:rsidR="00382407" w:rsidRPr="004953A2" w:rsidRDefault="00382407" w:rsidP="00530204">
      <w:pPr>
        <w:pStyle w:val="Heading2"/>
      </w:pPr>
      <w:r w:rsidRPr="004953A2">
        <w:t>How many years would the proposed medical service</w:t>
      </w:r>
      <w:r w:rsidR="005A58BA" w:rsidRPr="004953A2">
        <w:t>(s)</w:t>
      </w:r>
      <w:r w:rsidRPr="004953A2">
        <w:t xml:space="preserve"> be required for the patient?</w:t>
      </w:r>
    </w:p>
    <w:p w14:paraId="13FE6A39" w14:textId="692BED2D" w:rsidR="00382407" w:rsidRPr="004953A2" w:rsidRDefault="00B35945" w:rsidP="00362EC4">
      <w:pPr>
        <w:ind w:left="360"/>
        <w:rPr>
          <w:b/>
          <w:szCs w:val="20"/>
        </w:rPr>
      </w:pPr>
      <w:r w:rsidRPr="004953A2">
        <w:t>Once in a lifetime.</w:t>
      </w:r>
    </w:p>
    <w:p w14:paraId="223DCE0D" w14:textId="77777777" w:rsidR="002A6753" w:rsidRPr="004953A2" w:rsidRDefault="000E47E7" w:rsidP="00530204">
      <w:pPr>
        <w:pStyle w:val="Heading2"/>
        <w:rPr>
          <w:b w:val="0"/>
        </w:rPr>
      </w:pPr>
      <w:r w:rsidRPr="004953A2">
        <w:t xml:space="preserve">Estimate </w:t>
      </w:r>
      <w:r w:rsidR="002A6753" w:rsidRPr="004953A2">
        <w:t xml:space="preserve">the projected number of patients who will utilise the proposed </w:t>
      </w:r>
      <w:r w:rsidRPr="004953A2">
        <w:t xml:space="preserve">medical </w:t>
      </w:r>
      <w:r w:rsidR="002A6753" w:rsidRPr="004953A2">
        <w:t>ser</w:t>
      </w:r>
      <w:r w:rsidR="00AE1188" w:rsidRPr="004953A2">
        <w:t>vice(s) for the first full year:</w:t>
      </w:r>
    </w:p>
    <w:p w14:paraId="11ABF2AF" w14:textId="558214D9" w:rsidR="00FB5F38" w:rsidRPr="004953A2" w:rsidRDefault="00362EC4" w:rsidP="006A7146">
      <w:pPr>
        <w:ind w:left="426"/>
        <w:rPr>
          <w:szCs w:val="20"/>
        </w:rPr>
      </w:pPr>
      <w:r w:rsidRPr="004953A2">
        <w:rPr>
          <w:szCs w:val="20"/>
        </w:rPr>
        <w:t xml:space="preserve">It is estimated that </w:t>
      </w:r>
      <w:r w:rsidR="00B56A25" w:rsidRPr="004953A2">
        <w:rPr>
          <w:szCs w:val="20"/>
        </w:rPr>
        <w:t>4188</w:t>
      </w:r>
      <w:r w:rsidRPr="004953A2">
        <w:rPr>
          <w:szCs w:val="20"/>
        </w:rPr>
        <w:t xml:space="preserve"> patients would be eligible for the proposed service</w:t>
      </w:r>
      <w:r w:rsidR="00857CC2" w:rsidRPr="004953A2">
        <w:rPr>
          <w:szCs w:val="20"/>
        </w:rPr>
        <w:t xml:space="preserve"> in 202</w:t>
      </w:r>
      <w:r w:rsidR="00B56A25" w:rsidRPr="004953A2">
        <w:rPr>
          <w:szCs w:val="20"/>
        </w:rPr>
        <w:t>2</w:t>
      </w:r>
      <w:r w:rsidR="00857CC2" w:rsidRPr="004953A2">
        <w:rPr>
          <w:szCs w:val="20"/>
        </w:rPr>
        <w:t>.</w:t>
      </w:r>
      <w:r w:rsidR="00B35945" w:rsidRPr="004953A2">
        <w:rPr>
          <w:szCs w:val="20"/>
        </w:rPr>
        <w:t xml:space="preserve"> However,</w:t>
      </w:r>
      <w:r w:rsidR="00857CC2" w:rsidRPr="004953A2">
        <w:rPr>
          <w:szCs w:val="20"/>
        </w:rPr>
        <w:t xml:space="preserve"> </w:t>
      </w:r>
      <w:r w:rsidR="00B35945" w:rsidRPr="004953A2">
        <w:rPr>
          <w:szCs w:val="20"/>
        </w:rPr>
        <w:t>i</w:t>
      </w:r>
      <w:r w:rsidR="009167F8" w:rsidRPr="004953A2">
        <w:rPr>
          <w:szCs w:val="20"/>
        </w:rPr>
        <w:t xml:space="preserve">t is unlikely that all these patients would access TAVI. </w:t>
      </w:r>
      <w:r w:rsidR="000F1F35" w:rsidRPr="004953A2">
        <w:rPr>
          <w:szCs w:val="20"/>
        </w:rPr>
        <w:t>Therefore, t</w:t>
      </w:r>
      <w:r w:rsidR="00086144" w:rsidRPr="004953A2">
        <w:rPr>
          <w:szCs w:val="20"/>
        </w:rPr>
        <w:t>his figure is likely to be an overestimate.</w:t>
      </w:r>
      <w:r w:rsidR="00FB5F38" w:rsidRPr="004953A2">
        <w:rPr>
          <w:szCs w:val="20"/>
        </w:rPr>
        <w:t xml:space="preserve"> </w:t>
      </w:r>
    </w:p>
    <w:p w14:paraId="38167BD3" w14:textId="52C580C1" w:rsidR="00AE1188" w:rsidRPr="004953A2" w:rsidRDefault="00FB5F38" w:rsidP="006A7146">
      <w:pPr>
        <w:ind w:left="426"/>
        <w:rPr>
          <w:szCs w:val="20"/>
        </w:rPr>
      </w:pPr>
      <w:r w:rsidRPr="004953A2">
        <w:rPr>
          <w:szCs w:val="20"/>
        </w:rPr>
        <w:t>Osnabrugge estimated that 80% of high risk/inoperable patients eligible for TAVI received the procedure.  If this figure</w:t>
      </w:r>
      <w:r w:rsidR="00B35945" w:rsidRPr="004953A2">
        <w:rPr>
          <w:szCs w:val="20"/>
        </w:rPr>
        <w:t xml:space="preserve"> is applied</w:t>
      </w:r>
      <w:r w:rsidRPr="004953A2">
        <w:rPr>
          <w:szCs w:val="20"/>
        </w:rPr>
        <w:t xml:space="preserve"> to </w:t>
      </w:r>
      <w:r w:rsidR="00100CD1" w:rsidRPr="004953A2">
        <w:rPr>
          <w:szCs w:val="20"/>
        </w:rPr>
        <w:t>low</w:t>
      </w:r>
      <w:r w:rsidR="008A5194" w:rsidRPr="004953A2">
        <w:rPr>
          <w:szCs w:val="20"/>
        </w:rPr>
        <w:t xml:space="preserve"> risk patients who are</w:t>
      </w:r>
      <w:r w:rsidRPr="004953A2">
        <w:rPr>
          <w:szCs w:val="20"/>
        </w:rPr>
        <w:t xml:space="preserve"> eligible</w:t>
      </w:r>
      <w:r w:rsidR="008A5194" w:rsidRPr="004953A2">
        <w:rPr>
          <w:szCs w:val="20"/>
        </w:rPr>
        <w:t>,</w:t>
      </w:r>
      <w:r w:rsidRPr="004953A2">
        <w:rPr>
          <w:szCs w:val="20"/>
        </w:rPr>
        <w:t xml:space="preserve"> then in </w:t>
      </w:r>
      <w:r w:rsidR="006A7146" w:rsidRPr="004953A2">
        <w:rPr>
          <w:szCs w:val="20"/>
        </w:rPr>
        <w:t>202</w:t>
      </w:r>
      <w:r w:rsidR="00100CD1" w:rsidRPr="004953A2">
        <w:rPr>
          <w:szCs w:val="20"/>
        </w:rPr>
        <w:t>2</w:t>
      </w:r>
      <w:r w:rsidRPr="004953A2">
        <w:rPr>
          <w:szCs w:val="20"/>
        </w:rPr>
        <w:t xml:space="preserve">, </w:t>
      </w:r>
      <w:r w:rsidR="00100CD1" w:rsidRPr="004953A2">
        <w:rPr>
          <w:szCs w:val="20"/>
        </w:rPr>
        <w:t>3350</w:t>
      </w:r>
      <w:r w:rsidRPr="004953A2">
        <w:rPr>
          <w:szCs w:val="20"/>
        </w:rPr>
        <w:t xml:space="preserve"> patients </w:t>
      </w:r>
      <w:r w:rsidR="000F1F35" w:rsidRPr="004953A2">
        <w:rPr>
          <w:szCs w:val="20"/>
        </w:rPr>
        <w:t xml:space="preserve">will </w:t>
      </w:r>
      <w:r w:rsidRPr="004953A2">
        <w:rPr>
          <w:szCs w:val="20"/>
        </w:rPr>
        <w:t xml:space="preserve">receive </w:t>
      </w:r>
      <w:r w:rsidR="008A5194" w:rsidRPr="004953A2">
        <w:rPr>
          <w:szCs w:val="20"/>
        </w:rPr>
        <w:t>TAVI</w:t>
      </w:r>
      <w:r w:rsidR="00B35945" w:rsidRPr="004953A2">
        <w:rPr>
          <w:szCs w:val="20"/>
        </w:rPr>
        <w:t xml:space="preserve"> </w:t>
      </w:r>
      <w:r w:rsidR="00722E75" w:rsidRPr="004953A2">
        <w:rPr>
          <w:szCs w:val="18"/>
        </w:rPr>
        <w:t xml:space="preserve">using the SAPIEN 3 </w:t>
      </w:r>
      <w:r w:rsidR="00B35945" w:rsidRPr="004953A2">
        <w:rPr>
          <w:szCs w:val="20"/>
        </w:rPr>
        <w:t>BEV</w:t>
      </w:r>
      <w:r w:rsidRPr="004953A2">
        <w:rPr>
          <w:szCs w:val="20"/>
        </w:rPr>
        <w:t>.</w:t>
      </w:r>
    </w:p>
    <w:p w14:paraId="519922D8" w14:textId="48853ADD" w:rsidR="00974D50" w:rsidRPr="004953A2" w:rsidRDefault="005A58BA" w:rsidP="00530204">
      <w:pPr>
        <w:pStyle w:val="Heading2"/>
      </w:pPr>
      <w:r w:rsidRPr="004953A2">
        <w:t>Estimate the anticipated upt</w:t>
      </w:r>
      <w:r w:rsidR="000E47E7" w:rsidRPr="004953A2">
        <w:t>a</w:t>
      </w:r>
      <w:r w:rsidR="001B171D" w:rsidRPr="004953A2">
        <w:t>k</w:t>
      </w:r>
      <w:r w:rsidR="000E47E7" w:rsidRPr="004953A2">
        <w:t>e of the proposed medical service over the next three years</w:t>
      </w:r>
      <w:r w:rsidR="001B171D" w:rsidRPr="004953A2">
        <w:t xml:space="preserve"> factoring in any constraints in the health system in meeting the needs of the proposed population (suc</w:t>
      </w:r>
      <w:r w:rsidRPr="004953A2">
        <w:t>h as supply and demand factors)</w:t>
      </w:r>
      <w:r w:rsidR="001B171D" w:rsidRPr="004953A2">
        <w:t xml:space="preserve"> as well as </w:t>
      </w:r>
      <w:r w:rsidR="009C03FB" w:rsidRPr="004953A2">
        <w:t>provide commentary on</w:t>
      </w:r>
      <w:r w:rsidR="001B171D" w:rsidRPr="004953A2">
        <w:t xml:space="preserve"> risk of ‘leakage’ to populations not targeted by the service</w:t>
      </w:r>
      <w:r w:rsidR="00AE1188" w:rsidRPr="004953A2">
        <w:t>:</w:t>
      </w:r>
    </w:p>
    <w:p w14:paraId="621B4373" w14:textId="439A804B" w:rsidR="000F1F35" w:rsidRPr="004953A2" w:rsidRDefault="00522175" w:rsidP="007D705B">
      <w:pPr>
        <w:ind w:left="360"/>
        <w:rPr>
          <w:b/>
          <w:szCs w:val="20"/>
        </w:rPr>
      </w:pPr>
      <w:r w:rsidRPr="004953A2">
        <w:t xml:space="preserve">A TAVI must be performed by a TAVI practitioner in a </w:t>
      </w:r>
      <w:r w:rsidR="00722E75" w:rsidRPr="004953A2">
        <w:t>‘</w:t>
      </w:r>
      <w:r w:rsidRPr="004953A2">
        <w:t>TAVI</w:t>
      </w:r>
      <w:r w:rsidR="00722E75" w:rsidRPr="004953A2">
        <w:t>-endorsed’</w:t>
      </w:r>
      <w:r w:rsidRPr="004953A2">
        <w:t xml:space="preserve"> hospital. It is possible that there will be capacity </w:t>
      </w:r>
      <w:r w:rsidR="00B35945" w:rsidRPr="004953A2">
        <w:t>cons</w:t>
      </w:r>
      <w:r w:rsidRPr="004953A2">
        <w:t xml:space="preserve">traints if there are </w:t>
      </w:r>
      <w:r w:rsidR="00B35945" w:rsidRPr="004953A2">
        <w:t xml:space="preserve">insufficient </w:t>
      </w:r>
      <w:r w:rsidRPr="004953A2">
        <w:t>facilities and trained staff to meet demand.  It is likely that capacity will increase in coming years.  However</w:t>
      </w:r>
      <w:r w:rsidR="00C87C31" w:rsidRPr="004953A2">
        <w:t>,</w:t>
      </w:r>
      <w:r w:rsidRPr="004953A2">
        <w:t xml:space="preserve"> assuming that capacity is available to meet demand, the uptake</w:t>
      </w:r>
      <w:r w:rsidR="000F1F35" w:rsidRPr="004953A2">
        <w:t xml:space="preserve"> outlined in Table 7.3</w:t>
      </w:r>
      <w:r w:rsidRPr="004953A2">
        <w:t xml:space="preserve"> is likely.</w:t>
      </w:r>
    </w:p>
    <w:p w14:paraId="757658E0" w14:textId="63021638" w:rsidR="000F1F35" w:rsidRPr="004953A2" w:rsidRDefault="000F1F35" w:rsidP="000F1F35">
      <w:pPr>
        <w:ind w:left="426"/>
        <w:rPr>
          <w:b/>
        </w:rPr>
      </w:pPr>
      <w:r w:rsidRPr="004953A2">
        <w:rPr>
          <w:b/>
          <w:szCs w:val="20"/>
        </w:rPr>
        <w:t>Table 7.3.</w:t>
      </w:r>
      <w:r w:rsidRPr="004953A2">
        <w:rPr>
          <w:szCs w:val="20"/>
        </w:rPr>
        <w:t xml:space="preserve"> </w:t>
      </w:r>
      <w:r w:rsidRPr="004953A2">
        <w:rPr>
          <w:szCs w:val="20"/>
        </w:rPr>
        <w:tab/>
      </w:r>
      <w:r w:rsidRPr="004953A2">
        <w:t>Projected uptake.</w:t>
      </w:r>
    </w:p>
    <w:tbl>
      <w:tblPr>
        <w:tblStyle w:val="TableGrid"/>
        <w:tblW w:w="8956" w:type="dxa"/>
        <w:tblInd w:w="360" w:type="dxa"/>
        <w:tblLook w:val="04A0" w:firstRow="1" w:lastRow="0" w:firstColumn="1" w:lastColumn="0" w:noHBand="0" w:noVBand="1"/>
        <w:tblCaption w:val="Table 7.3"/>
        <w:tblDescription w:val="Table"/>
      </w:tblPr>
      <w:tblGrid>
        <w:gridCol w:w="1053"/>
        <w:gridCol w:w="2551"/>
        <w:gridCol w:w="1784"/>
        <w:gridCol w:w="1784"/>
        <w:gridCol w:w="1784"/>
      </w:tblGrid>
      <w:tr w:rsidR="006A7146" w:rsidRPr="004953A2" w14:paraId="1588D0EE" w14:textId="77777777" w:rsidTr="00915F02">
        <w:trPr>
          <w:cantSplit/>
          <w:tblHeader/>
        </w:trPr>
        <w:tc>
          <w:tcPr>
            <w:tcW w:w="1053" w:type="dxa"/>
          </w:tcPr>
          <w:p w14:paraId="50B89F71" w14:textId="77777777" w:rsidR="006A7146" w:rsidRPr="004953A2" w:rsidRDefault="006A7146" w:rsidP="006A7146">
            <w:pPr>
              <w:jc w:val="center"/>
              <w:rPr>
                <w:b/>
              </w:rPr>
            </w:pPr>
          </w:p>
        </w:tc>
        <w:tc>
          <w:tcPr>
            <w:tcW w:w="2551" w:type="dxa"/>
          </w:tcPr>
          <w:p w14:paraId="3386DC15" w14:textId="29021A53" w:rsidR="006A7146" w:rsidRPr="004953A2" w:rsidRDefault="006A7146" w:rsidP="006A7146">
            <w:pPr>
              <w:jc w:val="center"/>
              <w:rPr>
                <w:b/>
              </w:rPr>
            </w:pPr>
          </w:p>
        </w:tc>
        <w:tc>
          <w:tcPr>
            <w:tcW w:w="1784" w:type="dxa"/>
            <w:shd w:val="clear" w:color="auto" w:fill="D9D9D9" w:themeFill="background1" w:themeFillShade="D9"/>
          </w:tcPr>
          <w:p w14:paraId="57B5DE21" w14:textId="79F739DE" w:rsidR="006A7146" w:rsidRPr="004953A2" w:rsidRDefault="006A7146" w:rsidP="006A7146">
            <w:pPr>
              <w:jc w:val="center"/>
              <w:rPr>
                <w:b/>
              </w:rPr>
            </w:pPr>
            <w:r w:rsidRPr="004953A2">
              <w:rPr>
                <w:b/>
              </w:rPr>
              <w:t>2022</w:t>
            </w:r>
          </w:p>
        </w:tc>
        <w:tc>
          <w:tcPr>
            <w:tcW w:w="1784" w:type="dxa"/>
            <w:shd w:val="clear" w:color="auto" w:fill="D9D9D9" w:themeFill="background1" w:themeFillShade="D9"/>
          </w:tcPr>
          <w:p w14:paraId="77178348" w14:textId="2498FC29" w:rsidR="006A7146" w:rsidRPr="004953A2" w:rsidRDefault="006A7146" w:rsidP="006A7146">
            <w:pPr>
              <w:jc w:val="center"/>
              <w:rPr>
                <w:b/>
              </w:rPr>
            </w:pPr>
            <w:r w:rsidRPr="004953A2">
              <w:rPr>
                <w:b/>
              </w:rPr>
              <w:t>2023</w:t>
            </w:r>
          </w:p>
        </w:tc>
        <w:tc>
          <w:tcPr>
            <w:tcW w:w="1784" w:type="dxa"/>
            <w:shd w:val="clear" w:color="auto" w:fill="D9D9D9" w:themeFill="background1" w:themeFillShade="D9"/>
          </w:tcPr>
          <w:p w14:paraId="5C14658E" w14:textId="6FD6FA8D" w:rsidR="006A7146" w:rsidRPr="004953A2" w:rsidRDefault="006A7146" w:rsidP="006A7146">
            <w:pPr>
              <w:jc w:val="center"/>
              <w:rPr>
                <w:b/>
              </w:rPr>
            </w:pPr>
            <w:r w:rsidRPr="004953A2">
              <w:rPr>
                <w:b/>
              </w:rPr>
              <w:t>2024</w:t>
            </w:r>
          </w:p>
        </w:tc>
      </w:tr>
      <w:tr w:rsidR="006A7146" w:rsidRPr="004953A2" w14:paraId="52A795DC" w14:textId="77777777" w:rsidTr="007D705B">
        <w:trPr>
          <w:trHeight w:val="413"/>
        </w:trPr>
        <w:tc>
          <w:tcPr>
            <w:tcW w:w="1053" w:type="dxa"/>
            <w:vAlign w:val="center"/>
          </w:tcPr>
          <w:p w14:paraId="336114F6" w14:textId="71C69F89" w:rsidR="006A7146" w:rsidRPr="004953A2" w:rsidRDefault="006A7146" w:rsidP="007D705B">
            <w:pPr>
              <w:spacing w:before="0" w:after="0"/>
              <w:jc w:val="center"/>
              <w:rPr>
                <w:b/>
              </w:rPr>
            </w:pPr>
            <w:r w:rsidRPr="004953A2">
              <w:rPr>
                <w:b/>
              </w:rPr>
              <w:t>A</w:t>
            </w:r>
          </w:p>
        </w:tc>
        <w:tc>
          <w:tcPr>
            <w:tcW w:w="2551" w:type="dxa"/>
            <w:vAlign w:val="center"/>
          </w:tcPr>
          <w:p w14:paraId="3CC3F3DB" w14:textId="0913B03B" w:rsidR="006A7146" w:rsidRPr="004953A2" w:rsidRDefault="000F1F35" w:rsidP="007D705B">
            <w:pPr>
              <w:spacing w:before="0" w:after="0"/>
              <w:jc w:val="center"/>
            </w:pPr>
            <w:r w:rsidRPr="004953A2">
              <w:t>Australian population aged over 65 years</w:t>
            </w:r>
          </w:p>
        </w:tc>
        <w:tc>
          <w:tcPr>
            <w:tcW w:w="1784" w:type="dxa"/>
            <w:vAlign w:val="center"/>
          </w:tcPr>
          <w:p w14:paraId="446EF7A5" w14:textId="11C2E56C" w:rsidR="006A7146" w:rsidRPr="004953A2" w:rsidRDefault="006A7146" w:rsidP="007D705B">
            <w:pPr>
              <w:spacing w:before="0" w:after="0"/>
              <w:jc w:val="center"/>
            </w:pPr>
            <w:r w:rsidRPr="004953A2">
              <w:rPr>
                <w:rFonts w:ascii="Calibri" w:hAnsi="Calibri" w:cs="Calibri"/>
                <w:bCs/>
                <w:color w:val="000000"/>
                <w:szCs w:val="20"/>
              </w:rPr>
              <w:t>4,397,463</w:t>
            </w:r>
          </w:p>
        </w:tc>
        <w:tc>
          <w:tcPr>
            <w:tcW w:w="1784" w:type="dxa"/>
            <w:vAlign w:val="center"/>
          </w:tcPr>
          <w:p w14:paraId="701F3BAC" w14:textId="6F88106E" w:rsidR="006A7146" w:rsidRPr="004953A2" w:rsidRDefault="006A7146" w:rsidP="007D705B">
            <w:pPr>
              <w:spacing w:before="0" w:after="0"/>
              <w:jc w:val="center"/>
            </w:pPr>
            <w:r w:rsidRPr="004953A2">
              <w:rPr>
                <w:rFonts w:ascii="Calibri" w:hAnsi="Calibri" w:cs="Calibri"/>
                <w:bCs/>
                <w:color w:val="000000"/>
                <w:szCs w:val="20"/>
              </w:rPr>
              <w:t>4,526,677</w:t>
            </w:r>
          </w:p>
        </w:tc>
        <w:tc>
          <w:tcPr>
            <w:tcW w:w="1784" w:type="dxa"/>
            <w:vAlign w:val="center"/>
          </w:tcPr>
          <w:p w14:paraId="7941214E" w14:textId="4B37749B" w:rsidR="006A7146" w:rsidRPr="004953A2" w:rsidRDefault="006A7146" w:rsidP="007D705B">
            <w:pPr>
              <w:spacing w:before="0" w:after="0"/>
              <w:jc w:val="center"/>
            </w:pPr>
            <w:r w:rsidRPr="004953A2">
              <w:rPr>
                <w:rFonts w:ascii="Calibri" w:hAnsi="Calibri" w:cs="Calibri"/>
                <w:bCs/>
                <w:color w:val="000000"/>
                <w:szCs w:val="20"/>
              </w:rPr>
              <w:t>4,656,293</w:t>
            </w:r>
          </w:p>
        </w:tc>
      </w:tr>
      <w:tr w:rsidR="00100CD1" w:rsidRPr="004953A2" w14:paraId="2FADAEFF" w14:textId="77777777" w:rsidTr="007D705B">
        <w:trPr>
          <w:trHeight w:val="503"/>
        </w:trPr>
        <w:tc>
          <w:tcPr>
            <w:tcW w:w="1053" w:type="dxa"/>
            <w:vAlign w:val="center"/>
          </w:tcPr>
          <w:p w14:paraId="4C28737A" w14:textId="6BE34E31" w:rsidR="00100CD1" w:rsidRPr="004953A2" w:rsidRDefault="00100CD1" w:rsidP="007D705B">
            <w:pPr>
              <w:spacing w:before="0" w:after="0"/>
              <w:jc w:val="center"/>
              <w:rPr>
                <w:b/>
              </w:rPr>
            </w:pPr>
            <w:r w:rsidRPr="004953A2">
              <w:rPr>
                <w:b/>
              </w:rPr>
              <w:t>B</w:t>
            </w:r>
          </w:p>
        </w:tc>
        <w:tc>
          <w:tcPr>
            <w:tcW w:w="2551" w:type="dxa"/>
            <w:vAlign w:val="center"/>
          </w:tcPr>
          <w:p w14:paraId="022D01C0" w14:textId="535C7451" w:rsidR="00100CD1" w:rsidRPr="004953A2" w:rsidRDefault="00100CD1" w:rsidP="007D705B">
            <w:pPr>
              <w:spacing w:before="0" w:after="0"/>
              <w:jc w:val="center"/>
            </w:pPr>
            <w:r w:rsidRPr="004953A2">
              <w:t xml:space="preserve">Eligible </w:t>
            </w:r>
            <w:r w:rsidR="000F1F35" w:rsidRPr="004953A2">
              <w:t>p</w:t>
            </w:r>
            <w:r w:rsidRPr="004953A2">
              <w:t>opulation</w:t>
            </w:r>
          </w:p>
        </w:tc>
        <w:tc>
          <w:tcPr>
            <w:tcW w:w="1784" w:type="dxa"/>
            <w:vAlign w:val="center"/>
          </w:tcPr>
          <w:p w14:paraId="13A8DAA6" w14:textId="4E81AF9E" w:rsidR="00100CD1" w:rsidRPr="004953A2" w:rsidRDefault="00100CD1" w:rsidP="007D705B">
            <w:pPr>
              <w:spacing w:before="0" w:after="0"/>
              <w:jc w:val="center"/>
            </w:pPr>
            <w:r w:rsidRPr="004953A2">
              <w:rPr>
                <w:rFonts w:ascii="Calibri" w:hAnsi="Calibri" w:cs="Calibri"/>
                <w:bCs/>
                <w:color w:val="000000"/>
                <w:szCs w:val="20"/>
              </w:rPr>
              <w:t>4,188</w:t>
            </w:r>
          </w:p>
        </w:tc>
        <w:tc>
          <w:tcPr>
            <w:tcW w:w="1784" w:type="dxa"/>
            <w:vAlign w:val="center"/>
          </w:tcPr>
          <w:p w14:paraId="4FD8D91D" w14:textId="603B21A7" w:rsidR="00100CD1" w:rsidRPr="004953A2" w:rsidRDefault="00100CD1" w:rsidP="007D705B">
            <w:pPr>
              <w:spacing w:before="0" w:after="0"/>
              <w:jc w:val="center"/>
            </w:pPr>
            <w:r w:rsidRPr="004953A2">
              <w:rPr>
                <w:rFonts w:ascii="Calibri" w:hAnsi="Calibri" w:cs="Calibri"/>
                <w:bCs/>
                <w:color w:val="000000"/>
                <w:szCs w:val="20"/>
              </w:rPr>
              <w:t>4,311</w:t>
            </w:r>
          </w:p>
        </w:tc>
        <w:tc>
          <w:tcPr>
            <w:tcW w:w="1784" w:type="dxa"/>
            <w:vAlign w:val="center"/>
          </w:tcPr>
          <w:p w14:paraId="4D0E10F7" w14:textId="5786FB07" w:rsidR="00100CD1" w:rsidRPr="004953A2" w:rsidRDefault="00100CD1" w:rsidP="007D705B">
            <w:pPr>
              <w:spacing w:before="0" w:after="0"/>
              <w:jc w:val="center"/>
            </w:pPr>
            <w:r w:rsidRPr="004953A2">
              <w:rPr>
                <w:rFonts w:ascii="Calibri" w:hAnsi="Calibri" w:cs="Calibri"/>
                <w:bCs/>
                <w:color w:val="000000"/>
                <w:szCs w:val="20"/>
              </w:rPr>
              <w:t>4,434</w:t>
            </w:r>
          </w:p>
        </w:tc>
      </w:tr>
      <w:tr w:rsidR="00100CD1" w:rsidRPr="004953A2" w14:paraId="776FD463" w14:textId="77777777" w:rsidTr="007D705B">
        <w:tc>
          <w:tcPr>
            <w:tcW w:w="1053" w:type="dxa"/>
            <w:vAlign w:val="center"/>
          </w:tcPr>
          <w:p w14:paraId="0BAFC935" w14:textId="6F9EB654" w:rsidR="00100CD1" w:rsidRPr="004953A2" w:rsidRDefault="00100CD1" w:rsidP="007D705B">
            <w:pPr>
              <w:spacing w:before="0" w:after="0"/>
              <w:jc w:val="center"/>
              <w:rPr>
                <w:b/>
              </w:rPr>
            </w:pPr>
            <w:r w:rsidRPr="004953A2">
              <w:rPr>
                <w:b/>
              </w:rPr>
              <w:t>C</w:t>
            </w:r>
          </w:p>
        </w:tc>
        <w:tc>
          <w:tcPr>
            <w:tcW w:w="2551" w:type="dxa"/>
            <w:vAlign w:val="center"/>
          </w:tcPr>
          <w:p w14:paraId="3AA30917" w14:textId="46E2F3CD" w:rsidR="00100CD1" w:rsidRPr="004953A2" w:rsidRDefault="00100CD1" w:rsidP="007D705B">
            <w:pPr>
              <w:spacing w:before="0" w:after="0"/>
              <w:jc w:val="center"/>
            </w:pPr>
            <w:r w:rsidRPr="004953A2">
              <w:t>Patients accessing TAVI</w:t>
            </w:r>
          </w:p>
          <w:p w14:paraId="351F2941" w14:textId="1CE719B3" w:rsidR="00100CD1" w:rsidRPr="004953A2" w:rsidRDefault="00100CD1" w:rsidP="007D705B">
            <w:pPr>
              <w:spacing w:before="0" w:after="0"/>
              <w:jc w:val="center"/>
            </w:pPr>
            <w:r w:rsidRPr="004953A2">
              <w:t>80%</w:t>
            </w:r>
            <w:r w:rsidR="000F1F35" w:rsidRPr="004953A2">
              <w:t>*</w:t>
            </w:r>
            <w:r w:rsidRPr="004953A2">
              <w:t>B</w:t>
            </w:r>
          </w:p>
        </w:tc>
        <w:tc>
          <w:tcPr>
            <w:tcW w:w="1784" w:type="dxa"/>
            <w:vAlign w:val="center"/>
          </w:tcPr>
          <w:p w14:paraId="077E7A6F" w14:textId="269E6ADE" w:rsidR="00100CD1" w:rsidRPr="004953A2" w:rsidRDefault="00100CD1" w:rsidP="007D705B">
            <w:pPr>
              <w:spacing w:before="0" w:after="0"/>
              <w:jc w:val="center"/>
              <w:rPr>
                <w:rFonts w:ascii="Calibri" w:hAnsi="Calibri" w:cs="Calibri"/>
                <w:bCs/>
                <w:color w:val="000000"/>
                <w:szCs w:val="20"/>
              </w:rPr>
            </w:pPr>
            <w:r w:rsidRPr="004953A2">
              <w:rPr>
                <w:rFonts w:ascii="Calibri" w:hAnsi="Calibri" w:cs="Calibri"/>
                <w:bCs/>
                <w:color w:val="000000"/>
                <w:szCs w:val="20"/>
              </w:rPr>
              <w:t>3,350</w:t>
            </w:r>
          </w:p>
        </w:tc>
        <w:tc>
          <w:tcPr>
            <w:tcW w:w="1784" w:type="dxa"/>
            <w:vAlign w:val="center"/>
          </w:tcPr>
          <w:p w14:paraId="1A2BA34F" w14:textId="4C98D974" w:rsidR="00100CD1" w:rsidRPr="004953A2" w:rsidRDefault="00100CD1" w:rsidP="007D705B">
            <w:pPr>
              <w:spacing w:before="0" w:after="0"/>
              <w:jc w:val="center"/>
              <w:rPr>
                <w:rFonts w:ascii="Calibri" w:hAnsi="Calibri" w:cs="Calibri"/>
                <w:bCs/>
                <w:color w:val="000000"/>
                <w:szCs w:val="20"/>
              </w:rPr>
            </w:pPr>
            <w:r w:rsidRPr="004953A2">
              <w:rPr>
                <w:rFonts w:ascii="Calibri" w:hAnsi="Calibri" w:cs="Calibri"/>
                <w:bCs/>
                <w:color w:val="000000"/>
                <w:szCs w:val="20"/>
              </w:rPr>
              <w:t>3449</w:t>
            </w:r>
          </w:p>
        </w:tc>
        <w:tc>
          <w:tcPr>
            <w:tcW w:w="1784" w:type="dxa"/>
            <w:vAlign w:val="center"/>
          </w:tcPr>
          <w:p w14:paraId="1724BCE8" w14:textId="705922F1" w:rsidR="00100CD1" w:rsidRPr="004953A2" w:rsidRDefault="00100CD1" w:rsidP="007D705B">
            <w:pPr>
              <w:spacing w:before="0" w:after="0"/>
              <w:jc w:val="center"/>
              <w:rPr>
                <w:rFonts w:ascii="Calibri" w:hAnsi="Calibri" w:cs="Calibri"/>
                <w:bCs/>
                <w:color w:val="000000"/>
                <w:szCs w:val="20"/>
              </w:rPr>
            </w:pPr>
            <w:r w:rsidRPr="004953A2">
              <w:rPr>
                <w:rFonts w:ascii="Calibri" w:hAnsi="Calibri" w:cs="Calibri"/>
                <w:bCs/>
                <w:color w:val="000000"/>
                <w:szCs w:val="20"/>
              </w:rPr>
              <w:t>3,547</w:t>
            </w:r>
          </w:p>
        </w:tc>
      </w:tr>
    </w:tbl>
    <w:p w14:paraId="02DE0169" w14:textId="77777777" w:rsidR="00522175" w:rsidRPr="004953A2" w:rsidRDefault="00522175" w:rsidP="00522175">
      <w:pPr>
        <w:ind w:left="360"/>
      </w:pPr>
    </w:p>
    <w:p w14:paraId="034DC462" w14:textId="7483181C" w:rsidR="00522175" w:rsidRPr="004953A2" w:rsidRDefault="00522175" w:rsidP="00522175">
      <w:pPr>
        <w:ind w:left="360"/>
      </w:pPr>
      <w:r w:rsidRPr="004953A2">
        <w:t xml:space="preserve">As access to TAVI is determined by the TAVI </w:t>
      </w:r>
      <w:r w:rsidR="00B35945" w:rsidRPr="004953A2">
        <w:t>h</w:t>
      </w:r>
      <w:r w:rsidRPr="004953A2">
        <w:t xml:space="preserve">eart </w:t>
      </w:r>
      <w:r w:rsidR="00B35945" w:rsidRPr="004953A2">
        <w:t>t</w:t>
      </w:r>
      <w:r w:rsidRPr="004953A2">
        <w:t xml:space="preserve">eam, it is </w:t>
      </w:r>
      <w:r w:rsidRPr="00BB0663">
        <w:rPr>
          <w:b/>
          <w:bCs/>
          <w:u w:val="single"/>
        </w:rPr>
        <w:t xml:space="preserve">unlikely </w:t>
      </w:r>
      <w:r w:rsidRPr="004953A2">
        <w:t xml:space="preserve">that there will be leakage to populations outside </w:t>
      </w:r>
      <w:r w:rsidR="000F1F35" w:rsidRPr="004953A2">
        <w:t xml:space="preserve">of </w:t>
      </w:r>
      <w:r w:rsidRPr="004953A2">
        <w:t>the eligible population.</w:t>
      </w:r>
    </w:p>
    <w:p w14:paraId="41F9BAAB" w14:textId="77777777" w:rsidR="003373A0" w:rsidRPr="004953A2" w:rsidRDefault="003373A0" w:rsidP="00522175">
      <w:pPr>
        <w:ind w:left="360"/>
      </w:pPr>
    </w:p>
    <w:p w14:paraId="3D640491" w14:textId="247B0A17" w:rsidR="00951933" w:rsidRPr="004953A2" w:rsidRDefault="001B5169" w:rsidP="00AE1188">
      <w:pPr>
        <w:pStyle w:val="Heading1"/>
      </w:pPr>
      <w:r w:rsidRPr="004953A2">
        <w:lastRenderedPageBreak/>
        <w:t>PART 8</w:t>
      </w:r>
      <w:r w:rsidR="00F93784" w:rsidRPr="004953A2">
        <w:t xml:space="preserve"> – </w:t>
      </w:r>
      <w:r w:rsidR="005A58BA" w:rsidRPr="004953A2">
        <w:t>COST</w:t>
      </w:r>
      <w:r w:rsidR="00951933" w:rsidRPr="004953A2">
        <w:t xml:space="preserve"> INFORMATION</w:t>
      </w:r>
    </w:p>
    <w:p w14:paraId="410FF58F" w14:textId="77777777" w:rsidR="006A649A" w:rsidRPr="004953A2" w:rsidRDefault="006A649A" w:rsidP="001B5169">
      <w:pPr>
        <w:pStyle w:val="Heading2"/>
      </w:pPr>
      <w:r w:rsidRPr="004953A2">
        <w:t>Indicate the likely</w:t>
      </w:r>
      <w:r w:rsidR="005A58BA" w:rsidRPr="004953A2">
        <w:t xml:space="preserve"> </w:t>
      </w:r>
      <w:r w:rsidRPr="004953A2">
        <w:t xml:space="preserve">cost of </w:t>
      </w:r>
      <w:r w:rsidR="005A58BA" w:rsidRPr="004953A2">
        <w:t xml:space="preserve">providing the </w:t>
      </w:r>
      <w:r w:rsidRPr="004953A2">
        <w:t>proposed medical service.</w:t>
      </w:r>
      <w:r w:rsidR="005A5D30" w:rsidRPr="004953A2">
        <w:t xml:space="preserve"> Where possible</w:t>
      </w:r>
      <w:r w:rsidR="00802553" w:rsidRPr="004953A2">
        <w:t>,</w:t>
      </w:r>
      <w:r w:rsidR="005A5D30" w:rsidRPr="004953A2">
        <w:t xml:space="preserve"> please pro</w:t>
      </w:r>
      <w:r w:rsidR="00AE1188" w:rsidRPr="004953A2">
        <w:t>vide overall cost and breakdown:</w:t>
      </w:r>
    </w:p>
    <w:p w14:paraId="3E87DA0F" w14:textId="4A7A0E46" w:rsidR="00E340E4" w:rsidRPr="004953A2" w:rsidRDefault="007D705B" w:rsidP="000D45D3">
      <w:pPr>
        <w:ind w:left="426"/>
        <w:rPr>
          <w:szCs w:val="20"/>
        </w:rPr>
      </w:pPr>
      <w:r>
        <w:rPr>
          <w:szCs w:val="20"/>
        </w:rPr>
        <w:t>REDACTED</w:t>
      </w:r>
    </w:p>
    <w:p w14:paraId="41848EBA" w14:textId="68D1AC6F" w:rsidR="00C87C31" w:rsidRPr="004953A2" w:rsidRDefault="00C87C31" w:rsidP="00AE1188">
      <w:pPr>
        <w:ind w:left="426"/>
        <w:rPr>
          <w:szCs w:val="20"/>
        </w:rPr>
      </w:pPr>
      <w:r w:rsidRPr="004953A2">
        <w:rPr>
          <w:szCs w:val="20"/>
        </w:rPr>
        <w:t xml:space="preserve">Other cost items include the MBS </w:t>
      </w:r>
      <w:r w:rsidR="00722E75" w:rsidRPr="004953A2">
        <w:rPr>
          <w:szCs w:val="20"/>
        </w:rPr>
        <w:t>items</w:t>
      </w:r>
      <w:r w:rsidR="00043308" w:rsidRPr="004953A2">
        <w:rPr>
          <w:szCs w:val="20"/>
        </w:rPr>
        <w:t xml:space="preserve"> listed in Table 8.1.</w:t>
      </w:r>
    </w:p>
    <w:p w14:paraId="4F234179" w14:textId="16BC11AD" w:rsidR="00043308" w:rsidRPr="004953A2" w:rsidRDefault="00043308" w:rsidP="00043308">
      <w:pPr>
        <w:ind w:left="426"/>
        <w:rPr>
          <w:b/>
        </w:rPr>
      </w:pPr>
      <w:r w:rsidRPr="004953A2">
        <w:rPr>
          <w:b/>
          <w:szCs w:val="20"/>
        </w:rPr>
        <w:t>Table 8.1.</w:t>
      </w:r>
      <w:r w:rsidRPr="004953A2">
        <w:rPr>
          <w:szCs w:val="20"/>
        </w:rPr>
        <w:t xml:space="preserve"> </w:t>
      </w:r>
      <w:r w:rsidRPr="004953A2">
        <w:rPr>
          <w:szCs w:val="20"/>
        </w:rPr>
        <w:tab/>
        <w:t xml:space="preserve">Relevant </w:t>
      </w:r>
      <w:r w:rsidRPr="004953A2">
        <w:t>MBS items.</w:t>
      </w:r>
    </w:p>
    <w:tbl>
      <w:tblPr>
        <w:tblStyle w:val="TableGrid"/>
        <w:tblW w:w="8641" w:type="dxa"/>
        <w:tblInd w:w="426" w:type="dxa"/>
        <w:tblLook w:val="04A0" w:firstRow="1" w:lastRow="0" w:firstColumn="1" w:lastColumn="0" w:noHBand="0" w:noVBand="1"/>
        <w:tblCaption w:val="Table 8.1"/>
        <w:tblDescription w:val="Table"/>
      </w:tblPr>
      <w:tblGrid>
        <w:gridCol w:w="3397"/>
        <w:gridCol w:w="1781"/>
        <w:gridCol w:w="1657"/>
        <w:gridCol w:w="1806"/>
      </w:tblGrid>
      <w:tr w:rsidR="006D1974" w:rsidRPr="004953A2" w14:paraId="6BD5029B" w14:textId="77777777" w:rsidTr="00915F02">
        <w:trPr>
          <w:tblHeader/>
        </w:trPr>
        <w:tc>
          <w:tcPr>
            <w:tcW w:w="3397" w:type="dxa"/>
            <w:shd w:val="clear" w:color="auto" w:fill="D9D9D9" w:themeFill="background1" w:themeFillShade="D9"/>
          </w:tcPr>
          <w:p w14:paraId="3CF4B55D" w14:textId="22EA2C94" w:rsidR="006D1974" w:rsidRPr="004953A2" w:rsidRDefault="006D1974" w:rsidP="000A4E91">
            <w:pPr>
              <w:jc w:val="center"/>
              <w:rPr>
                <w:b/>
                <w:szCs w:val="20"/>
              </w:rPr>
            </w:pPr>
            <w:r w:rsidRPr="004953A2">
              <w:rPr>
                <w:b/>
                <w:szCs w:val="20"/>
              </w:rPr>
              <w:t>Cost Item</w:t>
            </w:r>
          </w:p>
        </w:tc>
        <w:tc>
          <w:tcPr>
            <w:tcW w:w="1781" w:type="dxa"/>
            <w:shd w:val="clear" w:color="auto" w:fill="D9D9D9" w:themeFill="background1" w:themeFillShade="D9"/>
          </w:tcPr>
          <w:p w14:paraId="12DE8562" w14:textId="591E65F6" w:rsidR="006D1974" w:rsidRPr="004953A2" w:rsidRDefault="006D1974" w:rsidP="000A4E91">
            <w:pPr>
              <w:jc w:val="center"/>
              <w:rPr>
                <w:b/>
                <w:szCs w:val="20"/>
              </w:rPr>
            </w:pPr>
            <w:r w:rsidRPr="004953A2">
              <w:rPr>
                <w:b/>
                <w:szCs w:val="20"/>
              </w:rPr>
              <w:t>MBS Item Number</w:t>
            </w:r>
          </w:p>
        </w:tc>
        <w:tc>
          <w:tcPr>
            <w:tcW w:w="1657" w:type="dxa"/>
            <w:shd w:val="clear" w:color="auto" w:fill="D9D9D9" w:themeFill="background1" w:themeFillShade="D9"/>
          </w:tcPr>
          <w:p w14:paraId="7DAFB6D9" w14:textId="44F20AB8" w:rsidR="006D1974" w:rsidRPr="004953A2" w:rsidRDefault="006D1974" w:rsidP="000A4E91">
            <w:pPr>
              <w:jc w:val="center"/>
              <w:rPr>
                <w:b/>
                <w:szCs w:val="20"/>
              </w:rPr>
            </w:pPr>
            <w:r w:rsidRPr="004953A2">
              <w:rPr>
                <w:b/>
                <w:szCs w:val="20"/>
              </w:rPr>
              <w:t>100% MBS Fee</w:t>
            </w:r>
          </w:p>
        </w:tc>
        <w:tc>
          <w:tcPr>
            <w:tcW w:w="1806" w:type="dxa"/>
            <w:shd w:val="clear" w:color="auto" w:fill="D9D9D9" w:themeFill="background1" w:themeFillShade="D9"/>
          </w:tcPr>
          <w:p w14:paraId="59069027" w14:textId="3A1E6756" w:rsidR="006D1974" w:rsidRPr="004953A2" w:rsidRDefault="006D1974" w:rsidP="000A4E91">
            <w:pPr>
              <w:jc w:val="center"/>
              <w:rPr>
                <w:b/>
                <w:szCs w:val="20"/>
              </w:rPr>
            </w:pPr>
            <w:r w:rsidRPr="004953A2">
              <w:rPr>
                <w:b/>
                <w:szCs w:val="20"/>
              </w:rPr>
              <w:t>75% Benefit</w:t>
            </w:r>
          </w:p>
        </w:tc>
      </w:tr>
      <w:tr w:rsidR="006D1974" w:rsidRPr="004953A2" w14:paraId="482F0083" w14:textId="77777777" w:rsidTr="004953A2">
        <w:tc>
          <w:tcPr>
            <w:tcW w:w="3397" w:type="dxa"/>
            <w:shd w:val="clear" w:color="auto" w:fill="auto"/>
          </w:tcPr>
          <w:p w14:paraId="65D1D75D" w14:textId="4ED1184F" w:rsidR="006D1974" w:rsidRPr="004953A2" w:rsidRDefault="006D1974" w:rsidP="000A4E91">
            <w:pPr>
              <w:jc w:val="center"/>
              <w:rPr>
                <w:szCs w:val="20"/>
              </w:rPr>
            </w:pPr>
            <w:r w:rsidRPr="004953A2">
              <w:rPr>
                <w:szCs w:val="20"/>
              </w:rPr>
              <w:t>TAVI Case Conference Organiser</w:t>
            </w:r>
          </w:p>
        </w:tc>
        <w:tc>
          <w:tcPr>
            <w:tcW w:w="1781" w:type="dxa"/>
          </w:tcPr>
          <w:p w14:paraId="3E3FE9B8" w14:textId="0DF8911C" w:rsidR="006D1974" w:rsidRPr="004953A2" w:rsidRDefault="006D1974" w:rsidP="000A4E91">
            <w:pPr>
              <w:jc w:val="center"/>
              <w:rPr>
                <w:szCs w:val="20"/>
              </w:rPr>
            </w:pPr>
            <w:r w:rsidRPr="004953A2">
              <w:rPr>
                <w:szCs w:val="20"/>
              </w:rPr>
              <w:t>6080</w:t>
            </w:r>
          </w:p>
        </w:tc>
        <w:tc>
          <w:tcPr>
            <w:tcW w:w="1657" w:type="dxa"/>
          </w:tcPr>
          <w:p w14:paraId="34F61701" w14:textId="469E5D73" w:rsidR="006D1974" w:rsidRPr="004953A2" w:rsidRDefault="006D1974" w:rsidP="000A4E91">
            <w:pPr>
              <w:jc w:val="center"/>
              <w:rPr>
                <w:szCs w:val="20"/>
              </w:rPr>
            </w:pPr>
            <w:r w:rsidRPr="004953A2">
              <w:rPr>
                <w:szCs w:val="20"/>
              </w:rPr>
              <w:t>$5</w:t>
            </w:r>
            <w:r w:rsidR="00100945" w:rsidRPr="004953A2">
              <w:rPr>
                <w:szCs w:val="20"/>
              </w:rPr>
              <w:t>1.70</w:t>
            </w:r>
          </w:p>
        </w:tc>
        <w:tc>
          <w:tcPr>
            <w:tcW w:w="1806" w:type="dxa"/>
          </w:tcPr>
          <w:p w14:paraId="5FDD4F10" w14:textId="4473DAF2" w:rsidR="006D1974" w:rsidRPr="004953A2" w:rsidRDefault="006D1974" w:rsidP="000A4E91">
            <w:pPr>
              <w:jc w:val="center"/>
              <w:rPr>
                <w:szCs w:val="20"/>
              </w:rPr>
            </w:pPr>
            <w:r w:rsidRPr="004953A2">
              <w:rPr>
                <w:szCs w:val="20"/>
              </w:rPr>
              <w:t>$3</w:t>
            </w:r>
            <w:r w:rsidR="00100945" w:rsidRPr="004953A2">
              <w:rPr>
                <w:szCs w:val="20"/>
              </w:rPr>
              <w:t>8.80</w:t>
            </w:r>
          </w:p>
        </w:tc>
      </w:tr>
      <w:tr w:rsidR="006D1974" w:rsidRPr="004953A2" w14:paraId="7A3F36A6" w14:textId="77777777" w:rsidTr="004953A2">
        <w:tc>
          <w:tcPr>
            <w:tcW w:w="3397" w:type="dxa"/>
            <w:shd w:val="clear" w:color="auto" w:fill="auto"/>
          </w:tcPr>
          <w:p w14:paraId="3248F908" w14:textId="3290B84A" w:rsidR="006D1974" w:rsidRPr="004953A2" w:rsidRDefault="006D1974" w:rsidP="000A4E91">
            <w:pPr>
              <w:jc w:val="center"/>
              <w:rPr>
                <w:szCs w:val="20"/>
              </w:rPr>
            </w:pPr>
            <w:r w:rsidRPr="004953A2">
              <w:rPr>
                <w:szCs w:val="20"/>
              </w:rPr>
              <w:t xml:space="preserve">TAVI Case Conference </w:t>
            </w:r>
            <w:r w:rsidR="00043308" w:rsidRPr="004953A2">
              <w:rPr>
                <w:szCs w:val="20"/>
              </w:rPr>
              <w:t>A</w:t>
            </w:r>
            <w:r w:rsidRPr="004953A2">
              <w:rPr>
                <w:szCs w:val="20"/>
              </w:rPr>
              <w:t xml:space="preserve">ttendance </w:t>
            </w:r>
            <w:r w:rsidR="00043308" w:rsidRPr="004953A2">
              <w:rPr>
                <w:szCs w:val="20"/>
              </w:rPr>
              <w:t>*</w:t>
            </w:r>
            <w:r w:rsidRPr="004953A2">
              <w:rPr>
                <w:szCs w:val="20"/>
              </w:rPr>
              <w:t xml:space="preserve"> 3</w:t>
            </w:r>
          </w:p>
        </w:tc>
        <w:tc>
          <w:tcPr>
            <w:tcW w:w="1781" w:type="dxa"/>
          </w:tcPr>
          <w:p w14:paraId="34867FA6" w14:textId="279AD5E6" w:rsidR="006D1974" w:rsidRPr="004953A2" w:rsidRDefault="006D1974" w:rsidP="000A4E91">
            <w:pPr>
              <w:jc w:val="center"/>
              <w:rPr>
                <w:szCs w:val="20"/>
              </w:rPr>
            </w:pPr>
            <w:r w:rsidRPr="004953A2">
              <w:rPr>
                <w:szCs w:val="20"/>
              </w:rPr>
              <w:t>6081</w:t>
            </w:r>
          </w:p>
        </w:tc>
        <w:tc>
          <w:tcPr>
            <w:tcW w:w="1657" w:type="dxa"/>
          </w:tcPr>
          <w:p w14:paraId="26DBD1AE" w14:textId="74FAAABF" w:rsidR="006D1974" w:rsidRPr="004953A2" w:rsidRDefault="006D1974" w:rsidP="000A4E91">
            <w:pPr>
              <w:jc w:val="center"/>
              <w:rPr>
                <w:szCs w:val="20"/>
              </w:rPr>
            </w:pPr>
            <w:r w:rsidRPr="004953A2">
              <w:rPr>
                <w:szCs w:val="20"/>
              </w:rPr>
              <w:t>$3</w:t>
            </w:r>
            <w:r w:rsidR="00100945" w:rsidRPr="004953A2">
              <w:rPr>
                <w:szCs w:val="20"/>
              </w:rPr>
              <w:t>8.55</w:t>
            </w:r>
          </w:p>
        </w:tc>
        <w:tc>
          <w:tcPr>
            <w:tcW w:w="1806" w:type="dxa"/>
          </w:tcPr>
          <w:p w14:paraId="5A07D9E6" w14:textId="4F75669C" w:rsidR="006D1974" w:rsidRPr="004953A2" w:rsidRDefault="006D1974" w:rsidP="000A4E91">
            <w:pPr>
              <w:jc w:val="center"/>
              <w:rPr>
                <w:szCs w:val="20"/>
              </w:rPr>
            </w:pPr>
            <w:r w:rsidRPr="004953A2">
              <w:rPr>
                <w:szCs w:val="20"/>
              </w:rPr>
              <w:t>$28.</w:t>
            </w:r>
            <w:r w:rsidR="00100945" w:rsidRPr="004953A2">
              <w:rPr>
                <w:szCs w:val="20"/>
              </w:rPr>
              <w:t>9</w:t>
            </w:r>
            <w:r w:rsidRPr="004953A2">
              <w:rPr>
                <w:szCs w:val="20"/>
              </w:rPr>
              <w:t>5</w:t>
            </w:r>
          </w:p>
        </w:tc>
      </w:tr>
      <w:tr w:rsidR="006D1974" w:rsidRPr="004953A2" w14:paraId="6D5603F8" w14:textId="77777777" w:rsidTr="004953A2">
        <w:tc>
          <w:tcPr>
            <w:tcW w:w="3397" w:type="dxa"/>
            <w:shd w:val="clear" w:color="auto" w:fill="auto"/>
          </w:tcPr>
          <w:p w14:paraId="17FC6D18" w14:textId="7FAE85E9" w:rsidR="006D1974" w:rsidRPr="004953A2" w:rsidRDefault="006D1974" w:rsidP="000A4E91">
            <w:pPr>
              <w:jc w:val="center"/>
              <w:rPr>
                <w:szCs w:val="20"/>
              </w:rPr>
            </w:pPr>
            <w:r w:rsidRPr="004953A2">
              <w:rPr>
                <w:szCs w:val="20"/>
              </w:rPr>
              <w:t>TAVI Procedure including all intraoperative diagnostic imaging</w:t>
            </w:r>
          </w:p>
        </w:tc>
        <w:tc>
          <w:tcPr>
            <w:tcW w:w="1781" w:type="dxa"/>
          </w:tcPr>
          <w:p w14:paraId="49F1EA84" w14:textId="7D3DB363" w:rsidR="006D1974" w:rsidRPr="004953A2" w:rsidRDefault="00616BE9" w:rsidP="000A4E91">
            <w:pPr>
              <w:jc w:val="center"/>
              <w:rPr>
                <w:szCs w:val="20"/>
              </w:rPr>
            </w:pPr>
            <w:r w:rsidRPr="004953A2">
              <w:rPr>
                <w:szCs w:val="20"/>
              </w:rPr>
              <w:t>XXXX</w:t>
            </w:r>
          </w:p>
        </w:tc>
        <w:tc>
          <w:tcPr>
            <w:tcW w:w="1657" w:type="dxa"/>
          </w:tcPr>
          <w:p w14:paraId="0243A40D" w14:textId="01271DDA" w:rsidR="00100945" w:rsidRPr="004953A2" w:rsidRDefault="006D1974" w:rsidP="000A4E91">
            <w:pPr>
              <w:jc w:val="center"/>
              <w:rPr>
                <w:szCs w:val="20"/>
              </w:rPr>
            </w:pPr>
            <w:r w:rsidRPr="004953A2">
              <w:rPr>
                <w:rFonts w:cstheme="minorHAnsi"/>
                <w:szCs w:val="20"/>
              </w:rPr>
              <w:t>$</w:t>
            </w:r>
            <w:r w:rsidR="00100945" w:rsidRPr="004953A2">
              <w:rPr>
                <w:rFonts w:cstheme="minorHAnsi"/>
                <w:color w:val="222222"/>
                <w:shd w:val="clear" w:color="auto" w:fill="FBFBFB"/>
              </w:rPr>
              <w:t>1,455.10</w:t>
            </w:r>
            <w:r w:rsidR="00100945" w:rsidRPr="004953A2" w:rsidDel="00100945">
              <w:rPr>
                <w:rFonts w:cstheme="minorHAnsi"/>
                <w:szCs w:val="20"/>
              </w:rPr>
              <w:t xml:space="preserve"> </w:t>
            </w:r>
          </w:p>
          <w:p w14:paraId="60BE97A7" w14:textId="75B38008" w:rsidR="006D1974" w:rsidRPr="004953A2" w:rsidRDefault="00722E75" w:rsidP="000A4E91">
            <w:pPr>
              <w:jc w:val="center"/>
              <w:rPr>
                <w:szCs w:val="20"/>
              </w:rPr>
            </w:pPr>
            <w:r w:rsidRPr="004953A2">
              <w:rPr>
                <w:szCs w:val="20"/>
              </w:rPr>
              <w:t>(Same as MBS item 38495)</w:t>
            </w:r>
          </w:p>
        </w:tc>
        <w:tc>
          <w:tcPr>
            <w:tcW w:w="1806" w:type="dxa"/>
          </w:tcPr>
          <w:p w14:paraId="0ACCC95F" w14:textId="54B0ECEA" w:rsidR="006D1974" w:rsidRPr="004953A2" w:rsidRDefault="006D1974" w:rsidP="000A4E91">
            <w:pPr>
              <w:jc w:val="center"/>
              <w:rPr>
                <w:szCs w:val="20"/>
              </w:rPr>
            </w:pPr>
            <w:r w:rsidRPr="004953A2">
              <w:rPr>
                <w:szCs w:val="20"/>
              </w:rPr>
              <w:t>$1</w:t>
            </w:r>
            <w:r w:rsidR="00100945" w:rsidRPr="004953A2">
              <w:rPr>
                <w:szCs w:val="20"/>
              </w:rPr>
              <w:t>091.35</w:t>
            </w:r>
          </w:p>
        </w:tc>
      </w:tr>
      <w:tr w:rsidR="006D1974" w:rsidRPr="004953A2" w14:paraId="46B73EAB" w14:textId="77777777" w:rsidTr="004953A2">
        <w:tc>
          <w:tcPr>
            <w:tcW w:w="3397" w:type="dxa"/>
            <w:shd w:val="clear" w:color="auto" w:fill="auto"/>
          </w:tcPr>
          <w:p w14:paraId="5179B4EC" w14:textId="0F0C18FE" w:rsidR="006D1974" w:rsidRPr="004953A2" w:rsidRDefault="006D1974" w:rsidP="000A4E91">
            <w:pPr>
              <w:jc w:val="center"/>
              <w:rPr>
                <w:szCs w:val="20"/>
              </w:rPr>
            </w:pPr>
            <w:r w:rsidRPr="004953A2">
              <w:rPr>
                <w:szCs w:val="20"/>
              </w:rPr>
              <w:t>Assistant</w:t>
            </w:r>
          </w:p>
        </w:tc>
        <w:tc>
          <w:tcPr>
            <w:tcW w:w="1781" w:type="dxa"/>
          </w:tcPr>
          <w:p w14:paraId="451E961B" w14:textId="01922BDC" w:rsidR="006D1974" w:rsidRPr="004953A2" w:rsidRDefault="00273B08" w:rsidP="000A4E91">
            <w:pPr>
              <w:jc w:val="center"/>
              <w:rPr>
                <w:szCs w:val="20"/>
              </w:rPr>
            </w:pPr>
            <w:r w:rsidRPr="004953A2">
              <w:rPr>
                <w:szCs w:val="20"/>
              </w:rPr>
              <w:t>51303</w:t>
            </w:r>
          </w:p>
        </w:tc>
        <w:tc>
          <w:tcPr>
            <w:tcW w:w="1657" w:type="dxa"/>
          </w:tcPr>
          <w:p w14:paraId="41715184" w14:textId="227DBA1B" w:rsidR="006D1974" w:rsidRPr="004953A2" w:rsidRDefault="00100945" w:rsidP="00100945">
            <w:pPr>
              <w:jc w:val="center"/>
              <w:rPr>
                <w:szCs w:val="20"/>
              </w:rPr>
            </w:pPr>
            <w:r w:rsidRPr="004953A2">
              <w:rPr>
                <w:szCs w:val="20"/>
              </w:rPr>
              <w:t>“one fifth of the established fee for the operation or combination of operations”</w:t>
            </w:r>
          </w:p>
        </w:tc>
        <w:tc>
          <w:tcPr>
            <w:tcW w:w="1806" w:type="dxa"/>
          </w:tcPr>
          <w:p w14:paraId="33510846" w14:textId="4C596EBB" w:rsidR="006D1974" w:rsidRPr="004953A2" w:rsidRDefault="006D1974" w:rsidP="000A4E91">
            <w:pPr>
              <w:jc w:val="center"/>
              <w:rPr>
                <w:szCs w:val="20"/>
              </w:rPr>
            </w:pPr>
          </w:p>
        </w:tc>
      </w:tr>
      <w:tr w:rsidR="00273B08" w:rsidRPr="004953A2" w14:paraId="0ECFCC40" w14:textId="77777777" w:rsidTr="004953A2">
        <w:tc>
          <w:tcPr>
            <w:tcW w:w="3397" w:type="dxa"/>
            <w:shd w:val="clear" w:color="auto" w:fill="auto"/>
          </w:tcPr>
          <w:p w14:paraId="5B1BD0FA" w14:textId="43C5D2C7" w:rsidR="00273B08" w:rsidRPr="004953A2" w:rsidRDefault="00273B08" w:rsidP="000A4E91">
            <w:pPr>
              <w:jc w:val="center"/>
              <w:rPr>
                <w:szCs w:val="20"/>
              </w:rPr>
            </w:pPr>
            <w:r w:rsidRPr="004953A2">
              <w:rPr>
                <w:szCs w:val="20"/>
              </w:rPr>
              <w:t>Initiation of Anaesthesia</w:t>
            </w:r>
          </w:p>
        </w:tc>
        <w:tc>
          <w:tcPr>
            <w:tcW w:w="1781" w:type="dxa"/>
          </w:tcPr>
          <w:p w14:paraId="552CFA49" w14:textId="3C01E2FB" w:rsidR="00273B08" w:rsidRPr="004953A2" w:rsidRDefault="00273B08" w:rsidP="000A4E91">
            <w:pPr>
              <w:jc w:val="center"/>
              <w:rPr>
                <w:szCs w:val="20"/>
              </w:rPr>
            </w:pPr>
            <w:r w:rsidRPr="004953A2">
              <w:rPr>
                <w:szCs w:val="20"/>
              </w:rPr>
              <w:t>21941</w:t>
            </w:r>
          </w:p>
        </w:tc>
        <w:tc>
          <w:tcPr>
            <w:tcW w:w="1657" w:type="dxa"/>
          </w:tcPr>
          <w:p w14:paraId="398A98D6" w14:textId="1587D339" w:rsidR="00273B08" w:rsidRPr="004953A2" w:rsidRDefault="00273B08" w:rsidP="000A4E91">
            <w:pPr>
              <w:jc w:val="center"/>
              <w:rPr>
                <w:szCs w:val="20"/>
              </w:rPr>
            </w:pPr>
            <w:r w:rsidRPr="004953A2">
              <w:rPr>
                <w:szCs w:val="20"/>
              </w:rPr>
              <w:t>$1</w:t>
            </w:r>
            <w:r w:rsidR="00100945" w:rsidRPr="004953A2">
              <w:rPr>
                <w:szCs w:val="20"/>
              </w:rPr>
              <w:t>40</w:t>
            </w:r>
            <w:r w:rsidRPr="004953A2">
              <w:rPr>
                <w:szCs w:val="20"/>
              </w:rPr>
              <w:t>.</w:t>
            </w:r>
            <w:r w:rsidR="00100945" w:rsidRPr="004953A2">
              <w:rPr>
                <w:szCs w:val="20"/>
              </w:rPr>
              <w:t>70</w:t>
            </w:r>
          </w:p>
        </w:tc>
        <w:tc>
          <w:tcPr>
            <w:tcW w:w="1806" w:type="dxa"/>
          </w:tcPr>
          <w:p w14:paraId="15162D2D" w14:textId="377EAA50" w:rsidR="00273B08" w:rsidRPr="004953A2" w:rsidRDefault="00273B08" w:rsidP="000A4E91">
            <w:pPr>
              <w:jc w:val="center"/>
              <w:rPr>
                <w:szCs w:val="20"/>
              </w:rPr>
            </w:pPr>
            <w:r w:rsidRPr="004953A2">
              <w:rPr>
                <w:szCs w:val="20"/>
              </w:rPr>
              <w:t>$10</w:t>
            </w:r>
            <w:r w:rsidR="00100945" w:rsidRPr="004953A2">
              <w:rPr>
                <w:szCs w:val="20"/>
              </w:rPr>
              <w:t>5</w:t>
            </w:r>
            <w:r w:rsidRPr="004953A2">
              <w:rPr>
                <w:szCs w:val="20"/>
              </w:rPr>
              <w:t>.</w:t>
            </w:r>
            <w:r w:rsidR="00100945" w:rsidRPr="004953A2">
              <w:rPr>
                <w:szCs w:val="20"/>
              </w:rPr>
              <w:t>5</w:t>
            </w:r>
            <w:r w:rsidRPr="004953A2">
              <w:rPr>
                <w:szCs w:val="20"/>
              </w:rPr>
              <w:t>5</w:t>
            </w:r>
          </w:p>
        </w:tc>
      </w:tr>
      <w:tr w:rsidR="00273B08" w:rsidRPr="004953A2" w14:paraId="7A138223" w14:textId="77777777" w:rsidTr="004953A2">
        <w:tc>
          <w:tcPr>
            <w:tcW w:w="3397" w:type="dxa"/>
            <w:shd w:val="clear" w:color="auto" w:fill="auto"/>
          </w:tcPr>
          <w:p w14:paraId="2FB6253D" w14:textId="6ADA425E" w:rsidR="00273B08" w:rsidRPr="004953A2" w:rsidRDefault="00273B08" w:rsidP="000A4E91">
            <w:pPr>
              <w:jc w:val="center"/>
              <w:rPr>
                <w:szCs w:val="20"/>
              </w:rPr>
            </w:pPr>
            <w:r w:rsidRPr="004953A2">
              <w:rPr>
                <w:szCs w:val="20"/>
              </w:rPr>
              <w:t>ICU Attendance</w:t>
            </w:r>
          </w:p>
        </w:tc>
        <w:tc>
          <w:tcPr>
            <w:tcW w:w="1781" w:type="dxa"/>
          </w:tcPr>
          <w:p w14:paraId="79BF6D59" w14:textId="0F0BE7DA" w:rsidR="00273B08" w:rsidRPr="004953A2" w:rsidRDefault="00273B08" w:rsidP="000A4E91">
            <w:pPr>
              <w:jc w:val="center"/>
              <w:rPr>
                <w:szCs w:val="20"/>
              </w:rPr>
            </w:pPr>
            <w:r w:rsidRPr="004953A2">
              <w:rPr>
                <w:szCs w:val="20"/>
              </w:rPr>
              <w:t>13870</w:t>
            </w:r>
          </w:p>
        </w:tc>
        <w:tc>
          <w:tcPr>
            <w:tcW w:w="1657" w:type="dxa"/>
          </w:tcPr>
          <w:p w14:paraId="3FD2E784" w14:textId="0C5F4514" w:rsidR="00273B08" w:rsidRPr="004953A2" w:rsidRDefault="00273B08" w:rsidP="000A4E91">
            <w:pPr>
              <w:jc w:val="center"/>
              <w:rPr>
                <w:szCs w:val="20"/>
              </w:rPr>
            </w:pPr>
            <w:r w:rsidRPr="004953A2">
              <w:rPr>
                <w:szCs w:val="20"/>
              </w:rPr>
              <w:t>$36</w:t>
            </w:r>
            <w:r w:rsidR="00100945" w:rsidRPr="004953A2">
              <w:rPr>
                <w:szCs w:val="20"/>
              </w:rPr>
              <w:t>7</w:t>
            </w:r>
            <w:r w:rsidRPr="004953A2">
              <w:rPr>
                <w:szCs w:val="20"/>
              </w:rPr>
              <w:t>.</w:t>
            </w:r>
            <w:r w:rsidR="00100945" w:rsidRPr="004953A2">
              <w:rPr>
                <w:szCs w:val="20"/>
              </w:rPr>
              <w:t>9</w:t>
            </w:r>
            <w:r w:rsidRPr="004953A2">
              <w:rPr>
                <w:szCs w:val="20"/>
              </w:rPr>
              <w:t>0</w:t>
            </w:r>
          </w:p>
        </w:tc>
        <w:tc>
          <w:tcPr>
            <w:tcW w:w="1806" w:type="dxa"/>
          </w:tcPr>
          <w:p w14:paraId="19089A48" w14:textId="4ECA41E1" w:rsidR="00273B08" w:rsidRPr="004953A2" w:rsidRDefault="00273B08" w:rsidP="000A4E91">
            <w:pPr>
              <w:jc w:val="center"/>
              <w:rPr>
                <w:szCs w:val="20"/>
              </w:rPr>
            </w:pPr>
            <w:r w:rsidRPr="004953A2">
              <w:rPr>
                <w:szCs w:val="20"/>
              </w:rPr>
              <w:t>$27</w:t>
            </w:r>
            <w:r w:rsidR="00100945" w:rsidRPr="004953A2">
              <w:rPr>
                <w:szCs w:val="20"/>
              </w:rPr>
              <w:t>5</w:t>
            </w:r>
            <w:r w:rsidRPr="004953A2">
              <w:rPr>
                <w:szCs w:val="20"/>
              </w:rPr>
              <w:t>.</w:t>
            </w:r>
            <w:r w:rsidR="00100945" w:rsidRPr="004953A2">
              <w:rPr>
                <w:szCs w:val="20"/>
              </w:rPr>
              <w:t>95</w:t>
            </w:r>
          </w:p>
        </w:tc>
      </w:tr>
      <w:tr w:rsidR="00273B08" w:rsidRPr="004953A2" w14:paraId="300E24ED" w14:textId="77777777" w:rsidTr="004953A2">
        <w:tc>
          <w:tcPr>
            <w:tcW w:w="3397" w:type="dxa"/>
            <w:shd w:val="clear" w:color="auto" w:fill="auto"/>
          </w:tcPr>
          <w:p w14:paraId="1093DDA2" w14:textId="46BAF794" w:rsidR="00273B08" w:rsidRPr="004953A2" w:rsidRDefault="00273B08" w:rsidP="000A4E91">
            <w:pPr>
              <w:jc w:val="center"/>
              <w:rPr>
                <w:szCs w:val="20"/>
              </w:rPr>
            </w:pPr>
            <w:r w:rsidRPr="004953A2">
              <w:rPr>
                <w:szCs w:val="20"/>
              </w:rPr>
              <w:t>Transthoracic echocardiography</w:t>
            </w:r>
          </w:p>
        </w:tc>
        <w:tc>
          <w:tcPr>
            <w:tcW w:w="1781" w:type="dxa"/>
          </w:tcPr>
          <w:p w14:paraId="13AA3AB7" w14:textId="105180C5" w:rsidR="00273B08" w:rsidRPr="004953A2" w:rsidRDefault="00273B08" w:rsidP="000A4E91">
            <w:pPr>
              <w:jc w:val="center"/>
              <w:rPr>
                <w:szCs w:val="20"/>
              </w:rPr>
            </w:pPr>
            <w:r w:rsidRPr="004953A2">
              <w:rPr>
                <w:szCs w:val="20"/>
              </w:rPr>
              <w:t>55113</w:t>
            </w:r>
          </w:p>
        </w:tc>
        <w:tc>
          <w:tcPr>
            <w:tcW w:w="1657" w:type="dxa"/>
          </w:tcPr>
          <w:p w14:paraId="049B2E10" w14:textId="6D0ADC9F" w:rsidR="00273B08" w:rsidRPr="004953A2" w:rsidRDefault="000A4E91" w:rsidP="000A4E91">
            <w:pPr>
              <w:jc w:val="center"/>
              <w:rPr>
                <w:szCs w:val="20"/>
              </w:rPr>
            </w:pPr>
            <w:r w:rsidRPr="004953A2">
              <w:rPr>
                <w:szCs w:val="20"/>
              </w:rPr>
              <w:t>$230.65</w:t>
            </w:r>
          </w:p>
        </w:tc>
        <w:tc>
          <w:tcPr>
            <w:tcW w:w="1806" w:type="dxa"/>
          </w:tcPr>
          <w:p w14:paraId="5042DC66" w14:textId="6D7FB91C" w:rsidR="00273B08" w:rsidRPr="004953A2" w:rsidRDefault="000A4E91" w:rsidP="000A4E91">
            <w:pPr>
              <w:jc w:val="center"/>
              <w:rPr>
                <w:szCs w:val="20"/>
              </w:rPr>
            </w:pPr>
            <w:r w:rsidRPr="004953A2">
              <w:rPr>
                <w:szCs w:val="20"/>
              </w:rPr>
              <w:t>$173.00</w:t>
            </w:r>
          </w:p>
        </w:tc>
      </w:tr>
    </w:tbl>
    <w:p w14:paraId="76133E36" w14:textId="77777777" w:rsidR="006D1974" w:rsidRPr="004953A2" w:rsidRDefault="006D1974" w:rsidP="00AE1188">
      <w:pPr>
        <w:ind w:left="426"/>
        <w:rPr>
          <w:szCs w:val="20"/>
        </w:rPr>
      </w:pPr>
    </w:p>
    <w:p w14:paraId="349A0A2D" w14:textId="77777777" w:rsidR="00951933" w:rsidRPr="004953A2" w:rsidRDefault="00951933" w:rsidP="00530204">
      <w:pPr>
        <w:pStyle w:val="Heading2"/>
      </w:pPr>
      <w:r w:rsidRPr="004953A2">
        <w:t>Specify how long the proposed medical ser</w:t>
      </w:r>
      <w:r w:rsidR="00AE1188" w:rsidRPr="004953A2">
        <w:t>vice typically takes to perform:</w:t>
      </w:r>
    </w:p>
    <w:p w14:paraId="148542E2" w14:textId="791EF4CF" w:rsidR="00951933" w:rsidRPr="004953A2" w:rsidRDefault="004A4870" w:rsidP="00AE1188">
      <w:pPr>
        <w:ind w:left="426"/>
        <w:rPr>
          <w:b/>
          <w:szCs w:val="20"/>
        </w:rPr>
      </w:pPr>
      <w:r w:rsidRPr="004953A2">
        <w:t xml:space="preserve">The procedure </w:t>
      </w:r>
      <w:r w:rsidR="00B74A7A" w:rsidRPr="004953A2">
        <w:t xml:space="preserve">typically </w:t>
      </w:r>
      <w:r w:rsidRPr="004953A2">
        <w:t>take</w:t>
      </w:r>
      <w:r w:rsidR="00B74A7A" w:rsidRPr="004953A2">
        <w:t>s</w:t>
      </w:r>
      <w:r w:rsidRPr="004953A2">
        <w:t xml:space="preserve"> 1</w:t>
      </w:r>
      <w:r w:rsidR="00FE1F97" w:rsidRPr="004953A2">
        <w:t xml:space="preserve"> </w:t>
      </w:r>
      <w:r w:rsidR="00B74A7A" w:rsidRPr="004953A2">
        <w:t>to</w:t>
      </w:r>
      <w:r w:rsidR="00FE1F97" w:rsidRPr="004953A2">
        <w:t xml:space="preserve"> 1.5</w:t>
      </w:r>
      <w:r w:rsidRPr="004953A2">
        <w:t xml:space="preserve"> hours</w:t>
      </w:r>
      <w:r w:rsidR="00B74A7A" w:rsidRPr="004953A2">
        <w:t>.</w:t>
      </w:r>
    </w:p>
    <w:p w14:paraId="5763861B" w14:textId="7FCD20B1" w:rsidR="00707D4D" w:rsidRDefault="0054192F" w:rsidP="00530204">
      <w:pPr>
        <w:pStyle w:val="Heading2"/>
      </w:pPr>
      <w:r w:rsidRPr="004953A2">
        <w:t>If public funding is sought through the MBS, please draft a proposed MBS item descriptor to define the population and medical service usage characteristics that would define eligibility for MBS funding.</w:t>
      </w:r>
    </w:p>
    <w:tbl>
      <w:tblPr>
        <w:tblStyle w:val="TableGrid"/>
        <w:tblW w:w="0" w:type="auto"/>
        <w:tblInd w:w="360" w:type="dxa"/>
        <w:tblLook w:val="04A0" w:firstRow="1" w:lastRow="0" w:firstColumn="1" w:lastColumn="0" w:noHBand="0" w:noVBand="1"/>
        <w:tblCaption w:val="MBS item"/>
        <w:tblDescription w:val="Table"/>
      </w:tblPr>
      <w:tblGrid>
        <w:gridCol w:w="8656"/>
      </w:tblGrid>
      <w:tr w:rsidR="007D705B" w14:paraId="6B25721F" w14:textId="77777777" w:rsidTr="00915F02">
        <w:trPr>
          <w:tblHeader/>
        </w:trPr>
        <w:tc>
          <w:tcPr>
            <w:tcW w:w="9016" w:type="dxa"/>
          </w:tcPr>
          <w:p w14:paraId="17852D3E" w14:textId="04FFDE80" w:rsidR="007D705B" w:rsidRDefault="007D705B" w:rsidP="007D705B">
            <w:r w:rsidRPr="007D705B">
              <w:t>Category 3 – Therapeutic Procedures – Surgical Operations</w:t>
            </w:r>
          </w:p>
        </w:tc>
      </w:tr>
      <w:tr w:rsidR="007D705B" w14:paraId="5FF2984B" w14:textId="77777777" w:rsidTr="007D705B">
        <w:tc>
          <w:tcPr>
            <w:tcW w:w="9016" w:type="dxa"/>
          </w:tcPr>
          <w:p w14:paraId="1697FDDC" w14:textId="4682EA4B" w:rsidR="007D705B" w:rsidRDefault="007D705B" w:rsidP="007D705B">
            <w:r w:rsidRPr="007D705B">
              <w:t>TAVI using the SAPIEN 3 balloon-expandable valve system, for the treatment of symptomatic severe aortic stenosis, performed via transfemoral delivery, or an alternate access route if transfemoral delivery is contraindicated or not feasible, in a TAVI Hospital on a TAVI Patient by a TAVI Practitioner – includes all intraoperative diagnostic imaging that the TAVI Practitioner performs upon the TAVI Patient</w:t>
            </w:r>
          </w:p>
        </w:tc>
      </w:tr>
    </w:tbl>
    <w:p w14:paraId="2C73C8DA" w14:textId="59CCFB6E" w:rsidR="00AE1188" w:rsidRPr="004953A2" w:rsidRDefault="003552B7" w:rsidP="004A0BF4">
      <w:pPr>
        <w:pStyle w:val="Heading2"/>
        <w:numPr>
          <w:ilvl w:val="0"/>
          <w:numId w:val="0"/>
        </w:numPr>
        <w:ind w:left="360"/>
        <w:rPr>
          <w:b w:val="0"/>
        </w:rPr>
      </w:pPr>
      <w:r w:rsidRPr="004953A2">
        <w:rPr>
          <w:b w:val="0"/>
        </w:rPr>
        <w:t xml:space="preserve">NB: The same explanatory notes (AN.33.1 and TN.8.135) for MBS item 38495 would apply for the new MBS item, except that the description of the ‘TAVI Patient’ would be changed to: “A TAVI Patient means a patient who, as a result of a TAVI Case Conference, has been assessed as having an </w:t>
      </w:r>
      <w:r w:rsidRPr="004953A2">
        <w:rPr>
          <w:b w:val="0"/>
          <w:strike/>
        </w:rPr>
        <w:t>unacceptably high</w:t>
      </w:r>
      <w:r w:rsidRPr="004953A2">
        <w:rPr>
          <w:b w:val="0"/>
        </w:rPr>
        <w:t xml:space="preserve"> </w:t>
      </w:r>
      <w:r w:rsidR="00100CD1" w:rsidRPr="004953A2">
        <w:rPr>
          <w:b w:val="0"/>
        </w:rPr>
        <w:t>low</w:t>
      </w:r>
      <w:r w:rsidRPr="004953A2">
        <w:rPr>
          <w:b w:val="0"/>
        </w:rPr>
        <w:t xml:space="preserve"> risk for surgical aortic valve replacement and is recommended as being suitable to receive the service described in item XXXX.”</w:t>
      </w:r>
    </w:p>
    <w:sectPr w:rsidR="00AE1188" w:rsidRPr="004953A2"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147F6" w14:textId="77777777" w:rsidR="007D705B" w:rsidRDefault="007D705B" w:rsidP="00CF2DFA">
      <w:pPr>
        <w:spacing w:after="0"/>
      </w:pPr>
      <w:r>
        <w:separator/>
      </w:r>
    </w:p>
  </w:endnote>
  <w:endnote w:type="continuationSeparator" w:id="0">
    <w:p w14:paraId="000C34E9" w14:textId="77777777" w:rsidR="007D705B" w:rsidRDefault="007D705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7F3D" w14:textId="77777777" w:rsidR="006D1F51" w:rsidRDefault="006D1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83E6D8A" w14:textId="2EFF2390" w:rsidR="007D705B" w:rsidRDefault="007D705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D1F51" w:rsidRPr="006D1F51">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DFD0266" w14:textId="77777777" w:rsidR="007D705B" w:rsidRPr="003F7CB9" w:rsidRDefault="007D705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79B0" w14:textId="77777777" w:rsidR="006D1F51" w:rsidRDefault="006D1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0027E" w14:textId="77777777" w:rsidR="007D705B" w:rsidRDefault="007D705B" w:rsidP="00CF2DFA">
      <w:pPr>
        <w:spacing w:after="0"/>
      </w:pPr>
      <w:r>
        <w:separator/>
      </w:r>
    </w:p>
  </w:footnote>
  <w:footnote w:type="continuationSeparator" w:id="0">
    <w:p w14:paraId="06DB9EA0" w14:textId="77777777" w:rsidR="007D705B" w:rsidRDefault="007D705B" w:rsidP="00CF2DFA">
      <w:pPr>
        <w:spacing w:after="0"/>
      </w:pPr>
      <w:r>
        <w:continuationSeparator/>
      </w:r>
    </w:p>
  </w:footnote>
  <w:footnote w:id="1">
    <w:p w14:paraId="575B547E" w14:textId="34ED247D" w:rsidR="007D705B" w:rsidRPr="00E452E2" w:rsidRDefault="007D705B">
      <w:pPr>
        <w:pStyle w:val="FootnoteText"/>
        <w:rPr>
          <w:sz w:val="16"/>
          <w:szCs w:val="16"/>
        </w:rPr>
      </w:pPr>
      <w:r w:rsidRPr="00E452E2">
        <w:rPr>
          <w:rStyle w:val="FootnoteReference"/>
          <w:sz w:val="16"/>
          <w:szCs w:val="16"/>
        </w:rPr>
        <w:footnoteRef/>
      </w:r>
      <w:r w:rsidRPr="00E452E2">
        <w:rPr>
          <w:sz w:val="16"/>
          <w:szCs w:val="16"/>
        </w:rPr>
        <w:t xml:space="preserve"> Thaden J.J. et al </w:t>
      </w:r>
      <w:r w:rsidRPr="00E452E2">
        <w:rPr>
          <w:i/>
          <w:sz w:val="16"/>
          <w:szCs w:val="16"/>
        </w:rPr>
        <w:t xml:space="preserve">‘The Global Burden of Aortic Stenosis’ </w:t>
      </w:r>
      <w:r w:rsidRPr="00E452E2">
        <w:rPr>
          <w:sz w:val="16"/>
          <w:szCs w:val="16"/>
        </w:rPr>
        <w:t>Prog. CardVasc. Dis 56 (2014) 565-571</w:t>
      </w:r>
    </w:p>
  </w:footnote>
  <w:footnote w:id="2">
    <w:p w14:paraId="52B498DD" w14:textId="0381FBDB" w:rsidR="007D705B" w:rsidRPr="00E452E2" w:rsidRDefault="007D705B">
      <w:pPr>
        <w:pStyle w:val="FootnoteText"/>
        <w:rPr>
          <w:i/>
          <w:sz w:val="16"/>
          <w:szCs w:val="16"/>
        </w:rPr>
      </w:pPr>
      <w:r w:rsidRPr="00E452E2">
        <w:rPr>
          <w:rStyle w:val="FootnoteReference"/>
          <w:sz w:val="16"/>
          <w:szCs w:val="16"/>
        </w:rPr>
        <w:footnoteRef/>
      </w:r>
      <w:r w:rsidRPr="00E452E2">
        <w:rPr>
          <w:sz w:val="16"/>
          <w:szCs w:val="16"/>
        </w:rPr>
        <w:t xml:space="preserve"> Nishamura R A., et al </w:t>
      </w:r>
      <w:r w:rsidRPr="00E452E2">
        <w:rPr>
          <w:i/>
          <w:sz w:val="16"/>
          <w:szCs w:val="16"/>
        </w:rPr>
        <w:t>‘2014 AHA/ACC Guideline for the Management of Patients with Valvular Heart Disease: Executive Summary.’ JACC Vol 63, Iss 22, 2014</w:t>
      </w:r>
    </w:p>
  </w:footnote>
  <w:footnote w:id="3">
    <w:p w14:paraId="77E23508" w14:textId="2C9E2A56" w:rsidR="007D705B" w:rsidRPr="00E452E2" w:rsidRDefault="007D705B">
      <w:pPr>
        <w:pStyle w:val="FootnoteText"/>
        <w:rPr>
          <w:sz w:val="16"/>
          <w:szCs w:val="16"/>
        </w:rPr>
      </w:pPr>
      <w:r w:rsidRPr="00E452E2">
        <w:rPr>
          <w:rStyle w:val="FootnoteReference"/>
          <w:sz w:val="16"/>
          <w:szCs w:val="16"/>
        </w:rPr>
        <w:footnoteRef/>
      </w:r>
      <w:r w:rsidRPr="00E452E2">
        <w:rPr>
          <w:sz w:val="16"/>
          <w:szCs w:val="16"/>
        </w:rPr>
        <w:t xml:space="preserve"> Varadarajan P et al </w:t>
      </w:r>
      <w:r w:rsidRPr="00E452E2">
        <w:rPr>
          <w:i/>
          <w:sz w:val="16"/>
          <w:szCs w:val="16"/>
        </w:rPr>
        <w:t xml:space="preserve">‘Clinical profile and natural history of 453 nonsurgically managed patients with severe aortic stenosis’ </w:t>
      </w:r>
      <w:r w:rsidRPr="00E452E2">
        <w:rPr>
          <w:sz w:val="16"/>
          <w:szCs w:val="16"/>
        </w:rPr>
        <w:t>Ann Thorac Surg. 2006 Dec; 82(6):2111-5</w:t>
      </w:r>
    </w:p>
  </w:footnote>
  <w:footnote w:id="4">
    <w:p w14:paraId="091EF3CA" w14:textId="556B0A5F" w:rsidR="007D705B" w:rsidRPr="00E452E2" w:rsidRDefault="007D705B">
      <w:pPr>
        <w:pStyle w:val="FootnoteText"/>
        <w:rPr>
          <w:sz w:val="16"/>
          <w:szCs w:val="16"/>
          <w:lang w:val="en-US"/>
        </w:rPr>
      </w:pPr>
      <w:r w:rsidRPr="00E452E2">
        <w:rPr>
          <w:rStyle w:val="FootnoteReference"/>
          <w:sz w:val="16"/>
          <w:szCs w:val="16"/>
        </w:rPr>
        <w:footnoteRef/>
      </w:r>
      <w:r w:rsidRPr="00E452E2">
        <w:rPr>
          <w:sz w:val="16"/>
          <w:szCs w:val="16"/>
        </w:rPr>
        <w:t xml:space="preserve"> </w:t>
      </w:r>
      <w:r w:rsidRPr="00E452E2">
        <w:rPr>
          <w:noProof/>
          <w:sz w:val="16"/>
          <w:szCs w:val="16"/>
        </w:rPr>
        <w:t xml:space="preserve">Otto CM. Timing of aortic valve surgery. </w:t>
      </w:r>
      <w:r w:rsidRPr="00E452E2">
        <w:rPr>
          <w:i/>
          <w:noProof/>
          <w:sz w:val="16"/>
          <w:szCs w:val="16"/>
        </w:rPr>
        <w:t>Heart</w:t>
      </w:r>
      <w:r w:rsidRPr="00E452E2">
        <w:rPr>
          <w:noProof/>
          <w:sz w:val="16"/>
          <w:szCs w:val="16"/>
        </w:rPr>
        <w:t>. 2000;84:211-8.</w:t>
      </w:r>
    </w:p>
  </w:footnote>
  <w:footnote w:id="5">
    <w:p w14:paraId="3C64BE68" w14:textId="502666F9" w:rsidR="007D705B" w:rsidRPr="00811E28" w:rsidRDefault="007D705B">
      <w:pPr>
        <w:pStyle w:val="FootnoteText"/>
      </w:pPr>
      <w:r w:rsidRPr="00E452E2">
        <w:rPr>
          <w:rStyle w:val="FootnoteReference"/>
          <w:sz w:val="16"/>
          <w:szCs w:val="16"/>
        </w:rPr>
        <w:footnoteRef/>
      </w:r>
      <w:r w:rsidRPr="00E452E2">
        <w:rPr>
          <w:sz w:val="16"/>
          <w:szCs w:val="16"/>
        </w:rPr>
        <w:t xml:space="preserve"> Andeotti F et al </w:t>
      </w:r>
      <w:r w:rsidRPr="00E452E2">
        <w:rPr>
          <w:i/>
          <w:sz w:val="16"/>
          <w:szCs w:val="16"/>
        </w:rPr>
        <w:t xml:space="preserve">‘Guidelines on the management of valvular heart disease (version 2012): The Joint Task Force on the Management of Valvular Heart Disease of the European Society of Cardiology (ESD) and the European Association for Cardio-Thoracic Surgery (EACTS) </w:t>
      </w:r>
      <w:r w:rsidRPr="00E452E2">
        <w:rPr>
          <w:sz w:val="16"/>
          <w:szCs w:val="16"/>
        </w:rPr>
        <w:t>Eur Heart Journ Vol 33, Iss 19, 1 Oct 2012</w:t>
      </w:r>
    </w:p>
  </w:footnote>
  <w:footnote w:id="6">
    <w:p w14:paraId="5DAF98AF" w14:textId="73398427" w:rsidR="007D705B" w:rsidRPr="00E452E2" w:rsidRDefault="007D705B">
      <w:pPr>
        <w:pStyle w:val="FootnoteText"/>
        <w:rPr>
          <w:sz w:val="16"/>
          <w:szCs w:val="16"/>
          <w:lang w:val="da-DK"/>
        </w:rPr>
      </w:pPr>
      <w:r w:rsidRPr="00E452E2">
        <w:rPr>
          <w:rStyle w:val="FootnoteReference"/>
          <w:sz w:val="16"/>
          <w:szCs w:val="16"/>
        </w:rPr>
        <w:footnoteRef/>
      </w:r>
      <w:r w:rsidRPr="00E452E2">
        <w:rPr>
          <w:sz w:val="16"/>
          <w:szCs w:val="16"/>
          <w:lang w:val="da-DK"/>
        </w:rPr>
        <w:t xml:space="preserve"> http://tavi.org.au/</w:t>
      </w:r>
    </w:p>
  </w:footnote>
  <w:footnote w:id="7">
    <w:p w14:paraId="45A5693E" w14:textId="562AAAA0" w:rsidR="007D705B" w:rsidRPr="00E452E2" w:rsidRDefault="007D705B">
      <w:pPr>
        <w:pStyle w:val="FootnoteText"/>
        <w:rPr>
          <w:sz w:val="16"/>
          <w:szCs w:val="16"/>
        </w:rPr>
      </w:pPr>
      <w:r w:rsidRPr="00E452E2">
        <w:rPr>
          <w:rStyle w:val="FootnoteReference"/>
          <w:sz w:val="16"/>
          <w:szCs w:val="16"/>
        </w:rPr>
        <w:footnoteRef/>
      </w:r>
      <w:r w:rsidRPr="00E452E2">
        <w:rPr>
          <w:sz w:val="16"/>
          <w:szCs w:val="16"/>
          <w:lang w:val="da-DK"/>
        </w:rPr>
        <w:t xml:space="preserve"> Mack MJ, et al. </w:t>
      </w:r>
      <w:r w:rsidRPr="00E452E2">
        <w:rPr>
          <w:sz w:val="16"/>
          <w:szCs w:val="16"/>
        </w:rPr>
        <w:t>Transcatheter Aortic-Valve Replacement with a Balloon-Expandable Valve in Low-Risk Patients. N Engl J Med. 2019; 380(18): 1695-1705.</w:t>
      </w:r>
    </w:p>
  </w:footnote>
  <w:footnote w:id="8">
    <w:p w14:paraId="5FBEE10F" w14:textId="5976B6B2" w:rsidR="007D705B" w:rsidRPr="00E452E2" w:rsidRDefault="007D705B">
      <w:pPr>
        <w:pStyle w:val="FootnoteText"/>
        <w:rPr>
          <w:sz w:val="16"/>
          <w:szCs w:val="16"/>
        </w:rPr>
      </w:pPr>
      <w:r w:rsidRPr="00E452E2">
        <w:rPr>
          <w:rStyle w:val="FootnoteReference"/>
          <w:sz w:val="16"/>
          <w:szCs w:val="16"/>
        </w:rPr>
        <w:footnoteRef/>
      </w:r>
      <w:r w:rsidRPr="00E452E2">
        <w:rPr>
          <w:sz w:val="16"/>
          <w:szCs w:val="16"/>
        </w:rPr>
        <w:t xml:space="preserve"> Osnabrugge MS et al </w:t>
      </w:r>
      <w:r w:rsidRPr="00E452E2">
        <w:rPr>
          <w:i/>
          <w:sz w:val="16"/>
          <w:szCs w:val="16"/>
        </w:rPr>
        <w:t xml:space="preserve">‘Aortic Stenosis in the Elderly.  Disease Prevalence and Number of Candidates for Transcatheter Aortic Valve Replacement: A Meta-Analysis and Modelling Study’ </w:t>
      </w:r>
      <w:r w:rsidRPr="00E452E2">
        <w:rPr>
          <w:sz w:val="16"/>
          <w:szCs w:val="16"/>
        </w:rPr>
        <w:t>JACC 2013 Vol. 62, No 11, 2013</w:t>
      </w:r>
    </w:p>
  </w:footnote>
  <w:footnote w:id="9">
    <w:p w14:paraId="4896F0AE" w14:textId="46735F04" w:rsidR="007D705B" w:rsidRPr="00E452E2" w:rsidRDefault="007D705B">
      <w:pPr>
        <w:pStyle w:val="FootnoteText"/>
        <w:rPr>
          <w:sz w:val="16"/>
          <w:szCs w:val="16"/>
        </w:rPr>
      </w:pPr>
      <w:r w:rsidRPr="00E452E2">
        <w:rPr>
          <w:rStyle w:val="FootnoteReference"/>
          <w:sz w:val="16"/>
          <w:szCs w:val="16"/>
        </w:rPr>
        <w:footnoteRef/>
      </w:r>
      <w:r w:rsidRPr="00E452E2">
        <w:rPr>
          <w:sz w:val="16"/>
          <w:szCs w:val="16"/>
        </w:rPr>
        <w:t xml:space="preserve"> Thourani VH et al </w:t>
      </w:r>
      <w:r w:rsidRPr="00E452E2">
        <w:rPr>
          <w:i/>
          <w:sz w:val="16"/>
          <w:szCs w:val="16"/>
        </w:rPr>
        <w:t>‘</w:t>
      </w:r>
      <w:r w:rsidRPr="00E452E2">
        <w:rPr>
          <w:i/>
          <w:color w:val="1F497D"/>
          <w:sz w:val="16"/>
          <w:szCs w:val="16"/>
          <w:lang w:val="en-US"/>
        </w:rPr>
        <w:t>Contemporary real-world outcomes of surgical aortic valve replacement in 141,905 low-risk, intermediate-risk, and high-risk patients</w:t>
      </w:r>
      <w:r w:rsidRPr="00E452E2">
        <w:rPr>
          <w:color w:val="1F497D"/>
          <w:sz w:val="16"/>
          <w:szCs w:val="16"/>
          <w:lang w:val="en-US"/>
        </w:rPr>
        <w:t>.’ Ann Thorac Surg 2015;99:55-61</w:t>
      </w:r>
    </w:p>
  </w:footnote>
  <w:footnote w:id="10">
    <w:p w14:paraId="3503B71D" w14:textId="77777777" w:rsidR="007D705B" w:rsidRPr="00E452E2" w:rsidRDefault="007D705B" w:rsidP="00905B0D">
      <w:pPr>
        <w:pStyle w:val="FootnoteText"/>
        <w:rPr>
          <w:sz w:val="16"/>
          <w:szCs w:val="16"/>
        </w:rPr>
      </w:pPr>
      <w:r w:rsidRPr="00E452E2">
        <w:rPr>
          <w:rStyle w:val="FootnoteReference"/>
          <w:sz w:val="16"/>
          <w:szCs w:val="16"/>
        </w:rPr>
        <w:footnoteRef/>
      </w:r>
      <w:r w:rsidRPr="00E452E2">
        <w:rPr>
          <w:sz w:val="16"/>
          <w:szCs w:val="16"/>
        </w:rPr>
        <w:t xml:space="preserve"> Australian Bureau of Statistics Population Projections Australia 2017. Series B</w:t>
      </w:r>
    </w:p>
  </w:footnote>
  <w:footnote w:id="11">
    <w:p w14:paraId="5B12E721" w14:textId="77777777" w:rsidR="007D705B" w:rsidRPr="00E452E2" w:rsidRDefault="007D705B" w:rsidP="00D16F23">
      <w:pPr>
        <w:pStyle w:val="FootnoteText"/>
        <w:rPr>
          <w:sz w:val="16"/>
          <w:szCs w:val="16"/>
        </w:rPr>
      </w:pPr>
      <w:r w:rsidRPr="00E452E2">
        <w:rPr>
          <w:rStyle w:val="FootnoteReference"/>
          <w:sz w:val="16"/>
          <w:szCs w:val="16"/>
        </w:rPr>
        <w:footnoteRef/>
      </w:r>
      <w:r w:rsidRPr="00E452E2">
        <w:rPr>
          <w:sz w:val="16"/>
          <w:szCs w:val="16"/>
        </w:rPr>
        <w:t xml:space="preserve"> http://medicarestatistics.humanservices.gov.au/statistics/mbs_item.jsp</w:t>
      </w:r>
    </w:p>
  </w:footnote>
  <w:footnote w:id="12">
    <w:p w14:paraId="75D6F78D" w14:textId="031EE901" w:rsidR="007D705B" w:rsidRDefault="007D705B" w:rsidP="006A7146">
      <w:pPr>
        <w:pStyle w:val="FootnoteText"/>
      </w:pPr>
      <w:r w:rsidRPr="00E452E2">
        <w:rPr>
          <w:rStyle w:val="FootnoteReference"/>
          <w:sz w:val="16"/>
          <w:szCs w:val="16"/>
        </w:rPr>
        <w:footnoteRef/>
      </w:r>
      <w:r w:rsidRPr="00E452E2">
        <w:rPr>
          <w:sz w:val="16"/>
          <w:szCs w:val="16"/>
        </w:rPr>
        <w:t xml:space="preserve"> Australian Institute of Health and Welfare, Procedures and healthcare interventions (ACHI 9</w:t>
      </w:r>
      <w:r w:rsidRPr="00E452E2">
        <w:rPr>
          <w:sz w:val="16"/>
          <w:szCs w:val="16"/>
          <w:vertAlign w:val="superscript"/>
        </w:rPr>
        <w:t>th</w:t>
      </w:r>
      <w:r w:rsidRPr="00E452E2">
        <w:rPr>
          <w:sz w:val="16"/>
          <w:szCs w:val="16"/>
        </w:rPr>
        <w:t xml:space="preserve"> edition), Australia, 2017-18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B6BD4" w14:textId="77777777" w:rsidR="006D1F51" w:rsidRDefault="006D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7F5A" w14:textId="77777777" w:rsidR="006D1F51" w:rsidRDefault="006D1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FD49" w14:textId="77777777" w:rsidR="006D1F51" w:rsidRDefault="006D1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D5FA7F4A"/>
    <w:lvl w:ilvl="0">
      <w:start w:val="1"/>
      <w:numFmt w:val="decimal"/>
      <w:pStyle w:val="Heading2"/>
      <w:lvlText w:val="%1."/>
      <w:lvlJc w:val="left"/>
      <w:pPr>
        <w:ind w:left="6172"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Circulati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x9asxr8wd0vnedtz2p2wee9rezzpa0rsva&quot;&gt;My EndNote Library&lt;record-ids&gt;&lt;item&gt;36&lt;/item&gt;&lt;/record-ids&gt;&lt;/item&gt;&lt;/Libraries&gt;"/>
  </w:docVars>
  <w:rsids>
    <w:rsidRoot w:val="00BF6AC5"/>
    <w:rsid w:val="00001DAD"/>
    <w:rsid w:val="000037DC"/>
    <w:rsid w:val="000062BA"/>
    <w:rsid w:val="000110DC"/>
    <w:rsid w:val="000158AA"/>
    <w:rsid w:val="000159B9"/>
    <w:rsid w:val="00016B6E"/>
    <w:rsid w:val="00023E21"/>
    <w:rsid w:val="00025ABC"/>
    <w:rsid w:val="00025EE9"/>
    <w:rsid w:val="00026412"/>
    <w:rsid w:val="00031F6F"/>
    <w:rsid w:val="00033E1D"/>
    <w:rsid w:val="00034D6E"/>
    <w:rsid w:val="00037EB6"/>
    <w:rsid w:val="00043308"/>
    <w:rsid w:val="0005089D"/>
    <w:rsid w:val="00052063"/>
    <w:rsid w:val="000525BC"/>
    <w:rsid w:val="000635E1"/>
    <w:rsid w:val="000659B2"/>
    <w:rsid w:val="00065BFE"/>
    <w:rsid w:val="0007223E"/>
    <w:rsid w:val="00073222"/>
    <w:rsid w:val="00074897"/>
    <w:rsid w:val="000770BA"/>
    <w:rsid w:val="00077A80"/>
    <w:rsid w:val="000838D3"/>
    <w:rsid w:val="00083F4C"/>
    <w:rsid w:val="000840C7"/>
    <w:rsid w:val="00086144"/>
    <w:rsid w:val="00092580"/>
    <w:rsid w:val="000955E7"/>
    <w:rsid w:val="00095DC5"/>
    <w:rsid w:val="000A110D"/>
    <w:rsid w:val="000A25FE"/>
    <w:rsid w:val="000A478F"/>
    <w:rsid w:val="000A4E91"/>
    <w:rsid w:val="000A5B32"/>
    <w:rsid w:val="000A7F6A"/>
    <w:rsid w:val="000B069D"/>
    <w:rsid w:val="000B3CD0"/>
    <w:rsid w:val="000D066E"/>
    <w:rsid w:val="000D0831"/>
    <w:rsid w:val="000D206C"/>
    <w:rsid w:val="000D35EE"/>
    <w:rsid w:val="000D45D3"/>
    <w:rsid w:val="000D5B0A"/>
    <w:rsid w:val="000E47E7"/>
    <w:rsid w:val="000E5439"/>
    <w:rsid w:val="000E6705"/>
    <w:rsid w:val="000F0CA5"/>
    <w:rsid w:val="000F1F35"/>
    <w:rsid w:val="000F5D2C"/>
    <w:rsid w:val="00100945"/>
    <w:rsid w:val="00100CD1"/>
    <w:rsid w:val="001022F8"/>
    <w:rsid w:val="00102686"/>
    <w:rsid w:val="00103E33"/>
    <w:rsid w:val="001040C6"/>
    <w:rsid w:val="00106F36"/>
    <w:rsid w:val="0011036E"/>
    <w:rsid w:val="001130B0"/>
    <w:rsid w:val="0011369B"/>
    <w:rsid w:val="0011742E"/>
    <w:rsid w:val="00123D10"/>
    <w:rsid w:val="0012666E"/>
    <w:rsid w:val="00126B33"/>
    <w:rsid w:val="00133F25"/>
    <w:rsid w:val="00140BF4"/>
    <w:rsid w:val="00141746"/>
    <w:rsid w:val="00154B00"/>
    <w:rsid w:val="00157381"/>
    <w:rsid w:val="00157E88"/>
    <w:rsid w:val="0016023D"/>
    <w:rsid w:val="00163A57"/>
    <w:rsid w:val="001644E9"/>
    <w:rsid w:val="00166DA5"/>
    <w:rsid w:val="00181B4B"/>
    <w:rsid w:val="001845D9"/>
    <w:rsid w:val="0018630F"/>
    <w:rsid w:val="00187346"/>
    <w:rsid w:val="001906CD"/>
    <w:rsid w:val="00191B99"/>
    <w:rsid w:val="00191E03"/>
    <w:rsid w:val="0019694B"/>
    <w:rsid w:val="0019724D"/>
    <w:rsid w:val="00197D29"/>
    <w:rsid w:val="001A02E3"/>
    <w:rsid w:val="001A13C4"/>
    <w:rsid w:val="001A1ADF"/>
    <w:rsid w:val="001A1D57"/>
    <w:rsid w:val="001A365C"/>
    <w:rsid w:val="001A6B30"/>
    <w:rsid w:val="001A75F9"/>
    <w:rsid w:val="001A7815"/>
    <w:rsid w:val="001B0B8C"/>
    <w:rsid w:val="001B171D"/>
    <w:rsid w:val="001B2466"/>
    <w:rsid w:val="001B29A1"/>
    <w:rsid w:val="001B5169"/>
    <w:rsid w:val="001B6164"/>
    <w:rsid w:val="001C69EF"/>
    <w:rsid w:val="001C7382"/>
    <w:rsid w:val="001D77ED"/>
    <w:rsid w:val="001E1180"/>
    <w:rsid w:val="001E23EA"/>
    <w:rsid w:val="001E2B92"/>
    <w:rsid w:val="001E6919"/>
    <w:rsid w:val="001E6958"/>
    <w:rsid w:val="001F0067"/>
    <w:rsid w:val="001F0A6E"/>
    <w:rsid w:val="001F194A"/>
    <w:rsid w:val="001F2A83"/>
    <w:rsid w:val="001F4619"/>
    <w:rsid w:val="00201924"/>
    <w:rsid w:val="00202473"/>
    <w:rsid w:val="00202AF6"/>
    <w:rsid w:val="002053F2"/>
    <w:rsid w:val="00206D63"/>
    <w:rsid w:val="00210384"/>
    <w:rsid w:val="0021185D"/>
    <w:rsid w:val="00213254"/>
    <w:rsid w:val="0022101E"/>
    <w:rsid w:val="002255DA"/>
    <w:rsid w:val="00225768"/>
    <w:rsid w:val="00226777"/>
    <w:rsid w:val="00227D9F"/>
    <w:rsid w:val="0023384F"/>
    <w:rsid w:val="00235BD1"/>
    <w:rsid w:val="00237000"/>
    <w:rsid w:val="00237659"/>
    <w:rsid w:val="00237ABB"/>
    <w:rsid w:val="00242B0E"/>
    <w:rsid w:val="00247DF0"/>
    <w:rsid w:val="00251C4B"/>
    <w:rsid w:val="00252351"/>
    <w:rsid w:val="00254813"/>
    <w:rsid w:val="00257FF2"/>
    <w:rsid w:val="002614BA"/>
    <w:rsid w:val="00262865"/>
    <w:rsid w:val="00265822"/>
    <w:rsid w:val="0027105F"/>
    <w:rsid w:val="002711FB"/>
    <w:rsid w:val="00273B08"/>
    <w:rsid w:val="00283152"/>
    <w:rsid w:val="00283318"/>
    <w:rsid w:val="00285525"/>
    <w:rsid w:val="00286A8F"/>
    <w:rsid w:val="00294CD8"/>
    <w:rsid w:val="002A270B"/>
    <w:rsid w:val="002A50FD"/>
    <w:rsid w:val="002A6753"/>
    <w:rsid w:val="002B28D7"/>
    <w:rsid w:val="002B701C"/>
    <w:rsid w:val="002B7EB6"/>
    <w:rsid w:val="002C0B61"/>
    <w:rsid w:val="002C15E6"/>
    <w:rsid w:val="002C247D"/>
    <w:rsid w:val="002C3345"/>
    <w:rsid w:val="002C6705"/>
    <w:rsid w:val="002C7453"/>
    <w:rsid w:val="002D088D"/>
    <w:rsid w:val="002D3397"/>
    <w:rsid w:val="002D409A"/>
    <w:rsid w:val="002D70D9"/>
    <w:rsid w:val="002F30E7"/>
    <w:rsid w:val="002F55CD"/>
    <w:rsid w:val="0030003E"/>
    <w:rsid w:val="00300D2C"/>
    <w:rsid w:val="00300EEB"/>
    <w:rsid w:val="003013A9"/>
    <w:rsid w:val="003020B5"/>
    <w:rsid w:val="00302473"/>
    <w:rsid w:val="003027BB"/>
    <w:rsid w:val="00307CBF"/>
    <w:rsid w:val="00310A10"/>
    <w:rsid w:val="003127C4"/>
    <w:rsid w:val="00322BDA"/>
    <w:rsid w:val="003254BC"/>
    <w:rsid w:val="00325F61"/>
    <w:rsid w:val="003261CC"/>
    <w:rsid w:val="00326B5D"/>
    <w:rsid w:val="00327D25"/>
    <w:rsid w:val="003319A7"/>
    <w:rsid w:val="00334FE3"/>
    <w:rsid w:val="003373A0"/>
    <w:rsid w:val="00340C92"/>
    <w:rsid w:val="003421AE"/>
    <w:rsid w:val="003433D1"/>
    <w:rsid w:val="00344B24"/>
    <w:rsid w:val="003456B9"/>
    <w:rsid w:val="00347236"/>
    <w:rsid w:val="0035067D"/>
    <w:rsid w:val="00350D9A"/>
    <w:rsid w:val="00352CEB"/>
    <w:rsid w:val="00353A16"/>
    <w:rsid w:val="003552B7"/>
    <w:rsid w:val="0035776D"/>
    <w:rsid w:val="00362EC4"/>
    <w:rsid w:val="00364FD9"/>
    <w:rsid w:val="00367C1B"/>
    <w:rsid w:val="003760E8"/>
    <w:rsid w:val="00376B61"/>
    <w:rsid w:val="00382407"/>
    <w:rsid w:val="00386A64"/>
    <w:rsid w:val="00386FA1"/>
    <w:rsid w:val="00387B9D"/>
    <w:rsid w:val="00390142"/>
    <w:rsid w:val="00391BC7"/>
    <w:rsid w:val="00392F00"/>
    <w:rsid w:val="003962BC"/>
    <w:rsid w:val="00397377"/>
    <w:rsid w:val="003A22DE"/>
    <w:rsid w:val="003A2860"/>
    <w:rsid w:val="003A2D29"/>
    <w:rsid w:val="003A3C35"/>
    <w:rsid w:val="003A3C48"/>
    <w:rsid w:val="003A55C7"/>
    <w:rsid w:val="003A7D30"/>
    <w:rsid w:val="003B3C5C"/>
    <w:rsid w:val="003B402C"/>
    <w:rsid w:val="003C0050"/>
    <w:rsid w:val="003C4548"/>
    <w:rsid w:val="003C47CA"/>
    <w:rsid w:val="003D0762"/>
    <w:rsid w:val="003D3BFE"/>
    <w:rsid w:val="003D409B"/>
    <w:rsid w:val="003D6DE1"/>
    <w:rsid w:val="003D795C"/>
    <w:rsid w:val="003E30FB"/>
    <w:rsid w:val="003E419A"/>
    <w:rsid w:val="003F2711"/>
    <w:rsid w:val="003F4F1B"/>
    <w:rsid w:val="003F5A77"/>
    <w:rsid w:val="003F6C70"/>
    <w:rsid w:val="003F7CB9"/>
    <w:rsid w:val="00403333"/>
    <w:rsid w:val="0040350B"/>
    <w:rsid w:val="00404591"/>
    <w:rsid w:val="0040495A"/>
    <w:rsid w:val="00405516"/>
    <w:rsid w:val="00411735"/>
    <w:rsid w:val="00414B2D"/>
    <w:rsid w:val="00415C74"/>
    <w:rsid w:val="0042050B"/>
    <w:rsid w:val="004238D6"/>
    <w:rsid w:val="00427E58"/>
    <w:rsid w:val="00434664"/>
    <w:rsid w:val="0043654D"/>
    <w:rsid w:val="00437625"/>
    <w:rsid w:val="00440774"/>
    <w:rsid w:val="00443895"/>
    <w:rsid w:val="00451840"/>
    <w:rsid w:val="00457009"/>
    <w:rsid w:val="00460B95"/>
    <w:rsid w:val="00460C9A"/>
    <w:rsid w:val="0046361C"/>
    <w:rsid w:val="00464924"/>
    <w:rsid w:val="00464D73"/>
    <w:rsid w:val="0046738D"/>
    <w:rsid w:val="00467879"/>
    <w:rsid w:val="00472A73"/>
    <w:rsid w:val="00473257"/>
    <w:rsid w:val="0047581D"/>
    <w:rsid w:val="004770C5"/>
    <w:rsid w:val="00480289"/>
    <w:rsid w:val="00481279"/>
    <w:rsid w:val="00483368"/>
    <w:rsid w:val="0049398A"/>
    <w:rsid w:val="00494011"/>
    <w:rsid w:val="00494A01"/>
    <w:rsid w:val="004953A2"/>
    <w:rsid w:val="004A0BF4"/>
    <w:rsid w:val="004A25D2"/>
    <w:rsid w:val="004A263B"/>
    <w:rsid w:val="004A3C04"/>
    <w:rsid w:val="004A4870"/>
    <w:rsid w:val="004A5A79"/>
    <w:rsid w:val="004B68AE"/>
    <w:rsid w:val="004C35B0"/>
    <w:rsid w:val="004C49EF"/>
    <w:rsid w:val="004C4A19"/>
    <w:rsid w:val="004C5570"/>
    <w:rsid w:val="004C64A6"/>
    <w:rsid w:val="004D00C9"/>
    <w:rsid w:val="004D3019"/>
    <w:rsid w:val="004E02F1"/>
    <w:rsid w:val="004E16F5"/>
    <w:rsid w:val="004E1F18"/>
    <w:rsid w:val="004E32C5"/>
    <w:rsid w:val="004E3CC7"/>
    <w:rsid w:val="004E5B69"/>
    <w:rsid w:val="004F2A87"/>
    <w:rsid w:val="004F2A9D"/>
    <w:rsid w:val="00502C0A"/>
    <w:rsid w:val="00504442"/>
    <w:rsid w:val="00506314"/>
    <w:rsid w:val="00507C56"/>
    <w:rsid w:val="005127B8"/>
    <w:rsid w:val="00516CFA"/>
    <w:rsid w:val="00521519"/>
    <w:rsid w:val="00522175"/>
    <w:rsid w:val="0052344E"/>
    <w:rsid w:val="00526478"/>
    <w:rsid w:val="005265F5"/>
    <w:rsid w:val="00530204"/>
    <w:rsid w:val="00530FE5"/>
    <w:rsid w:val="00534C5F"/>
    <w:rsid w:val="00540257"/>
    <w:rsid w:val="005411E8"/>
    <w:rsid w:val="0054192F"/>
    <w:rsid w:val="005423B4"/>
    <w:rsid w:val="00544EB3"/>
    <w:rsid w:val="0054594B"/>
    <w:rsid w:val="00546A53"/>
    <w:rsid w:val="0054749B"/>
    <w:rsid w:val="00551125"/>
    <w:rsid w:val="00551CC6"/>
    <w:rsid w:val="00557DD8"/>
    <w:rsid w:val="005600E9"/>
    <w:rsid w:val="00560541"/>
    <w:rsid w:val="00560886"/>
    <w:rsid w:val="00561235"/>
    <w:rsid w:val="0056140B"/>
    <w:rsid w:val="00561784"/>
    <w:rsid w:val="005672D0"/>
    <w:rsid w:val="00567D58"/>
    <w:rsid w:val="00572CEB"/>
    <w:rsid w:val="00572DEB"/>
    <w:rsid w:val="00572EAC"/>
    <w:rsid w:val="00575D30"/>
    <w:rsid w:val="00576F63"/>
    <w:rsid w:val="00577932"/>
    <w:rsid w:val="00577EB2"/>
    <w:rsid w:val="00577EF8"/>
    <w:rsid w:val="005834C9"/>
    <w:rsid w:val="005A3BEE"/>
    <w:rsid w:val="005A41F5"/>
    <w:rsid w:val="005A58BA"/>
    <w:rsid w:val="005A5D30"/>
    <w:rsid w:val="005A5D6F"/>
    <w:rsid w:val="005A6AB9"/>
    <w:rsid w:val="005A6B62"/>
    <w:rsid w:val="005A7926"/>
    <w:rsid w:val="005B3921"/>
    <w:rsid w:val="005B471F"/>
    <w:rsid w:val="005C2DFF"/>
    <w:rsid w:val="005C333E"/>
    <w:rsid w:val="005C3AE7"/>
    <w:rsid w:val="005C4C49"/>
    <w:rsid w:val="005C54F3"/>
    <w:rsid w:val="005C5FD8"/>
    <w:rsid w:val="005C7A12"/>
    <w:rsid w:val="005C7B6C"/>
    <w:rsid w:val="005D0677"/>
    <w:rsid w:val="005D3634"/>
    <w:rsid w:val="005D4949"/>
    <w:rsid w:val="005E294C"/>
    <w:rsid w:val="005E2CE3"/>
    <w:rsid w:val="005E78B5"/>
    <w:rsid w:val="005F1D84"/>
    <w:rsid w:val="005F2638"/>
    <w:rsid w:val="005F3F07"/>
    <w:rsid w:val="005F7568"/>
    <w:rsid w:val="00603D04"/>
    <w:rsid w:val="00606857"/>
    <w:rsid w:val="00613AAE"/>
    <w:rsid w:val="00615F42"/>
    <w:rsid w:val="00616BE9"/>
    <w:rsid w:val="00621FCA"/>
    <w:rsid w:val="006258C2"/>
    <w:rsid w:val="00626365"/>
    <w:rsid w:val="00630E22"/>
    <w:rsid w:val="00631ED4"/>
    <w:rsid w:val="00636628"/>
    <w:rsid w:val="00637ABF"/>
    <w:rsid w:val="00640990"/>
    <w:rsid w:val="0064168C"/>
    <w:rsid w:val="00652065"/>
    <w:rsid w:val="00654D8C"/>
    <w:rsid w:val="00657B46"/>
    <w:rsid w:val="00661BA7"/>
    <w:rsid w:val="0066364E"/>
    <w:rsid w:val="006700C7"/>
    <w:rsid w:val="00671EBA"/>
    <w:rsid w:val="00673540"/>
    <w:rsid w:val="006748D4"/>
    <w:rsid w:val="00675C71"/>
    <w:rsid w:val="006764EC"/>
    <w:rsid w:val="00677C28"/>
    <w:rsid w:val="006835FE"/>
    <w:rsid w:val="00684835"/>
    <w:rsid w:val="00690409"/>
    <w:rsid w:val="00693BFD"/>
    <w:rsid w:val="00695065"/>
    <w:rsid w:val="006A1038"/>
    <w:rsid w:val="006A236F"/>
    <w:rsid w:val="006A32EE"/>
    <w:rsid w:val="006A649A"/>
    <w:rsid w:val="006A6E55"/>
    <w:rsid w:val="006A7146"/>
    <w:rsid w:val="006B1584"/>
    <w:rsid w:val="006B1B49"/>
    <w:rsid w:val="006B6203"/>
    <w:rsid w:val="006B6390"/>
    <w:rsid w:val="006C0356"/>
    <w:rsid w:val="006C0843"/>
    <w:rsid w:val="006C35EC"/>
    <w:rsid w:val="006C6616"/>
    <w:rsid w:val="006C74B1"/>
    <w:rsid w:val="006D0B13"/>
    <w:rsid w:val="006D1974"/>
    <w:rsid w:val="006D1F51"/>
    <w:rsid w:val="006D5293"/>
    <w:rsid w:val="006D6DD3"/>
    <w:rsid w:val="006E57AA"/>
    <w:rsid w:val="006E7190"/>
    <w:rsid w:val="006F20CF"/>
    <w:rsid w:val="006F2C71"/>
    <w:rsid w:val="006F38ED"/>
    <w:rsid w:val="006F4001"/>
    <w:rsid w:val="006F7493"/>
    <w:rsid w:val="00703CF5"/>
    <w:rsid w:val="007079D5"/>
    <w:rsid w:val="00707D4D"/>
    <w:rsid w:val="00722E75"/>
    <w:rsid w:val="00723503"/>
    <w:rsid w:val="00724DF6"/>
    <w:rsid w:val="00730247"/>
    <w:rsid w:val="00730C04"/>
    <w:rsid w:val="00732794"/>
    <w:rsid w:val="0073597B"/>
    <w:rsid w:val="007378F6"/>
    <w:rsid w:val="00742738"/>
    <w:rsid w:val="0074545D"/>
    <w:rsid w:val="007522E3"/>
    <w:rsid w:val="00752475"/>
    <w:rsid w:val="0075335B"/>
    <w:rsid w:val="00753A92"/>
    <w:rsid w:val="00753C44"/>
    <w:rsid w:val="00753EA1"/>
    <w:rsid w:val="00754383"/>
    <w:rsid w:val="007564D1"/>
    <w:rsid w:val="00757232"/>
    <w:rsid w:val="0075732E"/>
    <w:rsid w:val="00760679"/>
    <w:rsid w:val="00760859"/>
    <w:rsid w:val="00761BB1"/>
    <w:rsid w:val="007630AD"/>
    <w:rsid w:val="00763628"/>
    <w:rsid w:val="007642F7"/>
    <w:rsid w:val="00767E99"/>
    <w:rsid w:val="00772A02"/>
    <w:rsid w:val="00772E62"/>
    <w:rsid w:val="007762FE"/>
    <w:rsid w:val="0077789B"/>
    <w:rsid w:val="00780D29"/>
    <w:rsid w:val="0078160F"/>
    <w:rsid w:val="0078327D"/>
    <w:rsid w:val="0079108A"/>
    <w:rsid w:val="00791C8D"/>
    <w:rsid w:val="00794181"/>
    <w:rsid w:val="007A7F6F"/>
    <w:rsid w:val="007B4C76"/>
    <w:rsid w:val="007B4F7E"/>
    <w:rsid w:val="007C2260"/>
    <w:rsid w:val="007C4625"/>
    <w:rsid w:val="007C6803"/>
    <w:rsid w:val="007D0E47"/>
    <w:rsid w:val="007D0F69"/>
    <w:rsid w:val="007D1080"/>
    <w:rsid w:val="007D1E52"/>
    <w:rsid w:val="007D2358"/>
    <w:rsid w:val="007D31F9"/>
    <w:rsid w:val="007D705B"/>
    <w:rsid w:val="007E06A4"/>
    <w:rsid w:val="007E23AE"/>
    <w:rsid w:val="007E3133"/>
    <w:rsid w:val="007E37B5"/>
    <w:rsid w:val="007E39E4"/>
    <w:rsid w:val="007E6FB3"/>
    <w:rsid w:val="007F14CB"/>
    <w:rsid w:val="007F21B4"/>
    <w:rsid w:val="007F3DDD"/>
    <w:rsid w:val="007F4E5E"/>
    <w:rsid w:val="007F6EBA"/>
    <w:rsid w:val="007F7CEB"/>
    <w:rsid w:val="00802553"/>
    <w:rsid w:val="00803EAB"/>
    <w:rsid w:val="008046B5"/>
    <w:rsid w:val="0080580D"/>
    <w:rsid w:val="00811E28"/>
    <w:rsid w:val="008127C0"/>
    <w:rsid w:val="00812EDD"/>
    <w:rsid w:val="0081373F"/>
    <w:rsid w:val="008137D4"/>
    <w:rsid w:val="008139C5"/>
    <w:rsid w:val="00814465"/>
    <w:rsid w:val="00815AF3"/>
    <w:rsid w:val="0081650F"/>
    <w:rsid w:val="00820ABD"/>
    <w:rsid w:val="00822B8A"/>
    <w:rsid w:val="008233FB"/>
    <w:rsid w:val="0082616B"/>
    <w:rsid w:val="008310E2"/>
    <w:rsid w:val="00832B31"/>
    <w:rsid w:val="00833B90"/>
    <w:rsid w:val="00837987"/>
    <w:rsid w:val="008403E0"/>
    <w:rsid w:val="00842598"/>
    <w:rsid w:val="00842F49"/>
    <w:rsid w:val="0084426F"/>
    <w:rsid w:val="0084657B"/>
    <w:rsid w:val="0084693D"/>
    <w:rsid w:val="00850086"/>
    <w:rsid w:val="00855944"/>
    <w:rsid w:val="00857CC2"/>
    <w:rsid w:val="0086196D"/>
    <w:rsid w:val="00864A18"/>
    <w:rsid w:val="0087060A"/>
    <w:rsid w:val="00870833"/>
    <w:rsid w:val="008715DF"/>
    <w:rsid w:val="00874571"/>
    <w:rsid w:val="00875032"/>
    <w:rsid w:val="00877C92"/>
    <w:rsid w:val="00881DA1"/>
    <w:rsid w:val="00881F93"/>
    <w:rsid w:val="00882CB5"/>
    <w:rsid w:val="00883641"/>
    <w:rsid w:val="00884947"/>
    <w:rsid w:val="00884E69"/>
    <w:rsid w:val="00887888"/>
    <w:rsid w:val="008879E6"/>
    <w:rsid w:val="00890082"/>
    <w:rsid w:val="00890A19"/>
    <w:rsid w:val="00894AC9"/>
    <w:rsid w:val="008A48D2"/>
    <w:rsid w:val="008A5194"/>
    <w:rsid w:val="008B0A96"/>
    <w:rsid w:val="008B2610"/>
    <w:rsid w:val="008B2B76"/>
    <w:rsid w:val="008B471D"/>
    <w:rsid w:val="008B4768"/>
    <w:rsid w:val="008B49E4"/>
    <w:rsid w:val="008B729C"/>
    <w:rsid w:val="008C4A93"/>
    <w:rsid w:val="008E0E49"/>
    <w:rsid w:val="008E35FD"/>
    <w:rsid w:val="008E5788"/>
    <w:rsid w:val="008E6227"/>
    <w:rsid w:val="008E78B9"/>
    <w:rsid w:val="008E7CEE"/>
    <w:rsid w:val="008F4F9F"/>
    <w:rsid w:val="00901608"/>
    <w:rsid w:val="00904399"/>
    <w:rsid w:val="0090543D"/>
    <w:rsid w:val="009056C5"/>
    <w:rsid w:val="00905B0D"/>
    <w:rsid w:val="00907719"/>
    <w:rsid w:val="0091416E"/>
    <w:rsid w:val="0091529A"/>
    <w:rsid w:val="00915F02"/>
    <w:rsid w:val="009167F8"/>
    <w:rsid w:val="009179A1"/>
    <w:rsid w:val="00921D21"/>
    <w:rsid w:val="009261FB"/>
    <w:rsid w:val="009262F2"/>
    <w:rsid w:val="00933377"/>
    <w:rsid w:val="0093389F"/>
    <w:rsid w:val="009352BC"/>
    <w:rsid w:val="00937791"/>
    <w:rsid w:val="00951933"/>
    <w:rsid w:val="00954343"/>
    <w:rsid w:val="00955271"/>
    <w:rsid w:val="009605D5"/>
    <w:rsid w:val="00963C9C"/>
    <w:rsid w:val="00964CA6"/>
    <w:rsid w:val="00965B6B"/>
    <w:rsid w:val="00967BFC"/>
    <w:rsid w:val="00971E21"/>
    <w:rsid w:val="00971EDB"/>
    <w:rsid w:val="0097322F"/>
    <w:rsid w:val="00974D2F"/>
    <w:rsid w:val="00974D50"/>
    <w:rsid w:val="0098203B"/>
    <w:rsid w:val="00986989"/>
    <w:rsid w:val="00987ABE"/>
    <w:rsid w:val="00991EE4"/>
    <w:rsid w:val="009939DC"/>
    <w:rsid w:val="00993B9C"/>
    <w:rsid w:val="009A6929"/>
    <w:rsid w:val="009B4469"/>
    <w:rsid w:val="009B4E1E"/>
    <w:rsid w:val="009B50A6"/>
    <w:rsid w:val="009B682A"/>
    <w:rsid w:val="009B6B81"/>
    <w:rsid w:val="009C03FB"/>
    <w:rsid w:val="009C0916"/>
    <w:rsid w:val="009C42EB"/>
    <w:rsid w:val="009C4B4F"/>
    <w:rsid w:val="009D2242"/>
    <w:rsid w:val="009E2E46"/>
    <w:rsid w:val="009E4718"/>
    <w:rsid w:val="009E6A6E"/>
    <w:rsid w:val="009F0C02"/>
    <w:rsid w:val="009F1BC9"/>
    <w:rsid w:val="009F38A1"/>
    <w:rsid w:val="009F3E3D"/>
    <w:rsid w:val="009F5758"/>
    <w:rsid w:val="00A006A6"/>
    <w:rsid w:val="00A0283F"/>
    <w:rsid w:val="00A04D67"/>
    <w:rsid w:val="00A04F4A"/>
    <w:rsid w:val="00A12BB3"/>
    <w:rsid w:val="00A15CE7"/>
    <w:rsid w:val="00A25C7A"/>
    <w:rsid w:val="00A2600F"/>
    <w:rsid w:val="00A26343"/>
    <w:rsid w:val="00A27FE0"/>
    <w:rsid w:val="00A33DAC"/>
    <w:rsid w:val="00A408B5"/>
    <w:rsid w:val="00A42488"/>
    <w:rsid w:val="00A44AF2"/>
    <w:rsid w:val="00A529E2"/>
    <w:rsid w:val="00A539F8"/>
    <w:rsid w:val="00A54C41"/>
    <w:rsid w:val="00A6275F"/>
    <w:rsid w:val="00A6491A"/>
    <w:rsid w:val="00A6594E"/>
    <w:rsid w:val="00A727B6"/>
    <w:rsid w:val="00A76640"/>
    <w:rsid w:val="00A808C6"/>
    <w:rsid w:val="00A81CC6"/>
    <w:rsid w:val="00A83EC6"/>
    <w:rsid w:val="00A84433"/>
    <w:rsid w:val="00A8732C"/>
    <w:rsid w:val="00A9062D"/>
    <w:rsid w:val="00A919D6"/>
    <w:rsid w:val="00A93F58"/>
    <w:rsid w:val="00A96329"/>
    <w:rsid w:val="00AA134B"/>
    <w:rsid w:val="00AA1F0F"/>
    <w:rsid w:val="00AA2CFE"/>
    <w:rsid w:val="00AA5FDA"/>
    <w:rsid w:val="00AA6291"/>
    <w:rsid w:val="00AA714E"/>
    <w:rsid w:val="00AA7A08"/>
    <w:rsid w:val="00AA7A6C"/>
    <w:rsid w:val="00AB4B84"/>
    <w:rsid w:val="00AB4E02"/>
    <w:rsid w:val="00AC0C91"/>
    <w:rsid w:val="00AC2D01"/>
    <w:rsid w:val="00AC4468"/>
    <w:rsid w:val="00AC506A"/>
    <w:rsid w:val="00AD37D4"/>
    <w:rsid w:val="00AD7986"/>
    <w:rsid w:val="00AE1188"/>
    <w:rsid w:val="00AE2D91"/>
    <w:rsid w:val="00AE54C0"/>
    <w:rsid w:val="00AE6257"/>
    <w:rsid w:val="00AE738C"/>
    <w:rsid w:val="00AF0E71"/>
    <w:rsid w:val="00AF1046"/>
    <w:rsid w:val="00AF4466"/>
    <w:rsid w:val="00AF4BB6"/>
    <w:rsid w:val="00AF5D1E"/>
    <w:rsid w:val="00B0311B"/>
    <w:rsid w:val="00B040A9"/>
    <w:rsid w:val="00B143F3"/>
    <w:rsid w:val="00B14692"/>
    <w:rsid w:val="00B15251"/>
    <w:rsid w:val="00B1711E"/>
    <w:rsid w:val="00B17CBE"/>
    <w:rsid w:val="00B17E26"/>
    <w:rsid w:val="00B206B0"/>
    <w:rsid w:val="00B20C1A"/>
    <w:rsid w:val="00B231A4"/>
    <w:rsid w:val="00B24E74"/>
    <w:rsid w:val="00B25D20"/>
    <w:rsid w:val="00B31C99"/>
    <w:rsid w:val="00B35945"/>
    <w:rsid w:val="00B44F97"/>
    <w:rsid w:val="00B50089"/>
    <w:rsid w:val="00B52F91"/>
    <w:rsid w:val="00B53BA6"/>
    <w:rsid w:val="00B54241"/>
    <w:rsid w:val="00B56A25"/>
    <w:rsid w:val="00B5731D"/>
    <w:rsid w:val="00B6378B"/>
    <w:rsid w:val="00B63E3A"/>
    <w:rsid w:val="00B71323"/>
    <w:rsid w:val="00B74052"/>
    <w:rsid w:val="00B74A7A"/>
    <w:rsid w:val="00B75965"/>
    <w:rsid w:val="00B771AD"/>
    <w:rsid w:val="00B7798E"/>
    <w:rsid w:val="00B814CB"/>
    <w:rsid w:val="00B84696"/>
    <w:rsid w:val="00B846CC"/>
    <w:rsid w:val="00B91785"/>
    <w:rsid w:val="00B96387"/>
    <w:rsid w:val="00B96568"/>
    <w:rsid w:val="00B9731F"/>
    <w:rsid w:val="00B97BE4"/>
    <w:rsid w:val="00BA0CF8"/>
    <w:rsid w:val="00BA1ADF"/>
    <w:rsid w:val="00BA28D2"/>
    <w:rsid w:val="00BA3247"/>
    <w:rsid w:val="00BA51FC"/>
    <w:rsid w:val="00BA74CA"/>
    <w:rsid w:val="00BB003A"/>
    <w:rsid w:val="00BB0663"/>
    <w:rsid w:val="00BB3358"/>
    <w:rsid w:val="00BB3382"/>
    <w:rsid w:val="00BB3643"/>
    <w:rsid w:val="00BB52F6"/>
    <w:rsid w:val="00BC3DA0"/>
    <w:rsid w:val="00BC424B"/>
    <w:rsid w:val="00BC4DE3"/>
    <w:rsid w:val="00BD5DEE"/>
    <w:rsid w:val="00BE0ACB"/>
    <w:rsid w:val="00BE0FDE"/>
    <w:rsid w:val="00BE40B6"/>
    <w:rsid w:val="00BE7973"/>
    <w:rsid w:val="00BF6AC5"/>
    <w:rsid w:val="00BF7177"/>
    <w:rsid w:val="00C01121"/>
    <w:rsid w:val="00C030A5"/>
    <w:rsid w:val="00C05A45"/>
    <w:rsid w:val="00C0796F"/>
    <w:rsid w:val="00C10223"/>
    <w:rsid w:val="00C11B34"/>
    <w:rsid w:val="00C12C5C"/>
    <w:rsid w:val="00C15C9A"/>
    <w:rsid w:val="00C171FB"/>
    <w:rsid w:val="00C17330"/>
    <w:rsid w:val="00C209C2"/>
    <w:rsid w:val="00C221F9"/>
    <w:rsid w:val="00C2267F"/>
    <w:rsid w:val="00C22AD8"/>
    <w:rsid w:val="00C33262"/>
    <w:rsid w:val="00C34B07"/>
    <w:rsid w:val="00C3557E"/>
    <w:rsid w:val="00C3594B"/>
    <w:rsid w:val="00C36ED3"/>
    <w:rsid w:val="00C43102"/>
    <w:rsid w:val="00C4620C"/>
    <w:rsid w:val="00C4696B"/>
    <w:rsid w:val="00C50513"/>
    <w:rsid w:val="00C54183"/>
    <w:rsid w:val="00C54503"/>
    <w:rsid w:val="00C55E75"/>
    <w:rsid w:val="00C5775D"/>
    <w:rsid w:val="00C61B4A"/>
    <w:rsid w:val="00C61F13"/>
    <w:rsid w:val="00C63055"/>
    <w:rsid w:val="00C63199"/>
    <w:rsid w:val="00C66BBF"/>
    <w:rsid w:val="00C73B62"/>
    <w:rsid w:val="00C7729A"/>
    <w:rsid w:val="00C776B1"/>
    <w:rsid w:val="00C815FE"/>
    <w:rsid w:val="00C81DCB"/>
    <w:rsid w:val="00C847AE"/>
    <w:rsid w:val="00C87C31"/>
    <w:rsid w:val="00C96F71"/>
    <w:rsid w:val="00CA04C6"/>
    <w:rsid w:val="00CA26DD"/>
    <w:rsid w:val="00CA4AFF"/>
    <w:rsid w:val="00CA59A4"/>
    <w:rsid w:val="00CB12EC"/>
    <w:rsid w:val="00CB53D7"/>
    <w:rsid w:val="00CB57DB"/>
    <w:rsid w:val="00CC09D7"/>
    <w:rsid w:val="00CC12B8"/>
    <w:rsid w:val="00CC2102"/>
    <w:rsid w:val="00CC58C1"/>
    <w:rsid w:val="00CD22E3"/>
    <w:rsid w:val="00CD3C93"/>
    <w:rsid w:val="00CD4E44"/>
    <w:rsid w:val="00CD5AE4"/>
    <w:rsid w:val="00CD76A3"/>
    <w:rsid w:val="00CD7A7D"/>
    <w:rsid w:val="00CE0BFF"/>
    <w:rsid w:val="00CE19A2"/>
    <w:rsid w:val="00CE5AB7"/>
    <w:rsid w:val="00CF08F9"/>
    <w:rsid w:val="00CF23B4"/>
    <w:rsid w:val="00CF2D8E"/>
    <w:rsid w:val="00CF2DFA"/>
    <w:rsid w:val="00CF5433"/>
    <w:rsid w:val="00CF54E5"/>
    <w:rsid w:val="00CF5AD8"/>
    <w:rsid w:val="00CF6CB5"/>
    <w:rsid w:val="00CF7808"/>
    <w:rsid w:val="00CF7FF1"/>
    <w:rsid w:val="00D00122"/>
    <w:rsid w:val="00D01D2A"/>
    <w:rsid w:val="00D10B47"/>
    <w:rsid w:val="00D11EB1"/>
    <w:rsid w:val="00D16F23"/>
    <w:rsid w:val="00D17F17"/>
    <w:rsid w:val="00D22976"/>
    <w:rsid w:val="00D23597"/>
    <w:rsid w:val="00D30BDC"/>
    <w:rsid w:val="00D43299"/>
    <w:rsid w:val="00D45CF4"/>
    <w:rsid w:val="00D524AD"/>
    <w:rsid w:val="00D57F88"/>
    <w:rsid w:val="00D7105C"/>
    <w:rsid w:val="00D73646"/>
    <w:rsid w:val="00D777B4"/>
    <w:rsid w:val="00D77931"/>
    <w:rsid w:val="00D77A90"/>
    <w:rsid w:val="00D8088F"/>
    <w:rsid w:val="00D8360B"/>
    <w:rsid w:val="00D85676"/>
    <w:rsid w:val="00D8645F"/>
    <w:rsid w:val="00D86B30"/>
    <w:rsid w:val="00D879CA"/>
    <w:rsid w:val="00D92156"/>
    <w:rsid w:val="00D96ADA"/>
    <w:rsid w:val="00DA1FCB"/>
    <w:rsid w:val="00DA2886"/>
    <w:rsid w:val="00DA5E50"/>
    <w:rsid w:val="00DA7910"/>
    <w:rsid w:val="00DA7D0C"/>
    <w:rsid w:val="00DB281E"/>
    <w:rsid w:val="00DB311C"/>
    <w:rsid w:val="00DB432D"/>
    <w:rsid w:val="00DB519B"/>
    <w:rsid w:val="00DB7971"/>
    <w:rsid w:val="00DC4F4C"/>
    <w:rsid w:val="00DC5716"/>
    <w:rsid w:val="00DC5C2B"/>
    <w:rsid w:val="00DC64FD"/>
    <w:rsid w:val="00DC7694"/>
    <w:rsid w:val="00DC7FBE"/>
    <w:rsid w:val="00DD130E"/>
    <w:rsid w:val="00DD308E"/>
    <w:rsid w:val="00DD7E47"/>
    <w:rsid w:val="00DE2730"/>
    <w:rsid w:val="00DF0C51"/>
    <w:rsid w:val="00DF0D47"/>
    <w:rsid w:val="00DF1652"/>
    <w:rsid w:val="00DF1C05"/>
    <w:rsid w:val="00DF2299"/>
    <w:rsid w:val="00DF2CCE"/>
    <w:rsid w:val="00DF6D37"/>
    <w:rsid w:val="00E034B0"/>
    <w:rsid w:val="00E048ED"/>
    <w:rsid w:val="00E04FB3"/>
    <w:rsid w:val="00E058F2"/>
    <w:rsid w:val="00E05D9C"/>
    <w:rsid w:val="00E06102"/>
    <w:rsid w:val="00E107DC"/>
    <w:rsid w:val="00E11519"/>
    <w:rsid w:val="00E177B0"/>
    <w:rsid w:val="00E23E71"/>
    <w:rsid w:val="00E30F19"/>
    <w:rsid w:val="00E33C4A"/>
    <w:rsid w:val="00E340E4"/>
    <w:rsid w:val="00E357B9"/>
    <w:rsid w:val="00E36ECD"/>
    <w:rsid w:val="00E41A88"/>
    <w:rsid w:val="00E4321E"/>
    <w:rsid w:val="00E44B80"/>
    <w:rsid w:val="00E452E2"/>
    <w:rsid w:val="00E47623"/>
    <w:rsid w:val="00E47C18"/>
    <w:rsid w:val="00E47C91"/>
    <w:rsid w:val="00E51193"/>
    <w:rsid w:val="00E52DCA"/>
    <w:rsid w:val="00E53C1D"/>
    <w:rsid w:val="00E60529"/>
    <w:rsid w:val="00E6446D"/>
    <w:rsid w:val="00E66F22"/>
    <w:rsid w:val="00E70D86"/>
    <w:rsid w:val="00E731DA"/>
    <w:rsid w:val="00E7628E"/>
    <w:rsid w:val="00E77D7E"/>
    <w:rsid w:val="00E82F54"/>
    <w:rsid w:val="00E8649B"/>
    <w:rsid w:val="00E871CD"/>
    <w:rsid w:val="00E90990"/>
    <w:rsid w:val="00E910F2"/>
    <w:rsid w:val="00E93203"/>
    <w:rsid w:val="00E955AF"/>
    <w:rsid w:val="00E95D3D"/>
    <w:rsid w:val="00E96299"/>
    <w:rsid w:val="00EA0E25"/>
    <w:rsid w:val="00EA1379"/>
    <w:rsid w:val="00EA173C"/>
    <w:rsid w:val="00EB20C0"/>
    <w:rsid w:val="00EB38CD"/>
    <w:rsid w:val="00EC127A"/>
    <w:rsid w:val="00EC1FF9"/>
    <w:rsid w:val="00EC2737"/>
    <w:rsid w:val="00EC28C7"/>
    <w:rsid w:val="00EC41D3"/>
    <w:rsid w:val="00EC67B8"/>
    <w:rsid w:val="00ED061E"/>
    <w:rsid w:val="00ED445C"/>
    <w:rsid w:val="00EE20FA"/>
    <w:rsid w:val="00EE2716"/>
    <w:rsid w:val="00EE39C0"/>
    <w:rsid w:val="00EE6450"/>
    <w:rsid w:val="00EF09C7"/>
    <w:rsid w:val="00EF0D3B"/>
    <w:rsid w:val="00EF297E"/>
    <w:rsid w:val="00EF345F"/>
    <w:rsid w:val="00EF5FC0"/>
    <w:rsid w:val="00EF7091"/>
    <w:rsid w:val="00EF7869"/>
    <w:rsid w:val="00F01C2C"/>
    <w:rsid w:val="00F047B0"/>
    <w:rsid w:val="00F06096"/>
    <w:rsid w:val="00F06BFB"/>
    <w:rsid w:val="00F0753F"/>
    <w:rsid w:val="00F07BA2"/>
    <w:rsid w:val="00F10ED8"/>
    <w:rsid w:val="00F121AE"/>
    <w:rsid w:val="00F14138"/>
    <w:rsid w:val="00F222BE"/>
    <w:rsid w:val="00F22A06"/>
    <w:rsid w:val="00F24179"/>
    <w:rsid w:val="00F301F1"/>
    <w:rsid w:val="00F30C22"/>
    <w:rsid w:val="00F3252D"/>
    <w:rsid w:val="00F33F1A"/>
    <w:rsid w:val="00F342C8"/>
    <w:rsid w:val="00F35C0A"/>
    <w:rsid w:val="00F41FE5"/>
    <w:rsid w:val="00F45178"/>
    <w:rsid w:val="00F461EF"/>
    <w:rsid w:val="00F46616"/>
    <w:rsid w:val="00F467CF"/>
    <w:rsid w:val="00F52BD8"/>
    <w:rsid w:val="00F547F7"/>
    <w:rsid w:val="00F54CCF"/>
    <w:rsid w:val="00F552F6"/>
    <w:rsid w:val="00F61D7A"/>
    <w:rsid w:val="00F62123"/>
    <w:rsid w:val="00F637B3"/>
    <w:rsid w:val="00F66CF7"/>
    <w:rsid w:val="00F67BCB"/>
    <w:rsid w:val="00F72FD1"/>
    <w:rsid w:val="00F77C57"/>
    <w:rsid w:val="00F807F9"/>
    <w:rsid w:val="00F813C7"/>
    <w:rsid w:val="00F83566"/>
    <w:rsid w:val="00F83A9D"/>
    <w:rsid w:val="00F906B0"/>
    <w:rsid w:val="00F906B5"/>
    <w:rsid w:val="00F90A70"/>
    <w:rsid w:val="00F91FBC"/>
    <w:rsid w:val="00F93784"/>
    <w:rsid w:val="00F94EBD"/>
    <w:rsid w:val="00F96BEF"/>
    <w:rsid w:val="00F971CC"/>
    <w:rsid w:val="00FA2CAA"/>
    <w:rsid w:val="00FA347A"/>
    <w:rsid w:val="00FA3DA1"/>
    <w:rsid w:val="00FA5295"/>
    <w:rsid w:val="00FA6554"/>
    <w:rsid w:val="00FB5F38"/>
    <w:rsid w:val="00FB7DC9"/>
    <w:rsid w:val="00FC579F"/>
    <w:rsid w:val="00FD0529"/>
    <w:rsid w:val="00FD12A2"/>
    <w:rsid w:val="00FD2E15"/>
    <w:rsid w:val="00FD4A11"/>
    <w:rsid w:val="00FD643A"/>
    <w:rsid w:val="00FE16C1"/>
    <w:rsid w:val="00FE19FF"/>
    <w:rsid w:val="00FE1F97"/>
    <w:rsid w:val="00FE33A6"/>
    <w:rsid w:val="00FE5452"/>
    <w:rsid w:val="00FE710C"/>
    <w:rsid w:val="00FF3ECC"/>
    <w:rsid w:val="00FF59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D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12666E"/>
    <w:pPr>
      <w:spacing w:before="0" w:after="0"/>
    </w:pPr>
    <w:rPr>
      <w:szCs w:val="20"/>
    </w:rPr>
  </w:style>
  <w:style w:type="character" w:customStyle="1" w:styleId="FootnoteTextChar">
    <w:name w:val="Footnote Text Char"/>
    <w:basedOn w:val="DefaultParagraphFont"/>
    <w:link w:val="FootnoteText"/>
    <w:uiPriority w:val="99"/>
    <w:semiHidden/>
    <w:rsid w:val="0012666E"/>
    <w:rPr>
      <w:sz w:val="20"/>
      <w:szCs w:val="20"/>
    </w:rPr>
  </w:style>
  <w:style w:type="character" w:styleId="FootnoteReference">
    <w:name w:val="footnote reference"/>
    <w:basedOn w:val="DefaultParagraphFont"/>
    <w:uiPriority w:val="99"/>
    <w:semiHidden/>
    <w:unhideWhenUsed/>
    <w:rsid w:val="0012666E"/>
    <w:rPr>
      <w:vertAlign w:val="superscript"/>
    </w:rPr>
  </w:style>
  <w:style w:type="character" w:customStyle="1" w:styleId="UnresolvedMention1">
    <w:name w:val="Unresolved Mention1"/>
    <w:basedOn w:val="DefaultParagraphFont"/>
    <w:uiPriority w:val="99"/>
    <w:semiHidden/>
    <w:unhideWhenUsed/>
    <w:rsid w:val="003B402C"/>
    <w:rPr>
      <w:color w:val="605E5C"/>
      <w:shd w:val="clear" w:color="auto" w:fill="E1DFDD"/>
    </w:rPr>
  </w:style>
  <w:style w:type="character" w:customStyle="1" w:styleId="highlight">
    <w:name w:val="highlight"/>
    <w:basedOn w:val="DefaultParagraphFont"/>
    <w:rsid w:val="009C0916"/>
  </w:style>
  <w:style w:type="paragraph" w:customStyle="1" w:styleId="EndNoteBibliographyTitle">
    <w:name w:val="EndNote Bibliography Title"/>
    <w:basedOn w:val="Normal"/>
    <w:link w:val="EndNoteBibliographyTitleChar"/>
    <w:rsid w:val="00E9320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93203"/>
    <w:rPr>
      <w:rFonts w:ascii="Calibri" w:hAnsi="Calibri" w:cs="Calibri"/>
      <w:noProof/>
      <w:sz w:val="20"/>
      <w:lang w:val="en-US"/>
    </w:rPr>
  </w:style>
  <w:style w:type="paragraph" w:customStyle="1" w:styleId="EndNoteBibliography">
    <w:name w:val="EndNote Bibliography"/>
    <w:basedOn w:val="Normal"/>
    <w:link w:val="EndNoteBibliographyChar"/>
    <w:uiPriority w:val="8"/>
    <w:rsid w:val="00E93203"/>
    <w:rPr>
      <w:rFonts w:ascii="Calibri" w:hAnsi="Calibri" w:cs="Calibri"/>
      <w:noProof/>
      <w:lang w:val="en-US"/>
    </w:rPr>
  </w:style>
  <w:style w:type="character" w:customStyle="1" w:styleId="EndNoteBibliographyChar">
    <w:name w:val="EndNote Bibliography Char"/>
    <w:basedOn w:val="DefaultParagraphFont"/>
    <w:link w:val="EndNoteBibliography"/>
    <w:uiPriority w:val="8"/>
    <w:rsid w:val="00E93203"/>
    <w:rPr>
      <w:rFonts w:ascii="Calibri" w:hAnsi="Calibri" w:cs="Calibri"/>
      <w:noProof/>
      <w:sz w:val="20"/>
      <w:lang w:val="en-US"/>
    </w:rPr>
  </w:style>
  <w:style w:type="paragraph" w:styleId="EndnoteText">
    <w:name w:val="endnote text"/>
    <w:basedOn w:val="Normal"/>
    <w:link w:val="EndnoteTextChar"/>
    <w:uiPriority w:val="99"/>
    <w:semiHidden/>
    <w:unhideWhenUsed/>
    <w:rsid w:val="00E93203"/>
    <w:pPr>
      <w:spacing w:before="0" w:after="0"/>
    </w:pPr>
    <w:rPr>
      <w:szCs w:val="20"/>
    </w:rPr>
  </w:style>
  <w:style w:type="character" w:customStyle="1" w:styleId="EndnoteTextChar">
    <w:name w:val="Endnote Text Char"/>
    <w:basedOn w:val="DefaultParagraphFont"/>
    <w:link w:val="EndnoteText"/>
    <w:uiPriority w:val="99"/>
    <w:semiHidden/>
    <w:rsid w:val="00E93203"/>
    <w:rPr>
      <w:sz w:val="20"/>
      <w:szCs w:val="20"/>
    </w:rPr>
  </w:style>
  <w:style w:type="character" w:styleId="EndnoteReference">
    <w:name w:val="endnote reference"/>
    <w:basedOn w:val="DefaultParagraphFont"/>
    <w:uiPriority w:val="99"/>
    <w:semiHidden/>
    <w:unhideWhenUsed/>
    <w:rsid w:val="00E93203"/>
    <w:rPr>
      <w:vertAlign w:val="superscript"/>
    </w:rPr>
  </w:style>
  <w:style w:type="paragraph" w:styleId="Caption">
    <w:name w:val="caption"/>
    <w:basedOn w:val="Normal"/>
    <w:next w:val="Normal"/>
    <w:uiPriority w:val="35"/>
    <w:qFormat/>
    <w:rsid w:val="00887888"/>
    <w:pPr>
      <w:spacing w:before="240"/>
      <w:jc w:val="both"/>
    </w:pPr>
    <w:rPr>
      <w:rFonts w:ascii="Arial" w:hAnsi="Arial"/>
      <w:b/>
      <w:bCs/>
      <w:color w:val="505759"/>
      <w:szCs w:val="18"/>
      <w:lang w:val="en-US"/>
    </w:rPr>
  </w:style>
  <w:style w:type="paragraph" w:customStyle="1" w:styleId="TableText">
    <w:name w:val="Table Text"/>
    <w:basedOn w:val="Normal"/>
    <w:link w:val="TableTextChar"/>
    <w:uiPriority w:val="2"/>
    <w:qFormat/>
    <w:rsid w:val="00EE39C0"/>
    <w:pPr>
      <w:spacing w:before="0" w:after="0"/>
    </w:pPr>
    <w:rPr>
      <w:rFonts w:ascii="Arial" w:hAnsi="Arial"/>
      <w:color w:val="505759"/>
      <w:sz w:val="18"/>
      <w:lang w:val="en-US"/>
    </w:rPr>
  </w:style>
  <w:style w:type="character" w:customStyle="1" w:styleId="TableTextChar">
    <w:name w:val="Table Text Char"/>
    <w:basedOn w:val="DefaultParagraphFont"/>
    <w:link w:val="TableText"/>
    <w:uiPriority w:val="2"/>
    <w:rsid w:val="00EE39C0"/>
    <w:rPr>
      <w:rFonts w:ascii="Arial" w:hAnsi="Arial"/>
      <w:color w:val="505759"/>
      <w:sz w:val="18"/>
      <w:lang w:val="en-US"/>
    </w:rPr>
  </w:style>
  <w:style w:type="paragraph" w:customStyle="1" w:styleId="TableCaptions">
    <w:name w:val="Table Captions"/>
    <w:basedOn w:val="Normal"/>
    <w:next w:val="Normal"/>
    <w:uiPriority w:val="4"/>
    <w:qFormat/>
    <w:rsid w:val="008233FB"/>
    <w:pPr>
      <w:keepNext/>
      <w:spacing w:before="480" w:after="60" w:line="276" w:lineRule="auto"/>
    </w:pPr>
    <w:rPr>
      <w:rFonts w:ascii="Arial" w:eastAsia="Calibri" w:hAnsi="Arial"/>
      <w:b/>
      <w:bCs/>
      <w:color w:val="505759"/>
      <w:szCs w:val="20"/>
      <w:lang w:val="en-US"/>
    </w:rPr>
  </w:style>
  <w:style w:type="paragraph" w:styleId="Revision">
    <w:name w:val="Revision"/>
    <w:hidden/>
    <w:uiPriority w:val="99"/>
    <w:semiHidden/>
    <w:rsid w:val="00F72FD1"/>
    <w:pPr>
      <w:spacing w:after="0" w:line="240" w:lineRule="auto"/>
    </w:pPr>
    <w:rPr>
      <w:sz w:val="20"/>
    </w:rPr>
  </w:style>
  <w:style w:type="character" w:customStyle="1" w:styleId="UnresolvedMention">
    <w:name w:val="Unresolved Mention"/>
    <w:basedOn w:val="DefaultParagraphFont"/>
    <w:uiPriority w:val="99"/>
    <w:semiHidden/>
    <w:unhideWhenUsed/>
    <w:rsid w:val="00CB5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090203687">
      <w:bodyDiv w:val="1"/>
      <w:marLeft w:val="0"/>
      <w:marRight w:val="0"/>
      <w:marTop w:val="0"/>
      <w:marBottom w:val="0"/>
      <w:divBdr>
        <w:top w:val="none" w:sz="0" w:space="0" w:color="auto"/>
        <w:left w:val="none" w:sz="0" w:space="0" w:color="auto"/>
        <w:bottom w:val="none" w:sz="0" w:space="0" w:color="auto"/>
        <w:right w:val="none" w:sz="0" w:space="0" w:color="auto"/>
      </w:divBdr>
      <w:divsChild>
        <w:div w:id="263148770">
          <w:marLeft w:val="0"/>
          <w:marRight w:val="0"/>
          <w:marTop w:val="0"/>
          <w:marBottom w:val="0"/>
          <w:divBdr>
            <w:top w:val="none" w:sz="0" w:space="0" w:color="auto"/>
            <w:left w:val="none" w:sz="0" w:space="0" w:color="auto"/>
            <w:bottom w:val="none" w:sz="0" w:space="0" w:color="auto"/>
            <w:right w:val="none" w:sz="0" w:space="0" w:color="auto"/>
          </w:divBdr>
          <w:divsChild>
            <w:div w:id="1785075704">
              <w:marLeft w:val="0"/>
              <w:marRight w:val="0"/>
              <w:marTop w:val="0"/>
              <w:marBottom w:val="0"/>
              <w:divBdr>
                <w:top w:val="none" w:sz="0" w:space="0" w:color="auto"/>
                <w:left w:val="none" w:sz="0" w:space="0" w:color="auto"/>
                <w:bottom w:val="none" w:sz="0" w:space="0" w:color="auto"/>
                <w:right w:val="none" w:sz="0" w:space="0" w:color="auto"/>
              </w:divBdr>
            </w:div>
            <w:div w:id="1204903196">
              <w:marLeft w:val="439"/>
              <w:marRight w:val="0"/>
              <w:marTop w:val="0"/>
              <w:marBottom w:val="0"/>
              <w:divBdr>
                <w:top w:val="none" w:sz="0" w:space="0" w:color="auto"/>
                <w:left w:val="none" w:sz="0" w:space="0" w:color="auto"/>
                <w:bottom w:val="none" w:sz="0" w:space="0" w:color="auto"/>
                <w:right w:val="none" w:sz="0" w:space="0" w:color="auto"/>
              </w:divBdr>
              <w:divsChild>
                <w:div w:id="233783041">
                  <w:marLeft w:val="0"/>
                  <w:marRight w:val="0"/>
                  <w:marTop w:val="0"/>
                  <w:marBottom w:val="0"/>
                  <w:divBdr>
                    <w:top w:val="none" w:sz="0" w:space="0" w:color="auto"/>
                    <w:left w:val="none" w:sz="0" w:space="0" w:color="auto"/>
                    <w:bottom w:val="none" w:sz="0" w:space="0" w:color="auto"/>
                    <w:right w:val="none" w:sz="0" w:space="0" w:color="auto"/>
                  </w:divBdr>
                  <w:divsChild>
                    <w:div w:id="559094426">
                      <w:marLeft w:val="0"/>
                      <w:marRight w:val="0"/>
                      <w:marTop w:val="0"/>
                      <w:marBottom w:val="0"/>
                      <w:divBdr>
                        <w:top w:val="none" w:sz="0" w:space="0" w:color="auto"/>
                        <w:left w:val="none" w:sz="0" w:space="0" w:color="auto"/>
                        <w:bottom w:val="none" w:sz="0" w:space="0" w:color="auto"/>
                        <w:right w:val="none" w:sz="0" w:space="0" w:color="auto"/>
                      </w:divBdr>
                    </w:div>
                    <w:div w:id="173611731">
                      <w:marLeft w:val="176"/>
                      <w:marRight w:val="0"/>
                      <w:marTop w:val="0"/>
                      <w:marBottom w:val="0"/>
                      <w:divBdr>
                        <w:top w:val="none" w:sz="0" w:space="0" w:color="auto"/>
                        <w:left w:val="none" w:sz="0" w:space="0" w:color="auto"/>
                        <w:bottom w:val="none" w:sz="0" w:space="0" w:color="auto"/>
                        <w:right w:val="none" w:sz="0" w:space="0" w:color="auto"/>
                      </w:divBdr>
                    </w:div>
                  </w:divsChild>
                </w:div>
                <w:div w:id="718937261">
                  <w:marLeft w:val="0"/>
                  <w:marRight w:val="0"/>
                  <w:marTop w:val="0"/>
                  <w:marBottom w:val="0"/>
                  <w:divBdr>
                    <w:top w:val="none" w:sz="0" w:space="0" w:color="auto"/>
                    <w:left w:val="none" w:sz="0" w:space="0" w:color="auto"/>
                    <w:bottom w:val="none" w:sz="0" w:space="0" w:color="auto"/>
                    <w:right w:val="none" w:sz="0" w:space="0" w:color="auto"/>
                  </w:divBdr>
                  <w:divsChild>
                    <w:div w:id="368069003">
                      <w:marLeft w:val="0"/>
                      <w:marRight w:val="0"/>
                      <w:marTop w:val="0"/>
                      <w:marBottom w:val="0"/>
                      <w:divBdr>
                        <w:top w:val="none" w:sz="0" w:space="0" w:color="auto"/>
                        <w:left w:val="none" w:sz="0" w:space="0" w:color="auto"/>
                        <w:bottom w:val="none" w:sz="0" w:space="0" w:color="auto"/>
                        <w:right w:val="none" w:sz="0" w:space="0" w:color="auto"/>
                      </w:divBdr>
                    </w:div>
                    <w:div w:id="2130934854">
                      <w:marLeft w:val="176"/>
                      <w:marRight w:val="0"/>
                      <w:marTop w:val="0"/>
                      <w:marBottom w:val="0"/>
                      <w:divBdr>
                        <w:top w:val="none" w:sz="0" w:space="0" w:color="auto"/>
                        <w:left w:val="none" w:sz="0" w:space="0" w:color="auto"/>
                        <w:bottom w:val="none" w:sz="0" w:space="0" w:color="auto"/>
                        <w:right w:val="none" w:sz="0" w:space="0" w:color="auto"/>
                      </w:divBdr>
                    </w:div>
                  </w:divsChild>
                </w:div>
                <w:div w:id="386687271">
                  <w:marLeft w:val="0"/>
                  <w:marRight w:val="0"/>
                  <w:marTop w:val="0"/>
                  <w:marBottom w:val="0"/>
                  <w:divBdr>
                    <w:top w:val="none" w:sz="0" w:space="0" w:color="auto"/>
                    <w:left w:val="none" w:sz="0" w:space="0" w:color="auto"/>
                    <w:bottom w:val="none" w:sz="0" w:space="0" w:color="auto"/>
                    <w:right w:val="none" w:sz="0" w:space="0" w:color="auto"/>
                  </w:divBdr>
                  <w:divsChild>
                    <w:div w:id="932275100">
                      <w:marLeft w:val="0"/>
                      <w:marRight w:val="0"/>
                      <w:marTop w:val="0"/>
                      <w:marBottom w:val="0"/>
                      <w:divBdr>
                        <w:top w:val="none" w:sz="0" w:space="0" w:color="auto"/>
                        <w:left w:val="none" w:sz="0" w:space="0" w:color="auto"/>
                        <w:bottom w:val="none" w:sz="0" w:space="0" w:color="auto"/>
                        <w:right w:val="none" w:sz="0" w:space="0" w:color="auto"/>
                      </w:divBdr>
                    </w:div>
                    <w:div w:id="21400759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6941">
          <w:marLeft w:val="0"/>
          <w:marRight w:val="0"/>
          <w:marTop w:val="0"/>
          <w:marBottom w:val="0"/>
          <w:divBdr>
            <w:top w:val="none" w:sz="0" w:space="0" w:color="auto"/>
            <w:left w:val="none" w:sz="0" w:space="0" w:color="auto"/>
            <w:bottom w:val="none" w:sz="0" w:space="0" w:color="auto"/>
            <w:right w:val="none" w:sz="0" w:space="0" w:color="auto"/>
          </w:divBdr>
        </w:div>
      </w:divsChild>
    </w:div>
    <w:div w:id="1253660317">
      <w:bodyDiv w:val="1"/>
      <w:marLeft w:val="0"/>
      <w:marRight w:val="0"/>
      <w:marTop w:val="0"/>
      <w:marBottom w:val="0"/>
      <w:divBdr>
        <w:top w:val="none" w:sz="0" w:space="0" w:color="auto"/>
        <w:left w:val="none" w:sz="0" w:space="0" w:color="auto"/>
        <w:bottom w:val="none" w:sz="0" w:space="0" w:color="auto"/>
        <w:right w:val="none" w:sz="0" w:space="0" w:color="auto"/>
      </w:divBdr>
    </w:div>
    <w:div w:id="1257207967">
      <w:bodyDiv w:val="1"/>
      <w:marLeft w:val="0"/>
      <w:marRight w:val="0"/>
      <w:marTop w:val="0"/>
      <w:marBottom w:val="0"/>
      <w:divBdr>
        <w:top w:val="none" w:sz="0" w:space="0" w:color="auto"/>
        <w:left w:val="none" w:sz="0" w:space="0" w:color="auto"/>
        <w:bottom w:val="none" w:sz="0" w:space="0" w:color="auto"/>
        <w:right w:val="none" w:sz="0" w:space="0" w:color="auto"/>
      </w:divBdr>
      <w:divsChild>
        <w:div w:id="2009675151">
          <w:marLeft w:val="0"/>
          <w:marRight w:val="0"/>
          <w:marTop w:val="0"/>
          <w:marBottom w:val="0"/>
          <w:divBdr>
            <w:top w:val="none" w:sz="0" w:space="0" w:color="auto"/>
            <w:left w:val="none" w:sz="0" w:space="0" w:color="auto"/>
            <w:bottom w:val="none" w:sz="0" w:space="0" w:color="auto"/>
            <w:right w:val="none" w:sz="0" w:space="0" w:color="auto"/>
          </w:divBdr>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104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36D9-83C2-4676-9B38-40BAF1F6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6204</Words>
  <Characters>35363</Characters>
  <Application>Microsoft Office Word</Application>
  <DocSecurity>0</DocSecurity>
  <Lines>294</Lines>
  <Paragraphs>82</Paragraphs>
  <ScaleCrop>false</ScaleCrop>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2020-07-03T06:30:00Z</dcterms:created>
  <dcterms:modified xsi:type="dcterms:W3CDTF">2020-07-03T06:31:00Z</dcterms:modified>
</cp:coreProperties>
</file>