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DB83E" w14:textId="77777777" w:rsidR="00E44B80" w:rsidRPr="00F637B3" w:rsidRDefault="00E44B80" w:rsidP="00E44B80">
      <w:pPr>
        <w:jc w:val="center"/>
        <w:rPr>
          <w:b/>
          <w:szCs w:val="20"/>
        </w:rPr>
      </w:pPr>
      <w:r w:rsidRPr="00F637B3">
        <w:rPr>
          <w:b/>
          <w:noProof/>
          <w:szCs w:val="20"/>
          <w:lang w:eastAsia="en-AU"/>
        </w:rPr>
        <w:drawing>
          <wp:inline distT="0" distB="0" distL="0" distR="0" wp14:anchorId="0C48E68E" wp14:editId="63C1835E">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151DA6C" w14:textId="77777777" w:rsidR="008B2610" w:rsidRDefault="008B2610" w:rsidP="00F971CC">
      <w:pPr>
        <w:pStyle w:val="Title"/>
        <w:spacing w:before="2600"/>
      </w:pPr>
      <w:r w:rsidRPr="001906CD">
        <w:t>Application Form</w:t>
      </w:r>
    </w:p>
    <w:p w14:paraId="0C35280C" w14:textId="77777777" w:rsidR="0056015F" w:rsidRDefault="0056015F" w:rsidP="0056015F"/>
    <w:p w14:paraId="6E4DFA6C" w14:textId="604DB8E9" w:rsidR="0056015F" w:rsidRPr="0056015F" w:rsidRDefault="0084676E" w:rsidP="0056015F">
      <w:pPr>
        <w:pStyle w:val="TitleBlue"/>
      </w:pPr>
      <w:r>
        <w:t>Proton beam therapy for</w:t>
      </w:r>
      <w:r w:rsidR="003764D4">
        <w:t xml:space="preserve"> paediatric and</w:t>
      </w:r>
      <w:r>
        <w:t xml:space="preserve"> </w:t>
      </w:r>
      <w:r w:rsidR="00703BB9">
        <w:t>rare cancers</w:t>
      </w:r>
    </w:p>
    <w:p w14:paraId="784FA78A" w14:textId="18CB2378" w:rsidR="00E44B80" w:rsidRPr="00D73646" w:rsidRDefault="00E44B80" w:rsidP="00D73646">
      <w:pPr>
        <w:pStyle w:val="Title"/>
        <w:spacing w:before="240"/>
        <w:rPr>
          <w:sz w:val="28"/>
          <w:szCs w:val="28"/>
        </w:rPr>
      </w:pPr>
      <w:r w:rsidRPr="00D73646">
        <w:rPr>
          <w:sz w:val="28"/>
          <w:szCs w:val="28"/>
        </w:rPr>
        <w:t>(</w:t>
      </w:r>
      <w:r w:rsidR="001906CD" w:rsidRPr="00D73646">
        <w:rPr>
          <w:sz w:val="28"/>
          <w:szCs w:val="28"/>
        </w:rPr>
        <w:t>Amended</w:t>
      </w:r>
      <w:r w:rsidR="00CC3D1D">
        <w:rPr>
          <w:sz w:val="28"/>
          <w:szCs w:val="28"/>
        </w:rPr>
        <w:t xml:space="preserve"> </w:t>
      </w:r>
      <w:r w:rsidR="00554E7A">
        <w:rPr>
          <w:sz w:val="28"/>
          <w:szCs w:val="28"/>
        </w:rPr>
        <w:t>Request</w:t>
      </w:r>
      <w:r w:rsidR="003433D1" w:rsidRPr="00D73646">
        <w:rPr>
          <w:sz w:val="28"/>
          <w:szCs w:val="28"/>
        </w:rPr>
        <w:t xml:space="preserve"> for Public Funding</w:t>
      </w:r>
      <w:r w:rsidR="008B2610" w:rsidRPr="00D73646">
        <w:rPr>
          <w:sz w:val="28"/>
          <w:szCs w:val="28"/>
        </w:rPr>
        <w:t>)</w:t>
      </w:r>
    </w:p>
    <w:p w14:paraId="22DB5E5C" w14:textId="77777777" w:rsidR="003013A9" w:rsidRPr="00D73646" w:rsidRDefault="003013A9" w:rsidP="0056015F">
      <w:pPr>
        <w:pStyle w:val="Title"/>
        <w:spacing w:before="240" w:after="440"/>
        <w:rPr>
          <w:sz w:val="28"/>
          <w:szCs w:val="28"/>
        </w:rPr>
      </w:pPr>
      <w:r w:rsidRPr="00D73646">
        <w:rPr>
          <w:sz w:val="28"/>
          <w:szCs w:val="28"/>
        </w:rPr>
        <w:t xml:space="preserve">(Version </w:t>
      </w:r>
      <w:r w:rsidR="00554E7A">
        <w:rPr>
          <w:sz w:val="28"/>
          <w:szCs w:val="28"/>
        </w:rPr>
        <w:t>2.4</w:t>
      </w:r>
      <w:r w:rsidRPr="00D73646">
        <w:rPr>
          <w:sz w:val="28"/>
          <w:szCs w:val="28"/>
        </w:rPr>
        <w:t>)</w:t>
      </w:r>
    </w:p>
    <w:p w14:paraId="54BFA166"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569FA5D0"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45A8FBA5"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 xml:space="preserve">(HTA Team) on the contact numbers and email below </w:t>
      </w:r>
      <w:r w:rsidR="008B2610" w:rsidRPr="00154B00">
        <w:lastRenderedPageBreak/>
        <w:t>to discuss</w:t>
      </w:r>
      <w:r w:rsidRPr="00154B00">
        <w:t xml:space="preserve"> the application form, or any other component of the Medical Services Advisory Committee process.</w:t>
      </w:r>
    </w:p>
    <w:p w14:paraId="7ECAD609" w14:textId="77777777" w:rsidR="009F5758" w:rsidRPr="00154B00" w:rsidRDefault="009F5758" w:rsidP="003F7CB9">
      <w:pPr>
        <w:spacing w:before="0" w:after="0"/>
      </w:pPr>
    </w:p>
    <w:p w14:paraId="46820317"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04BD71E2"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72C6AD7C"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4AFA6BB4"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0402A366" w14:textId="4534FF48"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74432CB6" w14:textId="389F9C41"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A83F39">
        <w:t>South Australian Health and Medical Research Institute Limited</w:t>
      </w:r>
    </w:p>
    <w:p w14:paraId="501725D9" w14:textId="64AEE62A"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A83F39">
        <w:t>54 141 228 346</w:t>
      </w:r>
    </w:p>
    <w:p w14:paraId="2313C6AF" w14:textId="028A2C3E"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CD41F1">
        <w:t>South Australian Health and Medical Research Institute Limited</w:t>
      </w:r>
    </w:p>
    <w:p w14:paraId="48B9DAAD" w14:textId="77777777" w:rsidR="00C171FB" w:rsidRPr="00C171FB" w:rsidRDefault="00C171FB" w:rsidP="00C171FB"/>
    <w:p w14:paraId="1D06F40B" w14:textId="5B4DAF01" w:rsidR="00C171FB" w:rsidRPr="00C171FB" w:rsidRDefault="00C171FB" w:rsidP="00C171FB">
      <w:pPr>
        <w:rPr>
          <w:b/>
        </w:rPr>
      </w:pPr>
      <w:r>
        <w:rPr>
          <w:b/>
        </w:rPr>
        <w:t xml:space="preserve">Primary contact name: </w:t>
      </w:r>
      <w:r w:rsidR="0094028E" w:rsidRPr="0094028E">
        <w:rPr>
          <w:b/>
          <w:highlight w:val="black"/>
        </w:rPr>
        <w:t>________________</w:t>
      </w:r>
    </w:p>
    <w:p w14:paraId="2ECD11A1"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0C2A19D8" w14:textId="748636C8"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94028E" w:rsidRPr="0094028E">
        <w:rPr>
          <w:highlight w:val="black"/>
        </w:rPr>
        <w:t>__________</w:t>
      </w:r>
    </w:p>
    <w:p w14:paraId="462E2A77" w14:textId="7C375998"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94028E" w:rsidRPr="0094028E">
        <w:rPr>
          <w:highlight w:val="black"/>
        </w:rPr>
        <w:t>___________</w:t>
      </w:r>
    </w:p>
    <w:p w14:paraId="741FFD81" w14:textId="3763B0E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94028E" w:rsidRPr="0094028E">
        <w:rPr>
          <w:highlight w:val="black"/>
        </w:rPr>
        <w:t>__________________</w:t>
      </w:r>
    </w:p>
    <w:p w14:paraId="0A4D3BBF" w14:textId="77777777" w:rsidR="00C171FB" w:rsidRDefault="00C171FB" w:rsidP="00C171FB">
      <w:pPr>
        <w:rPr>
          <w:b/>
        </w:rPr>
      </w:pPr>
    </w:p>
    <w:p w14:paraId="4FF9C7DB" w14:textId="05387A82" w:rsidR="00C171FB" w:rsidRPr="00C171FB" w:rsidRDefault="00C171FB" w:rsidP="00C171FB">
      <w:pPr>
        <w:rPr>
          <w:b/>
        </w:rPr>
      </w:pPr>
      <w:r>
        <w:rPr>
          <w:b/>
        </w:rPr>
        <w:t xml:space="preserve">Alternative contact name: </w:t>
      </w:r>
      <w:r w:rsidR="0094028E" w:rsidRPr="0094028E">
        <w:rPr>
          <w:b/>
          <w:highlight w:val="black"/>
        </w:rPr>
        <w:t>______________</w:t>
      </w:r>
    </w:p>
    <w:p w14:paraId="3C75029D"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6FF203A5" w14:textId="66B21001"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94028E" w:rsidRPr="0094028E">
        <w:rPr>
          <w:highlight w:val="black"/>
        </w:rPr>
        <w:t>____________</w:t>
      </w:r>
    </w:p>
    <w:p w14:paraId="3282BD24" w14:textId="639FBF05"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94028E" w:rsidRPr="0094028E">
        <w:rPr>
          <w:highlight w:val="black"/>
        </w:rPr>
        <w:t>____________</w:t>
      </w:r>
    </w:p>
    <w:p w14:paraId="5C9ECCA4" w14:textId="109D3C7F"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94028E" w:rsidRPr="0094028E">
        <w:rPr>
          <w:highlight w:val="black"/>
        </w:rPr>
        <w:t>________________</w:t>
      </w:r>
    </w:p>
    <w:p w14:paraId="531DA31E" w14:textId="77777777" w:rsidR="00C171FB" w:rsidRPr="00C171FB" w:rsidRDefault="00C171FB" w:rsidP="00C171FB"/>
    <w:p w14:paraId="3307932F" w14:textId="77777777" w:rsidR="00534C5F" w:rsidRPr="00154B00" w:rsidRDefault="00494011" w:rsidP="004A0BF4">
      <w:pPr>
        <w:pStyle w:val="Heading2"/>
      </w:pPr>
      <w:r>
        <w:t xml:space="preserve">(a) </w:t>
      </w:r>
      <w:r w:rsidR="00534C5F">
        <w:t>Are you a lobbyist acting on behalf of an Applicant?</w:t>
      </w:r>
    </w:p>
    <w:p w14:paraId="44A65162"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A95AB2">
        <w:rPr>
          <w:szCs w:val="20"/>
        </w:rPr>
      </w:r>
      <w:r w:rsidR="00A95AB2">
        <w:rPr>
          <w:szCs w:val="20"/>
        </w:rPr>
        <w:fldChar w:fldCharType="separate"/>
      </w:r>
      <w:r w:rsidRPr="00753C44">
        <w:rPr>
          <w:szCs w:val="20"/>
        </w:rPr>
        <w:fldChar w:fldCharType="end"/>
      </w:r>
      <w:r>
        <w:rPr>
          <w:szCs w:val="20"/>
        </w:rPr>
        <w:t xml:space="preserve"> Yes</w:t>
      </w:r>
    </w:p>
    <w:p w14:paraId="3B8CF83D" w14:textId="07B2D65C" w:rsidR="00A6491A" w:rsidRPr="00753C44" w:rsidRDefault="00CC3D1D" w:rsidP="00A6491A">
      <w:pPr>
        <w:spacing w:before="0" w:after="0"/>
        <w:ind w:left="426"/>
        <w:rPr>
          <w:szCs w:val="20"/>
        </w:rPr>
      </w:pPr>
      <w:r>
        <w:rPr>
          <w:szCs w:val="20"/>
        </w:rPr>
        <w:fldChar w:fldCharType="begin">
          <w:ffData>
            <w:name w:val=""/>
            <w:enabled/>
            <w:calcOnExit w:val="0"/>
            <w:checkBox>
              <w:sizeAuto/>
              <w:default w:val="1"/>
            </w:checkBox>
          </w:ffData>
        </w:fldChar>
      </w:r>
      <w:r w:rsidRPr="00CC3D1D">
        <w:rPr>
          <w:szCs w:val="20"/>
        </w:rPr>
        <w:instrText xml:space="preserve"> FORMCHECKBOX </w:instrText>
      </w:r>
      <w:r w:rsidR="00A95AB2">
        <w:rPr>
          <w:szCs w:val="20"/>
        </w:rPr>
      </w:r>
      <w:r w:rsidR="00A95AB2">
        <w:rPr>
          <w:szCs w:val="20"/>
        </w:rPr>
        <w:fldChar w:fldCharType="separate"/>
      </w:r>
      <w:r>
        <w:rPr>
          <w:szCs w:val="20"/>
        </w:rPr>
        <w:fldChar w:fldCharType="end"/>
      </w:r>
      <w:r w:rsidR="00A6491A">
        <w:rPr>
          <w:szCs w:val="20"/>
        </w:rPr>
        <w:t xml:space="preserve"> No</w:t>
      </w:r>
      <w:r w:rsidR="00A6491A" w:rsidRPr="00753C44">
        <w:rPr>
          <w:szCs w:val="20"/>
        </w:rPr>
        <w:t xml:space="preserve">  </w:t>
      </w:r>
    </w:p>
    <w:p w14:paraId="2A1C1B9F"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135C65FA"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A95AB2">
        <w:rPr>
          <w:szCs w:val="20"/>
        </w:rPr>
      </w:r>
      <w:r w:rsidR="00A95AB2">
        <w:rPr>
          <w:szCs w:val="20"/>
        </w:rPr>
        <w:fldChar w:fldCharType="separate"/>
      </w:r>
      <w:r w:rsidRPr="00753C44">
        <w:rPr>
          <w:szCs w:val="20"/>
        </w:rPr>
        <w:fldChar w:fldCharType="end"/>
      </w:r>
      <w:r>
        <w:rPr>
          <w:szCs w:val="20"/>
        </w:rPr>
        <w:t xml:space="preserve"> Yes</w:t>
      </w:r>
    </w:p>
    <w:p w14:paraId="5AC0D8AC"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95AB2">
        <w:rPr>
          <w:szCs w:val="20"/>
        </w:rPr>
      </w:r>
      <w:r w:rsidR="00A95AB2">
        <w:rPr>
          <w:szCs w:val="20"/>
        </w:rPr>
        <w:fldChar w:fldCharType="separate"/>
      </w:r>
      <w:r w:rsidRPr="00753C44">
        <w:rPr>
          <w:szCs w:val="20"/>
        </w:rPr>
        <w:fldChar w:fldCharType="end"/>
      </w:r>
      <w:r>
        <w:rPr>
          <w:szCs w:val="20"/>
        </w:rPr>
        <w:t xml:space="preserve"> No</w:t>
      </w:r>
      <w:r w:rsidRPr="00753C44">
        <w:rPr>
          <w:szCs w:val="20"/>
        </w:rPr>
        <w:t xml:space="preserve">  </w:t>
      </w:r>
    </w:p>
    <w:p w14:paraId="334528CF" w14:textId="77777777" w:rsidR="00E04FB3" w:rsidRDefault="00E04FB3" w:rsidP="005C333E">
      <w:pPr>
        <w:spacing w:before="0" w:after="0"/>
        <w:ind w:left="426"/>
        <w:rPr>
          <w:b/>
          <w:szCs w:val="20"/>
        </w:rPr>
      </w:pPr>
      <w:r w:rsidRPr="00154B00">
        <w:rPr>
          <w:b/>
          <w:szCs w:val="20"/>
        </w:rPr>
        <w:br w:type="page"/>
      </w:r>
    </w:p>
    <w:p w14:paraId="7F3B5D5E"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2379ECFD" w14:textId="77777777" w:rsidR="000B3CD0" w:rsidRDefault="000B3CD0" w:rsidP="00730C04">
      <w:pPr>
        <w:pStyle w:val="Heading2"/>
      </w:pPr>
      <w:r w:rsidRPr="00154B00">
        <w:t>Application title</w:t>
      </w:r>
      <w:r w:rsidR="00A8732C">
        <w:t xml:space="preserve"> </w:t>
      </w:r>
    </w:p>
    <w:p w14:paraId="178579E8" w14:textId="20A74085" w:rsidR="009056C5" w:rsidRPr="009056C5" w:rsidRDefault="0084676E" w:rsidP="00A6491A">
      <w:pPr>
        <w:ind w:left="284"/>
      </w:pPr>
      <w:r>
        <w:t>Proton beam therapy for</w:t>
      </w:r>
      <w:r w:rsidR="003764D4">
        <w:t xml:space="preserve"> paediatric and</w:t>
      </w:r>
      <w:r>
        <w:t xml:space="preserve"> </w:t>
      </w:r>
      <w:r w:rsidR="006A7620">
        <w:t>rare cancers</w:t>
      </w:r>
      <w:r w:rsidR="007A0526">
        <w:t>.</w:t>
      </w:r>
    </w:p>
    <w:p w14:paraId="76A28482"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53C25727" w14:textId="684A0DC4" w:rsidR="002C3345" w:rsidRDefault="0084676E" w:rsidP="00A6491A">
      <w:pPr>
        <w:ind w:left="284"/>
      </w:pPr>
      <w:r>
        <w:t>The proposed service is relevant to adults and children diagnosed with the certain cancer types. These are typically cancers of the central nervous system</w:t>
      </w:r>
      <w:r w:rsidR="00CC3D1D">
        <w:t xml:space="preserve"> and</w:t>
      </w:r>
      <w:r>
        <w:t xml:space="preserve"> in proximity to the axial skeleton.</w:t>
      </w:r>
      <w:r w:rsidR="007A0526">
        <w:t xml:space="preserve"> Proton beam therapy is particularly advantageous for paediatric and Adolescent and Young Adult (AYA) patient groups as it reduces the amount of radiation delivered to normal healthy tissue during the course of radiotherapy.</w:t>
      </w:r>
      <w:r w:rsidR="00F66BB6">
        <w:t xml:space="preserve"> This</w:t>
      </w:r>
      <w:r w:rsidR="00CC3D1D">
        <w:t xml:space="preserve"> </w:t>
      </w:r>
      <w:r w:rsidR="00F66BB6">
        <w:t>can have an impact on long term outcomes for these patients.</w:t>
      </w:r>
    </w:p>
    <w:p w14:paraId="7BFF0153" w14:textId="13681536" w:rsidR="00CC3D1D" w:rsidRPr="009056C5" w:rsidRDefault="00CC3D1D" w:rsidP="00A6491A">
      <w:pPr>
        <w:ind w:left="284"/>
      </w:pPr>
      <w:r>
        <w:t xml:space="preserve">Proton beam therapy has also been utilized for certain rare adult cancer types such as chordoma, chondrosarcoma and adenocarcinoma of the salivary and lacrimal glands. For these radioresistant cancers, proton beam therapy can be utilized to increase radiation dose to the cancer while maintaining a </w:t>
      </w:r>
      <w:r w:rsidR="009A510D">
        <w:t>lower or equivalent</w:t>
      </w:r>
      <w:r>
        <w:t xml:space="preserve"> dose to surrounding normal tissues when compared to conventional radiotherapy.</w:t>
      </w:r>
      <w:r w:rsidR="00DA782B">
        <w:t xml:space="preserve"> Potential dose reductions to surrounding tissues may also decrease the incidence of adverse events and the risk of complications.</w:t>
      </w:r>
    </w:p>
    <w:p w14:paraId="61964A9C"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104C1495" w14:textId="77777777" w:rsidR="00602615" w:rsidRDefault="0084676E" w:rsidP="00A6491A">
      <w:pPr>
        <w:ind w:left="284"/>
      </w:pPr>
      <w:r>
        <w:t>Proton beam therapy is a form of external beam radiotherapy.</w:t>
      </w:r>
      <w:r w:rsidR="00602615">
        <w:t xml:space="preserve"> It consists of a high energy particle accelerator, beam transport lines, rotating gantry structures, robotic patient positioning systems, and X-ray image guidance systems.</w:t>
      </w:r>
      <w:r>
        <w:t xml:space="preserve"> </w:t>
      </w:r>
      <w:r w:rsidR="00602615">
        <w:t>The</w:t>
      </w:r>
      <w:r>
        <w:t xml:space="preserve"> particle accelerator technology produce</w:t>
      </w:r>
      <w:r w:rsidR="00602615">
        <w:t>s</w:t>
      </w:r>
      <w:r>
        <w:t xml:space="preserve"> protons of</w:t>
      </w:r>
      <w:r w:rsidR="00602615">
        <w:t xml:space="preserve"> a</w:t>
      </w:r>
      <w:r>
        <w:t xml:space="preserve"> specific energy to be delivered to a cancer site within the body.</w:t>
      </w:r>
      <w:r w:rsidR="007A0526">
        <w:t xml:space="preserve"> The</w:t>
      </w:r>
      <w:r w:rsidR="00602615">
        <w:t xml:space="preserve"> rotating gantry allows the proton beam to be delivered at various angles around the body.</w:t>
      </w:r>
      <w:r w:rsidR="007A0526">
        <w:t xml:space="preserve"> X-ray image guidance ensure</w:t>
      </w:r>
      <w:r w:rsidR="00602615">
        <w:t>s</w:t>
      </w:r>
      <w:r w:rsidR="007A0526">
        <w:t xml:space="preserve"> the proton radiation is delivered to the intended location in the body. </w:t>
      </w:r>
    </w:p>
    <w:p w14:paraId="5DB91B89" w14:textId="5C464EDB" w:rsidR="00CB12EC" w:rsidRPr="00CB12EC" w:rsidRDefault="007A0526" w:rsidP="00A6491A">
      <w:pPr>
        <w:ind w:left="284"/>
      </w:pPr>
      <w:r>
        <w:t>The proton radiation interacts with patient tissues to damage DNA, inducing cell death. This is the equivalent mechanism by which conventional radiotherapy with X-rays works. Proton radiation allows for a greater differential in the radiation dose delivered to the tumour relative to surrounding healthy tissue than conventional radiotherapy with X-rays.</w:t>
      </w:r>
    </w:p>
    <w:p w14:paraId="216240F2"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51624626" w14:textId="2093FF82" w:rsidR="00753C44" w:rsidRDefault="00D968CF" w:rsidP="00A6491A">
      <w:pPr>
        <w:spacing w:before="0" w:after="0"/>
        <w:ind w:left="284"/>
        <w:rPr>
          <w:szCs w:val="20"/>
        </w:rPr>
      </w:pPr>
      <w:r>
        <w:rPr>
          <w:szCs w:val="20"/>
        </w:rPr>
        <w:fldChar w:fldCharType="begin">
          <w:ffData>
            <w:name w:val="Check1"/>
            <w:enabled/>
            <w:calcOnExit w:val="0"/>
            <w:checkBox>
              <w:sizeAuto/>
              <w:default w:val="1"/>
            </w:checkBox>
          </w:ffData>
        </w:fldChar>
      </w:r>
      <w:bookmarkStart w:id="1" w:name="Check1"/>
      <w:r w:rsidRPr="00D968CF">
        <w:rPr>
          <w:szCs w:val="20"/>
        </w:rPr>
        <w:instrText xml:space="preserve"> FORMCHECKBOX </w:instrText>
      </w:r>
      <w:r w:rsidR="00A95AB2">
        <w:rPr>
          <w:szCs w:val="20"/>
        </w:rPr>
      </w:r>
      <w:r w:rsidR="00A95AB2">
        <w:rPr>
          <w:szCs w:val="20"/>
        </w:rPr>
        <w:fldChar w:fldCharType="separate"/>
      </w:r>
      <w:r>
        <w:rPr>
          <w:szCs w:val="20"/>
        </w:rPr>
        <w:fldChar w:fldCharType="end"/>
      </w:r>
      <w:bookmarkEnd w:id="1"/>
      <w:r w:rsidR="006B6390">
        <w:rPr>
          <w:szCs w:val="20"/>
        </w:rPr>
        <w:t xml:space="preserve"> Yes</w:t>
      </w:r>
    </w:p>
    <w:p w14:paraId="422A0F86"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95AB2">
        <w:rPr>
          <w:szCs w:val="20"/>
        </w:rPr>
      </w:r>
      <w:r w:rsidR="00A95AB2">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62A25AD9"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09842880" w14:textId="77777777" w:rsidR="00753C44" w:rsidRDefault="006B6390" w:rsidP="00A6491A">
      <w:pPr>
        <w:spacing w:before="0" w:after="0"/>
        <w:ind w:left="284"/>
        <w:rPr>
          <w:szCs w:val="20"/>
        </w:rPr>
      </w:pPr>
      <w:r w:rsidRPr="00753C44">
        <w:rPr>
          <w:szCs w:val="20"/>
        </w:rPr>
        <w:lastRenderedPageBreak/>
        <w:fldChar w:fldCharType="begin">
          <w:ffData>
            <w:name w:val="Check2"/>
            <w:enabled/>
            <w:calcOnExit w:val="0"/>
            <w:checkBox>
              <w:sizeAuto/>
              <w:default w:val="0"/>
            </w:checkBox>
          </w:ffData>
        </w:fldChar>
      </w:r>
      <w:r w:rsidRPr="00753C44">
        <w:rPr>
          <w:szCs w:val="20"/>
        </w:rPr>
        <w:instrText xml:space="preserve"> FORMCHECKBOX </w:instrText>
      </w:r>
      <w:r w:rsidR="00A95AB2">
        <w:rPr>
          <w:szCs w:val="20"/>
        </w:rPr>
      </w:r>
      <w:r w:rsidR="00A95AB2">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2E127F08" w14:textId="5075B36D" w:rsidR="00753C44" w:rsidRPr="00753C44" w:rsidRDefault="00D968CF" w:rsidP="00A6491A">
      <w:pPr>
        <w:spacing w:before="0" w:after="0"/>
        <w:ind w:left="284"/>
        <w:rPr>
          <w:szCs w:val="20"/>
        </w:rPr>
      </w:pPr>
      <w:r>
        <w:rPr>
          <w:szCs w:val="20"/>
        </w:rPr>
        <w:fldChar w:fldCharType="begin">
          <w:ffData>
            <w:name w:val="Check2"/>
            <w:enabled/>
            <w:calcOnExit w:val="0"/>
            <w:checkBox>
              <w:sizeAuto/>
              <w:default w:val="1"/>
            </w:checkBox>
          </w:ffData>
        </w:fldChar>
      </w:r>
      <w:bookmarkStart w:id="2" w:name="Check2"/>
      <w:r w:rsidRPr="00D968CF">
        <w:rPr>
          <w:szCs w:val="20"/>
        </w:rPr>
        <w:instrText xml:space="preserve"> FORMCHECKBOX </w:instrText>
      </w:r>
      <w:r w:rsidR="00A95AB2">
        <w:rPr>
          <w:szCs w:val="20"/>
        </w:rPr>
      </w:r>
      <w:r w:rsidR="00A95AB2">
        <w:rPr>
          <w:szCs w:val="20"/>
        </w:rPr>
        <w:fldChar w:fldCharType="separate"/>
      </w:r>
      <w:r>
        <w:rPr>
          <w:szCs w:val="20"/>
        </w:rPr>
        <w:fldChar w:fldCharType="end"/>
      </w:r>
      <w:bookmarkEnd w:id="2"/>
      <w:r w:rsidR="006B6390">
        <w:rPr>
          <w:szCs w:val="20"/>
        </w:rPr>
        <w:t xml:space="preserve"> </w:t>
      </w:r>
      <w:r w:rsidR="00753C44" w:rsidRPr="00154B00">
        <w:rPr>
          <w:szCs w:val="20"/>
        </w:rPr>
        <w:t>New MBS item</w:t>
      </w:r>
      <w:r w:rsidR="00753C44">
        <w:rPr>
          <w:szCs w:val="20"/>
        </w:rPr>
        <w:t>(s)</w:t>
      </w:r>
    </w:p>
    <w:p w14:paraId="16A02928"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19578F71" w14:textId="4B6A2669" w:rsidR="003D795C" w:rsidRPr="00CB12EC" w:rsidRDefault="00DA782B" w:rsidP="00A6491A">
      <w:pPr>
        <w:ind w:left="284"/>
      </w:pPr>
      <w:r>
        <w:t>Not applicable.</w:t>
      </w:r>
    </w:p>
    <w:p w14:paraId="4F26A676"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18CCD07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5AB2">
        <w:rPr>
          <w:b/>
          <w:szCs w:val="20"/>
        </w:rPr>
      </w:r>
      <w:r w:rsidR="00A95AB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04671A2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5AB2">
        <w:rPr>
          <w:b/>
          <w:szCs w:val="20"/>
        </w:rPr>
      </w:r>
      <w:r w:rsidR="00A95AB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02636D1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5AB2">
        <w:rPr>
          <w:b/>
          <w:szCs w:val="20"/>
        </w:rPr>
      </w:r>
      <w:r w:rsidR="00A95AB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3B5BD44E"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5AB2">
        <w:rPr>
          <w:b/>
          <w:szCs w:val="20"/>
        </w:rPr>
      </w:r>
      <w:r w:rsidR="00A95AB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4CEC97D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5AB2">
        <w:rPr>
          <w:b/>
          <w:szCs w:val="20"/>
        </w:rPr>
      </w:r>
      <w:r w:rsidR="00A95AB2">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2B8A0C5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5AB2">
        <w:rPr>
          <w:b/>
          <w:szCs w:val="20"/>
        </w:rPr>
      </w:r>
      <w:r w:rsidR="00A95AB2">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6A083B6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5AB2">
        <w:rPr>
          <w:b/>
          <w:szCs w:val="20"/>
        </w:rPr>
      </w:r>
      <w:r w:rsidR="00A95AB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58DB911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5AB2">
        <w:rPr>
          <w:b/>
          <w:szCs w:val="20"/>
        </w:rPr>
      </w:r>
      <w:r w:rsidR="00A95AB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4AC49DE1" w14:textId="50B44CB3" w:rsidR="002A270B" w:rsidRPr="00557E71" w:rsidRDefault="004A263B" w:rsidP="00557E71">
      <w:pPr>
        <w:pStyle w:val="ListParagraph"/>
        <w:numPr>
          <w:ilvl w:val="0"/>
          <w:numId w:val="34"/>
        </w:numPr>
        <w:ind w:left="851" w:hanging="425"/>
        <w:rPr>
          <w:rFonts w:ascii="Calibri" w:eastAsia="Calibri" w:hAnsi="Calibri" w:cs="Times New Roman"/>
          <w:b/>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95AB2">
        <w:rPr>
          <w:b/>
          <w:szCs w:val="20"/>
        </w:rPr>
      </w:r>
      <w:r w:rsidR="00A95AB2">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73E98AFD"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61860C56"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A95AB2">
        <w:rPr>
          <w:b/>
          <w:szCs w:val="20"/>
        </w:rPr>
      </w:r>
      <w:r w:rsidR="00A95AB2">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6E9425F7" w14:textId="4B72F33E" w:rsidR="006B6390" w:rsidRPr="00AA2CFE" w:rsidRDefault="00D968CF"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sidRPr="00D968CF">
        <w:rPr>
          <w:b/>
          <w:szCs w:val="20"/>
        </w:rPr>
        <w:instrText xml:space="preserve"> FORMCHECKBOX </w:instrText>
      </w:r>
      <w:r w:rsidR="00A95AB2">
        <w:rPr>
          <w:b/>
          <w:szCs w:val="20"/>
        </w:rPr>
      </w:r>
      <w:r w:rsidR="00A95AB2">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4481760F"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A95AB2">
        <w:rPr>
          <w:b/>
          <w:szCs w:val="20"/>
        </w:rPr>
      </w:r>
      <w:r w:rsidR="00A95AB2">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359AE4B5"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A95AB2">
        <w:rPr>
          <w:b/>
          <w:szCs w:val="20"/>
        </w:rPr>
      </w:r>
      <w:r w:rsidR="00A95AB2">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1244C3A1"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7311C317"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sidRPr="000A5B32">
        <w:rPr>
          <w:szCs w:val="20"/>
        </w:rPr>
        <w:t xml:space="preserve"> Yes</w:t>
      </w:r>
    </w:p>
    <w:p w14:paraId="0B762DC3" w14:textId="7B4A22EF" w:rsidR="00626365" w:rsidRDefault="00D968CF" w:rsidP="00626365">
      <w:pPr>
        <w:spacing w:before="0" w:after="0"/>
        <w:ind w:left="284"/>
        <w:rPr>
          <w:szCs w:val="20"/>
        </w:rPr>
      </w:pPr>
      <w:r>
        <w:rPr>
          <w:szCs w:val="20"/>
        </w:rPr>
        <w:fldChar w:fldCharType="begin">
          <w:ffData>
            <w:name w:val=""/>
            <w:enabled/>
            <w:calcOnExit w:val="0"/>
            <w:checkBox>
              <w:sizeAuto/>
              <w:default w:val="1"/>
            </w:checkBox>
          </w:ffData>
        </w:fldChar>
      </w:r>
      <w:r w:rsidRPr="00D968CF">
        <w:rPr>
          <w:szCs w:val="20"/>
        </w:rPr>
        <w:instrText xml:space="preserve"> FORMCHECKBOX </w:instrText>
      </w:r>
      <w:r w:rsidR="00A95AB2">
        <w:rPr>
          <w:szCs w:val="20"/>
        </w:rPr>
      </w:r>
      <w:r w:rsidR="00A95AB2">
        <w:rPr>
          <w:szCs w:val="20"/>
        </w:rPr>
        <w:fldChar w:fldCharType="separate"/>
      </w:r>
      <w:r>
        <w:rPr>
          <w:szCs w:val="20"/>
        </w:rPr>
        <w:fldChar w:fldCharType="end"/>
      </w:r>
      <w:r w:rsidR="000A5B32" w:rsidRPr="000A5B32">
        <w:rPr>
          <w:szCs w:val="20"/>
        </w:rPr>
        <w:t xml:space="preserve"> No</w:t>
      </w:r>
    </w:p>
    <w:p w14:paraId="0639282C"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59C6C78C" w14:textId="77777777"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14:paraId="39E21C1A" w14:textId="77777777" w:rsidR="000B3CD0" w:rsidRDefault="000B3CD0" w:rsidP="00730C04">
      <w:pPr>
        <w:pStyle w:val="Heading2"/>
      </w:pPr>
      <w:r w:rsidRPr="00154B00">
        <w:t>What is the type of service:</w:t>
      </w:r>
    </w:p>
    <w:p w14:paraId="325CEDE8" w14:textId="4BCF8CA5" w:rsidR="00A6594E" w:rsidRDefault="00D968CF" w:rsidP="00A6491A">
      <w:pPr>
        <w:spacing w:before="0" w:after="0"/>
        <w:ind w:left="284"/>
      </w:pPr>
      <w:r>
        <w:rPr>
          <w:b/>
          <w:szCs w:val="20"/>
        </w:rPr>
        <w:fldChar w:fldCharType="begin">
          <w:ffData>
            <w:name w:val=""/>
            <w:enabled/>
            <w:calcOnExit w:val="0"/>
            <w:checkBox>
              <w:sizeAuto/>
              <w:default w:val="1"/>
            </w:checkBox>
          </w:ffData>
        </w:fldChar>
      </w:r>
      <w:r w:rsidRPr="00D968CF">
        <w:rPr>
          <w:b/>
          <w:szCs w:val="20"/>
        </w:rPr>
        <w:instrText xml:space="preserve"> FORMCHECKBOX </w:instrText>
      </w:r>
      <w:r w:rsidR="00A95AB2">
        <w:rPr>
          <w:b/>
          <w:szCs w:val="20"/>
        </w:rPr>
      </w:r>
      <w:r w:rsidR="00A95AB2">
        <w:rPr>
          <w:b/>
          <w:szCs w:val="20"/>
        </w:rPr>
        <w:fldChar w:fldCharType="separate"/>
      </w:r>
      <w:r>
        <w:rPr>
          <w:b/>
          <w:szCs w:val="20"/>
        </w:rPr>
        <w:fldChar w:fldCharType="end"/>
      </w:r>
      <w:r w:rsidR="00A6594E" w:rsidRPr="0027105F">
        <w:rPr>
          <w:b/>
          <w:szCs w:val="20"/>
        </w:rPr>
        <w:t xml:space="preserve"> </w:t>
      </w:r>
      <w:r w:rsidR="00A6594E">
        <w:t>Therapeutic medical service</w:t>
      </w:r>
    </w:p>
    <w:p w14:paraId="321FBCA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95AB2">
        <w:rPr>
          <w:b/>
          <w:szCs w:val="20"/>
        </w:rPr>
      </w:r>
      <w:r w:rsidR="00A95AB2">
        <w:rPr>
          <w:b/>
          <w:szCs w:val="20"/>
        </w:rPr>
        <w:fldChar w:fldCharType="separate"/>
      </w:r>
      <w:r w:rsidRPr="0027105F">
        <w:rPr>
          <w:b/>
          <w:szCs w:val="20"/>
        </w:rPr>
        <w:fldChar w:fldCharType="end"/>
      </w:r>
      <w:r w:rsidRPr="0027105F">
        <w:rPr>
          <w:b/>
          <w:szCs w:val="20"/>
        </w:rPr>
        <w:t xml:space="preserve"> </w:t>
      </w:r>
      <w:r>
        <w:t>Investigative medical service</w:t>
      </w:r>
    </w:p>
    <w:p w14:paraId="0695A85E"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95AB2">
        <w:rPr>
          <w:b/>
          <w:szCs w:val="20"/>
        </w:rPr>
      </w:r>
      <w:r w:rsidR="00A95AB2">
        <w:rPr>
          <w:b/>
          <w:szCs w:val="20"/>
        </w:rPr>
        <w:fldChar w:fldCharType="separate"/>
      </w:r>
      <w:r w:rsidRPr="0027105F">
        <w:rPr>
          <w:b/>
          <w:szCs w:val="20"/>
        </w:rPr>
        <w:fldChar w:fldCharType="end"/>
      </w:r>
      <w:r w:rsidRPr="0027105F">
        <w:rPr>
          <w:b/>
          <w:szCs w:val="20"/>
        </w:rPr>
        <w:t xml:space="preserve"> </w:t>
      </w:r>
      <w:r>
        <w:t>Single consultation medical service</w:t>
      </w:r>
    </w:p>
    <w:p w14:paraId="3668D32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95AB2">
        <w:rPr>
          <w:b/>
          <w:szCs w:val="20"/>
        </w:rPr>
      </w:r>
      <w:r w:rsidR="00A95AB2">
        <w:rPr>
          <w:b/>
          <w:szCs w:val="20"/>
        </w:rPr>
        <w:fldChar w:fldCharType="separate"/>
      </w:r>
      <w:r w:rsidRPr="0027105F">
        <w:rPr>
          <w:b/>
          <w:szCs w:val="20"/>
        </w:rPr>
        <w:fldChar w:fldCharType="end"/>
      </w:r>
      <w:r w:rsidRPr="0027105F">
        <w:rPr>
          <w:b/>
          <w:szCs w:val="20"/>
        </w:rPr>
        <w:t xml:space="preserve"> </w:t>
      </w:r>
      <w:r>
        <w:t>Global consultation medical service</w:t>
      </w:r>
    </w:p>
    <w:p w14:paraId="6E78363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95AB2">
        <w:rPr>
          <w:b/>
          <w:szCs w:val="20"/>
        </w:rPr>
      </w:r>
      <w:r w:rsidR="00A95AB2">
        <w:rPr>
          <w:b/>
          <w:szCs w:val="20"/>
        </w:rPr>
        <w:fldChar w:fldCharType="separate"/>
      </w:r>
      <w:r w:rsidRPr="0027105F">
        <w:rPr>
          <w:b/>
          <w:szCs w:val="20"/>
        </w:rPr>
        <w:fldChar w:fldCharType="end"/>
      </w:r>
      <w:r w:rsidRPr="0027105F">
        <w:rPr>
          <w:b/>
          <w:szCs w:val="20"/>
        </w:rPr>
        <w:t xml:space="preserve"> </w:t>
      </w:r>
      <w:r>
        <w:t>Allied health service</w:t>
      </w:r>
    </w:p>
    <w:p w14:paraId="14C4895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95AB2">
        <w:rPr>
          <w:b/>
          <w:szCs w:val="20"/>
        </w:rPr>
      </w:r>
      <w:r w:rsidR="00A95AB2">
        <w:rPr>
          <w:b/>
          <w:szCs w:val="20"/>
        </w:rPr>
        <w:fldChar w:fldCharType="separate"/>
      </w:r>
      <w:r w:rsidRPr="0027105F">
        <w:rPr>
          <w:b/>
          <w:szCs w:val="20"/>
        </w:rPr>
        <w:fldChar w:fldCharType="end"/>
      </w:r>
      <w:r w:rsidRPr="0027105F">
        <w:rPr>
          <w:b/>
          <w:szCs w:val="20"/>
        </w:rPr>
        <w:t xml:space="preserve"> </w:t>
      </w:r>
      <w:r>
        <w:t>Co-dependent technology</w:t>
      </w:r>
    </w:p>
    <w:p w14:paraId="52D497DB"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95AB2">
        <w:rPr>
          <w:b/>
          <w:szCs w:val="20"/>
        </w:rPr>
      </w:r>
      <w:r w:rsidR="00A95AB2">
        <w:rPr>
          <w:b/>
          <w:szCs w:val="20"/>
        </w:rPr>
        <w:fldChar w:fldCharType="separate"/>
      </w:r>
      <w:r w:rsidRPr="0027105F">
        <w:rPr>
          <w:b/>
          <w:szCs w:val="20"/>
        </w:rPr>
        <w:fldChar w:fldCharType="end"/>
      </w:r>
      <w:r w:rsidRPr="0027105F">
        <w:rPr>
          <w:b/>
          <w:szCs w:val="20"/>
        </w:rPr>
        <w:t xml:space="preserve"> </w:t>
      </w:r>
      <w:r>
        <w:t>Hybrid health technology</w:t>
      </w:r>
    </w:p>
    <w:p w14:paraId="40D28593" w14:textId="75706142" w:rsidR="0054594B" w:rsidRDefault="0054594B" w:rsidP="00730C04">
      <w:pPr>
        <w:pStyle w:val="Heading2"/>
      </w:pPr>
      <w:r w:rsidRPr="00154B00">
        <w:lastRenderedPageBreak/>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73501FC1" w14:textId="1D8E8C24" w:rsidR="006353D2" w:rsidRPr="006353D2" w:rsidRDefault="006353D2" w:rsidP="006353D2">
      <w:r>
        <w:t>Not applicable.</w:t>
      </w:r>
    </w:p>
    <w:p w14:paraId="675B2A26"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95AB2">
        <w:rPr>
          <w:b/>
          <w:szCs w:val="20"/>
        </w:rPr>
      </w:r>
      <w:r w:rsidR="00A95AB2">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2F6CD42A"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95AB2">
        <w:rPr>
          <w:b/>
          <w:szCs w:val="20"/>
        </w:rPr>
      </w:r>
      <w:r w:rsidR="00A95AB2">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7D14195C"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95AB2">
        <w:rPr>
          <w:b/>
          <w:szCs w:val="20"/>
        </w:rPr>
      </w:r>
      <w:r w:rsidR="00A95AB2">
        <w:rPr>
          <w:b/>
          <w:szCs w:val="20"/>
        </w:rPr>
        <w:fldChar w:fldCharType="separate"/>
      </w:r>
      <w:r w:rsidRPr="00AF4466">
        <w:rPr>
          <w:b/>
          <w:szCs w:val="20"/>
        </w:rPr>
        <w:fldChar w:fldCharType="end"/>
      </w:r>
      <w:r w:rsidRPr="00AF4466">
        <w:rPr>
          <w:b/>
          <w:szCs w:val="20"/>
        </w:rPr>
        <w:t xml:space="preserve"> </w:t>
      </w:r>
      <w:r>
        <w:t>Provides information about prognosis</w:t>
      </w:r>
    </w:p>
    <w:p w14:paraId="071DD0EB"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95AB2">
        <w:rPr>
          <w:b/>
          <w:szCs w:val="20"/>
        </w:rPr>
      </w:r>
      <w:r w:rsidR="00A95AB2">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1DE46977"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95AB2">
        <w:rPr>
          <w:b/>
          <w:szCs w:val="20"/>
        </w:rPr>
      </w:r>
      <w:r w:rsidR="00A95AB2">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5EAEC682"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72023F9E" w14:textId="3F77577B" w:rsidR="00FE16C1" w:rsidRDefault="00D968CF" w:rsidP="00A6491A">
      <w:pPr>
        <w:spacing w:before="0" w:after="0"/>
        <w:ind w:left="284"/>
      </w:pPr>
      <w:r>
        <w:rPr>
          <w:b/>
          <w:szCs w:val="20"/>
        </w:rPr>
        <w:fldChar w:fldCharType="begin">
          <w:ffData>
            <w:name w:val=""/>
            <w:enabled/>
            <w:calcOnExit w:val="0"/>
            <w:checkBox>
              <w:sizeAuto/>
              <w:default w:val="0"/>
            </w:checkBox>
          </w:ffData>
        </w:fldChar>
      </w:r>
      <w:r w:rsidRPr="00D968CF">
        <w:rPr>
          <w:b/>
          <w:szCs w:val="20"/>
        </w:rPr>
        <w:instrText xml:space="preserve"> FORMCHECKBOX </w:instrText>
      </w:r>
      <w:r w:rsidR="00A95AB2">
        <w:rPr>
          <w:b/>
          <w:szCs w:val="20"/>
        </w:rPr>
      </w:r>
      <w:r w:rsidR="00A95AB2">
        <w:rPr>
          <w:b/>
          <w:szCs w:val="20"/>
        </w:rPr>
        <w:fldChar w:fldCharType="separate"/>
      </w:r>
      <w:r>
        <w:rPr>
          <w:b/>
          <w:szCs w:val="20"/>
        </w:rPr>
        <w:fldChar w:fldCharType="end"/>
      </w:r>
      <w:r w:rsidR="00FE16C1" w:rsidRPr="0027105F">
        <w:rPr>
          <w:b/>
          <w:szCs w:val="20"/>
        </w:rPr>
        <w:t xml:space="preserve"> </w:t>
      </w:r>
      <w:r w:rsidR="00FE16C1">
        <w:t>Pharmaceutical / Biological</w:t>
      </w:r>
    </w:p>
    <w:p w14:paraId="5B4F7ACC" w14:textId="6BBC2313" w:rsidR="00FE16C1" w:rsidRDefault="005E7DB4" w:rsidP="00A6491A">
      <w:pPr>
        <w:spacing w:before="0" w:after="0"/>
        <w:ind w:left="284"/>
      </w:pPr>
      <w:r>
        <w:rPr>
          <w:b/>
          <w:szCs w:val="20"/>
        </w:rPr>
        <w:fldChar w:fldCharType="begin">
          <w:ffData>
            <w:name w:val=""/>
            <w:enabled/>
            <w:calcOnExit w:val="0"/>
            <w:checkBox>
              <w:sizeAuto/>
              <w:default w:val="1"/>
            </w:checkBox>
          </w:ffData>
        </w:fldChar>
      </w:r>
      <w:r w:rsidRPr="005E7DB4">
        <w:rPr>
          <w:b/>
          <w:szCs w:val="20"/>
        </w:rPr>
        <w:instrText xml:space="preserve"> FORMCHECKBOX </w:instrText>
      </w:r>
      <w:r w:rsidR="00A95AB2">
        <w:rPr>
          <w:b/>
          <w:szCs w:val="20"/>
        </w:rPr>
      </w:r>
      <w:r w:rsidR="00A95AB2">
        <w:rPr>
          <w:b/>
          <w:szCs w:val="20"/>
        </w:rPr>
        <w:fldChar w:fldCharType="separate"/>
      </w:r>
      <w:r>
        <w:rPr>
          <w:b/>
          <w:szCs w:val="20"/>
        </w:rPr>
        <w:fldChar w:fldCharType="end"/>
      </w:r>
      <w:r w:rsidR="00FE16C1" w:rsidRPr="0027105F">
        <w:rPr>
          <w:b/>
          <w:szCs w:val="20"/>
        </w:rPr>
        <w:t xml:space="preserve"> </w:t>
      </w:r>
      <w:r w:rsidR="00FE16C1">
        <w:t>Prosthesis or device</w:t>
      </w:r>
    </w:p>
    <w:p w14:paraId="1326BB41" w14:textId="57B14D62" w:rsidR="00FE16C1" w:rsidRDefault="005E7DB4" w:rsidP="00A6491A">
      <w:pPr>
        <w:spacing w:before="0" w:after="0"/>
        <w:ind w:left="284"/>
      </w:pPr>
      <w:r>
        <w:rPr>
          <w:b/>
          <w:szCs w:val="20"/>
        </w:rPr>
        <w:fldChar w:fldCharType="begin">
          <w:ffData>
            <w:name w:val=""/>
            <w:enabled/>
            <w:calcOnExit w:val="0"/>
            <w:checkBox>
              <w:sizeAuto/>
              <w:default w:val="0"/>
            </w:checkBox>
          </w:ffData>
        </w:fldChar>
      </w:r>
      <w:r w:rsidRPr="005E7DB4">
        <w:rPr>
          <w:b/>
          <w:szCs w:val="20"/>
        </w:rPr>
        <w:instrText xml:space="preserve"> FORMCHECKBOX </w:instrText>
      </w:r>
      <w:r w:rsidR="00A95AB2">
        <w:rPr>
          <w:b/>
          <w:szCs w:val="20"/>
        </w:rPr>
      </w:r>
      <w:r w:rsidR="00A95AB2">
        <w:rPr>
          <w:b/>
          <w:szCs w:val="20"/>
        </w:rPr>
        <w:fldChar w:fldCharType="separate"/>
      </w:r>
      <w:r>
        <w:rPr>
          <w:b/>
          <w:szCs w:val="20"/>
        </w:rPr>
        <w:fldChar w:fldCharType="end"/>
      </w:r>
      <w:r w:rsidR="00FE16C1" w:rsidRPr="0027105F">
        <w:rPr>
          <w:b/>
          <w:szCs w:val="20"/>
        </w:rPr>
        <w:t xml:space="preserve"> </w:t>
      </w:r>
      <w:r w:rsidR="00FE16C1">
        <w:t>No</w:t>
      </w:r>
    </w:p>
    <w:p w14:paraId="16079C31" w14:textId="04CA6DE3" w:rsidR="00602615" w:rsidRDefault="00602615" w:rsidP="00A6491A">
      <w:pPr>
        <w:spacing w:before="0" w:after="0"/>
        <w:ind w:left="284"/>
      </w:pPr>
    </w:p>
    <w:p w14:paraId="64E65044" w14:textId="0557132F" w:rsidR="009F4648" w:rsidRDefault="00411CCA" w:rsidP="00A6491A">
      <w:pPr>
        <w:spacing w:before="0" w:after="0"/>
        <w:ind w:left="284"/>
      </w:pPr>
      <w:r>
        <w:t>Both proton beam therapy and conventional radiotherapy</w:t>
      </w:r>
      <w:r w:rsidR="009F4648">
        <w:t xml:space="preserve"> require </w:t>
      </w:r>
      <w:r w:rsidR="00F15B49">
        <w:t>computed tomography imaging for the process of treatment planning. This activity is captured as an item number in the current application.</w:t>
      </w:r>
    </w:p>
    <w:p w14:paraId="387A783A" w14:textId="4B2EA155" w:rsidR="00602615" w:rsidRPr="00FE16C1" w:rsidRDefault="00AD0B90" w:rsidP="00A6491A">
      <w:pPr>
        <w:spacing w:before="0" w:after="0"/>
        <w:ind w:left="284"/>
      </w:pPr>
      <w:r>
        <w:t xml:space="preserve">Also, </w:t>
      </w:r>
      <w:r w:rsidR="00602615">
        <w:t xml:space="preserve">a course of </w:t>
      </w:r>
      <w:r>
        <w:t>cancer treatment</w:t>
      </w:r>
      <w:r w:rsidR="00602615">
        <w:t xml:space="preserve"> may include chemotherapy or immunotherapy in addition to radiotherapy. The same pharmaceutical agents would be used in proton beam therapy as conventional radiotherapy.</w:t>
      </w:r>
    </w:p>
    <w:p w14:paraId="4FEA699B" w14:textId="740EA0F5" w:rsidR="000E5439"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7041CD03" w14:textId="0788581B" w:rsidR="00336E41" w:rsidRPr="00336E41" w:rsidRDefault="00336E41" w:rsidP="00336E41">
      <w:r>
        <w:t>Not applicable</w:t>
      </w:r>
    </w:p>
    <w:p w14:paraId="6EE2339A" w14:textId="54C0C76C" w:rsidR="00FE16C1" w:rsidRDefault="00D968CF" w:rsidP="00A6491A">
      <w:pPr>
        <w:spacing w:before="0" w:after="0"/>
        <w:ind w:left="284"/>
        <w:rPr>
          <w:szCs w:val="20"/>
        </w:rPr>
      </w:pPr>
      <w:r>
        <w:rPr>
          <w:szCs w:val="20"/>
        </w:rPr>
        <w:fldChar w:fldCharType="begin">
          <w:ffData>
            <w:name w:val=""/>
            <w:enabled/>
            <w:calcOnExit w:val="0"/>
            <w:checkBox>
              <w:sizeAuto/>
              <w:default w:val="0"/>
            </w:checkBox>
          </w:ffData>
        </w:fldChar>
      </w:r>
      <w:r w:rsidRPr="00D968CF">
        <w:rPr>
          <w:szCs w:val="20"/>
        </w:rPr>
        <w:instrText xml:space="preserve"> FORMCHECKBOX </w:instrText>
      </w:r>
      <w:r w:rsidR="00A95AB2">
        <w:rPr>
          <w:szCs w:val="20"/>
        </w:rPr>
      </w:r>
      <w:r w:rsidR="00A95AB2">
        <w:rPr>
          <w:szCs w:val="20"/>
        </w:rPr>
        <w:fldChar w:fldCharType="separate"/>
      </w:r>
      <w:r>
        <w:rPr>
          <w:szCs w:val="20"/>
        </w:rPr>
        <w:fldChar w:fldCharType="end"/>
      </w:r>
      <w:r w:rsidR="00FE16C1" w:rsidRPr="000A5B32">
        <w:rPr>
          <w:szCs w:val="20"/>
        </w:rPr>
        <w:t xml:space="preserve"> Yes</w:t>
      </w:r>
    </w:p>
    <w:p w14:paraId="76E2820B"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No  </w:t>
      </w:r>
    </w:p>
    <w:p w14:paraId="6AA3DDCC"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2B80DA6A" w14:textId="584EB4EE" w:rsidR="007E39E4" w:rsidRPr="007E39E4" w:rsidRDefault="00F27D60" w:rsidP="00A6491A">
      <w:pPr>
        <w:ind w:left="284"/>
        <w:rPr>
          <w:b/>
          <w:szCs w:val="20"/>
        </w:rPr>
      </w:pPr>
      <w:r>
        <w:t>Not applicable</w:t>
      </w:r>
    </w:p>
    <w:p w14:paraId="0947DF4A"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254DD800"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366441BB"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sidR="001E6919">
        <w:rPr>
          <w:szCs w:val="20"/>
        </w:rPr>
        <w:t xml:space="preserve"> No</w:t>
      </w:r>
    </w:p>
    <w:p w14:paraId="3F3A7295" w14:textId="06E12A63" w:rsidR="001E6919" w:rsidRPr="007E39E4" w:rsidRDefault="00E21450" w:rsidP="00A6491A">
      <w:pPr>
        <w:spacing w:before="0" w:after="0"/>
        <w:ind w:left="284"/>
        <w:rPr>
          <w:szCs w:val="20"/>
        </w:rPr>
      </w:pPr>
      <w:r>
        <w:t>Not applicable</w:t>
      </w:r>
    </w:p>
    <w:p w14:paraId="404A9B31" w14:textId="0723B963"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008BBEE5" w14:textId="4922171E" w:rsidR="00E21450" w:rsidRPr="00E21450" w:rsidRDefault="00E21450" w:rsidP="00E21450">
      <w:pPr>
        <w:ind w:left="284"/>
      </w:pPr>
      <w:r>
        <w:t>Not appliable</w:t>
      </w:r>
    </w:p>
    <w:p w14:paraId="09307135" w14:textId="77777777" w:rsidR="001E6958" w:rsidRDefault="001E6958" w:rsidP="00A6491A">
      <w:pPr>
        <w:spacing w:before="0" w:after="0"/>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14:paraId="2273BFE5" w14:textId="77777777" w:rsidR="001E6958" w:rsidRPr="001E6958" w:rsidRDefault="001E6958" w:rsidP="00A6491A">
      <w:pPr>
        <w:spacing w:before="0" w:after="0"/>
        <w:ind w:left="284"/>
      </w:pPr>
      <w:r>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14:paraId="4D956C2A" w14:textId="3BDDBB15" w:rsidR="00B75965" w:rsidRDefault="00530204" w:rsidP="00530204">
      <w:pPr>
        <w:pStyle w:val="Heading2"/>
      </w:pPr>
      <w:r>
        <w:lastRenderedPageBreak/>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445EDEA8" w14:textId="4FA47587" w:rsidR="00E21450" w:rsidRPr="00E21450" w:rsidRDefault="00E21450" w:rsidP="00E21450">
      <w:pPr>
        <w:ind w:left="284"/>
      </w:pPr>
      <w:r>
        <w:t>Not applicable</w:t>
      </w:r>
    </w:p>
    <w:p w14:paraId="78635508"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sidRPr="000A5B32">
        <w:rPr>
          <w:szCs w:val="20"/>
        </w:rPr>
        <w:t xml:space="preserve"> Yes</w:t>
      </w:r>
    </w:p>
    <w:p w14:paraId="15C20294" w14:textId="77777777" w:rsidR="001E6958" w:rsidRDefault="001E6958"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No  </w:t>
      </w:r>
    </w:p>
    <w:p w14:paraId="30469A97" w14:textId="758A2936"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505BE358" w14:textId="01F0D53F" w:rsidR="00DB6FF9" w:rsidRPr="00DB6FF9" w:rsidRDefault="00DB6FF9" w:rsidP="00DB6FF9">
      <w:pPr>
        <w:ind w:left="284"/>
      </w:pPr>
      <w:r>
        <w:t>Not applicable</w:t>
      </w:r>
    </w:p>
    <w:p w14:paraId="1FA5717E" w14:textId="77777777"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28FFB210" w14:textId="77777777"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745EC7A2" w14:textId="77777777"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731D780D" w14:textId="77777777"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14:paraId="4C9381A2" w14:textId="77777777" w:rsidR="009939DC" w:rsidRDefault="009939DC" w:rsidP="009939DC"/>
    <w:p w14:paraId="51E107E1" w14:textId="68B81493"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78FA4D53" w14:textId="39924AA2" w:rsidR="00242F51" w:rsidRPr="00242F51" w:rsidRDefault="00242F51" w:rsidP="00242F51">
      <w:pPr>
        <w:ind w:left="284"/>
      </w:pPr>
      <w:r>
        <w:t>Not applicable.</w:t>
      </w:r>
    </w:p>
    <w:p w14:paraId="40F82F62"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sidRPr="000A5B32">
        <w:rPr>
          <w:szCs w:val="20"/>
        </w:rPr>
        <w:t xml:space="preserve"> Yes</w:t>
      </w:r>
    </w:p>
    <w:p w14:paraId="0C3EAAFB"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No  </w:t>
      </w:r>
    </w:p>
    <w:p w14:paraId="5B3213A2" w14:textId="3C45EF5C" w:rsidR="00016B6E"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61FC7356" w14:textId="6BE1DC01" w:rsidR="00242F51" w:rsidRPr="00242F51" w:rsidRDefault="00242F51" w:rsidP="00242F51">
      <w:pPr>
        <w:ind w:left="284"/>
      </w:pPr>
      <w:r>
        <w:t>Not applicable.</w:t>
      </w:r>
    </w:p>
    <w:p w14:paraId="2B280D63"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sidRPr="000A5B32">
        <w:rPr>
          <w:szCs w:val="20"/>
        </w:rPr>
        <w:t xml:space="preserve"> Yes</w:t>
      </w:r>
    </w:p>
    <w:p w14:paraId="3A965925"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No  </w:t>
      </w:r>
    </w:p>
    <w:p w14:paraId="34E6B38A"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11827978" w14:textId="77777777"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14:paraId="557ABD3F"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39A7BC3F" w14:textId="2A41DD60" w:rsidR="00A5230F" w:rsidRDefault="009939DC" w:rsidP="00A6491A">
      <w:pPr>
        <w:spacing w:before="0" w:after="0"/>
        <w:ind w:left="284"/>
      </w:pPr>
      <w:r>
        <w:t>Single use consumables</w:t>
      </w:r>
      <w:r w:rsidR="00A5230F">
        <w:t xml:space="preserve"> (treatment course consumable)</w:t>
      </w:r>
      <w:r>
        <w:t xml:space="preserve">: </w:t>
      </w:r>
    </w:p>
    <w:p w14:paraId="60BAECC1" w14:textId="2A0C2044" w:rsidR="009939DC" w:rsidRDefault="00A5230F" w:rsidP="00A5230F">
      <w:pPr>
        <w:pStyle w:val="ListParagraph"/>
        <w:numPr>
          <w:ilvl w:val="0"/>
          <w:numId w:val="40"/>
        </w:numPr>
        <w:spacing w:before="0" w:after="0"/>
      </w:pPr>
      <w:r>
        <w:t>Patient immobilisation devices</w:t>
      </w:r>
    </w:p>
    <w:p w14:paraId="2E3E9A5C" w14:textId="13102811" w:rsidR="00A5230F" w:rsidRDefault="00A5230F" w:rsidP="00A5230F">
      <w:pPr>
        <w:pStyle w:val="ListParagraph"/>
        <w:numPr>
          <w:ilvl w:val="1"/>
          <w:numId w:val="40"/>
        </w:numPr>
        <w:spacing w:before="0" w:after="0"/>
      </w:pPr>
      <w:r>
        <w:t>Vacuum bags</w:t>
      </w:r>
    </w:p>
    <w:p w14:paraId="6DDDD8E2" w14:textId="546F6D5C" w:rsidR="00A5230F" w:rsidRDefault="00A5230F" w:rsidP="00A5230F">
      <w:pPr>
        <w:pStyle w:val="ListParagraph"/>
        <w:numPr>
          <w:ilvl w:val="1"/>
          <w:numId w:val="40"/>
        </w:numPr>
        <w:spacing w:before="0" w:after="0"/>
      </w:pPr>
      <w:r>
        <w:t>Head and neck masks</w:t>
      </w:r>
    </w:p>
    <w:p w14:paraId="51C34C08" w14:textId="79C86091" w:rsidR="00A5230F" w:rsidRDefault="00A5230F" w:rsidP="00A5230F">
      <w:pPr>
        <w:pStyle w:val="ListParagraph"/>
        <w:numPr>
          <w:ilvl w:val="0"/>
          <w:numId w:val="40"/>
        </w:numPr>
        <w:spacing w:before="0" w:after="0"/>
      </w:pPr>
      <w:r>
        <w:t>Bolus</w:t>
      </w:r>
      <w:r w:rsidR="009E3B03">
        <w:t xml:space="preserve"> for </w:t>
      </w:r>
      <w:r w:rsidR="00E8373D">
        <w:t>skin dose</w:t>
      </w:r>
    </w:p>
    <w:p w14:paraId="584EAC1C" w14:textId="48B9AB97" w:rsidR="00A5230F" w:rsidRDefault="00A5230F" w:rsidP="00A5230F">
      <w:pPr>
        <w:pStyle w:val="ListParagraph"/>
        <w:numPr>
          <w:ilvl w:val="0"/>
          <w:numId w:val="40"/>
        </w:numPr>
        <w:spacing w:before="0" w:after="0"/>
      </w:pPr>
      <w:r>
        <w:t>Patient skin markers</w:t>
      </w:r>
    </w:p>
    <w:p w14:paraId="15F892F4" w14:textId="3057BB5C" w:rsidR="00781D54" w:rsidRDefault="0022253F" w:rsidP="00A5230F">
      <w:pPr>
        <w:pStyle w:val="ListParagraph"/>
        <w:numPr>
          <w:ilvl w:val="0"/>
          <w:numId w:val="40"/>
        </w:numPr>
        <w:spacing w:before="0" w:after="0"/>
      </w:pPr>
      <w:r>
        <w:t>Contrast agent for planning CT</w:t>
      </w:r>
    </w:p>
    <w:p w14:paraId="01466BA0" w14:textId="7304C9EA" w:rsidR="00A5230F" w:rsidRDefault="009939DC" w:rsidP="00AF0B97">
      <w:pPr>
        <w:spacing w:before="240" w:after="0"/>
        <w:ind w:left="284"/>
      </w:pPr>
      <w:r>
        <w:t>Multi-use consumables:</w:t>
      </w:r>
      <w:r w:rsidRPr="009939DC">
        <w:t xml:space="preserve"> </w:t>
      </w:r>
    </w:p>
    <w:p w14:paraId="00FB7835" w14:textId="3FA56FD9" w:rsidR="00A5230F" w:rsidRDefault="00A5230F" w:rsidP="00A5230F">
      <w:pPr>
        <w:pStyle w:val="ListParagraph"/>
        <w:numPr>
          <w:ilvl w:val="0"/>
          <w:numId w:val="42"/>
        </w:numPr>
        <w:spacing w:before="0" w:after="0"/>
      </w:pPr>
      <w:r>
        <w:t>Gowns</w:t>
      </w:r>
    </w:p>
    <w:p w14:paraId="48C0AB3A" w14:textId="252C67CF" w:rsidR="00A5230F" w:rsidRDefault="00A5230F" w:rsidP="00A5230F">
      <w:pPr>
        <w:pStyle w:val="ListParagraph"/>
        <w:numPr>
          <w:ilvl w:val="0"/>
          <w:numId w:val="42"/>
        </w:numPr>
        <w:spacing w:before="0" w:after="0"/>
      </w:pPr>
      <w:r>
        <w:t>Table sheets</w:t>
      </w:r>
    </w:p>
    <w:p w14:paraId="38BFC415"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2FD22B61"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2CD6E23C" w14:textId="262E795B"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D968CF">
        <w:t>Proton</w:t>
      </w:r>
      <w:r w:rsidR="007A0526">
        <w:t xml:space="preserve"> beam</w:t>
      </w:r>
      <w:r w:rsidR="00D968CF">
        <w:t xml:space="preserve"> therapy system</w:t>
      </w:r>
    </w:p>
    <w:p w14:paraId="4AB1E1E7" w14:textId="2D51FC86" w:rsidR="00A26343" w:rsidRPr="00A26343" w:rsidRDefault="00A26343" w:rsidP="00A6491A">
      <w:pPr>
        <w:spacing w:before="0" w:after="0"/>
        <w:ind w:left="284"/>
        <w:rPr>
          <w:szCs w:val="20"/>
        </w:rPr>
      </w:pPr>
      <w:r w:rsidRPr="00A26343">
        <w:rPr>
          <w:szCs w:val="20"/>
        </w:rPr>
        <w:t>Manufacturer’s name</w:t>
      </w:r>
      <w:r>
        <w:rPr>
          <w:szCs w:val="20"/>
        </w:rPr>
        <w:t xml:space="preserve">: </w:t>
      </w:r>
      <w:r w:rsidR="0094028E" w:rsidRPr="0094028E">
        <w:rPr>
          <w:szCs w:val="20"/>
          <w:highlight w:val="black"/>
        </w:rPr>
        <w:t>_____________</w:t>
      </w:r>
    </w:p>
    <w:p w14:paraId="2534270C" w14:textId="011CD613" w:rsidR="00A26343" w:rsidRPr="00A26343" w:rsidRDefault="00A26343" w:rsidP="00A6491A">
      <w:pPr>
        <w:spacing w:before="0" w:after="0"/>
        <w:ind w:left="284"/>
        <w:rPr>
          <w:szCs w:val="20"/>
        </w:rPr>
      </w:pPr>
      <w:r w:rsidRPr="00A26343">
        <w:rPr>
          <w:szCs w:val="20"/>
        </w:rPr>
        <w:t>Sponsor’s name</w:t>
      </w:r>
      <w:r>
        <w:rPr>
          <w:szCs w:val="20"/>
        </w:rPr>
        <w:t xml:space="preserve">: </w:t>
      </w:r>
      <w:r w:rsidR="007A0526">
        <w:t>S</w:t>
      </w:r>
      <w:r w:rsidR="00A5230F">
        <w:t>outh Australian Health and Medical Research Institute</w:t>
      </w:r>
      <w:r w:rsidR="00801A05">
        <w:t xml:space="preserve"> Limited</w:t>
      </w:r>
    </w:p>
    <w:p w14:paraId="5CCABFD0"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692D8133"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sidRPr="000A5B32">
        <w:rPr>
          <w:szCs w:val="20"/>
        </w:rPr>
        <w:t xml:space="preserve"> </w:t>
      </w:r>
      <w:r w:rsidRPr="00615F42">
        <w:rPr>
          <w:szCs w:val="20"/>
        </w:rPr>
        <w:t>Class III</w:t>
      </w:r>
    </w:p>
    <w:p w14:paraId="11C27E49"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sidRPr="000A5B32">
        <w:rPr>
          <w:szCs w:val="20"/>
        </w:rPr>
        <w:t xml:space="preserve"> </w:t>
      </w:r>
      <w:r w:rsidRPr="00615F42">
        <w:rPr>
          <w:szCs w:val="20"/>
        </w:rPr>
        <w:t>AIMD</w:t>
      </w:r>
    </w:p>
    <w:p w14:paraId="6D737A8D" w14:textId="2BF7B424" w:rsidR="005E2CE3" w:rsidRPr="00154B00" w:rsidRDefault="00D968CF" w:rsidP="00A6491A">
      <w:pPr>
        <w:spacing w:before="0" w:after="0"/>
        <w:ind w:left="284"/>
        <w:rPr>
          <w:szCs w:val="20"/>
        </w:rPr>
      </w:pPr>
      <w:r>
        <w:rPr>
          <w:szCs w:val="20"/>
        </w:rPr>
        <w:fldChar w:fldCharType="begin">
          <w:ffData>
            <w:name w:val=""/>
            <w:enabled/>
            <w:calcOnExit w:val="0"/>
            <w:checkBox>
              <w:sizeAuto/>
              <w:default w:val="1"/>
            </w:checkBox>
          </w:ffData>
        </w:fldChar>
      </w:r>
      <w:r w:rsidRPr="00D968CF">
        <w:rPr>
          <w:szCs w:val="20"/>
        </w:rPr>
        <w:instrText xml:space="preserve"> FORMCHECKBOX </w:instrText>
      </w:r>
      <w:r w:rsidR="00A95AB2">
        <w:rPr>
          <w:szCs w:val="20"/>
        </w:rPr>
      </w:r>
      <w:r w:rsidR="00A95AB2">
        <w:rPr>
          <w:szCs w:val="20"/>
        </w:rPr>
        <w:fldChar w:fldCharType="separate"/>
      </w:r>
      <w:r>
        <w:rPr>
          <w:szCs w:val="20"/>
        </w:rPr>
        <w:fldChar w:fldCharType="end"/>
      </w:r>
      <w:r w:rsidR="00615F42" w:rsidRPr="000A5B32">
        <w:rPr>
          <w:szCs w:val="20"/>
        </w:rPr>
        <w:t xml:space="preserve"> </w:t>
      </w:r>
      <w:r w:rsidR="00615F42" w:rsidRPr="00615F42">
        <w:rPr>
          <w:szCs w:val="20"/>
        </w:rPr>
        <w:t>N/A</w:t>
      </w:r>
    </w:p>
    <w:p w14:paraId="023170BB"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3DBE7300"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4E4EA244" w14:textId="29347370" w:rsidR="003421AE" w:rsidRPr="00615F42" w:rsidRDefault="00D968CF" w:rsidP="00A6491A">
      <w:pPr>
        <w:spacing w:before="0" w:after="0"/>
        <w:ind w:left="284"/>
        <w:rPr>
          <w:b/>
          <w:szCs w:val="20"/>
        </w:rPr>
      </w:pPr>
      <w:r>
        <w:rPr>
          <w:szCs w:val="20"/>
        </w:rPr>
        <w:fldChar w:fldCharType="begin">
          <w:ffData>
            <w:name w:val=""/>
            <w:enabled/>
            <w:calcOnExit w:val="0"/>
            <w:checkBox>
              <w:sizeAuto/>
              <w:default w:val="1"/>
            </w:checkBox>
          </w:ffData>
        </w:fldChar>
      </w:r>
      <w:r w:rsidRPr="00D968CF">
        <w:rPr>
          <w:szCs w:val="20"/>
        </w:rPr>
        <w:instrText xml:space="preserve"> FORMCHECKBOX </w:instrText>
      </w:r>
      <w:r w:rsidR="00A95AB2">
        <w:rPr>
          <w:szCs w:val="20"/>
        </w:rPr>
      </w:r>
      <w:r w:rsidR="00A95AB2">
        <w:rPr>
          <w:szCs w:val="20"/>
        </w:rPr>
        <w:fldChar w:fldCharType="separate"/>
      </w:r>
      <w:r>
        <w:rPr>
          <w:szCs w:val="20"/>
        </w:rPr>
        <w:fldChar w:fldCharType="end"/>
      </w:r>
      <w:r w:rsidR="00615F42">
        <w:rPr>
          <w:szCs w:val="20"/>
        </w:rPr>
        <w:t xml:space="preserve"> No</w:t>
      </w:r>
    </w:p>
    <w:p w14:paraId="39B3DE53"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4464E4E7"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Yes (if yes, please provide details below)</w:t>
      </w:r>
    </w:p>
    <w:p w14:paraId="6DAE4815" w14:textId="6621D246" w:rsidR="0043654D" w:rsidRDefault="00D968CF" w:rsidP="0043654D">
      <w:pPr>
        <w:spacing w:before="0" w:after="0"/>
        <w:ind w:left="284"/>
        <w:rPr>
          <w:szCs w:val="20"/>
        </w:rPr>
      </w:pPr>
      <w:r>
        <w:rPr>
          <w:szCs w:val="20"/>
        </w:rPr>
        <w:fldChar w:fldCharType="begin">
          <w:ffData>
            <w:name w:val=""/>
            <w:enabled/>
            <w:calcOnExit w:val="0"/>
            <w:checkBox>
              <w:sizeAuto/>
              <w:default w:val="1"/>
            </w:checkBox>
          </w:ffData>
        </w:fldChar>
      </w:r>
      <w:r w:rsidRPr="00D968CF">
        <w:rPr>
          <w:szCs w:val="20"/>
        </w:rPr>
        <w:instrText xml:space="preserve"> FORMCHECKBOX </w:instrText>
      </w:r>
      <w:r w:rsidR="00A95AB2">
        <w:rPr>
          <w:szCs w:val="20"/>
        </w:rPr>
      </w:r>
      <w:r w:rsidR="00A95AB2">
        <w:rPr>
          <w:szCs w:val="20"/>
        </w:rPr>
        <w:fldChar w:fldCharType="separate"/>
      </w:r>
      <w:r>
        <w:rPr>
          <w:szCs w:val="20"/>
        </w:rPr>
        <w:fldChar w:fldCharType="end"/>
      </w:r>
      <w:r w:rsidR="0043654D">
        <w:rPr>
          <w:szCs w:val="20"/>
        </w:rPr>
        <w:t xml:space="preserve"> No</w:t>
      </w:r>
    </w:p>
    <w:p w14:paraId="5210497C" w14:textId="77777777" w:rsidR="0043654D" w:rsidRPr="00615F42" w:rsidRDefault="0043654D" w:rsidP="0043654D">
      <w:pPr>
        <w:spacing w:before="0" w:after="0"/>
        <w:ind w:left="284"/>
        <w:rPr>
          <w:b/>
          <w:szCs w:val="20"/>
        </w:rPr>
      </w:pPr>
    </w:p>
    <w:p w14:paraId="55DFFDA0" w14:textId="77777777"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fldChar w:fldCharType="begin">
          <w:ffData>
            <w:name w:val=""/>
            <w:enabled/>
            <w:calcOnExit w:val="0"/>
            <w:textInput>
              <w:default w:val="Insert ARTG number here"/>
            </w:textInput>
          </w:ffData>
        </w:fldChar>
      </w:r>
      <w:r>
        <w:instrText xml:space="preserve"> FORMTEXT </w:instrText>
      </w:r>
      <w:r>
        <w:fldChar w:fldCharType="separate"/>
      </w:r>
      <w:r>
        <w:rPr>
          <w:noProof/>
        </w:rPr>
        <w:t>Insert ARTG number here</w:t>
      </w:r>
      <w:r>
        <w:fldChar w:fldCharType="end"/>
      </w:r>
    </w:p>
    <w:p w14:paraId="0D11CC54" w14:textId="7777777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fldChar w:fldCharType="begin">
          <w:ffData>
            <w:name w:val=""/>
            <w:enabled/>
            <w:calcOnExit w:val="0"/>
            <w:textInput>
              <w:default w:val="Insert approved indication(s) here"/>
            </w:textInput>
          </w:ffData>
        </w:fldChar>
      </w:r>
      <w:r>
        <w:instrText xml:space="preserve"> FORMTEXT </w:instrText>
      </w:r>
      <w:r>
        <w:fldChar w:fldCharType="separate"/>
      </w:r>
      <w:r>
        <w:rPr>
          <w:noProof/>
        </w:rPr>
        <w:t>Insert approved indication(s) here</w:t>
      </w:r>
      <w:r>
        <w:fldChar w:fldCharType="end"/>
      </w:r>
    </w:p>
    <w:p w14:paraId="7ED866E3" w14:textId="77777777"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r>
        <w:fldChar w:fldCharType="begin">
          <w:ffData>
            <w:name w:val=""/>
            <w:enabled/>
            <w:calcOnExit w:val="0"/>
            <w:textInput>
              <w:default w:val="Insert approved purpose(s) here"/>
            </w:textInput>
          </w:ffData>
        </w:fldChar>
      </w:r>
      <w:r>
        <w:instrText xml:space="preserve"> FORMTEXT </w:instrText>
      </w:r>
      <w:r>
        <w:fldChar w:fldCharType="separate"/>
      </w:r>
      <w:r>
        <w:rPr>
          <w:noProof/>
        </w:rPr>
        <w:t>Insert approved purpose(s) here</w:t>
      </w:r>
      <w:r>
        <w:fldChar w:fldCharType="end"/>
      </w:r>
    </w:p>
    <w:p w14:paraId="4EF01165"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6AD81E24"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Yes (please provide details below)</w:t>
      </w:r>
    </w:p>
    <w:p w14:paraId="00092BBD" w14:textId="66783726" w:rsidR="0047581D" w:rsidRDefault="00D968CF" w:rsidP="0047581D">
      <w:pPr>
        <w:spacing w:before="0" w:after="0"/>
        <w:ind w:left="284"/>
        <w:rPr>
          <w:szCs w:val="20"/>
        </w:rPr>
      </w:pPr>
      <w:r>
        <w:rPr>
          <w:szCs w:val="20"/>
        </w:rPr>
        <w:fldChar w:fldCharType="begin">
          <w:ffData>
            <w:name w:val=""/>
            <w:enabled/>
            <w:calcOnExit w:val="0"/>
            <w:checkBox>
              <w:sizeAuto/>
              <w:default w:val="1"/>
            </w:checkBox>
          </w:ffData>
        </w:fldChar>
      </w:r>
      <w:r w:rsidRPr="00D968CF">
        <w:rPr>
          <w:szCs w:val="20"/>
        </w:rPr>
        <w:instrText xml:space="preserve"> FORMCHECKBOX </w:instrText>
      </w:r>
      <w:r w:rsidR="00A95AB2">
        <w:rPr>
          <w:szCs w:val="20"/>
        </w:rPr>
      </w:r>
      <w:r w:rsidR="00A95AB2">
        <w:rPr>
          <w:szCs w:val="20"/>
        </w:rPr>
        <w:fldChar w:fldCharType="separate"/>
      </w:r>
      <w:r>
        <w:rPr>
          <w:szCs w:val="20"/>
        </w:rPr>
        <w:fldChar w:fldCharType="end"/>
      </w:r>
      <w:r w:rsidR="0047581D">
        <w:rPr>
          <w:szCs w:val="20"/>
        </w:rPr>
        <w:t xml:space="preserve"> No</w:t>
      </w:r>
    </w:p>
    <w:p w14:paraId="7ADFB16C" w14:textId="77777777" w:rsidR="0047581D" w:rsidRDefault="0047581D" w:rsidP="0047581D">
      <w:pPr>
        <w:spacing w:before="0" w:after="0"/>
        <w:rPr>
          <w:b/>
          <w:szCs w:val="20"/>
        </w:rPr>
      </w:pPr>
    </w:p>
    <w:p w14:paraId="72A66C2D" w14:textId="77777777" w:rsidR="0047581D" w:rsidRPr="0047581D" w:rsidRDefault="0047581D" w:rsidP="0047581D">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7590F035"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545C16D1" w14:textId="77777777"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6BE4299D"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14:paraId="2B1D5623"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14:paraId="1F7E37FC" w14:textId="77777777" w:rsidR="00C0796F" w:rsidRPr="000A110D" w:rsidRDefault="000A110D" w:rsidP="00530204">
      <w:pPr>
        <w:pStyle w:val="Heading2"/>
      </w:pPr>
      <w:r>
        <w:lastRenderedPageBreak/>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48368C06" w14:textId="46FDDE90" w:rsidR="000A110D" w:rsidRDefault="00D968CF" w:rsidP="000A110D">
      <w:pPr>
        <w:spacing w:before="0" w:after="0"/>
        <w:ind w:left="284"/>
        <w:rPr>
          <w:szCs w:val="20"/>
        </w:rPr>
      </w:pPr>
      <w:r>
        <w:rPr>
          <w:szCs w:val="20"/>
        </w:rPr>
        <w:fldChar w:fldCharType="begin">
          <w:ffData>
            <w:name w:val=""/>
            <w:enabled/>
            <w:calcOnExit w:val="0"/>
            <w:checkBox>
              <w:sizeAuto/>
              <w:default w:val="1"/>
            </w:checkBox>
          </w:ffData>
        </w:fldChar>
      </w:r>
      <w:r w:rsidRPr="00D968CF">
        <w:rPr>
          <w:szCs w:val="20"/>
        </w:rPr>
        <w:instrText xml:space="preserve"> FORMCHECKBOX </w:instrText>
      </w:r>
      <w:r w:rsidR="00A95AB2">
        <w:rPr>
          <w:szCs w:val="20"/>
        </w:rPr>
      </w:r>
      <w:r w:rsidR="00A95AB2">
        <w:rPr>
          <w:szCs w:val="20"/>
        </w:rPr>
        <w:fldChar w:fldCharType="separate"/>
      </w:r>
      <w:r>
        <w:rPr>
          <w:szCs w:val="20"/>
        </w:rPr>
        <w:fldChar w:fldCharType="end"/>
      </w:r>
      <w:r w:rsidR="000A110D">
        <w:rPr>
          <w:szCs w:val="20"/>
        </w:rPr>
        <w:t xml:space="preserve"> Yes (please provide details below)</w:t>
      </w:r>
    </w:p>
    <w:p w14:paraId="6FA694F9"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No</w:t>
      </w:r>
    </w:p>
    <w:p w14:paraId="64AE09A5" w14:textId="77777777" w:rsidR="000A110D" w:rsidRDefault="000A110D" w:rsidP="00971EDB">
      <w:pPr>
        <w:spacing w:before="0" w:after="0"/>
        <w:rPr>
          <w:szCs w:val="20"/>
        </w:rPr>
      </w:pPr>
    </w:p>
    <w:p w14:paraId="03B4DC15" w14:textId="4C3E96EE" w:rsidR="00971EDB" w:rsidRPr="00971EDB" w:rsidRDefault="00971EDB" w:rsidP="00971EDB">
      <w:pPr>
        <w:spacing w:before="0" w:after="0"/>
        <w:rPr>
          <w:szCs w:val="20"/>
        </w:rPr>
      </w:pPr>
      <w:r w:rsidRPr="00971EDB">
        <w:rPr>
          <w:szCs w:val="20"/>
        </w:rPr>
        <w:t>Estimated date of submission to TGA</w:t>
      </w:r>
      <w:r>
        <w:rPr>
          <w:szCs w:val="20"/>
        </w:rPr>
        <w:t xml:space="preserve">:  </w:t>
      </w:r>
      <w:r w:rsidR="00472AE8">
        <w:t>1</w:t>
      </w:r>
      <w:r w:rsidR="00D23C9D">
        <w:t>/</w:t>
      </w:r>
      <w:r w:rsidR="00472AE8">
        <w:t>7</w:t>
      </w:r>
      <w:r w:rsidR="00D23C9D">
        <w:t>/2020</w:t>
      </w:r>
    </w:p>
    <w:p w14:paraId="4C6BBCA3" w14:textId="3CAAD969" w:rsidR="00971EDB" w:rsidRPr="00971EDB" w:rsidRDefault="00971EDB" w:rsidP="00971EDB">
      <w:pPr>
        <w:spacing w:before="0" w:after="0"/>
        <w:rPr>
          <w:szCs w:val="20"/>
        </w:rPr>
      </w:pPr>
      <w:r w:rsidRPr="00971EDB">
        <w:rPr>
          <w:szCs w:val="20"/>
        </w:rPr>
        <w:t>Proposed indication(s), if applicable</w:t>
      </w:r>
      <w:r>
        <w:rPr>
          <w:szCs w:val="20"/>
        </w:rPr>
        <w:t xml:space="preserve">:  </w:t>
      </w:r>
      <w:r w:rsidR="0027239D">
        <w:t>Solid tumours</w:t>
      </w:r>
    </w:p>
    <w:p w14:paraId="5C309D18" w14:textId="4123A68B" w:rsidR="00971EDB" w:rsidRDefault="00971EDB" w:rsidP="00971EDB">
      <w:pPr>
        <w:spacing w:before="0" w:after="0"/>
      </w:pPr>
      <w:r w:rsidRPr="00971EDB">
        <w:rPr>
          <w:szCs w:val="20"/>
        </w:rPr>
        <w:t>Proposed purpose(s), if applicable</w:t>
      </w:r>
      <w:r>
        <w:rPr>
          <w:szCs w:val="20"/>
        </w:rPr>
        <w:t xml:space="preserve">:  </w:t>
      </w:r>
      <w:r w:rsidR="00064459">
        <w:t>Cancer treatment</w:t>
      </w:r>
    </w:p>
    <w:p w14:paraId="0FB900D6" w14:textId="4761B928" w:rsidR="00A27C42" w:rsidRDefault="00A27C42" w:rsidP="00971EDB">
      <w:pPr>
        <w:spacing w:before="0" w:after="0"/>
      </w:pPr>
    </w:p>
    <w:p w14:paraId="5007806D" w14:textId="07C4FC66" w:rsidR="00F83A9D" w:rsidRPr="00154B00" w:rsidRDefault="00A27C42" w:rsidP="00A27C42">
      <w:pPr>
        <w:spacing w:before="0" w:after="0"/>
        <w:rPr>
          <w:szCs w:val="20"/>
        </w:rPr>
      </w:pPr>
      <w:r>
        <w:t>Please see attachment</w:t>
      </w:r>
      <w:r w:rsidR="00846D2D">
        <w:t>s</w:t>
      </w:r>
      <w:r w:rsidR="00404604">
        <w:t xml:space="preserve"> for FDA approval</w:t>
      </w:r>
      <w:r w:rsidR="00461F0E">
        <w:t xml:space="preserve"> of device</w:t>
      </w:r>
      <w:r w:rsidR="004B4A93">
        <w:t>, and</w:t>
      </w:r>
      <w:r w:rsidR="00846D2D">
        <w:t xml:space="preserve"> a letter outlining</w:t>
      </w:r>
      <w:r w:rsidR="004B4A93">
        <w:t xml:space="preserve"> communication with </w:t>
      </w:r>
      <w:r w:rsidR="00BE5ACA">
        <w:t>TGA to date.</w:t>
      </w:r>
    </w:p>
    <w:p w14:paraId="4AD6C637"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2C7F060C"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2017BA93"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OPTUMTableNormal"/>
        <w:tblW w:w="14029" w:type="dxa"/>
        <w:tblLayout w:type="fixed"/>
        <w:tblLook w:val="04A0" w:firstRow="1" w:lastRow="0" w:firstColumn="1" w:lastColumn="0" w:noHBand="0" w:noVBand="1"/>
        <w:tblCaption w:val="Clinical evidence for proton beam therapy"/>
        <w:tblDescription w:val="This table provides an overview of key journal articles published in the public domain that relate to safety and efficacy of proton beam therapy."/>
      </w:tblPr>
      <w:tblGrid>
        <w:gridCol w:w="1838"/>
        <w:gridCol w:w="3119"/>
        <w:gridCol w:w="3402"/>
        <w:gridCol w:w="4579"/>
        <w:gridCol w:w="1091"/>
      </w:tblGrid>
      <w:tr w:rsidR="00376523" w:rsidRPr="00C807FA" w14:paraId="7ECDB6EC" w14:textId="77777777" w:rsidTr="009C17F8">
        <w:trPr>
          <w:cnfStyle w:val="100000000000" w:firstRow="1" w:lastRow="0" w:firstColumn="0" w:lastColumn="0" w:oddVBand="0" w:evenVBand="0" w:oddHBand="0" w:evenHBand="0" w:firstRowFirstColumn="0" w:firstRowLastColumn="0" w:lastRowFirstColumn="0" w:lastRowLastColumn="0"/>
          <w:tblHeader/>
        </w:trPr>
        <w:tc>
          <w:tcPr>
            <w:tcW w:w="1838" w:type="dxa"/>
          </w:tcPr>
          <w:p w14:paraId="34E1EEB6" w14:textId="77777777" w:rsidR="00376523" w:rsidRPr="00C807FA" w:rsidRDefault="00376523" w:rsidP="00B42873">
            <w:pPr>
              <w:spacing w:after="40"/>
              <w:rPr>
                <w:rFonts w:ascii="Arial Narrow" w:hAnsi="Arial Narrow"/>
                <w:b/>
                <w:bCs/>
                <w:szCs w:val="20"/>
              </w:rPr>
            </w:pPr>
            <w:r>
              <w:rPr>
                <w:rFonts w:ascii="Arial Narrow" w:hAnsi="Arial Narrow"/>
                <w:b/>
                <w:bCs/>
                <w:szCs w:val="20"/>
              </w:rPr>
              <w:t>Study design</w:t>
            </w:r>
          </w:p>
        </w:tc>
        <w:tc>
          <w:tcPr>
            <w:tcW w:w="3119" w:type="dxa"/>
          </w:tcPr>
          <w:p w14:paraId="5A8F7A62" w14:textId="77777777" w:rsidR="00376523" w:rsidRPr="00C807FA" w:rsidRDefault="00376523" w:rsidP="00B42873">
            <w:pPr>
              <w:spacing w:after="40"/>
              <w:rPr>
                <w:rFonts w:ascii="Arial Narrow" w:hAnsi="Arial Narrow"/>
                <w:b/>
                <w:bCs/>
                <w:szCs w:val="20"/>
              </w:rPr>
            </w:pPr>
            <w:r>
              <w:rPr>
                <w:rFonts w:ascii="Arial Narrow" w:hAnsi="Arial Narrow"/>
                <w:b/>
                <w:bCs/>
                <w:szCs w:val="20"/>
              </w:rPr>
              <w:t>Title of journal article</w:t>
            </w:r>
          </w:p>
        </w:tc>
        <w:tc>
          <w:tcPr>
            <w:tcW w:w="3402" w:type="dxa"/>
          </w:tcPr>
          <w:p w14:paraId="4D56D944" w14:textId="77777777" w:rsidR="00376523" w:rsidRPr="00C807FA" w:rsidRDefault="00376523" w:rsidP="00B42873">
            <w:pPr>
              <w:spacing w:after="40"/>
              <w:rPr>
                <w:rFonts w:ascii="Arial Narrow" w:hAnsi="Arial Narrow"/>
                <w:b/>
                <w:bCs/>
                <w:szCs w:val="20"/>
              </w:rPr>
            </w:pPr>
            <w:r>
              <w:rPr>
                <w:rFonts w:ascii="Arial Narrow" w:hAnsi="Arial Narrow"/>
                <w:b/>
                <w:bCs/>
                <w:szCs w:val="20"/>
              </w:rPr>
              <w:t>Description</w:t>
            </w:r>
          </w:p>
        </w:tc>
        <w:tc>
          <w:tcPr>
            <w:tcW w:w="4579" w:type="dxa"/>
          </w:tcPr>
          <w:p w14:paraId="17D9F37A" w14:textId="77777777" w:rsidR="00376523" w:rsidRDefault="00376523" w:rsidP="00B42873">
            <w:pPr>
              <w:spacing w:after="40"/>
              <w:rPr>
                <w:rFonts w:ascii="Arial Narrow" w:hAnsi="Arial Narrow"/>
                <w:b/>
                <w:bCs/>
                <w:szCs w:val="20"/>
              </w:rPr>
            </w:pPr>
            <w:r>
              <w:rPr>
                <w:rFonts w:ascii="Arial Narrow" w:hAnsi="Arial Narrow"/>
                <w:b/>
                <w:bCs/>
                <w:szCs w:val="20"/>
              </w:rPr>
              <w:t xml:space="preserve">Website link </w:t>
            </w:r>
          </w:p>
        </w:tc>
        <w:tc>
          <w:tcPr>
            <w:tcW w:w="1091" w:type="dxa"/>
          </w:tcPr>
          <w:p w14:paraId="1F5E46C5" w14:textId="77777777" w:rsidR="00376523" w:rsidRDefault="00376523" w:rsidP="00B42873">
            <w:pPr>
              <w:spacing w:after="40"/>
              <w:rPr>
                <w:rFonts w:ascii="Arial Narrow" w:hAnsi="Arial Narrow"/>
                <w:b/>
                <w:bCs/>
                <w:szCs w:val="20"/>
              </w:rPr>
            </w:pPr>
            <w:r>
              <w:rPr>
                <w:rFonts w:ascii="Arial Narrow" w:hAnsi="Arial Narrow"/>
                <w:b/>
                <w:bCs/>
                <w:szCs w:val="20"/>
              </w:rPr>
              <w:t>Date of publication</w:t>
            </w:r>
          </w:p>
        </w:tc>
      </w:tr>
      <w:tr w:rsidR="005D1CBF" w:rsidRPr="00273F41" w14:paraId="6424847B" w14:textId="77777777" w:rsidTr="009C17F8">
        <w:tc>
          <w:tcPr>
            <w:tcW w:w="1838" w:type="dxa"/>
          </w:tcPr>
          <w:p w14:paraId="6173F167" w14:textId="77777777" w:rsidR="005D1CBF" w:rsidRPr="00273F41" w:rsidRDefault="005D1CBF" w:rsidP="00B42873">
            <w:pPr>
              <w:spacing w:after="40"/>
              <w:rPr>
                <w:rFonts w:ascii="Arial Narrow" w:hAnsi="Arial Narrow"/>
                <w:b/>
                <w:bCs/>
                <w:szCs w:val="20"/>
              </w:rPr>
            </w:pPr>
            <w:r w:rsidRPr="00273F41">
              <w:rPr>
                <w:rFonts w:ascii="Arial Narrow" w:hAnsi="Arial Narrow"/>
                <w:b/>
                <w:bCs/>
                <w:szCs w:val="20"/>
              </w:rPr>
              <w:t>Studies identified from previous systematic reviews</w:t>
            </w:r>
          </w:p>
        </w:tc>
        <w:tc>
          <w:tcPr>
            <w:tcW w:w="3119" w:type="dxa"/>
          </w:tcPr>
          <w:p w14:paraId="3800EE9C" w14:textId="72491A2C" w:rsidR="005D1CBF" w:rsidRPr="00273F41" w:rsidRDefault="00D36DBA" w:rsidP="00B42873">
            <w:pPr>
              <w:spacing w:after="40"/>
              <w:rPr>
                <w:rFonts w:ascii="Arial Narrow" w:hAnsi="Arial Narrow"/>
                <w:b/>
                <w:bCs/>
                <w:szCs w:val="20"/>
              </w:rPr>
            </w:pPr>
            <w:r>
              <w:rPr>
                <w:rFonts w:ascii="Arial Narrow" w:hAnsi="Arial Narrow"/>
                <w:b/>
                <w:bCs/>
                <w:szCs w:val="20"/>
              </w:rPr>
              <w:t>-</w:t>
            </w:r>
          </w:p>
        </w:tc>
        <w:tc>
          <w:tcPr>
            <w:tcW w:w="3402" w:type="dxa"/>
          </w:tcPr>
          <w:p w14:paraId="16CEA99F" w14:textId="797DEDC9" w:rsidR="005D1CBF" w:rsidRPr="00273F41" w:rsidRDefault="00D36DBA" w:rsidP="00B42873">
            <w:pPr>
              <w:spacing w:after="40"/>
              <w:rPr>
                <w:rFonts w:ascii="Arial Narrow" w:hAnsi="Arial Narrow"/>
                <w:b/>
                <w:bCs/>
                <w:szCs w:val="20"/>
              </w:rPr>
            </w:pPr>
            <w:r>
              <w:rPr>
                <w:rFonts w:ascii="Arial Narrow" w:hAnsi="Arial Narrow"/>
                <w:b/>
                <w:bCs/>
                <w:szCs w:val="20"/>
              </w:rPr>
              <w:t>-</w:t>
            </w:r>
          </w:p>
        </w:tc>
        <w:tc>
          <w:tcPr>
            <w:tcW w:w="4579" w:type="dxa"/>
          </w:tcPr>
          <w:p w14:paraId="114DEF2A" w14:textId="6F18361F" w:rsidR="00D36DBA" w:rsidRPr="00273F41" w:rsidRDefault="00D36DBA" w:rsidP="00B42873">
            <w:pPr>
              <w:spacing w:after="40"/>
              <w:rPr>
                <w:rFonts w:ascii="Arial Narrow" w:hAnsi="Arial Narrow"/>
                <w:b/>
                <w:bCs/>
                <w:szCs w:val="20"/>
              </w:rPr>
            </w:pPr>
            <w:r>
              <w:rPr>
                <w:rFonts w:ascii="Arial Narrow" w:hAnsi="Arial Narrow"/>
                <w:b/>
                <w:bCs/>
                <w:szCs w:val="20"/>
              </w:rPr>
              <w:t>-</w:t>
            </w:r>
          </w:p>
        </w:tc>
        <w:tc>
          <w:tcPr>
            <w:tcW w:w="1091" w:type="dxa"/>
          </w:tcPr>
          <w:p w14:paraId="34EF8740" w14:textId="0EE13814" w:rsidR="005D1CBF" w:rsidRPr="00273F41" w:rsidRDefault="00D36DBA" w:rsidP="00B42873">
            <w:pPr>
              <w:spacing w:after="40"/>
              <w:rPr>
                <w:rFonts w:ascii="Arial Narrow" w:hAnsi="Arial Narrow"/>
                <w:b/>
                <w:bCs/>
                <w:szCs w:val="20"/>
              </w:rPr>
            </w:pPr>
            <w:r>
              <w:rPr>
                <w:rFonts w:ascii="Arial Narrow" w:hAnsi="Arial Narrow"/>
                <w:b/>
                <w:bCs/>
                <w:szCs w:val="20"/>
              </w:rPr>
              <w:t>-</w:t>
            </w:r>
          </w:p>
        </w:tc>
      </w:tr>
      <w:tr w:rsidR="005D1CBF" w:rsidRPr="00C807FA" w14:paraId="2D0E49B0" w14:textId="77777777" w:rsidTr="009C17F8">
        <w:tc>
          <w:tcPr>
            <w:tcW w:w="1838" w:type="dxa"/>
          </w:tcPr>
          <w:p w14:paraId="79871264" w14:textId="77777777" w:rsidR="005D1CBF" w:rsidRPr="00C807FA" w:rsidRDefault="005D1CBF" w:rsidP="00B42873">
            <w:pPr>
              <w:spacing w:after="40"/>
              <w:rPr>
                <w:rFonts w:ascii="Arial Narrow" w:hAnsi="Arial Narrow"/>
                <w:szCs w:val="20"/>
              </w:rPr>
            </w:pPr>
            <w:r>
              <w:rPr>
                <w:rFonts w:ascii="Arial Narrow" w:hAnsi="Arial Narrow"/>
                <w:szCs w:val="20"/>
              </w:rPr>
              <w:t>Adult brain, spinal and soft tissue</w:t>
            </w:r>
          </w:p>
        </w:tc>
        <w:tc>
          <w:tcPr>
            <w:tcW w:w="3119" w:type="dxa"/>
          </w:tcPr>
          <w:p w14:paraId="4DD9743F" w14:textId="45959300" w:rsidR="005D1CBF" w:rsidRPr="00C807FA" w:rsidRDefault="00D36DBA" w:rsidP="00B42873">
            <w:pPr>
              <w:spacing w:after="40"/>
              <w:rPr>
                <w:rFonts w:ascii="Arial Narrow" w:hAnsi="Arial Narrow"/>
                <w:szCs w:val="20"/>
              </w:rPr>
            </w:pPr>
            <w:r>
              <w:rPr>
                <w:rFonts w:ascii="Arial Narrow" w:hAnsi="Arial Narrow"/>
                <w:szCs w:val="20"/>
              </w:rPr>
              <w:t>-</w:t>
            </w:r>
          </w:p>
        </w:tc>
        <w:tc>
          <w:tcPr>
            <w:tcW w:w="3402" w:type="dxa"/>
          </w:tcPr>
          <w:p w14:paraId="2A4D80B6" w14:textId="09CAD68D" w:rsidR="005D1CBF" w:rsidRPr="00C807FA" w:rsidRDefault="00D36DBA" w:rsidP="00B42873">
            <w:pPr>
              <w:spacing w:after="40"/>
              <w:rPr>
                <w:rFonts w:ascii="Arial Narrow" w:hAnsi="Arial Narrow"/>
                <w:szCs w:val="20"/>
              </w:rPr>
            </w:pPr>
            <w:r>
              <w:rPr>
                <w:rFonts w:ascii="Arial Narrow" w:hAnsi="Arial Narrow"/>
                <w:szCs w:val="20"/>
              </w:rPr>
              <w:t>-</w:t>
            </w:r>
          </w:p>
        </w:tc>
        <w:tc>
          <w:tcPr>
            <w:tcW w:w="4579" w:type="dxa"/>
          </w:tcPr>
          <w:p w14:paraId="7A4F8833" w14:textId="4E9373B5" w:rsidR="005D1CBF" w:rsidRPr="00C807FA" w:rsidRDefault="00D36DBA" w:rsidP="00B42873">
            <w:pPr>
              <w:spacing w:after="40"/>
              <w:rPr>
                <w:rFonts w:ascii="Arial Narrow" w:hAnsi="Arial Narrow"/>
                <w:szCs w:val="20"/>
              </w:rPr>
            </w:pPr>
            <w:r>
              <w:rPr>
                <w:rFonts w:ascii="Arial Narrow" w:hAnsi="Arial Narrow"/>
                <w:szCs w:val="20"/>
              </w:rPr>
              <w:t>-</w:t>
            </w:r>
          </w:p>
        </w:tc>
        <w:tc>
          <w:tcPr>
            <w:tcW w:w="1091" w:type="dxa"/>
          </w:tcPr>
          <w:p w14:paraId="67FB418A" w14:textId="45545025" w:rsidR="005D1CBF" w:rsidRPr="00C807FA" w:rsidRDefault="00D36DBA" w:rsidP="00B42873">
            <w:pPr>
              <w:spacing w:after="40"/>
              <w:rPr>
                <w:rFonts w:ascii="Arial Narrow" w:hAnsi="Arial Narrow"/>
                <w:szCs w:val="20"/>
              </w:rPr>
            </w:pPr>
            <w:r>
              <w:rPr>
                <w:rFonts w:ascii="Arial Narrow" w:hAnsi="Arial Narrow"/>
                <w:szCs w:val="20"/>
              </w:rPr>
              <w:t>-</w:t>
            </w:r>
          </w:p>
        </w:tc>
      </w:tr>
      <w:tr w:rsidR="00376523" w:rsidRPr="00C807FA" w14:paraId="4753C03F" w14:textId="77777777" w:rsidTr="009C17F8">
        <w:tc>
          <w:tcPr>
            <w:tcW w:w="1838" w:type="dxa"/>
          </w:tcPr>
          <w:p w14:paraId="182DB6C3" w14:textId="77777777" w:rsidR="00376523" w:rsidRPr="00C807FA" w:rsidRDefault="00376523" w:rsidP="00B42873">
            <w:pPr>
              <w:spacing w:after="40"/>
              <w:rPr>
                <w:rFonts w:ascii="Arial Narrow" w:hAnsi="Arial Narrow"/>
                <w:szCs w:val="20"/>
              </w:rPr>
            </w:pPr>
            <w:r>
              <w:rPr>
                <w:rFonts w:ascii="Arial Narrow" w:hAnsi="Arial Narrow"/>
                <w:szCs w:val="20"/>
              </w:rPr>
              <w:t>Retrospective case series</w:t>
            </w:r>
          </w:p>
        </w:tc>
        <w:tc>
          <w:tcPr>
            <w:tcW w:w="3119" w:type="dxa"/>
          </w:tcPr>
          <w:p w14:paraId="2CC917CE" w14:textId="77777777" w:rsidR="00376523" w:rsidRPr="00C807FA" w:rsidRDefault="00376523" w:rsidP="00B42873">
            <w:pPr>
              <w:spacing w:after="40"/>
              <w:rPr>
                <w:rFonts w:ascii="Arial Narrow" w:hAnsi="Arial Narrow"/>
                <w:szCs w:val="20"/>
              </w:rPr>
            </w:pPr>
            <w:r>
              <w:rPr>
                <w:rFonts w:ascii="Arial Narrow" w:hAnsi="Arial Narrow"/>
                <w:szCs w:val="20"/>
              </w:rPr>
              <w:t>Molina 2014. Outcomes following attempted en bloc resection of cervical chordoma in the C-1 and C-2 region versus the subaxial region: a multi-institutional experience</w:t>
            </w:r>
          </w:p>
        </w:tc>
        <w:tc>
          <w:tcPr>
            <w:tcW w:w="3402" w:type="dxa"/>
          </w:tcPr>
          <w:p w14:paraId="39A2FFD2" w14:textId="77777777" w:rsidR="00376523" w:rsidRPr="00C807FA" w:rsidRDefault="00376523" w:rsidP="00B42873">
            <w:pPr>
              <w:spacing w:after="40"/>
              <w:rPr>
                <w:rFonts w:ascii="Arial Narrow" w:hAnsi="Arial Narrow"/>
                <w:szCs w:val="20"/>
              </w:rPr>
            </w:pPr>
            <w:r>
              <w:rPr>
                <w:rFonts w:ascii="Arial Narrow" w:hAnsi="Arial Narrow"/>
                <w:szCs w:val="20"/>
              </w:rPr>
              <w:t>Patients with cervical chordoma from the cervical spine Six patients were treated with PBT and overall survival was measured. PBT patients were groups with patients also receiving IMRT (n=3) and compared to patients receiving surgery alone.</w:t>
            </w:r>
          </w:p>
        </w:tc>
        <w:tc>
          <w:tcPr>
            <w:tcW w:w="4579" w:type="dxa"/>
          </w:tcPr>
          <w:p w14:paraId="3D3CE7CB" w14:textId="6B2DCE30" w:rsidR="00376523" w:rsidRPr="00C807FA" w:rsidRDefault="00A95AB2" w:rsidP="00B42873">
            <w:pPr>
              <w:spacing w:after="40"/>
              <w:rPr>
                <w:rFonts w:ascii="Arial Narrow" w:hAnsi="Arial Narrow"/>
                <w:szCs w:val="20"/>
              </w:rPr>
            </w:pPr>
            <w:hyperlink r:id="rId17" w:tooltip="This link goes to the pubmed journal article" w:history="1">
              <w:r w:rsidR="00376523">
                <w:rPr>
                  <w:rStyle w:val="Hyperlink"/>
                </w:rPr>
                <w:t>https://www.ncbi.nlm.nih.gov/pubmed/24926926</w:t>
              </w:r>
            </w:hyperlink>
          </w:p>
        </w:tc>
        <w:tc>
          <w:tcPr>
            <w:tcW w:w="1091" w:type="dxa"/>
          </w:tcPr>
          <w:p w14:paraId="64951BAE" w14:textId="77777777" w:rsidR="00376523" w:rsidRPr="00C807FA" w:rsidRDefault="00376523" w:rsidP="00B42873">
            <w:pPr>
              <w:spacing w:after="40"/>
              <w:rPr>
                <w:rFonts w:ascii="Arial Narrow" w:hAnsi="Arial Narrow"/>
                <w:szCs w:val="20"/>
              </w:rPr>
            </w:pPr>
            <w:r>
              <w:rPr>
                <w:rFonts w:ascii="Arial Narrow" w:hAnsi="Arial Narrow"/>
                <w:szCs w:val="20"/>
              </w:rPr>
              <w:t>2014</w:t>
            </w:r>
          </w:p>
        </w:tc>
      </w:tr>
      <w:tr w:rsidR="00376523" w:rsidRPr="00C807FA" w14:paraId="2A624E5E" w14:textId="77777777" w:rsidTr="009C17F8">
        <w:tc>
          <w:tcPr>
            <w:tcW w:w="1838" w:type="dxa"/>
          </w:tcPr>
          <w:p w14:paraId="73030926" w14:textId="77777777" w:rsidR="00376523" w:rsidRDefault="00376523" w:rsidP="00B42873">
            <w:pPr>
              <w:spacing w:after="40"/>
              <w:rPr>
                <w:rFonts w:ascii="Arial Narrow" w:hAnsi="Arial Narrow"/>
                <w:szCs w:val="20"/>
              </w:rPr>
            </w:pPr>
            <w:r>
              <w:rPr>
                <w:rFonts w:ascii="Arial Narrow" w:hAnsi="Arial Narrow"/>
                <w:szCs w:val="20"/>
              </w:rPr>
              <w:t>Retrospective cohort study</w:t>
            </w:r>
          </w:p>
        </w:tc>
        <w:tc>
          <w:tcPr>
            <w:tcW w:w="3119" w:type="dxa"/>
          </w:tcPr>
          <w:p w14:paraId="5682F5F5" w14:textId="77777777" w:rsidR="00376523" w:rsidRDefault="00376523" w:rsidP="00B42873">
            <w:pPr>
              <w:spacing w:after="40"/>
              <w:rPr>
                <w:rFonts w:ascii="Arial Narrow" w:hAnsi="Arial Narrow"/>
                <w:szCs w:val="20"/>
              </w:rPr>
            </w:pPr>
            <w:r>
              <w:rPr>
                <w:rFonts w:ascii="Arial Narrow" w:hAnsi="Arial Narrow"/>
                <w:szCs w:val="20"/>
              </w:rPr>
              <w:t>Mima 2014. Particle therapy using carbon ions or protons as a definitive therapy for patients with primary sacral chordoma</w:t>
            </w:r>
          </w:p>
        </w:tc>
        <w:tc>
          <w:tcPr>
            <w:tcW w:w="3402" w:type="dxa"/>
          </w:tcPr>
          <w:p w14:paraId="79229B48" w14:textId="77777777" w:rsidR="00376523" w:rsidRDefault="00376523" w:rsidP="00B42873">
            <w:pPr>
              <w:spacing w:after="40"/>
              <w:rPr>
                <w:rFonts w:ascii="Arial Narrow" w:hAnsi="Arial Narrow"/>
                <w:szCs w:val="20"/>
              </w:rPr>
            </w:pPr>
            <w:r>
              <w:rPr>
                <w:rFonts w:ascii="Arial Narrow" w:hAnsi="Arial Narrow"/>
                <w:szCs w:val="20"/>
              </w:rPr>
              <w:t xml:space="preserve">Patients with primary sacral chordomas treated with PBT (n=7) or carbon ion therapy (n=16). Outcomes assessed include local recurrence, acute and late dermatitis, myositis, neuropathy. </w:t>
            </w:r>
          </w:p>
        </w:tc>
        <w:tc>
          <w:tcPr>
            <w:tcW w:w="4579" w:type="dxa"/>
          </w:tcPr>
          <w:p w14:paraId="3FAC0CD9" w14:textId="302285E3" w:rsidR="00376523" w:rsidRPr="00C807FA" w:rsidRDefault="00A95AB2" w:rsidP="00B42873">
            <w:pPr>
              <w:spacing w:after="40"/>
              <w:rPr>
                <w:rFonts w:ascii="Arial Narrow" w:hAnsi="Arial Narrow"/>
                <w:szCs w:val="20"/>
              </w:rPr>
            </w:pPr>
            <w:hyperlink r:id="rId18" w:tooltip="This link goes to the pubmed journal article" w:history="1">
              <w:r w:rsidR="00376523">
                <w:rPr>
                  <w:rStyle w:val="Hyperlink"/>
                </w:rPr>
                <w:t>https://www.ncbi.nlm.nih.gov/pubmed/24288399</w:t>
              </w:r>
            </w:hyperlink>
          </w:p>
        </w:tc>
        <w:tc>
          <w:tcPr>
            <w:tcW w:w="1091" w:type="dxa"/>
          </w:tcPr>
          <w:p w14:paraId="4675A5B1" w14:textId="77777777" w:rsidR="00376523" w:rsidRDefault="00376523" w:rsidP="00B42873">
            <w:pPr>
              <w:spacing w:after="40"/>
              <w:rPr>
                <w:rFonts w:ascii="Arial Narrow" w:hAnsi="Arial Narrow"/>
                <w:szCs w:val="20"/>
              </w:rPr>
            </w:pPr>
            <w:r>
              <w:rPr>
                <w:rFonts w:ascii="Arial Narrow" w:hAnsi="Arial Narrow"/>
                <w:szCs w:val="20"/>
              </w:rPr>
              <w:t>2014</w:t>
            </w:r>
          </w:p>
        </w:tc>
      </w:tr>
      <w:tr w:rsidR="00376523" w:rsidRPr="00C807FA" w14:paraId="40C7AB3C" w14:textId="77777777" w:rsidTr="009C17F8">
        <w:tc>
          <w:tcPr>
            <w:tcW w:w="1838" w:type="dxa"/>
          </w:tcPr>
          <w:p w14:paraId="1865488A" w14:textId="77777777" w:rsidR="00376523" w:rsidRPr="00C807FA" w:rsidRDefault="00376523" w:rsidP="00B42873">
            <w:pPr>
              <w:spacing w:after="40"/>
              <w:rPr>
                <w:rFonts w:ascii="Arial Narrow" w:hAnsi="Arial Narrow"/>
                <w:szCs w:val="20"/>
              </w:rPr>
            </w:pPr>
            <w:r>
              <w:rPr>
                <w:rFonts w:ascii="Arial Narrow" w:hAnsi="Arial Narrow"/>
                <w:szCs w:val="20"/>
              </w:rPr>
              <w:t>Retrospective review</w:t>
            </w:r>
          </w:p>
        </w:tc>
        <w:tc>
          <w:tcPr>
            <w:tcW w:w="3119" w:type="dxa"/>
          </w:tcPr>
          <w:p w14:paraId="009C8830" w14:textId="77777777" w:rsidR="00376523" w:rsidRPr="00C807FA" w:rsidRDefault="00376523" w:rsidP="00B42873">
            <w:pPr>
              <w:spacing w:before="96" w:after="48"/>
              <w:rPr>
                <w:rFonts w:ascii="Arial Narrow" w:hAnsi="Arial Narrow"/>
                <w:szCs w:val="20"/>
              </w:rPr>
            </w:pPr>
            <w:r>
              <w:rPr>
                <w:rFonts w:ascii="Arial Narrow" w:hAnsi="Arial Narrow"/>
                <w:szCs w:val="20"/>
              </w:rPr>
              <w:t>Rotondo 2015. High-dose proton-based radiation therapy in the management of spine chordomas: outcomes and clinicopathological prognostic factors.</w:t>
            </w:r>
          </w:p>
        </w:tc>
        <w:tc>
          <w:tcPr>
            <w:tcW w:w="3402" w:type="dxa"/>
          </w:tcPr>
          <w:p w14:paraId="102159CE" w14:textId="77777777" w:rsidR="00376523" w:rsidRPr="00C807FA" w:rsidRDefault="00376523" w:rsidP="00B42873">
            <w:pPr>
              <w:spacing w:after="40"/>
              <w:rPr>
                <w:rFonts w:ascii="Arial Narrow" w:hAnsi="Arial Narrow"/>
                <w:szCs w:val="20"/>
              </w:rPr>
            </w:pPr>
            <w:r>
              <w:rPr>
                <w:rFonts w:ascii="Arial Narrow" w:hAnsi="Arial Narrow"/>
                <w:szCs w:val="20"/>
              </w:rPr>
              <w:t>Patients with thoracic, lumbar ad sacrococcygeal chordomas treated with PBT with surgery and BT without surgery. Outcomes assessed included local control.</w:t>
            </w:r>
          </w:p>
        </w:tc>
        <w:tc>
          <w:tcPr>
            <w:tcW w:w="4579" w:type="dxa"/>
          </w:tcPr>
          <w:p w14:paraId="6A7EE86F" w14:textId="22F1E127" w:rsidR="00376523" w:rsidRPr="00C807FA" w:rsidRDefault="00A95AB2" w:rsidP="00B42873">
            <w:pPr>
              <w:spacing w:after="40"/>
              <w:rPr>
                <w:rFonts w:ascii="Arial Narrow" w:hAnsi="Arial Narrow"/>
                <w:szCs w:val="20"/>
              </w:rPr>
            </w:pPr>
            <w:hyperlink r:id="rId19" w:tooltip="This link goes to the pubmed journal article" w:history="1">
              <w:r w:rsidR="00376523">
                <w:rPr>
                  <w:rStyle w:val="Hyperlink"/>
                </w:rPr>
                <w:t>https://www.ncbi.nlm.nih.gov/pubmed/26340383</w:t>
              </w:r>
            </w:hyperlink>
          </w:p>
        </w:tc>
        <w:tc>
          <w:tcPr>
            <w:tcW w:w="1091" w:type="dxa"/>
          </w:tcPr>
          <w:p w14:paraId="21A7E34C" w14:textId="77777777" w:rsidR="00376523" w:rsidRPr="00C807FA" w:rsidRDefault="00376523" w:rsidP="00B42873">
            <w:pPr>
              <w:spacing w:after="40"/>
              <w:rPr>
                <w:rFonts w:ascii="Arial Narrow" w:hAnsi="Arial Narrow"/>
                <w:szCs w:val="20"/>
              </w:rPr>
            </w:pPr>
            <w:r>
              <w:rPr>
                <w:rFonts w:ascii="Arial Narrow" w:hAnsi="Arial Narrow"/>
                <w:szCs w:val="20"/>
              </w:rPr>
              <w:t>2015</w:t>
            </w:r>
          </w:p>
        </w:tc>
      </w:tr>
      <w:tr w:rsidR="00376523" w:rsidRPr="00C807FA" w14:paraId="02B7C47B" w14:textId="77777777" w:rsidTr="009C17F8">
        <w:tc>
          <w:tcPr>
            <w:tcW w:w="1838" w:type="dxa"/>
          </w:tcPr>
          <w:p w14:paraId="4700E15B" w14:textId="77777777" w:rsidR="00376523" w:rsidRPr="00C807FA" w:rsidRDefault="00376523" w:rsidP="00B42873">
            <w:pPr>
              <w:spacing w:after="40"/>
              <w:rPr>
                <w:rFonts w:ascii="Arial Narrow" w:hAnsi="Arial Narrow"/>
                <w:szCs w:val="20"/>
              </w:rPr>
            </w:pPr>
            <w:r>
              <w:rPr>
                <w:rFonts w:ascii="Arial Narrow" w:hAnsi="Arial Narrow"/>
                <w:szCs w:val="20"/>
              </w:rPr>
              <w:t>Single centre, prospective study</w:t>
            </w:r>
          </w:p>
        </w:tc>
        <w:tc>
          <w:tcPr>
            <w:tcW w:w="3119" w:type="dxa"/>
          </w:tcPr>
          <w:p w14:paraId="07D2419E" w14:textId="77777777" w:rsidR="00376523" w:rsidRPr="00C807FA" w:rsidRDefault="00376523" w:rsidP="00B42873">
            <w:pPr>
              <w:spacing w:before="96" w:after="48"/>
              <w:rPr>
                <w:rFonts w:ascii="Arial Narrow" w:hAnsi="Arial Narrow"/>
                <w:szCs w:val="20"/>
              </w:rPr>
            </w:pPr>
            <w:r>
              <w:rPr>
                <w:rFonts w:ascii="Arial Narrow" w:hAnsi="Arial Narrow"/>
                <w:szCs w:val="20"/>
              </w:rPr>
              <w:t>Indelicato 2016. Prospective outcomes study of proton therapy for chordomas and chondrosarcomas of the spine</w:t>
            </w:r>
          </w:p>
        </w:tc>
        <w:tc>
          <w:tcPr>
            <w:tcW w:w="3402" w:type="dxa"/>
          </w:tcPr>
          <w:p w14:paraId="282C10E8" w14:textId="77777777" w:rsidR="00376523" w:rsidRPr="00C807FA" w:rsidRDefault="00376523" w:rsidP="00B42873">
            <w:pPr>
              <w:spacing w:after="40"/>
              <w:rPr>
                <w:rFonts w:ascii="Arial Narrow" w:hAnsi="Arial Narrow"/>
                <w:szCs w:val="20"/>
              </w:rPr>
            </w:pPr>
            <w:r>
              <w:rPr>
                <w:rFonts w:ascii="Arial Narrow" w:hAnsi="Arial Narrow"/>
                <w:szCs w:val="20"/>
              </w:rPr>
              <w:t>Patients with chordomas or chondrosarcomas of the spine treated with postoperative PBT (n=xx) or xx</w:t>
            </w:r>
          </w:p>
        </w:tc>
        <w:tc>
          <w:tcPr>
            <w:tcW w:w="4579" w:type="dxa"/>
          </w:tcPr>
          <w:p w14:paraId="3D916B33" w14:textId="0270F1BD" w:rsidR="00376523" w:rsidRPr="00C807FA" w:rsidRDefault="00A95AB2" w:rsidP="00B42873">
            <w:pPr>
              <w:spacing w:after="40"/>
              <w:rPr>
                <w:rFonts w:ascii="Arial Narrow" w:hAnsi="Arial Narrow"/>
                <w:szCs w:val="20"/>
              </w:rPr>
            </w:pPr>
            <w:hyperlink r:id="rId20" w:tooltip="This link goes to the pubmed journal article" w:history="1">
              <w:r w:rsidR="00376523">
                <w:rPr>
                  <w:rStyle w:val="Hyperlink"/>
                </w:rPr>
                <w:t>https://www.ncbi.nlm.nih.gov/pubmed/27084648</w:t>
              </w:r>
            </w:hyperlink>
          </w:p>
        </w:tc>
        <w:tc>
          <w:tcPr>
            <w:tcW w:w="1091" w:type="dxa"/>
          </w:tcPr>
          <w:p w14:paraId="0ECA51FB" w14:textId="77777777" w:rsidR="00376523" w:rsidRPr="00C807FA" w:rsidRDefault="00376523" w:rsidP="00B42873">
            <w:pPr>
              <w:spacing w:after="40"/>
              <w:rPr>
                <w:rFonts w:ascii="Arial Narrow" w:hAnsi="Arial Narrow"/>
                <w:szCs w:val="20"/>
              </w:rPr>
            </w:pPr>
            <w:r>
              <w:rPr>
                <w:rFonts w:ascii="Arial Narrow" w:hAnsi="Arial Narrow"/>
                <w:szCs w:val="20"/>
              </w:rPr>
              <w:t>2016</w:t>
            </w:r>
          </w:p>
        </w:tc>
      </w:tr>
      <w:tr w:rsidR="00376523" w:rsidRPr="00C807FA" w14:paraId="238F5A0E" w14:textId="77777777" w:rsidTr="009C17F8">
        <w:trPr>
          <w:trHeight w:val="557"/>
        </w:trPr>
        <w:tc>
          <w:tcPr>
            <w:tcW w:w="1838" w:type="dxa"/>
          </w:tcPr>
          <w:p w14:paraId="5EF9624C" w14:textId="77777777" w:rsidR="00376523" w:rsidRPr="00C807FA" w:rsidRDefault="00376523" w:rsidP="00B42873">
            <w:pPr>
              <w:spacing w:after="40"/>
              <w:rPr>
                <w:rFonts w:ascii="Arial Narrow" w:hAnsi="Arial Narrow"/>
                <w:szCs w:val="20"/>
              </w:rPr>
            </w:pPr>
            <w:r>
              <w:rPr>
                <w:rFonts w:ascii="Arial Narrow" w:hAnsi="Arial Narrow"/>
                <w:szCs w:val="20"/>
              </w:rPr>
              <w:t>Retrospective matched comparative study</w:t>
            </w:r>
          </w:p>
        </w:tc>
        <w:tc>
          <w:tcPr>
            <w:tcW w:w="3119" w:type="dxa"/>
          </w:tcPr>
          <w:p w14:paraId="203CDF9F" w14:textId="77777777" w:rsidR="00376523" w:rsidRPr="00C807FA" w:rsidRDefault="00376523" w:rsidP="00B42873">
            <w:pPr>
              <w:spacing w:after="40"/>
              <w:rPr>
                <w:rFonts w:ascii="Arial Narrow" w:hAnsi="Arial Narrow"/>
                <w:szCs w:val="20"/>
              </w:rPr>
            </w:pPr>
            <w:r>
              <w:rPr>
                <w:rFonts w:ascii="Arial Narrow" w:hAnsi="Arial Narrow"/>
                <w:szCs w:val="20"/>
              </w:rPr>
              <w:t>Adeberg 2017. Sequential proton boost after standard chemoradiation for high-grade glioma</w:t>
            </w:r>
          </w:p>
        </w:tc>
        <w:tc>
          <w:tcPr>
            <w:tcW w:w="3402" w:type="dxa"/>
          </w:tcPr>
          <w:p w14:paraId="5A5B915B" w14:textId="77777777" w:rsidR="00376523" w:rsidRPr="00C807FA" w:rsidRDefault="00376523" w:rsidP="00B42873">
            <w:pPr>
              <w:spacing w:after="40"/>
              <w:rPr>
                <w:rFonts w:ascii="Arial Narrow" w:hAnsi="Arial Narrow"/>
                <w:szCs w:val="20"/>
              </w:rPr>
            </w:pPr>
            <w:r>
              <w:rPr>
                <w:rFonts w:ascii="Arial Narrow" w:hAnsi="Arial Narrow"/>
                <w:szCs w:val="20"/>
              </w:rPr>
              <w:t xml:space="preserve">Patients with high grade glioma treated with bimodal photon/proton therapy (n=66) or conventional radiotherapy (n=66) and followed over 15 months. Outcomes assess include acute toxicities, intracranial pressure, decreased fine motor skills, seizure, visual deficits, transient hemiparesis, pseudo progression, worsened pre-existing symptoms. </w:t>
            </w:r>
          </w:p>
        </w:tc>
        <w:tc>
          <w:tcPr>
            <w:tcW w:w="4579" w:type="dxa"/>
          </w:tcPr>
          <w:p w14:paraId="05E42B8D" w14:textId="2081E1FE" w:rsidR="00376523" w:rsidRPr="00C807FA" w:rsidRDefault="00A95AB2" w:rsidP="00B42873">
            <w:pPr>
              <w:spacing w:after="40"/>
              <w:rPr>
                <w:rFonts w:ascii="Arial Narrow" w:hAnsi="Arial Narrow"/>
                <w:szCs w:val="20"/>
              </w:rPr>
            </w:pPr>
            <w:hyperlink r:id="rId21" w:tooltip="This link goes to the pubmed journal article" w:history="1">
              <w:r w:rsidR="00376523">
                <w:rPr>
                  <w:rStyle w:val="Hyperlink"/>
                </w:rPr>
                <w:t>https://www.ncbi.nlm.nih.gov/pubmed/29050959</w:t>
              </w:r>
            </w:hyperlink>
          </w:p>
        </w:tc>
        <w:tc>
          <w:tcPr>
            <w:tcW w:w="1091" w:type="dxa"/>
          </w:tcPr>
          <w:p w14:paraId="1D676B62" w14:textId="77777777" w:rsidR="00376523" w:rsidRPr="00C807FA" w:rsidRDefault="00376523" w:rsidP="00B42873">
            <w:pPr>
              <w:spacing w:after="40"/>
              <w:rPr>
                <w:rFonts w:ascii="Arial Narrow" w:hAnsi="Arial Narrow"/>
                <w:szCs w:val="20"/>
              </w:rPr>
            </w:pPr>
            <w:r>
              <w:rPr>
                <w:rFonts w:ascii="Arial Narrow" w:hAnsi="Arial Narrow"/>
                <w:szCs w:val="20"/>
              </w:rPr>
              <w:t>2017</w:t>
            </w:r>
          </w:p>
        </w:tc>
      </w:tr>
      <w:tr w:rsidR="00376523" w:rsidRPr="00C807FA" w14:paraId="28D7CD7F" w14:textId="77777777" w:rsidTr="009C17F8">
        <w:tc>
          <w:tcPr>
            <w:tcW w:w="1838" w:type="dxa"/>
          </w:tcPr>
          <w:p w14:paraId="4D7EA18D" w14:textId="77777777" w:rsidR="00376523" w:rsidRPr="00C807FA" w:rsidRDefault="00376523" w:rsidP="00B42873">
            <w:pPr>
              <w:spacing w:after="40"/>
              <w:rPr>
                <w:rFonts w:ascii="Arial Narrow" w:hAnsi="Arial Narrow"/>
                <w:szCs w:val="20"/>
              </w:rPr>
            </w:pPr>
            <w:r>
              <w:rPr>
                <w:rFonts w:ascii="Arial Narrow" w:hAnsi="Arial Narrow"/>
                <w:szCs w:val="20"/>
              </w:rPr>
              <w:t>Retrospective review</w:t>
            </w:r>
          </w:p>
        </w:tc>
        <w:tc>
          <w:tcPr>
            <w:tcW w:w="3119" w:type="dxa"/>
          </w:tcPr>
          <w:p w14:paraId="0E088F98" w14:textId="77777777" w:rsidR="00376523" w:rsidRPr="00C807FA" w:rsidRDefault="00376523" w:rsidP="00B42873">
            <w:pPr>
              <w:tabs>
                <w:tab w:val="left" w:pos="1365"/>
              </w:tabs>
              <w:spacing w:after="40"/>
              <w:rPr>
                <w:rFonts w:ascii="Arial Narrow" w:hAnsi="Arial Narrow"/>
                <w:szCs w:val="20"/>
              </w:rPr>
            </w:pPr>
            <w:r>
              <w:rPr>
                <w:rFonts w:ascii="Arial Narrow" w:hAnsi="Arial Narrow"/>
                <w:szCs w:val="20"/>
              </w:rPr>
              <w:t>Bronk 2018. Analysis of pseudo progression after proton or photon therapy of 99 patients with low grade and anaplastic glioma</w:t>
            </w:r>
          </w:p>
        </w:tc>
        <w:tc>
          <w:tcPr>
            <w:tcW w:w="3402" w:type="dxa"/>
          </w:tcPr>
          <w:p w14:paraId="797966DF" w14:textId="77777777" w:rsidR="00376523" w:rsidRPr="00C807FA" w:rsidRDefault="00376523" w:rsidP="00B42873">
            <w:pPr>
              <w:spacing w:after="40"/>
              <w:rPr>
                <w:rFonts w:ascii="Arial Narrow" w:hAnsi="Arial Narrow"/>
                <w:szCs w:val="20"/>
              </w:rPr>
            </w:pPr>
            <w:r>
              <w:rPr>
                <w:rFonts w:ascii="Arial Narrow" w:hAnsi="Arial Narrow"/>
                <w:szCs w:val="20"/>
              </w:rPr>
              <w:t xml:space="preserve">Patients with Grade II and III glioma treated with PBT (n=4) or IMRT (n=65) follow-up of 24 months. </w:t>
            </w:r>
          </w:p>
        </w:tc>
        <w:tc>
          <w:tcPr>
            <w:tcW w:w="4579" w:type="dxa"/>
          </w:tcPr>
          <w:p w14:paraId="416C831B" w14:textId="78620CDF" w:rsidR="00376523" w:rsidRPr="00C807FA" w:rsidRDefault="00A95AB2" w:rsidP="00B42873">
            <w:pPr>
              <w:spacing w:after="40"/>
              <w:rPr>
                <w:rFonts w:ascii="Arial Narrow" w:hAnsi="Arial Narrow"/>
                <w:szCs w:val="20"/>
              </w:rPr>
            </w:pPr>
            <w:hyperlink r:id="rId22" w:tooltip="This link goes to the pubmed journal article" w:history="1">
              <w:r w:rsidR="00376523">
                <w:rPr>
                  <w:rStyle w:val="Hyperlink"/>
                </w:rPr>
                <w:t>https://www.ncbi.nlm.nih.gov/pubmed/29594248</w:t>
              </w:r>
            </w:hyperlink>
          </w:p>
        </w:tc>
        <w:tc>
          <w:tcPr>
            <w:tcW w:w="1091" w:type="dxa"/>
          </w:tcPr>
          <w:p w14:paraId="7AEE73A7" w14:textId="77777777" w:rsidR="00376523" w:rsidRPr="00C807FA" w:rsidRDefault="00376523" w:rsidP="00B42873">
            <w:pPr>
              <w:spacing w:after="40"/>
              <w:rPr>
                <w:rFonts w:ascii="Arial Narrow" w:hAnsi="Arial Narrow"/>
                <w:szCs w:val="20"/>
              </w:rPr>
            </w:pPr>
            <w:r>
              <w:rPr>
                <w:rFonts w:ascii="Arial Narrow" w:hAnsi="Arial Narrow"/>
                <w:szCs w:val="20"/>
              </w:rPr>
              <w:t>2018</w:t>
            </w:r>
          </w:p>
        </w:tc>
      </w:tr>
      <w:tr w:rsidR="00376523" w:rsidRPr="00C807FA" w14:paraId="5903B878" w14:textId="77777777" w:rsidTr="009C17F8">
        <w:tc>
          <w:tcPr>
            <w:tcW w:w="1838" w:type="dxa"/>
          </w:tcPr>
          <w:p w14:paraId="79F3567A" w14:textId="77777777" w:rsidR="00376523" w:rsidRPr="00C807FA" w:rsidRDefault="00376523" w:rsidP="00B42873">
            <w:pPr>
              <w:spacing w:after="40"/>
              <w:rPr>
                <w:rFonts w:ascii="Arial Narrow" w:hAnsi="Arial Narrow"/>
                <w:szCs w:val="20"/>
              </w:rPr>
            </w:pPr>
            <w:r>
              <w:rPr>
                <w:rFonts w:ascii="Arial Narrow" w:hAnsi="Arial Narrow"/>
                <w:szCs w:val="20"/>
              </w:rPr>
              <w:t>Retrospective review</w:t>
            </w:r>
          </w:p>
        </w:tc>
        <w:tc>
          <w:tcPr>
            <w:tcW w:w="3119" w:type="dxa"/>
          </w:tcPr>
          <w:p w14:paraId="07498241" w14:textId="77777777" w:rsidR="00376523" w:rsidRPr="00C807FA" w:rsidRDefault="00376523" w:rsidP="00B42873">
            <w:pPr>
              <w:spacing w:after="40"/>
              <w:rPr>
                <w:rFonts w:ascii="Arial Narrow" w:hAnsi="Arial Narrow"/>
                <w:szCs w:val="20"/>
              </w:rPr>
            </w:pPr>
            <w:r>
              <w:rPr>
                <w:rFonts w:ascii="Arial Narrow" w:hAnsi="Arial Narrow"/>
                <w:szCs w:val="20"/>
              </w:rPr>
              <w:t>Gunther 2017. Imaging changes in paediatric intracranial ependymoma patients treated with proton beam radiation therapy compared to intensity modulated radiation therapy</w:t>
            </w:r>
          </w:p>
        </w:tc>
        <w:tc>
          <w:tcPr>
            <w:tcW w:w="3402" w:type="dxa"/>
          </w:tcPr>
          <w:p w14:paraId="2A16BBE0" w14:textId="77777777" w:rsidR="00376523" w:rsidRPr="00C807FA" w:rsidRDefault="00376523" w:rsidP="00B42873">
            <w:pPr>
              <w:spacing w:after="40"/>
              <w:rPr>
                <w:rFonts w:ascii="Arial Narrow" w:hAnsi="Arial Narrow"/>
                <w:szCs w:val="20"/>
              </w:rPr>
            </w:pPr>
            <w:r>
              <w:rPr>
                <w:rFonts w:ascii="Arial Narrow" w:hAnsi="Arial Narrow"/>
                <w:szCs w:val="20"/>
              </w:rPr>
              <w:t>Leukemia/lymphoma patients with CNS involvement before stem cell transplant. Outcomes include mucositis during CSI or transplantation, viral and bacterial infections, gastrointestinal toxicity, CNS/neurotoxicity and cardiovascular toxicities.</w:t>
            </w:r>
          </w:p>
        </w:tc>
        <w:tc>
          <w:tcPr>
            <w:tcW w:w="4579" w:type="dxa"/>
          </w:tcPr>
          <w:p w14:paraId="4532460F" w14:textId="1EF68F80" w:rsidR="00376523" w:rsidRPr="00C807FA" w:rsidRDefault="00A95AB2" w:rsidP="00B42873">
            <w:pPr>
              <w:spacing w:after="40"/>
              <w:rPr>
                <w:rFonts w:ascii="Arial Narrow" w:hAnsi="Arial Narrow"/>
                <w:szCs w:val="20"/>
              </w:rPr>
            </w:pPr>
            <w:hyperlink r:id="rId23" w:tooltip="This link goes to the pubmed journal article" w:history="1">
              <w:r w:rsidR="00376523">
                <w:rPr>
                  <w:rStyle w:val="Hyperlink"/>
                </w:rPr>
                <w:t>https://www.ncbi.nlm.nih.gov/pubmed/26279024</w:t>
              </w:r>
            </w:hyperlink>
          </w:p>
        </w:tc>
        <w:tc>
          <w:tcPr>
            <w:tcW w:w="1091" w:type="dxa"/>
          </w:tcPr>
          <w:p w14:paraId="34B68471" w14:textId="77777777" w:rsidR="00376523" w:rsidRPr="00C807FA" w:rsidRDefault="00376523" w:rsidP="00B42873">
            <w:pPr>
              <w:spacing w:after="40"/>
              <w:rPr>
                <w:rFonts w:ascii="Arial Narrow" w:hAnsi="Arial Narrow"/>
                <w:szCs w:val="20"/>
              </w:rPr>
            </w:pPr>
            <w:r>
              <w:rPr>
                <w:rFonts w:ascii="Arial Narrow" w:hAnsi="Arial Narrow"/>
                <w:szCs w:val="20"/>
              </w:rPr>
              <w:t>2017</w:t>
            </w:r>
          </w:p>
        </w:tc>
      </w:tr>
      <w:tr w:rsidR="00376523" w:rsidRPr="00C807FA" w14:paraId="50347BB2" w14:textId="77777777" w:rsidTr="009C17F8">
        <w:tc>
          <w:tcPr>
            <w:tcW w:w="1838" w:type="dxa"/>
          </w:tcPr>
          <w:p w14:paraId="7EC8B020" w14:textId="77777777" w:rsidR="00376523" w:rsidRPr="00C807FA" w:rsidRDefault="00376523" w:rsidP="00B42873">
            <w:pPr>
              <w:spacing w:after="40"/>
              <w:rPr>
                <w:rFonts w:ascii="Arial Narrow" w:hAnsi="Arial Narrow"/>
                <w:szCs w:val="20"/>
              </w:rPr>
            </w:pPr>
            <w:r>
              <w:rPr>
                <w:rFonts w:ascii="Arial Narrow" w:hAnsi="Arial Narrow"/>
                <w:szCs w:val="20"/>
              </w:rPr>
              <w:t>Retrospective review</w:t>
            </w:r>
          </w:p>
        </w:tc>
        <w:tc>
          <w:tcPr>
            <w:tcW w:w="3119" w:type="dxa"/>
          </w:tcPr>
          <w:p w14:paraId="7419C856" w14:textId="77777777" w:rsidR="00376523" w:rsidRDefault="00376523" w:rsidP="00B42873">
            <w:pPr>
              <w:spacing w:after="40"/>
              <w:rPr>
                <w:rFonts w:ascii="Arial Narrow" w:hAnsi="Arial Narrow"/>
                <w:szCs w:val="20"/>
              </w:rPr>
            </w:pPr>
            <w:r>
              <w:rPr>
                <w:rFonts w:ascii="Arial Narrow" w:hAnsi="Arial Narrow"/>
                <w:szCs w:val="20"/>
              </w:rPr>
              <w:t>Mozes 2017. Volumetric response of intracranial meningioma after photon or particle irradiation</w:t>
            </w:r>
          </w:p>
        </w:tc>
        <w:tc>
          <w:tcPr>
            <w:tcW w:w="3402" w:type="dxa"/>
          </w:tcPr>
          <w:p w14:paraId="1C27903E" w14:textId="77777777" w:rsidR="00376523" w:rsidRDefault="00376523" w:rsidP="00B42873">
            <w:pPr>
              <w:spacing w:after="40"/>
              <w:rPr>
                <w:rFonts w:ascii="Arial Narrow" w:hAnsi="Arial Narrow"/>
                <w:szCs w:val="20"/>
              </w:rPr>
            </w:pPr>
            <w:r>
              <w:rPr>
                <w:rFonts w:ascii="Arial Narrow" w:hAnsi="Arial Narrow"/>
                <w:szCs w:val="20"/>
              </w:rPr>
              <w:t>Patients with meningioma treated with proton or mixed therapy (n=38) or IMRT or fractioned therapy (n=39) follow-up of 12-24 months. Outcome of tumour volume.</w:t>
            </w:r>
          </w:p>
        </w:tc>
        <w:tc>
          <w:tcPr>
            <w:tcW w:w="4579" w:type="dxa"/>
          </w:tcPr>
          <w:p w14:paraId="34D55DE3" w14:textId="00C9A3DA" w:rsidR="00376523" w:rsidRPr="00C807FA" w:rsidRDefault="00A95AB2" w:rsidP="00B42873">
            <w:pPr>
              <w:spacing w:after="40"/>
              <w:rPr>
                <w:rFonts w:ascii="Arial Narrow" w:hAnsi="Arial Narrow"/>
                <w:szCs w:val="20"/>
              </w:rPr>
            </w:pPr>
            <w:hyperlink r:id="rId24" w:tooltip="This link goes to the pubmed journal article" w:history="1">
              <w:r w:rsidR="00376523">
                <w:rPr>
                  <w:rStyle w:val="Hyperlink"/>
                </w:rPr>
                <w:t>https://www.ncbi.nlm.nih.gov/pubmed/27911139</w:t>
              </w:r>
            </w:hyperlink>
          </w:p>
        </w:tc>
        <w:tc>
          <w:tcPr>
            <w:tcW w:w="1091" w:type="dxa"/>
          </w:tcPr>
          <w:p w14:paraId="787F8C40" w14:textId="77777777" w:rsidR="00376523" w:rsidRPr="00C807FA" w:rsidRDefault="00376523" w:rsidP="00B42873">
            <w:pPr>
              <w:spacing w:after="40"/>
              <w:rPr>
                <w:rFonts w:ascii="Arial Narrow" w:hAnsi="Arial Narrow"/>
                <w:szCs w:val="20"/>
              </w:rPr>
            </w:pPr>
            <w:r>
              <w:rPr>
                <w:rFonts w:ascii="Arial Narrow" w:hAnsi="Arial Narrow"/>
                <w:szCs w:val="20"/>
              </w:rPr>
              <w:t>2017</w:t>
            </w:r>
          </w:p>
        </w:tc>
      </w:tr>
      <w:tr w:rsidR="00376523" w:rsidRPr="00C807FA" w14:paraId="35556279" w14:textId="77777777" w:rsidTr="009C17F8">
        <w:tc>
          <w:tcPr>
            <w:tcW w:w="1838" w:type="dxa"/>
          </w:tcPr>
          <w:p w14:paraId="087A2CAA" w14:textId="77777777" w:rsidR="00376523" w:rsidRPr="00C807FA" w:rsidRDefault="00376523" w:rsidP="00B42873">
            <w:pPr>
              <w:spacing w:after="40"/>
              <w:rPr>
                <w:rFonts w:ascii="Arial Narrow" w:hAnsi="Arial Narrow"/>
                <w:szCs w:val="20"/>
              </w:rPr>
            </w:pPr>
            <w:r>
              <w:rPr>
                <w:rFonts w:ascii="Arial Narrow" w:hAnsi="Arial Narrow"/>
                <w:szCs w:val="20"/>
              </w:rPr>
              <w:t>Retrospective database review</w:t>
            </w:r>
          </w:p>
        </w:tc>
        <w:tc>
          <w:tcPr>
            <w:tcW w:w="3119" w:type="dxa"/>
          </w:tcPr>
          <w:p w14:paraId="521036CB" w14:textId="77777777" w:rsidR="00376523" w:rsidRDefault="00376523" w:rsidP="00B42873">
            <w:pPr>
              <w:spacing w:after="40"/>
              <w:rPr>
                <w:rFonts w:ascii="Arial Narrow" w:hAnsi="Arial Narrow"/>
                <w:szCs w:val="20"/>
              </w:rPr>
            </w:pPr>
            <w:r>
              <w:rPr>
                <w:rFonts w:ascii="Arial Narrow" w:hAnsi="Arial Narrow"/>
                <w:szCs w:val="20"/>
              </w:rPr>
              <w:t>Jhaveri 2018. Proton vs. photon radiation therapy for primary gliomas: an analysis of the National Cancer Database.</w:t>
            </w:r>
          </w:p>
        </w:tc>
        <w:tc>
          <w:tcPr>
            <w:tcW w:w="3402" w:type="dxa"/>
          </w:tcPr>
          <w:p w14:paraId="5312FD0F" w14:textId="77777777" w:rsidR="00376523" w:rsidRDefault="00376523" w:rsidP="00B42873">
            <w:pPr>
              <w:spacing w:after="40"/>
              <w:rPr>
                <w:rFonts w:ascii="Arial Narrow" w:hAnsi="Arial Narrow"/>
                <w:szCs w:val="20"/>
              </w:rPr>
            </w:pPr>
            <w:r>
              <w:rPr>
                <w:rFonts w:ascii="Arial Narrow" w:hAnsi="Arial Narrow"/>
                <w:szCs w:val="20"/>
              </w:rPr>
              <w:t>Patients with Grade 1-4 glioma treated with PBT (n=170) or photon XRT (n=49,405). Measuring overall survival with a median follow-up of 62.1 months.</w:t>
            </w:r>
          </w:p>
        </w:tc>
        <w:tc>
          <w:tcPr>
            <w:tcW w:w="4579" w:type="dxa"/>
          </w:tcPr>
          <w:p w14:paraId="1A831732" w14:textId="18910872" w:rsidR="00376523" w:rsidRPr="00C807FA" w:rsidRDefault="00A95AB2" w:rsidP="00B42873">
            <w:pPr>
              <w:spacing w:after="40"/>
              <w:rPr>
                <w:rFonts w:ascii="Arial Narrow" w:hAnsi="Arial Narrow"/>
                <w:szCs w:val="20"/>
              </w:rPr>
            </w:pPr>
            <w:hyperlink r:id="rId25" w:tooltip="This link goes to the pubmed journal article" w:history="1">
              <w:r w:rsidR="00376523">
                <w:rPr>
                  <w:rStyle w:val="Hyperlink"/>
                </w:rPr>
                <w:t>https://www.ncbi.nlm.nih.gov/pubmed/30547008</w:t>
              </w:r>
            </w:hyperlink>
          </w:p>
        </w:tc>
        <w:tc>
          <w:tcPr>
            <w:tcW w:w="1091" w:type="dxa"/>
          </w:tcPr>
          <w:p w14:paraId="321D9E79" w14:textId="77777777" w:rsidR="00376523" w:rsidRPr="00C807FA" w:rsidRDefault="00376523" w:rsidP="00B42873">
            <w:pPr>
              <w:spacing w:after="40"/>
              <w:rPr>
                <w:rFonts w:ascii="Arial Narrow" w:hAnsi="Arial Narrow"/>
                <w:szCs w:val="20"/>
              </w:rPr>
            </w:pPr>
            <w:r>
              <w:rPr>
                <w:rFonts w:ascii="Arial Narrow" w:hAnsi="Arial Narrow"/>
                <w:szCs w:val="20"/>
              </w:rPr>
              <w:t>2018</w:t>
            </w:r>
          </w:p>
        </w:tc>
      </w:tr>
      <w:tr w:rsidR="00376523" w:rsidRPr="00C807FA" w14:paraId="7356168E" w14:textId="77777777" w:rsidTr="009C17F8">
        <w:tc>
          <w:tcPr>
            <w:tcW w:w="1838" w:type="dxa"/>
          </w:tcPr>
          <w:p w14:paraId="27AF7F9E" w14:textId="77777777" w:rsidR="00376523" w:rsidRPr="00C807FA" w:rsidRDefault="00376523" w:rsidP="00B42873">
            <w:pPr>
              <w:spacing w:after="40"/>
              <w:rPr>
                <w:rFonts w:ascii="Arial Narrow" w:hAnsi="Arial Narrow"/>
                <w:szCs w:val="20"/>
              </w:rPr>
            </w:pPr>
            <w:r>
              <w:rPr>
                <w:rFonts w:ascii="Arial Narrow" w:hAnsi="Arial Narrow"/>
                <w:szCs w:val="20"/>
              </w:rPr>
              <w:t>Retrospective cohort study</w:t>
            </w:r>
          </w:p>
        </w:tc>
        <w:tc>
          <w:tcPr>
            <w:tcW w:w="3119" w:type="dxa"/>
          </w:tcPr>
          <w:p w14:paraId="12BFAB11" w14:textId="77777777" w:rsidR="00376523" w:rsidRDefault="00376523" w:rsidP="00B42873">
            <w:pPr>
              <w:spacing w:after="40"/>
              <w:rPr>
                <w:rFonts w:ascii="Arial Narrow" w:hAnsi="Arial Narrow"/>
                <w:szCs w:val="20"/>
              </w:rPr>
            </w:pPr>
            <w:r>
              <w:rPr>
                <w:rFonts w:ascii="Arial Narrow" w:hAnsi="Arial Narrow"/>
                <w:szCs w:val="20"/>
              </w:rPr>
              <w:t>Brown 2013. Proton beam craniospinal irradiation reduces acute toxicity for adults with medulloblastoma</w:t>
            </w:r>
          </w:p>
        </w:tc>
        <w:tc>
          <w:tcPr>
            <w:tcW w:w="3402" w:type="dxa"/>
          </w:tcPr>
          <w:p w14:paraId="5E125668" w14:textId="77777777" w:rsidR="00376523" w:rsidRDefault="00376523" w:rsidP="00B42873">
            <w:pPr>
              <w:spacing w:after="40"/>
              <w:rPr>
                <w:rFonts w:ascii="Arial Narrow" w:hAnsi="Arial Narrow"/>
                <w:szCs w:val="20"/>
              </w:rPr>
            </w:pPr>
            <w:r>
              <w:rPr>
                <w:rFonts w:ascii="Arial Narrow" w:hAnsi="Arial Narrow"/>
                <w:szCs w:val="20"/>
              </w:rPr>
              <w:t>Patients with medulloblastoma treated with PBT (n=19) or photon radiotherapy (n=21), median follow-up of 26 and 57 months, respectively. Outcomes include locoregional failure, weight loss, nausea/vomiting, medical management of esophagitis, IV fluid support, bone marrow suppression, anaemia, haematologic toxicity.</w:t>
            </w:r>
          </w:p>
        </w:tc>
        <w:tc>
          <w:tcPr>
            <w:tcW w:w="4579" w:type="dxa"/>
          </w:tcPr>
          <w:p w14:paraId="0089CC92" w14:textId="6B4B60C9" w:rsidR="00376523" w:rsidRPr="00C807FA" w:rsidRDefault="00A95AB2" w:rsidP="00B42873">
            <w:pPr>
              <w:spacing w:after="40"/>
              <w:rPr>
                <w:rFonts w:ascii="Arial Narrow" w:hAnsi="Arial Narrow"/>
                <w:szCs w:val="20"/>
              </w:rPr>
            </w:pPr>
            <w:hyperlink r:id="rId26" w:tooltip="This link goes to the pubmed journal article" w:history="1">
              <w:r w:rsidR="00376523">
                <w:rPr>
                  <w:rStyle w:val="Hyperlink"/>
                </w:rPr>
                <w:t>https://www.ncbi.nlm.nih.gov/pubmed/23433794</w:t>
              </w:r>
            </w:hyperlink>
          </w:p>
        </w:tc>
        <w:tc>
          <w:tcPr>
            <w:tcW w:w="1091" w:type="dxa"/>
          </w:tcPr>
          <w:p w14:paraId="4179A906" w14:textId="77777777" w:rsidR="00376523" w:rsidRPr="00C807FA" w:rsidRDefault="00376523" w:rsidP="00B42873">
            <w:pPr>
              <w:spacing w:after="40"/>
              <w:rPr>
                <w:rFonts w:ascii="Arial Narrow" w:hAnsi="Arial Narrow"/>
                <w:szCs w:val="20"/>
              </w:rPr>
            </w:pPr>
            <w:r>
              <w:rPr>
                <w:rFonts w:ascii="Arial Narrow" w:hAnsi="Arial Narrow"/>
                <w:szCs w:val="20"/>
              </w:rPr>
              <w:t>2013</w:t>
            </w:r>
          </w:p>
        </w:tc>
      </w:tr>
      <w:tr w:rsidR="00376523" w:rsidRPr="00C807FA" w14:paraId="2CA48359" w14:textId="77777777" w:rsidTr="009C17F8">
        <w:tc>
          <w:tcPr>
            <w:tcW w:w="1838" w:type="dxa"/>
          </w:tcPr>
          <w:p w14:paraId="48AC46E9" w14:textId="77777777" w:rsidR="00376523" w:rsidRPr="00C807FA" w:rsidRDefault="00376523" w:rsidP="00B42873">
            <w:pPr>
              <w:spacing w:after="40"/>
              <w:rPr>
                <w:rFonts w:ascii="Arial Narrow" w:hAnsi="Arial Narrow"/>
                <w:szCs w:val="20"/>
              </w:rPr>
            </w:pPr>
            <w:r>
              <w:rPr>
                <w:rFonts w:ascii="Arial Narrow" w:hAnsi="Arial Narrow"/>
                <w:szCs w:val="20"/>
              </w:rPr>
              <w:t>Retrospective cohort study</w:t>
            </w:r>
          </w:p>
        </w:tc>
        <w:tc>
          <w:tcPr>
            <w:tcW w:w="3119" w:type="dxa"/>
          </w:tcPr>
          <w:p w14:paraId="14294645" w14:textId="77777777" w:rsidR="00376523" w:rsidRDefault="00376523" w:rsidP="00B42873">
            <w:pPr>
              <w:spacing w:after="40"/>
              <w:rPr>
                <w:rFonts w:ascii="Arial Narrow" w:hAnsi="Arial Narrow"/>
                <w:szCs w:val="20"/>
              </w:rPr>
            </w:pPr>
            <w:r>
              <w:rPr>
                <w:rFonts w:ascii="Arial Narrow" w:hAnsi="Arial Narrow"/>
                <w:szCs w:val="20"/>
              </w:rPr>
              <w:t>Hug 2000. Proton radiation therapy for chordomas and chondrosarcomas of the skull base</w:t>
            </w:r>
          </w:p>
        </w:tc>
        <w:tc>
          <w:tcPr>
            <w:tcW w:w="3402" w:type="dxa"/>
          </w:tcPr>
          <w:p w14:paraId="0E796E94" w14:textId="77777777" w:rsidR="00376523" w:rsidRDefault="00376523" w:rsidP="00B42873">
            <w:pPr>
              <w:spacing w:after="40"/>
              <w:rPr>
                <w:rFonts w:ascii="Arial Narrow" w:hAnsi="Arial Narrow"/>
                <w:szCs w:val="20"/>
              </w:rPr>
            </w:pPr>
            <w:r>
              <w:rPr>
                <w:rFonts w:ascii="Arial Narrow" w:hAnsi="Arial Narrow"/>
                <w:szCs w:val="20"/>
              </w:rPr>
              <w:t>Patients with meningioma treated with combined photon and proton therapy (n=16) or photon therapy alone (n=15). Outcomes include local control rates, target doses, distant metastasis.</w:t>
            </w:r>
          </w:p>
        </w:tc>
        <w:tc>
          <w:tcPr>
            <w:tcW w:w="4579" w:type="dxa"/>
          </w:tcPr>
          <w:p w14:paraId="6393EF5E" w14:textId="2F99A99C" w:rsidR="00376523" w:rsidRPr="00C807FA" w:rsidRDefault="00A95AB2" w:rsidP="00B42873">
            <w:pPr>
              <w:spacing w:after="40"/>
              <w:rPr>
                <w:rFonts w:ascii="Arial Narrow" w:hAnsi="Arial Narrow"/>
                <w:szCs w:val="20"/>
              </w:rPr>
            </w:pPr>
            <w:hyperlink r:id="rId27" w:tooltip="This link goes to the pubmed journal article" w:history="1">
              <w:r w:rsidR="00376523">
                <w:rPr>
                  <w:rStyle w:val="Hyperlink"/>
                </w:rPr>
                <w:t>https://www.ncbi.nlm.nih.gov/pubmed/11082173</w:t>
              </w:r>
            </w:hyperlink>
          </w:p>
        </w:tc>
        <w:tc>
          <w:tcPr>
            <w:tcW w:w="1091" w:type="dxa"/>
          </w:tcPr>
          <w:p w14:paraId="3D52CD8E" w14:textId="77777777" w:rsidR="00376523" w:rsidRPr="00C807FA" w:rsidRDefault="00376523" w:rsidP="00B42873">
            <w:pPr>
              <w:spacing w:after="40"/>
              <w:rPr>
                <w:rFonts w:ascii="Arial Narrow" w:hAnsi="Arial Narrow"/>
                <w:szCs w:val="20"/>
              </w:rPr>
            </w:pPr>
            <w:r>
              <w:rPr>
                <w:rFonts w:ascii="Arial Narrow" w:hAnsi="Arial Narrow"/>
                <w:szCs w:val="20"/>
              </w:rPr>
              <w:t>2000</w:t>
            </w:r>
          </w:p>
        </w:tc>
      </w:tr>
      <w:tr w:rsidR="00376523" w:rsidRPr="00C807FA" w14:paraId="47087D51" w14:textId="77777777" w:rsidTr="009C17F8">
        <w:tc>
          <w:tcPr>
            <w:tcW w:w="1838" w:type="dxa"/>
          </w:tcPr>
          <w:p w14:paraId="3E4FC11A" w14:textId="77777777" w:rsidR="00376523" w:rsidRPr="00C807FA" w:rsidRDefault="00376523" w:rsidP="00B42873">
            <w:pPr>
              <w:spacing w:after="40"/>
              <w:rPr>
                <w:rFonts w:ascii="Arial Narrow" w:hAnsi="Arial Narrow"/>
                <w:szCs w:val="20"/>
              </w:rPr>
            </w:pPr>
            <w:r>
              <w:rPr>
                <w:rFonts w:ascii="Arial Narrow" w:hAnsi="Arial Narrow"/>
                <w:szCs w:val="20"/>
              </w:rPr>
              <w:t>Retrospective cohort study</w:t>
            </w:r>
          </w:p>
        </w:tc>
        <w:tc>
          <w:tcPr>
            <w:tcW w:w="3119" w:type="dxa"/>
          </w:tcPr>
          <w:p w14:paraId="14AFDF22" w14:textId="77777777" w:rsidR="00376523" w:rsidRDefault="00376523" w:rsidP="00B42873">
            <w:pPr>
              <w:spacing w:after="40"/>
              <w:rPr>
                <w:rFonts w:ascii="Arial Narrow" w:hAnsi="Arial Narrow"/>
                <w:szCs w:val="20"/>
              </w:rPr>
            </w:pPr>
            <w:r>
              <w:rPr>
                <w:rFonts w:ascii="Arial Narrow" w:hAnsi="Arial Narrow"/>
                <w:szCs w:val="20"/>
              </w:rPr>
              <w:t>Kahn 2011. Long-term outcomes of patients with spinal cord gliomas treated by modern conformal radiation techniques</w:t>
            </w:r>
          </w:p>
        </w:tc>
        <w:tc>
          <w:tcPr>
            <w:tcW w:w="3402" w:type="dxa"/>
          </w:tcPr>
          <w:p w14:paraId="3A0FE947" w14:textId="77777777" w:rsidR="00376523" w:rsidRDefault="00376523" w:rsidP="00B42873">
            <w:pPr>
              <w:spacing w:after="40"/>
              <w:rPr>
                <w:rFonts w:ascii="Arial Narrow" w:hAnsi="Arial Narrow"/>
                <w:szCs w:val="20"/>
              </w:rPr>
            </w:pPr>
            <w:r>
              <w:rPr>
                <w:rFonts w:ascii="Arial Narrow" w:hAnsi="Arial Narrow"/>
                <w:szCs w:val="20"/>
              </w:rPr>
              <w:t>Patients with primary spinal chord gliomas treated with PBT (n=10) or photon therapy (n=22). Outcomes include local recurrences, time progression, radiation dose.</w:t>
            </w:r>
          </w:p>
        </w:tc>
        <w:tc>
          <w:tcPr>
            <w:tcW w:w="4579" w:type="dxa"/>
          </w:tcPr>
          <w:p w14:paraId="0F751F0A" w14:textId="705BE07C" w:rsidR="00376523" w:rsidRPr="00C807FA" w:rsidRDefault="00A95AB2" w:rsidP="00B42873">
            <w:pPr>
              <w:spacing w:after="40"/>
              <w:rPr>
                <w:rFonts w:ascii="Arial Narrow" w:hAnsi="Arial Narrow"/>
                <w:szCs w:val="20"/>
              </w:rPr>
            </w:pPr>
            <w:hyperlink r:id="rId28" w:tooltip="This link goes to the pubmed journal article" w:history="1">
              <w:r w:rsidR="00376523">
                <w:rPr>
                  <w:rStyle w:val="Hyperlink"/>
                </w:rPr>
                <w:t>https://www.ncbi.nlm.nih.gov/pubmed/20947265</w:t>
              </w:r>
            </w:hyperlink>
          </w:p>
        </w:tc>
        <w:tc>
          <w:tcPr>
            <w:tcW w:w="1091" w:type="dxa"/>
          </w:tcPr>
          <w:p w14:paraId="1B3478BC" w14:textId="77777777" w:rsidR="00376523" w:rsidRPr="00C807FA" w:rsidRDefault="00376523" w:rsidP="00B42873">
            <w:pPr>
              <w:spacing w:after="40"/>
              <w:rPr>
                <w:rFonts w:ascii="Arial Narrow" w:hAnsi="Arial Narrow"/>
                <w:szCs w:val="20"/>
              </w:rPr>
            </w:pPr>
            <w:r>
              <w:rPr>
                <w:rFonts w:ascii="Arial Narrow" w:hAnsi="Arial Narrow"/>
                <w:szCs w:val="20"/>
              </w:rPr>
              <w:t>2011</w:t>
            </w:r>
          </w:p>
        </w:tc>
      </w:tr>
      <w:tr w:rsidR="00376523" w:rsidRPr="00C807FA" w14:paraId="6F61F9CA" w14:textId="77777777" w:rsidTr="009C17F8">
        <w:tc>
          <w:tcPr>
            <w:tcW w:w="1838" w:type="dxa"/>
          </w:tcPr>
          <w:p w14:paraId="2BBC6F08" w14:textId="77777777" w:rsidR="00376523" w:rsidRPr="00C807FA" w:rsidRDefault="00376523" w:rsidP="00B42873">
            <w:pPr>
              <w:spacing w:after="40"/>
              <w:rPr>
                <w:rFonts w:ascii="Arial Narrow" w:hAnsi="Arial Narrow"/>
                <w:szCs w:val="20"/>
              </w:rPr>
            </w:pPr>
            <w:r>
              <w:rPr>
                <w:rFonts w:ascii="Arial Narrow" w:hAnsi="Arial Narrow"/>
                <w:szCs w:val="20"/>
              </w:rPr>
              <w:t>Retrospective cohort study</w:t>
            </w:r>
          </w:p>
        </w:tc>
        <w:tc>
          <w:tcPr>
            <w:tcW w:w="3119" w:type="dxa"/>
          </w:tcPr>
          <w:p w14:paraId="76FC613E" w14:textId="77777777" w:rsidR="00376523" w:rsidRDefault="00376523" w:rsidP="00B42873">
            <w:pPr>
              <w:spacing w:after="40"/>
              <w:rPr>
                <w:rFonts w:ascii="Arial Narrow" w:hAnsi="Arial Narrow"/>
                <w:szCs w:val="20"/>
              </w:rPr>
            </w:pPr>
            <w:r>
              <w:rPr>
                <w:rFonts w:ascii="Arial Narrow" w:hAnsi="Arial Narrow"/>
                <w:szCs w:val="20"/>
              </w:rPr>
              <w:t>Mizumoto 2013. Reirradiation for recurrent malignant brain tumor with radiotherapy or proton beam therapy. Technical considerations based on experience at a single institution.</w:t>
            </w:r>
          </w:p>
        </w:tc>
        <w:tc>
          <w:tcPr>
            <w:tcW w:w="3402" w:type="dxa"/>
          </w:tcPr>
          <w:p w14:paraId="4B2B7179" w14:textId="77777777" w:rsidR="00376523" w:rsidRDefault="00376523" w:rsidP="00B42873">
            <w:pPr>
              <w:spacing w:after="40"/>
              <w:rPr>
                <w:rFonts w:ascii="Arial Narrow" w:hAnsi="Arial Narrow"/>
                <w:szCs w:val="20"/>
              </w:rPr>
            </w:pPr>
            <w:r>
              <w:rPr>
                <w:rFonts w:ascii="Arial Narrow" w:hAnsi="Arial Narrow"/>
                <w:szCs w:val="20"/>
              </w:rPr>
              <w:t>Patients with recurrent malignant brain tumours treated with PBT (n=9) or photon radiotherapy (n=8)/ SRT (n=10). Outcomes measured include local recurrences and radiation necrosis.</w:t>
            </w:r>
          </w:p>
        </w:tc>
        <w:tc>
          <w:tcPr>
            <w:tcW w:w="4579" w:type="dxa"/>
          </w:tcPr>
          <w:p w14:paraId="5CAD02CD" w14:textId="658D9551" w:rsidR="00376523" w:rsidRPr="00C807FA" w:rsidRDefault="00A95AB2" w:rsidP="00B42873">
            <w:pPr>
              <w:spacing w:after="40"/>
              <w:rPr>
                <w:rFonts w:ascii="Arial Narrow" w:hAnsi="Arial Narrow"/>
                <w:szCs w:val="20"/>
              </w:rPr>
            </w:pPr>
            <w:hyperlink r:id="rId29" w:tooltip="This link goes to the pubmed journal article" w:history="1">
              <w:r w:rsidR="00376523">
                <w:rPr>
                  <w:rStyle w:val="Hyperlink"/>
                </w:rPr>
                <w:t>https://www.ncbi.nlm.nih.gov/pubmed/23824106</w:t>
              </w:r>
            </w:hyperlink>
          </w:p>
        </w:tc>
        <w:tc>
          <w:tcPr>
            <w:tcW w:w="1091" w:type="dxa"/>
          </w:tcPr>
          <w:p w14:paraId="74515620" w14:textId="77777777" w:rsidR="00376523" w:rsidRPr="00C807FA" w:rsidRDefault="00376523" w:rsidP="00B42873">
            <w:pPr>
              <w:spacing w:after="40"/>
              <w:rPr>
                <w:rFonts w:ascii="Arial Narrow" w:hAnsi="Arial Narrow"/>
                <w:szCs w:val="20"/>
              </w:rPr>
            </w:pPr>
            <w:r>
              <w:rPr>
                <w:rFonts w:ascii="Arial Narrow" w:hAnsi="Arial Narrow"/>
                <w:szCs w:val="20"/>
              </w:rPr>
              <w:t>2013</w:t>
            </w:r>
          </w:p>
        </w:tc>
      </w:tr>
      <w:tr w:rsidR="005D1CBF" w:rsidRPr="00C807FA" w14:paraId="756223AB" w14:textId="77777777" w:rsidTr="009C17F8">
        <w:tc>
          <w:tcPr>
            <w:tcW w:w="1838" w:type="dxa"/>
          </w:tcPr>
          <w:p w14:paraId="6EB1A5FD" w14:textId="77777777" w:rsidR="005D1CBF" w:rsidRPr="00C807FA" w:rsidRDefault="005D1CBF" w:rsidP="00B42873">
            <w:pPr>
              <w:spacing w:after="40"/>
              <w:rPr>
                <w:rFonts w:ascii="Arial Narrow" w:hAnsi="Arial Narrow"/>
                <w:szCs w:val="20"/>
              </w:rPr>
            </w:pPr>
            <w:r>
              <w:rPr>
                <w:rFonts w:ascii="Arial Narrow" w:hAnsi="Arial Narrow"/>
                <w:szCs w:val="20"/>
              </w:rPr>
              <w:t>Paediatric brain, spinal and soft tissue cancers</w:t>
            </w:r>
          </w:p>
        </w:tc>
        <w:tc>
          <w:tcPr>
            <w:tcW w:w="3119" w:type="dxa"/>
          </w:tcPr>
          <w:p w14:paraId="3039BC65" w14:textId="16352E2F" w:rsidR="005D1CBF" w:rsidRPr="00C807FA" w:rsidRDefault="00D36DBA" w:rsidP="00B42873">
            <w:pPr>
              <w:spacing w:after="40"/>
              <w:rPr>
                <w:rFonts w:ascii="Arial Narrow" w:hAnsi="Arial Narrow"/>
                <w:szCs w:val="20"/>
              </w:rPr>
            </w:pPr>
            <w:r>
              <w:rPr>
                <w:rFonts w:ascii="Arial Narrow" w:hAnsi="Arial Narrow"/>
                <w:szCs w:val="20"/>
              </w:rPr>
              <w:t>-</w:t>
            </w:r>
          </w:p>
        </w:tc>
        <w:tc>
          <w:tcPr>
            <w:tcW w:w="3402" w:type="dxa"/>
          </w:tcPr>
          <w:p w14:paraId="31FD2E4F" w14:textId="113989FC" w:rsidR="005D1CBF" w:rsidRPr="00C807FA" w:rsidRDefault="00D36DBA" w:rsidP="00B42873">
            <w:pPr>
              <w:spacing w:after="40"/>
              <w:rPr>
                <w:rFonts w:ascii="Arial Narrow" w:hAnsi="Arial Narrow"/>
                <w:szCs w:val="20"/>
              </w:rPr>
            </w:pPr>
            <w:r>
              <w:rPr>
                <w:rFonts w:ascii="Arial Narrow" w:hAnsi="Arial Narrow"/>
                <w:szCs w:val="20"/>
              </w:rPr>
              <w:t>-</w:t>
            </w:r>
          </w:p>
        </w:tc>
        <w:tc>
          <w:tcPr>
            <w:tcW w:w="4579" w:type="dxa"/>
          </w:tcPr>
          <w:p w14:paraId="58E64857" w14:textId="676F31E8" w:rsidR="005D1CBF" w:rsidRPr="00C807FA" w:rsidRDefault="00D36DBA" w:rsidP="00B42873">
            <w:pPr>
              <w:spacing w:after="40"/>
              <w:rPr>
                <w:rFonts w:ascii="Arial Narrow" w:hAnsi="Arial Narrow"/>
                <w:szCs w:val="20"/>
              </w:rPr>
            </w:pPr>
            <w:r>
              <w:rPr>
                <w:rFonts w:ascii="Arial Narrow" w:hAnsi="Arial Narrow"/>
                <w:szCs w:val="20"/>
              </w:rPr>
              <w:t>-</w:t>
            </w:r>
          </w:p>
        </w:tc>
        <w:tc>
          <w:tcPr>
            <w:tcW w:w="1091" w:type="dxa"/>
          </w:tcPr>
          <w:p w14:paraId="1CB8B771" w14:textId="2FDA7550" w:rsidR="005D1CBF" w:rsidRPr="00C807FA" w:rsidRDefault="00D36DBA" w:rsidP="00B42873">
            <w:pPr>
              <w:spacing w:after="40"/>
              <w:rPr>
                <w:rFonts w:ascii="Arial Narrow" w:hAnsi="Arial Narrow"/>
                <w:szCs w:val="20"/>
              </w:rPr>
            </w:pPr>
            <w:r>
              <w:rPr>
                <w:rFonts w:ascii="Arial Narrow" w:hAnsi="Arial Narrow"/>
                <w:szCs w:val="20"/>
              </w:rPr>
              <w:t>-</w:t>
            </w:r>
          </w:p>
        </w:tc>
      </w:tr>
      <w:tr w:rsidR="00376523" w:rsidRPr="00C807FA" w14:paraId="0EBB0661" w14:textId="77777777" w:rsidTr="009C17F8">
        <w:tc>
          <w:tcPr>
            <w:tcW w:w="1838" w:type="dxa"/>
          </w:tcPr>
          <w:p w14:paraId="50FF4B1C" w14:textId="77777777" w:rsidR="00376523" w:rsidRPr="00C807FA" w:rsidRDefault="00376523" w:rsidP="00B42873">
            <w:pPr>
              <w:spacing w:after="40"/>
              <w:rPr>
                <w:rFonts w:ascii="Arial Narrow" w:hAnsi="Arial Narrow"/>
                <w:szCs w:val="20"/>
              </w:rPr>
            </w:pPr>
            <w:r>
              <w:rPr>
                <w:rFonts w:ascii="Arial Narrow" w:hAnsi="Arial Narrow"/>
                <w:szCs w:val="20"/>
              </w:rPr>
              <w:t>Retrospective comparative study</w:t>
            </w:r>
          </w:p>
        </w:tc>
        <w:tc>
          <w:tcPr>
            <w:tcW w:w="3119" w:type="dxa"/>
          </w:tcPr>
          <w:p w14:paraId="6CF151E7" w14:textId="77777777" w:rsidR="00376523" w:rsidRDefault="00376523" w:rsidP="00B42873">
            <w:pPr>
              <w:spacing w:after="40"/>
              <w:rPr>
                <w:rFonts w:ascii="Arial Narrow" w:hAnsi="Arial Narrow"/>
                <w:szCs w:val="20"/>
              </w:rPr>
            </w:pPr>
            <w:r>
              <w:rPr>
                <w:rFonts w:ascii="Arial Narrow" w:hAnsi="Arial Narrow"/>
                <w:szCs w:val="20"/>
              </w:rPr>
              <w:t>Bishop 2014. Proton beam therapy versus conformal photon radiation therapy for childhood craniopharyngioma: multi-institutional analysis of outcomes, cyst dynamics, and toxicity.</w:t>
            </w:r>
          </w:p>
        </w:tc>
        <w:tc>
          <w:tcPr>
            <w:tcW w:w="3402" w:type="dxa"/>
          </w:tcPr>
          <w:p w14:paraId="00DFF7DE" w14:textId="77777777" w:rsidR="00376523" w:rsidRDefault="00376523" w:rsidP="00B42873">
            <w:pPr>
              <w:spacing w:after="40"/>
              <w:rPr>
                <w:rFonts w:ascii="Arial Narrow" w:hAnsi="Arial Narrow"/>
                <w:szCs w:val="20"/>
              </w:rPr>
            </w:pPr>
            <w:r>
              <w:rPr>
                <w:rFonts w:ascii="Arial Narrow" w:hAnsi="Arial Narrow"/>
                <w:szCs w:val="20"/>
              </w:rPr>
              <w:t>Paediatric craniopharyngioma patients treated with PBT (n=21) or IMRT (n=31) over a median of 59.6 months follow-up. Outcomes assessed include OS, disease progression, early and late toxicities, endocrinopathies, panhypopituitarism, deviation in baseline vision, vascular toxicities (myoma, stroke, vessel, malformations), hypothalamic obesity.</w:t>
            </w:r>
          </w:p>
        </w:tc>
        <w:tc>
          <w:tcPr>
            <w:tcW w:w="4579" w:type="dxa"/>
          </w:tcPr>
          <w:p w14:paraId="2B34B752" w14:textId="47D24BD6" w:rsidR="00376523" w:rsidRPr="00C807FA" w:rsidRDefault="00A95AB2" w:rsidP="00B42873">
            <w:pPr>
              <w:spacing w:after="40"/>
              <w:rPr>
                <w:rFonts w:ascii="Arial Narrow" w:hAnsi="Arial Narrow"/>
                <w:szCs w:val="20"/>
              </w:rPr>
            </w:pPr>
            <w:hyperlink r:id="rId30" w:tooltip="This link goes to the pubmed journal article" w:history="1">
              <w:r w:rsidR="00376523">
                <w:rPr>
                  <w:rStyle w:val="Hyperlink"/>
                </w:rPr>
                <w:t>https://www.ncbi.nlm.nih.gov/pubmed/25052561</w:t>
              </w:r>
            </w:hyperlink>
          </w:p>
        </w:tc>
        <w:tc>
          <w:tcPr>
            <w:tcW w:w="1091" w:type="dxa"/>
          </w:tcPr>
          <w:p w14:paraId="20699D0F" w14:textId="77777777" w:rsidR="00376523" w:rsidRPr="00C807FA" w:rsidRDefault="00376523" w:rsidP="00B42873">
            <w:pPr>
              <w:spacing w:after="40"/>
              <w:rPr>
                <w:rFonts w:ascii="Arial Narrow" w:hAnsi="Arial Narrow"/>
                <w:szCs w:val="20"/>
              </w:rPr>
            </w:pPr>
            <w:r>
              <w:rPr>
                <w:rFonts w:ascii="Arial Narrow" w:hAnsi="Arial Narrow"/>
                <w:szCs w:val="20"/>
              </w:rPr>
              <w:t>2014</w:t>
            </w:r>
          </w:p>
        </w:tc>
      </w:tr>
      <w:tr w:rsidR="00376523" w:rsidRPr="00C807FA" w14:paraId="1A5C1B8B" w14:textId="77777777" w:rsidTr="009C17F8">
        <w:tc>
          <w:tcPr>
            <w:tcW w:w="1838" w:type="dxa"/>
          </w:tcPr>
          <w:p w14:paraId="37F082BB" w14:textId="77777777" w:rsidR="00376523" w:rsidRPr="00C807FA" w:rsidRDefault="00376523" w:rsidP="00B42873">
            <w:pPr>
              <w:spacing w:after="40"/>
              <w:rPr>
                <w:rFonts w:ascii="Arial Narrow" w:hAnsi="Arial Narrow"/>
                <w:szCs w:val="20"/>
              </w:rPr>
            </w:pPr>
            <w:r>
              <w:rPr>
                <w:rFonts w:ascii="Arial Narrow" w:hAnsi="Arial Narrow"/>
                <w:szCs w:val="20"/>
              </w:rPr>
              <w:t>Prospective cohort study</w:t>
            </w:r>
          </w:p>
        </w:tc>
        <w:tc>
          <w:tcPr>
            <w:tcW w:w="3119" w:type="dxa"/>
          </w:tcPr>
          <w:p w14:paraId="20D406B5" w14:textId="77777777" w:rsidR="00376523" w:rsidRDefault="00376523" w:rsidP="00B42873">
            <w:pPr>
              <w:spacing w:after="40"/>
              <w:rPr>
                <w:rFonts w:ascii="Arial Narrow" w:hAnsi="Arial Narrow"/>
                <w:szCs w:val="20"/>
              </w:rPr>
            </w:pPr>
            <w:r>
              <w:rPr>
                <w:rFonts w:ascii="Arial Narrow" w:hAnsi="Arial Narrow"/>
                <w:szCs w:val="20"/>
              </w:rPr>
              <w:t>Yock 2014. Quality of life outcomes in proton and photon treated pediatric brain tumor survivors .</w:t>
            </w:r>
          </w:p>
        </w:tc>
        <w:tc>
          <w:tcPr>
            <w:tcW w:w="3402" w:type="dxa"/>
          </w:tcPr>
          <w:p w14:paraId="0112038E" w14:textId="77777777" w:rsidR="00376523" w:rsidRDefault="00376523" w:rsidP="00B42873">
            <w:pPr>
              <w:spacing w:after="40"/>
              <w:rPr>
                <w:rFonts w:ascii="Arial Narrow" w:hAnsi="Arial Narrow"/>
                <w:szCs w:val="20"/>
              </w:rPr>
            </w:pPr>
            <w:r>
              <w:rPr>
                <w:rFonts w:ascii="Arial Narrow" w:hAnsi="Arial Narrow"/>
                <w:szCs w:val="20"/>
              </w:rPr>
              <w:t>Paediatric patients with CNS tumours treated with PBT (n=57) or XRT (n=63). HRQoL using the PedsQL assessment was measured at a median follow-up of 3 years.</w:t>
            </w:r>
          </w:p>
        </w:tc>
        <w:tc>
          <w:tcPr>
            <w:tcW w:w="4579" w:type="dxa"/>
          </w:tcPr>
          <w:p w14:paraId="2B1F2219" w14:textId="20D4AF49" w:rsidR="00376523" w:rsidRPr="00C807FA" w:rsidRDefault="00A95AB2" w:rsidP="00B42873">
            <w:pPr>
              <w:spacing w:after="40"/>
              <w:rPr>
                <w:rFonts w:ascii="Arial Narrow" w:hAnsi="Arial Narrow"/>
                <w:szCs w:val="20"/>
              </w:rPr>
            </w:pPr>
            <w:hyperlink r:id="rId31" w:tooltip="This link goes to the pubmed journal article" w:history="1">
              <w:r w:rsidR="00376523">
                <w:rPr>
                  <w:rStyle w:val="Hyperlink"/>
                </w:rPr>
                <w:t>https://www.ncbi.nlm.nih.gov/pmc/articles/PMC4288853/</w:t>
              </w:r>
            </w:hyperlink>
          </w:p>
        </w:tc>
        <w:tc>
          <w:tcPr>
            <w:tcW w:w="1091" w:type="dxa"/>
          </w:tcPr>
          <w:p w14:paraId="646BE5CF" w14:textId="77777777" w:rsidR="00376523" w:rsidRPr="00C807FA" w:rsidRDefault="00376523" w:rsidP="00B42873">
            <w:pPr>
              <w:spacing w:after="40"/>
              <w:rPr>
                <w:rFonts w:ascii="Arial Narrow" w:hAnsi="Arial Narrow"/>
                <w:szCs w:val="20"/>
              </w:rPr>
            </w:pPr>
            <w:r>
              <w:rPr>
                <w:rFonts w:ascii="Arial Narrow" w:hAnsi="Arial Narrow"/>
                <w:szCs w:val="20"/>
              </w:rPr>
              <w:t>2014</w:t>
            </w:r>
          </w:p>
        </w:tc>
      </w:tr>
      <w:tr w:rsidR="00376523" w:rsidRPr="00C807FA" w14:paraId="4A2F1262" w14:textId="77777777" w:rsidTr="009C17F8">
        <w:tc>
          <w:tcPr>
            <w:tcW w:w="1838" w:type="dxa"/>
          </w:tcPr>
          <w:p w14:paraId="5A995D7D" w14:textId="77777777" w:rsidR="00376523" w:rsidRPr="00C807FA" w:rsidRDefault="00376523" w:rsidP="00B42873">
            <w:pPr>
              <w:spacing w:after="40"/>
              <w:rPr>
                <w:rFonts w:ascii="Arial Narrow" w:hAnsi="Arial Narrow"/>
                <w:szCs w:val="20"/>
              </w:rPr>
            </w:pPr>
            <w:r>
              <w:rPr>
                <w:rFonts w:ascii="Arial Narrow" w:hAnsi="Arial Narrow"/>
                <w:szCs w:val="20"/>
              </w:rPr>
              <w:t>Prospective cohort study</w:t>
            </w:r>
          </w:p>
        </w:tc>
        <w:tc>
          <w:tcPr>
            <w:tcW w:w="3119" w:type="dxa"/>
          </w:tcPr>
          <w:p w14:paraId="48A474E1" w14:textId="77777777" w:rsidR="00376523" w:rsidRDefault="00376523" w:rsidP="00B42873">
            <w:pPr>
              <w:spacing w:after="40"/>
              <w:rPr>
                <w:rFonts w:ascii="Arial Narrow" w:hAnsi="Arial Narrow"/>
                <w:szCs w:val="20"/>
              </w:rPr>
            </w:pPr>
            <w:r>
              <w:rPr>
                <w:rFonts w:ascii="Arial Narrow" w:hAnsi="Arial Narrow"/>
                <w:szCs w:val="20"/>
              </w:rPr>
              <w:t>Song 2014. Proton beam therapy reduces the incidence of acute haematological and gastrointestinal toxicities associated with craniospinal irradiation in pediatric bran tumors.</w:t>
            </w:r>
          </w:p>
        </w:tc>
        <w:tc>
          <w:tcPr>
            <w:tcW w:w="3402" w:type="dxa"/>
          </w:tcPr>
          <w:p w14:paraId="6824A7DD" w14:textId="77777777" w:rsidR="00376523" w:rsidRDefault="00376523" w:rsidP="00B42873">
            <w:pPr>
              <w:spacing w:after="40"/>
              <w:rPr>
                <w:rFonts w:ascii="Arial Narrow" w:hAnsi="Arial Narrow"/>
                <w:szCs w:val="20"/>
              </w:rPr>
            </w:pPr>
            <w:r>
              <w:rPr>
                <w:rFonts w:ascii="Arial Narrow" w:hAnsi="Arial Narrow"/>
                <w:szCs w:val="20"/>
              </w:rPr>
              <w:t>Paediatric patients with CNS tumours treated with PBT (n=30) or photon CSI (n=13) at a median follow-up of 22 months. Outcomes assessed include CTCAE graded acute toxicities, changes in haematological parameters, thrombopoietin levels.</w:t>
            </w:r>
          </w:p>
        </w:tc>
        <w:tc>
          <w:tcPr>
            <w:tcW w:w="4579" w:type="dxa"/>
          </w:tcPr>
          <w:p w14:paraId="6148B81A" w14:textId="166E06DF" w:rsidR="00376523" w:rsidRPr="00C807FA" w:rsidRDefault="00A95AB2" w:rsidP="00B42873">
            <w:pPr>
              <w:spacing w:after="40"/>
              <w:rPr>
                <w:rFonts w:ascii="Arial Narrow" w:hAnsi="Arial Narrow"/>
                <w:szCs w:val="20"/>
              </w:rPr>
            </w:pPr>
            <w:hyperlink r:id="rId32" w:tooltip="This link goes to the pubmed journal article" w:history="1">
              <w:r w:rsidR="00376523">
                <w:rPr>
                  <w:rStyle w:val="Hyperlink"/>
                </w:rPr>
                <w:t>https://www.ncbi.nlm.nih.gov/pubmed/24913151</w:t>
              </w:r>
            </w:hyperlink>
          </w:p>
        </w:tc>
        <w:tc>
          <w:tcPr>
            <w:tcW w:w="1091" w:type="dxa"/>
          </w:tcPr>
          <w:p w14:paraId="3DCBB016" w14:textId="77777777" w:rsidR="00376523" w:rsidRPr="00C807FA" w:rsidRDefault="00376523" w:rsidP="00B42873">
            <w:pPr>
              <w:spacing w:after="40"/>
              <w:rPr>
                <w:rFonts w:ascii="Arial Narrow" w:hAnsi="Arial Narrow"/>
                <w:szCs w:val="20"/>
              </w:rPr>
            </w:pPr>
            <w:r>
              <w:rPr>
                <w:rFonts w:ascii="Arial Narrow" w:hAnsi="Arial Narrow"/>
                <w:szCs w:val="20"/>
              </w:rPr>
              <w:t>2014</w:t>
            </w:r>
          </w:p>
        </w:tc>
      </w:tr>
      <w:tr w:rsidR="00376523" w:rsidRPr="00C807FA" w14:paraId="7EA76697" w14:textId="77777777" w:rsidTr="009C17F8">
        <w:tc>
          <w:tcPr>
            <w:tcW w:w="1838" w:type="dxa"/>
          </w:tcPr>
          <w:p w14:paraId="0AE12401" w14:textId="77777777" w:rsidR="00376523" w:rsidRPr="00C807FA" w:rsidRDefault="00376523" w:rsidP="00B42873">
            <w:pPr>
              <w:spacing w:after="40"/>
              <w:rPr>
                <w:rFonts w:ascii="Arial Narrow" w:hAnsi="Arial Narrow"/>
                <w:szCs w:val="20"/>
              </w:rPr>
            </w:pPr>
            <w:r>
              <w:rPr>
                <w:rFonts w:ascii="Arial Narrow" w:hAnsi="Arial Narrow"/>
                <w:szCs w:val="20"/>
              </w:rPr>
              <w:t>Retrospective analysis</w:t>
            </w:r>
          </w:p>
        </w:tc>
        <w:tc>
          <w:tcPr>
            <w:tcW w:w="3119" w:type="dxa"/>
          </w:tcPr>
          <w:p w14:paraId="7A2EEB23" w14:textId="77777777" w:rsidR="00376523" w:rsidRDefault="00376523" w:rsidP="00B42873">
            <w:pPr>
              <w:spacing w:after="40"/>
              <w:rPr>
                <w:rFonts w:ascii="Arial Narrow" w:hAnsi="Arial Narrow"/>
                <w:szCs w:val="20"/>
              </w:rPr>
            </w:pPr>
            <w:r>
              <w:rPr>
                <w:rFonts w:ascii="Arial Narrow" w:hAnsi="Arial Narrow"/>
                <w:szCs w:val="20"/>
              </w:rPr>
              <w:t>Gunther 2015. Imaging changes in pediatric intracranial ependymoma patients treated with proton beam radiation therapy compared to intensity modulated radiation therapy.</w:t>
            </w:r>
          </w:p>
        </w:tc>
        <w:tc>
          <w:tcPr>
            <w:tcW w:w="3402" w:type="dxa"/>
          </w:tcPr>
          <w:p w14:paraId="74FFA76E" w14:textId="77777777" w:rsidR="00376523" w:rsidRDefault="00376523" w:rsidP="00B42873">
            <w:pPr>
              <w:spacing w:after="40"/>
              <w:rPr>
                <w:rFonts w:ascii="Arial Narrow" w:hAnsi="Arial Narrow"/>
                <w:szCs w:val="20"/>
              </w:rPr>
            </w:pPr>
            <w:r>
              <w:rPr>
                <w:rFonts w:ascii="Arial Narrow" w:hAnsi="Arial Narrow"/>
                <w:szCs w:val="20"/>
              </w:rPr>
              <w:t>Children with nonmetastatic intracranial ependymoma who received post-operative PBT (n=37) or IMRT (n=35) were followed for a median of 40.6 months. Outcomes assessed include recurrence rate, treatment related CNS injury, toxicities</w:t>
            </w:r>
          </w:p>
        </w:tc>
        <w:tc>
          <w:tcPr>
            <w:tcW w:w="4579" w:type="dxa"/>
          </w:tcPr>
          <w:p w14:paraId="0EC721C6" w14:textId="4A5B8DD6" w:rsidR="00376523" w:rsidRPr="00C807FA" w:rsidRDefault="00A95AB2" w:rsidP="00B42873">
            <w:pPr>
              <w:spacing w:after="40"/>
              <w:rPr>
                <w:rFonts w:ascii="Arial Narrow" w:hAnsi="Arial Narrow"/>
                <w:szCs w:val="20"/>
              </w:rPr>
            </w:pPr>
            <w:hyperlink r:id="rId33" w:tooltip="This link goes to the pubmed journal article" w:history="1">
              <w:r w:rsidR="00376523">
                <w:rPr>
                  <w:rStyle w:val="Hyperlink"/>
                </w:rPr>
                <w:t>https://www.ncbi.nlm.nih.gov/pubmed/26279024</w:t>
              </w:r>
            </w:hyperlink>
          </w:p>
        </w:tc>
        <w:tc>
          <w:tcPr>
            <w:tcW w:w="1091" w:type="dxa"/>
          </w:tcPr>
          <w:p w14:paraId="08675152" w14:textId="77777777" w:rsidR="00376523" w:rsidRPr="00C807FA" w:rsidRDefault="00376523" w:rsidP="00B42873">
            <w:pPr>
              <w:spacing w:after="40"/>
              <w:rPr>
                <w:rFonts w:ascii="Arial Narrow" w:hAnsi="Arial Narrow"/>
                <w:szCs w:val="20"/>
              </w:rPr>
            </w:pPr>
            <w:r>
              <w:rPr>
                <w:rFonts w:ascii="Arial Narrow" w:hAnsi="Arial Narrow"/>
                <w:szCs w:val="20"/>
              </w:rPr>
              <w:t>2015</w:t>
            </w:r>
          </w:p>
        </w:tc>
      </w:tr>
      <w:tr w:rsidR="00376523" w:rsidRPr="00C807FA" w14:paraId="70CC08E3" w14:textId="77777777" w:rsidTr="009C17F8">
        <w:tc>
          <w:tcPr>
            <w:tcW w:w="1838" w:type="dxa"/>
          </w:tcPr>
          <w:p w14:paraId="7717AAB5" w14:textId="77777777" w:rsidR="00376523" w:rsidRPr="00C807FA" w:rsidRDefault="00376523" w:rsidP="00B42873">
            <w:pPr>
              <w:spacing w:after="40"/>
              <w:rPr>
                <w:rFonts w:ascii="Arial Narrow" w:hAnsi="Arial Narrow"/>
                <w:szCs w:val="20"/>
              </w:rPr>
            </w:pPr>
            <w:r>
              <w:rPr>
                <w:rFonts w:ascii="Arial Narrow" w:hAnsi="Arial Narrow"/>
                <w:szCs w:val="20"/>
              </w:rPr>
              <w:t>Multi-institutional cohort study</w:t>
            </w:r>
          </w:p>
        </w:tc>
        <w:tc>
          <w:tcPr>
            <w:tcW w:w="3119" w:type="dxa"/>
          </w:tcPr>
          <w:p w14:paraId="61FCEBB2" w14:textId="77777777" w:rsidR="00376523" w:rsidRDefault="00376523" w:rsidP="00B42873">
            <w:pPr>
              <w:spacing w:after="40"/>
              <w:rPr>
                <w:rFonts w:ascii="Arial Narrow" w:hAnsi="Arial Narrow"/>
                <w:szCs w:val="20"/>
              </w:rPr>
            </w:pPr>
            <w:r>
              <w:rPr>
                <w:rFonts w:ascii="Arial Narrow" w:hAnsi="Arial Narrow"/>
                <w:szCs w:val="20"/>
              </w:rPr>
              <w:t>Eaton 2016a. Clinical outcomes among children with standard -risk medulloblastoma treated with proton and photon radiation therapy.: a comparison of disease control and overall survival</w:t>
            </w:r>
          </w:p>
        </w:tc>
        <w:tc>
          <w:tcPr>
            <w:tcW w:w="3402" w:type="dxa"/>
          </w:tcPr>
          <w:p w14:paraId="3EEAF4F0" w14:textId="77777777" w:rsidR="00376523" w:rsidRDefault="00376523" w:rsidP="00B42873">
            <w:pPr>
              <w:spacing w:after="40"/>
              <w:rPr>
                <w:rFonts w:ascii="Arial Narrow" w:hAnsi="Arial Narrow"/>
                <w:szCs w:val="20"/>
              </w:rPr>
            </w:pPr>
            <w:r>
              <w:rPr>
                <w:rFonts w:ascii="Arial Narrow" w:hAnsi="Arial Narrow"/>
                <w:szCs w:val="20"/>
              </w:rPr>
              <w:t>Paediatric patients with standard risk medulloblastoma treated with PBT and chemotherapy (n=45) and photon therapy (n=43). Outcomes assessed include OS, RFS, tumour recurrence, patterns of failure</w:t>
            </w:r>
          </w:p>
        </w:tc>
        <w:tc>
          <w:tcPr>
            <w:tcW w:w="4579" w:type="dxa"/>
          </w:tcPr>
          <w:p w14:paraId="56C37CE5" w14:textId="5BB86995" w:rsidR="00376523" w:rsidRPr="00C807FA" w:rsidRDefault="00A95AB2" w:rsidP="00B42873">
            <w:pPr>
              <w:spacing w:after="40"/>
              <w:rPr>
                <w:rFonts w:ascii="Arial Narrow" w:hAnsi="Arial Narrow"/>
                <w:szCs w:val="20"/>
              </w:rPr>
            </w:pPr>
            <w:hyperlink r:id="rId34" w:tooltip="This link goes to the pubmed journal article" w:history="1">
              <w:r w:rsidR="00376523">
                <w:rPr>
                  <w:rStyle w:val="Hyperlink"/>
                </w:rPr>
                <w:t>https://www.ncbi.nlm.nih.gov/pubmed/26700707</w:t>
              </w:r>
            </w:hyperlink>
          </w:p>
        </w:tc>
        <w:tc>
          <w:tcPr>
            <w:tcW w:w="1091" w:type="dxa"/>
          </w:tcPr>
          <w:p w14:paraId="249B31A3" w14:textId="77777777" w:rsidR="00376523" w:rsidRPr="00C807FA" w:rsidRDefault="00376523" w:rsidP="00B42873">
            <w:pPr>
              <w:spacing w:after="40"/>
              <w:rPr>
                <w:rFonts w:ascii="Arial Narrow" w:hAnsi="Arial Narrow"/>
                <w:szCs w:val="20"/>
              </w:rPr>
            </w:pPr>
            <w:r>
              <w:rPr>
                <w:rFonts w:ascii="Arial Narrow" w:hAnsi="Arial Narrow"/>
                <w:szCs w:val="20"/>
              </w:rPr>
              <w:t>2016</w:t>
            </w:r>
          </w:p>
        </w:tc>
      </w:tr>
      <w:tr w:rsidR="00376523" w:rsidRPr="00C807FA" w14:paraId="76DF5DF7" w14:textId="77777777" w:rsidTr="009C17F8">
        <w:tc>
          <w:tcPr>
            <w:tcW w:w="1838" w:type="dxa"/>
          </w:tcPr>
          <w:p w14:paraId="5E7DE207" w14:textId="77777777" w:rsidR="00376523" w:rsidRPr="00C807FA" w:rsidRDefault="00376523" w:rsidP="00B42873">
            <w:pPr>
              <w:spacing w:after="40"/>
              <w:rPr>
                <w:rFonts w:ascii="Arial Narrow" w:hAnsi="Arial Narrow"/>
                <w:szCs w:val="20"/>
              </w:rPr>
            </w:pPr>
            <w:r>
              <w:rPr>
                <w:rFonts w:ascii="Arial Narrow" w:hAnsi="Arial Narrow"/>
                <w:szCs w:val="20"/>
              </w:rPr>
              <w:t>Propensity score adjusted analysis</w:t>
            </w:r>
          </w:p>
        </w:tc>
        <w:tc>
          <w:tcPr>
            <w:tcW w:w="3119" w:type="dxa"/>
          </w:tcPr>
          <w:p w14:paraId="1E55003C" w14:textId="77777777" w:rsidR="00376523" w:rsidRDefault="00376523" w:rsidP="00B42873">
            <w:pPr>
              <w:spacing w:after="40"/>
              <w:rPr>
                <w:rFonts w:ascii="Arial Narrow" w:hAnsi="Arial Narrow"/>
                <w:szCs w:val="20"/>
              </w:rPr>
            </w:pPr>
            <w:r>
              <w:rPr>
                <w:rFonts w:ascii="Arial Narrow" w:hAnsi="Arial Narrow"/>
                <w:szCs w:val="20"/>
              </w:rPr>
              <w:t>Eaton 2016b. Endocrine outcomes with proton and photon radiotherapy for standard risk medulloblastoma</w:t>
            </w:r>
          </w:p>
        </w:tc>
        <w:tc>
          <w:tcPr>
            <w:tcW w:w="3402" w:type="dxa"/>
          </w:tcPr>
          <w:p w14:paraId="3DF6C188" w14:textId="77777777" w:rsidR="00376523" w:rsidRDefault="00376523" w:rsidP="00B42873">
            <w:pPr>
              <w:spacing w:after="40"/>
              <w:rPr>
                <w:rFonts w:ascii="Arial Narrow" w:hAnsi="Arial Narrow"/>
                <w:szCs w:val="20"/>
              </w:rPr>
            </w:pPr>
            <w:r>
              <w:rPr>
                <w:rFonts w:ascii="Arial Narrow" w:hAnsi="Arial Narrow"/>
                <w:szCs w:val="20"/>
              </w:rPr>
              <w:t>Paediatric patients with standard risk medulloblastoma treated with PBT and chemotherapy (n=40) and photon therapy (n=37) followed over 3 years. Outcomes assed include incidence of hypothyroidism, GHD, Adrenal insufficiency, sex hormone deficiency, precocious puberty, endocrine replacement therapy, changes in height and BMI</w:t>
            </w:r>
          </w:p>
        </w:tc>
        <w:tc>
          <w:tcPr>
            <w:tcW w:w="4579" w:type="dxa"/>
          </w:tcPr>
          <w:p w14:paraId="3E6B600A" w14:textId="0222314C" w:rsidR="00376523" w:rsidRPr="00C807FA" w:rsidRDefault="00A95AB2" w:rsidP="00B42873">
            <w:pPr>
              <w:spacing w:after="40"/>
              <w:rPr>
                <w:rFonts w:ascii="Arial Narrow" w:hAnsi="Arial Narrow"/>
                <w:szCs w:val="20"/>
              </w:rPr>
            </w:pPr>
            <w:hyperlink r:id="rId35" w:tooltip="This link goes to the pubmed journal article" w:history="1">
              <w:r w:rsidR="00376523">
                <w:rPr>
                  <w:rStyle w:val="Hyperlink"/>
                </w:rPr>
                <w:t>https://www.ncbi.nlm.nih.gov/pubmed/26688075</w:t>
              </w:r>
            </w:hyperlink>
          </w:p>
        </w:tc>
        <w:tc>
          <w:tcPr>
            <w:tcW w:w="1091" w:type="dxa"/>
          </w:tcPr>
          <w:p w14:paraId="38502D1C" w14:textId="77777777" w:rsidR="00376523" w:rsidRPr="00C807FA" w:rsidRDefault="00376523" w:rsidP="00B42873">
            <w:pPr>
              <w:spacing w:after="40"/>
              <w:rPr>
                <w:rFonts w:ascii="Arial Narrow" w:hAnsi="Arial Narrow"/>
                <w:szCs w:val="20"/>
              </w:rPr>
            </w:pPr>
            <w:r>
              <w:rPr>
                <w:rFonts w:ascii="Arial Narrow" w:hAnsi="Arial Narrow"/>
                <w:szCs w:val="20"/>
              </w:rPr>
              <w:t>2016</w:t>
            </w:r>
          </w:p>
        </w:tc>
      </w:tr>
      <w:tr w:rsidR="00376523" w:rsidRPr="00C807FA" w14:paraId="79F31738" w14:textId="77777777" w:rsidTr="009C17F8">
        <w:tc>
          <w:tcPr>
            <w:tcW w:w="1838" w:type="dxa"/>
          </w:tcPr>
          <w:p w14:paraId="7224C1EA" w14:textId="77777777" w:rsidR="00376523" w:rsidRPr="00C807FA" w:rsidRDefault="00376523" w:rsidP="00B42873">
            <w:pPr>
              <w:spacing w:after="40"/>
              <w:rPr>
                <w:rFonts w:ascii="Arial Narrow" w:hAnsi="Arial Narrow"/>
                <w:szCs w:val="20"/>
              </w:rPr>
            </w:pPr>
            <w:r>
              <w:rPr>
                <w:rFonts w:ascii="Arial Narrow" w:hAnsi="Arial Narrow"/>
                <w:szCs w:val="20"/>
              </w:rPr>
              <w:t>Retrospective review</w:t>
            </w:r>
          </w:p>
        </w:tc>
        <w:tc>
          <w:tcPr>
            <w:tcW w:w="3119" w:type="dxa"/>
          </w:tcPr>
          <w:p w14:paraId="07303183" w14:textId="77777777" w:rsidR="00376523" w:rsidRDefault="00376523" w:rsidP="00B42873">
            <w:pPr>
              <w:spacing w:after="40"/>
              <w:rPr>
                <w:rFonts w:ascii="Arial Narrow" w:hAnsi="Arial Narrow"/>
                <w:szCs w:val="20"/>
              </w:rPr>
            </w:pPr>
            <w:r>
              <w:rPr>
                <w:rFonts w:ascii="Arial Narrow" w:hAnsi="Arial Narrow"/>
                <w:szCs w:val="20"/>
              </w:rPr>
              <w:t>Sato 2017. Progression-free survival of children with localised ependymoma treated with intensity-modulated radiation therapy or proton-beam radiation therapy.</w:t>
            </w:r>
          </w:p>
        </w:tc>
        <w:tc>
          <w:tcPr>
            <w:tcW w:w="3402" w:type="dxa"/>
          </w:tcPr>
          <w:p w14:paraId="5EE819AC" w14:textId="77777777" w:rsidR="00376523" w:rsidRDefault="00376523" w:rsidP="00B42873">
            <w:pPr>
              <w:spacing w:after="40"/>
              <w:rPr>
                <w:rFonts w:ascii="Arial Narrow" w:hAnsi="Arial Narrow"/>
                <w:szCs w:val="20"/>
              </w:rPr>
            </w:pPr>
            <w:r>
              <w:rPr>
                <w:rFonts w:ascii="Arial Narrow" w:hAnsi="Arial Narrow"/>
                <w:szCs w:val="20"/>
              </w:rPr>
              <w:t>Paediatric patients with newly diagnosed localised intracranial ependymomas treated with PBT (n=41) or IMRT (n=38) with a median follow-up of 2.4 and 4.9 years, respectively. Outcomes assessed include PFS&lt; OS, local recurrences, toxicities.</w:t>
            </w:r>
          </w:p>
        </w:tc>
        <w:tc>
          <w:tcPr>
            <w:tcW w:w="4579" w:type="dxa"/>
          </w:tcPr>
          <w:p w14:paraId="092DC656" w14:textId="65089774" w:rsidR="00376523" w:rsidRPr="00C807FA" w:rsidRDefault="00A95AB2" w:rsidP="00B42873">
            <w:pPr>
              <w:spacing w:after="40"/>
              <w:rPr>
                <w:rFonts w:ascii="Arial Narrow" w:hAnsi="Arial Narrow"/>
                <w:szCs w:val="20"/>
              </w:rPr>
            </w:pPr>
            <w:hyperlink r:id="rId36" w:tooltip="This link goes to the pubmed journal article" w:history="1">
              <w:r w:rsidR="00376523">
                <w:rPr>
                  <w:rStyle w:val="Hyperlink"/>
                </w:rPr>
                <w:t>https://www.ncbi.nlm.nih.gov/pubmed/28267208</w:t>
              </w:r>
            </w:hyperlink>
          </w:p>
        </w:tc>
        <w:tc>
          <w:tcPr>
            <w:tcW w:w="1091" w:type="dxa"/>
          </w:tcPr>
          <w:p w14:paraId="3C1E8578" w14:textId="77777777" w:rsidR="00376523" w:rsidRPr="00C807FA" w:rsidRDefault="00376523" w:rsidP="00B42873">
            <w:pPr>
              <w:spacing w:after="40"/>
              <w:rPr>
                <w:rFonts w:ascii="Arial Narrow" w:hAnsi="Arial Narrow"/>
                <w:szCs w:val="20"/>
              </w:rPr>
            </w:pPr>
            <w:r>
              <w:rPr>
                <w:rFonts w:ascii="Arial Narrow" w:hAnsi="Arial Narrow"/>
                <w:szCs w:val="20"/>
              </w:rPr>
              <w:t>2017</w:t>
            </w:r>
          </w:p>
        </w:tc>
      </w:tr>
      <w:tr w:rsidR="00376523" w:rsidRPr="00C807FA" w14:paraId="6E390B10" w14:textId="77777777" w:rsidTr="009C17F8">
        <w:tc>
          <w:tcPr>
            <w:tcW w:w="1838" w:type="dxa"/>
          </w:tcPr>
          <w:p w14:paraId="7DCEBC3F" w14:textId="77777777" w:rsidR="00376523" w:rsidRPr="00C807FA" w:rsidRDefault="00376523" w:rsidP="00B42873">
            <w:pPr>
              <w:spacing w:after="40"/>
              <w:rPr>
                <w:rFonts w:ascii="Arial Narrow" w:hAnsi="Arial Narrow"/>
                <w:szCs w:val="20"/>
              </w:rPr>
            </w:pPr>
            <w:r>
              <w:rPr>
                <w:rFonts w:ascii="Arial Narrow" w:hAnsi="Arial Narrow"/>
                <w:szCs w:val="20"/>
              </w:rPr>
              <w:t>Retrospective cohort study</w:t>
            </w:r>
          </w:p>
        </w:tc>
        <w:tc>
          <w:tcPr>
            <w:tcW w:w="3119" w:type="dxa"/>
          </w:tcPr>
          <w:p w14:paraId="7F18B54B" w14:textId="77777777" w:rsidR="00376523" w:rsidRDefault="00376523" w:rsidP="00B42873">
            <w:pPr>
              <w:spacing w:after="40"/>
              <w:rPr>
                <w:rFonts w:ascii="Arial Narrow" w:hAnsi="Arial Narrow"/>
                <w:szCs w:val="20"/>
              </w:rPr>
            </w:pPr>
            <w:r>
              <w:rPr>
                <w:rFonts w:ascii="Arial Narrow" w:hAnsi="Arial Narrow"/>
                <w:szCs w:val="20"/>
              </w:rPr>
              <w:t>Kahalley 2016. Comparing intelligence quotient after treatment with proton versus photon radiation therapy for pediatric brain tumors.</w:t>
            </w:r>
          </w:p>
        </w:tc>
        <w:tc>
          <w:tcPr>
            <w:tcW w:w="3402" w:type="dxa"/>
          </w:tcPr>
          <w:p w14:paraId="71EFFA8D" w14:textId="77777777" w:rsidR="00376523" w:rsidRDefault="00376523" w:rsidP="00B42873">
            <w:pPr>
              <w:spacing w:after="40"/>
              <w:rPr>
                <w:rFonts w:ascii="Arial Narrow" w:hAnsi="Arial Narrow"/>
                <w:szCs w:val="20"/>
              </w:rPr>
            </w:pPr>
            <w:r>
              <w:rPr>
                <w:rFonts w:ascii="Arial Narrow" w:hAnsi="Arial Narrow"/>
                <w:szCs w:val="20"/>
              </w:rPr>
              <w:t>Paediatric patients with brain tumours treated with PBT (n=90) or XRT (n=60) assessed for change in IQ</w:t>
            </w:r>
          </w:p>
        </w:tc>
        <w:tc>
          <w:tcPr>
            <w:tcW w:w="4579" w:type="dxa"/>
          </w:tcPr>
          <w:p w14:paraId="1E6BDA40" w14:textId="55332438" w:rsidR="00376523" w:rsidRPr="00C807FA" w:rsidRDefault="00A95AB2" w:rsidP="00B42873">
            <w:pPr>
              <w:spacing w:after="40"/>
              <w:rPr>
                <w:rFonts w:ascii="Arial Narrow" w:hAnsi="Arial Narrow"/>
                <w:szCs w:val="20"/>
              </w:rPr>
            </w:pPr>
            <w:hyperlink r:id="rId37" w:tooltip="This link goes to the pubmed journal article" w:history="1">
              <w:r w:rsidR="00376523">
                <w:rPr>
                  <w:rStyle w:val="Hyperlink"/>
                </w:rPr>
                <w:t>https://www.ncbi.nlm.nih.gov/pubmed/26811522</w:t>
              </w:r>
            </w:hyperlink>
          </w:p>
        </w:tc>
        <w:tc>
          <w:tcPr>
            <w:tcW w:w="1091" w:type="dxa"/>
          </w:tcPr>
          <w:p w14:paraId="2AA099CD" w14:textId="77777777" w:rsidR="00376523" w:rsidRPr="00C807FA" w:rsidRDefault="00376523" w:rsidP="00B42873">
            <w:pPr>
              <w:spacing w:after="40"/>
              <w:rPr>
                <w:rFonts w:ascii="Arial Narrow" w:hAnsi="Arial Narrow"/>
                <w:szCs w:val="20"/>
              </w:rPr>
            </w:pPr>
            <w:r>
              <w:rPr>
                <w:rFonts w:ascii="Arial Narrow" w:hAnsi="Arial Narrow"/>
                <w:szCs w:val="20"/>
              </w:rPr>
              <w:t>2016</w:t>
            </w:r>
          </w:p>
        </w:tc>
      </w:tr>
      <w:tr w:rsidR="00376523" w:rsidRPr="00C807FA" w14:paraId="50FD9C11" w14:textId="77777777" w:rsidTr="009C17F8">
        <w:tc>
          <w:tcPr>
            <w:tcW w:w="1838" w:type="dxa"/>
          </w:tcPr>
          <w:p w14:paraId="1D6A4A7E" w14:textId="77777777" w:rsidR="00376523" w:rsidRPr="00C807FA" w:rsidRDefault="00376523" w:rsidP="00B42873">
            <w:pPr>
              <w:spacing w:after="40"/>
              <w:rPr>
                <w:rFonts w:ascii="Arial Narrow" w:hAnsi="Arial Narrow"/>
                <w:szCs w:val="20"/>
              </w:rPr>
            </w:pPr>
            <w:r>
              <w:rPr>
                <w:rFonts w:ascii="Arial Narrow" w:hAnsi="Arial Narrow"/>
                <w:szCs w:val="20"/>
              </w:rPr>
              <w:t>Retrospective cohort study</w:t>
            </w:r>
          </w:p>
        </w:tc>
        <w:tc>
          <w:tcPr>
            <w:tcW w:w="3119" w:type="dxa"/>
          </w:tcPr>
          <w:p w14:paraId="11B889FC" w14:textId="77777777" w:rsidR="00376523" w:rsidRDefault="00376523" w:rsidP="00B42873">
            <w:pPr>
              <w:spacing w:after="40"/>
              <w:rPr>
                <w:rFonts w:ascii="Arial Narrow" w:hAnsi="Arial Narrow"/>
                <w:szCs w:val="20"/>
              </w:rPr>
            </w:pPr>
            <w:r>
              <w:rPr>
                <w:rFonts w:ascii="Arial Narrow" w:hAnsi="Arial Narrow"/>
                <w:szCs w:val="20"/>
              </w:rPr>
              <w:t>Kahalley 2019. Prospective, longitudinal comparison of neurocognitive change in pediatric brain tumor patients treated with proton radiotherapy versus surgery only.</w:t>
            </w:r>
          </w:p>
        </w:tc>
        <w:tc>
          <w:tcPr>
            <w:tcW w:w="3402" w:type="dxa"/>
          </w:tcPr>
          <w:p w14:paraId="6F924396" w14:textId="77777777" w:rsidR="00376523" w:rsidRDefault="00376523" w:rsidP="00B42873">
            <w:pPr>
              <w:spacing w:after="40"/>
              <w:rPr>
                <w:rFonts w:ascii="Arial Narrow" w:hAnsi="Arial Narrow"/>
                <w:szCs w:val="20"/>
              </w:rPr>
            </w:pPr>
            <w:r>
              <w:rPr>
                <w:rFonts w:ascii="Arial Narrow" w:hAnsi="Arial Narrow"/>
                <w:szCs w:val="20"/>
              </w:rPr>
              <w:t>Paediatric patients with brain tumours treated with Proton CSI (n=22), proton focal (n=31) or surgery (n=40) assessed for change in IQ up to 6 years post treatment</w:t>
            </w:r>
          </w:p>
        </w:tc>
        <w:tc>
          <w:tcPr>
            <w:tcW w:w="4579" w:type="dxa"/>
          </w:tcPr>
          <w:p w14:paraId="5937D6CA" w14:textId="5DF972D0" w:rsidR="00376523" w:rsidRPr="00C807FA" w:rsidRDefault="00A95AB2" w:rsidP="00B42873">
            <w:pPr>
              <w:spacing w:after="40"/>
              <w:rPr>
                <w:rFonts w:ascii="Arial Narrow" w:hAnsi="Arial Narrow"/>
                <w:szCs w:val="20"/>
              </w:rPr>
            </w:pPr>
            <w:hyperlink r:id="rId38" w:tooltip="This link goes to the pubmed journal article" w:history="1">
              <w:r w:rsidR="00376523">
                <w:rPr>
                  <w:rStyle w:val="Hyperlink"/>
                </w:rPr>
                <w:t>https://www.ncbi.nlm.nih.gov/pubmed/30753584</w:t>
              </w:r>
            </w:hyperlink>
          </w:p>
        </w:tc>
        <w:tc>
          <w:tcPr>
            <w:tcW w:w="1091" w:type="dxa"/>
          </w:tcPr>
          <w:p w14:paraId="4E37E29E" w14:textId="77777777" w:rsidR="00376523" w:rsidRPr="00C807FA" w:rsidRDefault="00376523" w:rsidP="00B42873">
            <w:pPr>
              <w:spacing w:after="40"/>
              <w:rPr>
                <w:rFonts w:ascii="Arial Narrow" w:hAnsi="Arial Narrow"/>
                <w:szCs w:val="20"/>
              </w:rPr>
            </w:pPr>
            <w:r>
              <w:rPr>
                <w:rFonts w:ascii="Arial Narrow" w:hAnsi="Arial Narrow"/>
                <w:szCs w:val="20"/>
              </w:rPr>
              <w:t>2019</w:t>
            </w:r>
          </w:p>
        </w:tc>
      </w:tr>
      <w:tr w:rsidR="00376523" w:rsidRPr="00C807FA" w14:paraId="49FBD64F" w14:textId="77777777" w:rsidTr="009C17F8">
        <w:tc>
          <w:tcPr>
            <w:tcW w:w="1838" w:type="dxa"/>
          </w:tcPr>
          <w:p w14:paraId="2C591BC2" w14:textId="77777777" w:rsidR="00376523" w:rsidRPr="00C807FA" w:rsidRDefault="00376523" w:rsidP="00B42873">
            <w:pPr>
              <w:spacing w:after="40"/>
              <w:rPr>
                <w:rFonts w:ascii="Arial Narrow" w:hAnsi="Arial Narrow"/>
                <w:szCs w:val="20"/>
              </w:rPr>
            </w:pPr>
            <w:r>
              <w:rPr>
                <w:rFonts w:ascii="Arial Narrow" w:hAnsi="Arial Narrow"/>
                <w:szCs w:val="20"/>
              </w:rPr>
              <w:t>Retrospective cohort study</w:t>
            </w:r>
          </w:p>
        </w:tc>
        <w:tc>
          <w:tcPr>
            <w:tcW w:w="3119" w:type="dxa"/>
          </w:tcPr>
          <w:p w14:paraId="718AA44F" w14:textId="77777777" w:rsidR="00376523" w:rsidRDefault="00376523" w:rsidP="00B42873">
            <w:pPr>
              <w:spacing w:after="40"/>
              <w:rPr>
                <w:rFonts w:ascii="Arial Narrow" w:hAnsi="Arial Narrow"/>
                <w:szCs w:val="20"/>
              </w:rPr>
            </w:pPr>
            <w:r>
              <w:rPr>
                <w:rFonts w:ascii="Arial Narrow" w:hAnsi="Arial Narrow"/>
                <w:szCs w:val="20"/>
              </w:rPr>
              <w:t>Kopecky 2017. Outcomes and patterns of care in a nationwide cohort of pediatric medulloblastoma: factors affecting proton therapy utilization.</w:t>
            </w:r>
          </w:p>
        </w:tc>
        <w:tc>
          <w:tcPr>
            <w:tcW w:w="3402" w:type="dxa"/>
          </w:tcPr>
          <w:p w14:paraId="6ECE6BCC" w14:textId="77777777" w:rsidR="00376523" w:rsidRDefault="00376523" w:rsidP="00B42873">
            <w:pPr>
              <w:spacing w:after="40"/>
              <w:rPr>
                <w:rFonts w:ascii="Arial Narrow" w:hAnsi="Arial Narrow"/>
                <w:szCs w:val="20"/>
              </w:rPr>
            </w:pPr>
            <w:r>
              <w:rPr>
                <w:rFonts w:ascii="Arial Narrow" w:hAnsi="Arial Narrow"/>
                <w:szCs w:val="20"/>
              </w:rPr>
              <w:t>Paediatric patients with medulloblastoma identified via a national cancer database and treated with either PBT (n=117) or IMRT (n=57). Survival outcomes measured at a median follow-up of 4.5 years.</w:t>
            </w:r>
          </w:p>
        </w:tc>
        <w:tc>
          <w:tcPr>
            <w:tcW w:w="4579" w:type="dxa"/>
          </w:tcPr>
          <w:p w14:paraId="000A701E" w14:textId="1EECCDD9" w:rsidR="00376523" w:rsidRPr="00C807FA" w:rsidRDefault="00A95AB2" w:rsidP="00B42873">
            <w:pPr>
              <w:spacing w:after="40"/>
              <w:rPr>
                <w:rFonts w:ascii="Arial Narrow" w:hAnsi="Arial Narrow"/>
                <w:szCs w:val="20"/>
              </w:rPr>
            </w:pPr>
            <w:hyperlink r:id="rId39" w:tooltip="This link goes to the pubmed journal article" w:history="1">
              <w:r w:rsidR="00376523">
                <w:rPr>
                  <w:rStyle w:val="Hyperlink"/>
                </w:rPr>
                <w:t>https://www.ncbi.nlm.nih.gov/pmc/articles/PMC5707421/</w:t>
              </w:r>
            </w:hyperlink>
          </w:p>
        </w:tc>
        <w:tc>
          <w:tcPr>
            <w:tcW w:w="1091" w:type="dxa"/>
          </w:tcPr>
          <w:p w14:paraId="2B7BDDE1" w14:textId="77777777" w:rsidR="00376523" w:rsidRPr="00C807FA" w:rsidRDefault="00376523" w:rsidP="00B42873">
            <w:pPr>
              <w:spacing w:after="40"/>
              <w:rPr>
                <w:rFonts w:ascii="Arial Narrow" w:hAnsi="Arial Narrow"/>
                <w:szCs w:val="20"/>
              </w:rPr>
            </w:pPr>
            <w:r>
              <w:rPr>
                <w:rFonts w:ascii="Arial Narrow" w:hAnsi="Arial Narrow"/>
                <w:szCs w:val="20"/>
              </w:rPr>
              <w:t>2017</w:t>
            </w:r>
          </w:p>
        </w:tc>
      </w:tr>
      <w:tr w:rsidR="00376523" w:rsidRPr="00C807FA" w14:paraId="16FC68DF" w14:textId="77777777" w:rsidTr="009C17F8">
        <w:tc>
          <w:tcPr>
            <w:tcW w:w="1838" w:type="dxa"/>
          </w:tcPr>
          <w:p w14:paraId="5D596672" w14:textId="77777777" w:rsidR="00376523" w:rsidRPr="00C807FA" w:rsidRDefault="00376523" w:rsidP="00B42873">
            <w:pPr>
              <w:spacing w:after="40"/>
              <w:rPr>
                <w:rFonts w:ascii="Arial Narrow" w:hAnsi="Arial Narrow"/>
                <w:szCs w:val="20"/>
              </w:rPr>
            </w:pPr>
            <w:r>
              <w:rPr>
                <w:rFonts w:ascii="Arial Narrow" w:hAnsi="Arial Narrow"/>
                <w:szCs w:val="20"/>
              </w:rPr>
              <w:t>Retrospective review</w:t>
            </w:r>
          </w:p>
        </w:tc>
        <w:tc>
          <w:tcPr>
            <w:tcW w:w="3119" w:type="dxa"/>
          </w:tcPr>
          <w:p w14:paraId="49BC03C6" w14:textId="77777777" w:rsidR="00376523" w:rsidRDefault="00376523" w:rsidP="00B42873">
            <w:pPr>
              <w:spacing w:after="40"/>
              <w:rPr>
                <w:rFonts w:ascii="Arial Narrow" w:hAnsi="Arial Narrow"/>
                <w:szCs w:val="20"/>
              </w:rPr>
            </w:pPr>
            <w:r>
              <w:rPr>
                <w:rFonts w:ascii="Arial Narrow" w:hAnsi="Arial Narrow"/>
                <w:szCs w:val="20"/>
              </w:rPr>
              <w:t>Paulino 2018. Ototoxicity and cochlear sparing in children with medulloblastoma: proton vs. photon radiotherapy</w:t>
            </w:r>
          </w:p>
        </w:tc>
        <w:tc>
          <w:tcPr>
            <w:tcW w:w="3402" w:type="dxa"/>
          </w:tcPr>
          <w:p w14:paraId="4CE98D09" w14:textId="77777777" w:rsidR="00376523" w:rsidRDefault="00376523" w:rsidP="00B42873">
            <w:pPr>
              <w:spacing w:after="40"/>
              <w:rPr>
                <w:rFonts w:ascii="Arial Narrow" w:hAnsi="Arial Narrow"/>
                <w:szCs w:val="20"/>
              </w:rPr>
            </w:pPr>
            <w:r>
              <w:rPr>
                <w:rFonts w:ascii="Arial Narrow" w:hAnsi="Arial Narrow"/>
                <w:szCs w:val="20"/>
              </w:rPr>
              <w:t>Paediatric patients with medulloblastoma treated with passively scattered protons (n=38) or photons (n=46) at a median follow-up of 6 and 66 months, respectively. Grade 3 and 4 hearing loss was measured use a variety of scales.</w:t>
            </w:r>
          </w:p>
        </w:tc>
        <w:tc>
          <w:tcPr>
            <w:tcW w:w="4579" w:type="dxa"/>
          </w:tcPr>
          <w:p w14:paraId="36D45E66" w14:textId="0E13EF14" w:rsidR="00376523" w:rsidRPr="00C807FA" w:rsidRDefault="00A95AB2" w:rsidP="00B42873">
            <w:pPr>
              <w:spacing w:after="40"/>
              <w:rPr>
                <w:rFonts w:ascii="Arial Narrow" w:hAnsi="Arial Narrow"/>
                <w:szCs w:val="20"/>
              </w:rPr>
            </w:pPr>
            <w:hyperlink r:id="rId40" w:tooltip="This link goes to the pubmed journal article" w:history="1">
              <w:r w:rsidR="00376523">
                <w:rPr>
                  <w:rStyle w:val="Hyperlink"/>
                </w:rPr>
                <w:t>https://www.ncbi.nlm.nih.gov/pubmed/29373195</w:t>
              </w:r>
            </w:hyperlink>
          </w:p>
        </w:tc>
        <w:tc>
          <w:tcPr>
            <w:tcW w:w="1091" w:type="dxa"/>
          </w:tcPr>
          <w:p w14:paraId="0C363784" w14:textId="77777777" w:rsidR="00376523" w:rsidRPr="00C807FA" w:rsidRDefault="00376523" w:rsidP="00B42873">
            <w:pPr>
              <w:spacing w:after="40"/>
              <w:rPr>
                <w:rFonts w:ascii="Arial Narrow" w:hAnsi="Arial Narrow"/>
                <w:szCs w:val="20"/>
              </w:rPr>
            </w:pPr>
            <w:r>
              <w:rPr>
                <w:rFonts w:ascii="Arial Narrow" w:hAnsi="Arial Narrow"/>
                <w:szCs w:val="20"/>
              </w:rPr>
              <w:t>2018</w:t>
            </w:r>
          </w:p>
        </w:tc>
      </w:tr>
      <w:tr w:rsidR="00376523" w:rsidRPr="00C807FA" w14:paraId="3433DCC6" w14:textId="77777777" w:rsidTr="009C17F8">
        <w:tc>
          <w:tcPr>
            <w:tcW w:w="1838" w:type="dxa"/>
          </w:tcPr>
          <w:p w14:paraId="6C4FE30A" w14:textId="77777777" w:rsidR="00376523" w:rsidRPr="00C807FA" w:rsidRDefault="00376523" w:rsidP="00B42873">
            <w:pPr>
              <w:spacing w:after="40"/>
              <w:rPr>
                <w:rFonts w:ascii="Arial Narrow" w:hAnsi="Arial Narrow"/>
                <w:szCs w:val="20"/>
              </w:rPr>
            </w:pPr>
            <w:r>
              <w:rPr>
                <w:rFonts w:ascii="Arial Narrow" w:hAnsi="Arial Narrow"/>
                <w:szCs w:val="20"/>
              </w:rPr>
              <w:t>Single centre, retrospective review</w:t>
            </w:r>
          </w:p>
        </w:tc>
        <w:tc>
          <w:tcPr>
            <w:tcW w:w="3119" w:type="dxa"/>
          </w:tcPr>
          <w:p w14:paraId="4FC5E108" w14:textId="77777777" w:rsidR="00376523" w:rsidRDefault="00376523" w:rsidP="00B42873">
            <w:pPr>
              <w:spacing w:after="40"/>
              <w:rPr>
                <w:rFonts w:ascii="Arial Narrow" w:hAnsi="Arial Narrow"/>
                <w:szCs w:val="20"/>
              </w:rPr>
            </w:pPr>
            <w:r>
              <w:rPr>
                <w:rFonts w:ascii="Arial Narrow" w:hAnsi="Arial Narrow"/>
                <w:szCs w:val="20"/>
              </w:rPr>
              <w:t>Bielamowicz 2018. Hypothyroidism after craniospinal irradiation with proton or photon therapy in patients with medulloblastoma</w:t>
            </w:r>
          </w:p>
        </w:tc>
        <w:tc>
          <w:tcPr>
            <w:tcW w:w="3402" w:type="dxa"/>
          </w:tcPr>
          <w:p w14:paraId="7556C70C" w14:textId="77777777" w:rsidR="00376523" w:rsidRDefault="00376523" w:rsidP="00B42873">
            <w:pPr>
              <w:spacing w:after="40"/>
              <w:rPr>
                <w:rFonts w:ascii="Arial Narrow" w:hAnsi="Arial Narrow"/>
                <w:szCs w:val="20"/>
              </w:rPr>
            </w:pPr>
            <w:r>
              <w:rPr>
                <w:rFonts w:ascii="Arial Narrow" w:hAnsi="Arial Narrow"/>
                <w:szCs w:val="20"/>
              </w:rPr>
              <w:t>Paediatric patients with medulloblastoma due to irradiation of the hypothalamic-pituitary axis or the thyroid gland treated with PBT (n=41) or XRT (n=54) at a median follow-up of 4.7 and 10.1 years, respectively. The risk of hypothyroidism was assessed.</w:t>
            </w:r>
          </w:p>
        </w:tc>
        <w:tc>
          <w:tcPr>
            <w:tcW w:w="4579" w:type="dxa"/>
          </w:tcPr>
          <w:p w14:paraId="1D1EFAB7" w14:textId="228307D2" w:rsidR="00376523" w:rsidRPr="00C807FA" w:rsidRDefault="00A95AB2" w:rsidP="00B42873">
            <w:pPr>
              <w:spacing w:after="40"/>
              <w:rPr>
                <w:rFonts w:ascii="Arial Narrow" w:hAnsi="Arial Narrow"/>
                <w:szCs w:val="20"/>
              </w:rPr>
            </w:pPr>
            <w:hyperlink r:id="rId41" w:tooltip="This link goes to the pubmed journal article" w:history="1">
              <w:r w:rsidR="00376523">
                <w:rPr>
                  <w:rStyle w:val="Hyperlink"/>
                </w:rPr>
                <w:t>https://www.ncbi.nlm.nih.gov/pubmed/30537887</w:t>
              </w:r>
            </w:hyperlink>
          </w:p>
        </w:tc>
        <w:tc>
          <w:tcPr>
            <w:tcW w:w="1091" w:type="dxa"/>
          </w:tcPr>
          <w:p w14:paraId="488512ED" w14:textId="77777777" w:rsidR="00376523" w:rsidRPr="00C807FA" w:rsidRDefault="00376523" w:rsidP="00B42873">
            <w:pPr>
              <w:spacing w:after="40"/>
              <w:rPr>
                <w:rFonts w:ascii="Arial Narrow" w:hAnsi="Arial Narrow"/>
                <w:szCs w:val="20"/>
              </w:rPr>
            </w:pPr>
            <w:r>
              <w:rPr>
                <w:rFonts w:ascii="Arial Narrow" w:hAnsi="Arial Narrow"/>
                <w:szCs w:val="20"/>
              </w:rPr>
              <w:t>2018</w:t>
            </w:r>
          </w:p>
        </w:tc>
      </w:tr>
      <w:tr w:rsidR="005D1CBF" w:rsidRPr="00C807FA" w14:paraId="31E6369B" w14:textId="77777777" w:rsidTr="009C17F8">
        <w:tc>
          <w:tcPr>
            <w:tcW w:w="1838" w:type="dxa"/>
          </w:tcPr>
          <w:p w14:paraId="6D5582F3" w14:textId="77777777" w:rsidR="005D1CBF" w:rsidRPr="00C807FA" w:rsidRDefault="005D1CBF" w:rsidP="00B42873">
            <w:pPr>
              <w:spacing w:after="40"/>
              <w:rPr>
                <w:rFonts w:ascii="Arial Narrow" w:hAnsi="Arial Narrow"/>
                <w:szCs w:val="20"/>
              </w:rPr>
            </w:pPr>
            <w:r>
              <w:rPr>
                <w:rFonts w:ascii="Arial Narrow" w:hAnsi="Arial Narrow"/>
                <w:szCs w:val="20"/>
              </w:rPr>
              <w:t>Paediatric other</w:t>
            </w:r>
          </w:p>
        </w:tc>
        <w:tc>
          <w:tcPr>
            <w:tcW w:w="3119" w:type="dxa"/>
          </w:tcPr>
          <w:p w14:paraId="048D8DB5" w14:textId="6AD34458" w:rsidR="005D1CBF" w:rsidRPr="00C807FA" w:rsidRDefault="00D36DBA" w:rsidP="00B42873">
            <w:pPr>
              <w:spacing w:after="40"/>
              <w:rPr>
                <w:rFonts w:ascii="Arial Narrow" w:hAnsi="Arial Narrow"/>
                <w:szCs w:val="20"/>
              </w:rPr>
            </w:pPr>
            <w:r>
              <w:rPr>
                <w:rFonts w:ascii="Arial Narrow" w:hAnsi="Arial Narrow"/>
                <w:szCs w:val="20"/>
              </w:rPr>
              <w:t>-</w:t>
            </w:r>
          </w:p>
        </w:tc>
        <w:tc>
          <w:tcPr>
            <w:tcW w:w="3402" w:type="dxa"/>
          </w:tcPr>
          <w:p w14:paraId="4581FBBF" w14:textId="45F1CC58" w:rsidR="005D1CBF" w:rsidRPr="00C807FA" w:rsidRDefault="00D36DBA" w:rsidP="00B42873">
            <w:pPr>
              <w:spacing w:after="40"/>
              <w:rPr>
                <w:rFonts w:ascii="Arial Narrow" w:hAnsi="Arial Narrow"/>
                <w:szCs w:val="20"/>
              </w:rPr>
            </w:pPr>
            <w:r>
              <w:rPr>
                <w:rFonts w:ascii="Arial Narrow" w:hAnsi="Arial Narrow"/>
                <w:szCs w:val="20"/>
              </w:rPr>
              <w:t>-</w:t>
            </w:r>
          </w:p>
        </w:tc>
        <w:tc>
          <w:tcPr>
            <w:tcW w:w="4579" w:type="dxa"/>
          </w:tcPr>
          <w:p w14:paraId="26A3A18F" w14:textId="683926DB" w:rsidR="005D1CBF" w:rsidRPr="00C807FA" w:rsidRDefault="00D36DBA" w:rsidP="00B42873">
            <w:pPr>
              <w:spacing w:after="40"/>
              <w:rPr>
                <w:rFonts w:ascii="Arial Narrow" w:hAnsi="Arial Narrow"/>
                <w:szCs w:val="20"/>
              </w:rPr>
            </w:pPr>
            <w:r>
              <w:rPr>
                <w:rFonts w:ascii="Arial Narrow" w:hAnsi="Arial Narrow"/>
                <w:szCs w:val="20"/>
              </w:rPr>
              <w:t>-</w:t>
            </w:r>
          </w:p>
        </w:tc>
        <w:tc>
          <w:tcPr>
            <w:tcW w:w="1091" w:type="dxa"/>
          </w:tcPr>
          <w:p w14:paraId="44A96721" w14:textId="7394860F" w:rsidR="005D1CBF" w:rsidRPr="00C807FA" w:rsidRDefault="00D36DBA" w:rsidP="00B42873">
            <w:pPr>
              <w:spacing w:after="40"/>
              <w:rPr>
                <w:rFonts w:ascii="Arial Narrow" w:hAnsi="Arial Narrow"/>
                <w:szCs w:val="20"/>
              </w:rPr>
            </w:pPr>
            <w:r>
              <w:rPr>
                <w:rFonts w:ascii="Arial Narrow" w:hAnsi="Arial Narrow"/>
                <w:szCs w:val="20"/>
              </w:rPr>
              <w:t>-</w:t>
            </w:r>
          </w:p>
        </w:tc>
      </w:tr>
      <w:tr w:rsidR="00376523" w:rsidRPr="00C807FA" w14:paraId="12C0627D" w14:textId="77777777" w:rsidTr="009C17F8">
        <w:tc>
          <w:tcPr>
            <w:tcW w:w="1838" w:type="dxa"/>
          </w:tcPr>
          <w:p w14:paraId="67C99513" w14:textId="77777777" w:rsidR="00376523" w:rsidRPr="00C807FA" w:rsidRDefault="00376523" w:rsidP="00B42873">
            <w:pPr>
              <w:spacing w:after="40"/>
              <w:rPr>
                <w:rFonts w:ascii="Arial Narrow" w:hAnsi="Arial Narrow"/>
                <w:szCs w:val="20"/>
              </w:rPr>
            </w:pPr>
            <w:r>
              <w:rPr>
                <w:rFonts w:ascii="Arial Narrow" w:hAnsi="Arial Narrow"/>
                <w:szCs w:val="20"/>
              </w:rPr>
              <w:t>Retrospective review</w:t>
            </w:r>
          </w:p>
        </w:tc>
        <w:tc>
          <w:tcPr>
            <w:tcW w:w="3119" w:type="dxa"/>
          </w:tcPr>
          <w:p w14:paraId="3B68DFA8" w14:textId="77777777" w:rsidR="00376523" w:rsidRDefault="00376523" w:rsidP="00B42873">
            <w:pPr>
              <w:spacing w:after="40"/>
              <w:rPr>
                <w:rFonts w:ascii="Arial Narrow" w:hAnsi="Arial Narrow"/>
                <w:szCs w:val="20"/>
              </w:rPr>
            </w:pPr>
            <w:r>
              <w:rPr>
                <w:rFonts w:ascii="Arial Narrow" w:hAnsi="Arial Narrow"/>
                <w:szCs w:val="20"/>
              </w:rPr>
              <w:t>Sethi 2014. Second nonocular tumors among survivors of retinoblastoma treated with contemporary photon and proton radiotherapy</w:t>
            </w:r>
          </w:p>
        </w:tc>
        <w:tc>
          <w:tcPr>
            <w:tcW w:w="3402" w:type="dxa"/>
          </w:tcPr>
          <w:p w14:paraId="4158FD22" w14:textId="77777777" w:rsidR="00376523" w:rsidRDefault="00376523" w:rsidP="00B42873">
            <w:pPr>
              <w:spacing w:after="40"/>
              <w:rPr>
                <w:rFonts w:ascii="Arial Narrow" w:hAnsi="Arial Narrow"/>
                <w:szCs w:val="20"/>
              </w:rPr>
            </w:pPr>
            <w:r>
              <w:rPr>
                <w:rFonts w:ascii="Arial Narrow" w:hAnsi="Arial Narrow"/>
                <w:szCs w:val="20"/>
              </w:rPr>
              <w:t xml:space="preserve">Paediatric patients with retinoblastoma treated with PBT (n=55) or photon therapy (n=31) assessing rates of secondary malignancies at a median follow-up of 6.9 years. </w:t>
            </w:r>
          </w:p>
        </w:tc>
        <w:tc>
          <w:tcPr>
            <w:tcW w:w="4579" w:type="dxa"/>
          </w:tcPr>
          <w:p w14:paraId="0DF3D7AC" w14:textId="3EA34153" w:rsidR="00376523" w:rsidRPr="00C807FA" w:rsidRDefault="00A95AB2" w:rsidP="00B42873">
            <w:pPr>
              <w:spacing w:after="40"/>
              <w:rPr>
                <w:rFonts w:ascii="Arial Narrow" w:hAnsi="Arial Narrow"/>
                <w:szCs w:val="20"/>
              </w:rPr>
            </w:pPr>
            <w:hyperlink r:id="rId42" w:tooltip="This link goes to the pubmed journal article" w:history="1">
              <w:r w:rsidR="00376523">
                <w:rPr>
                  <w:rStyle w:val="Hyperlink"/>
                </w:rPr>
                <w:t>https://www.ncbi.nlm.nih.gov/pubmed/24122173</w:t>
              </w:r>
            </w:hyperlink>
          </w:p>
        </w:tc>
        <w:tc>
          <w:tcPr>
            <w:tcW w:w="1091" w:type="dxa"/>
          </w:tcPr>
          <w:p w14:paraId="5EA59E8D" w14:textId="77777777" w:rsidR="00376523" w:rsidRPr="00C807FA" w:rsidRDefault="00376523" w:rsidP="00B42873">
            <w:pPr>
              <w:spacing w:after="40"/>
              <w:rPr>
                <w:rFonts w:ascii="Arial Narrow" w:hAnsi="Arial Narrow"/>
                <w:szCs w:val="20"/>
              </w:rPr>
            </w:pPr>
            <w:r>
              <w:rPr>
                <w:rFonts w:ascii="Arial Narrow" w:hAnsi="Arial Narrow"/>
                <w:szCs w:val="20"/>
              </w:rPr>
              <w:t>2014</w:t>
            </w:r>
          </w:p>
        </w:tc>
      </w:tr>
      <w:tr w:rsidR="00376523" w:rsidRPr="00C807FA" w14:paraId="210E71E7" w14:textId="77777777" w:rsidTr="009C17F8">
        <w:tc>
          <w:tcPr>
            <w:tcW w:w="1838" w:type="dxa"/>
          </w:tcPr>
          <w:p w14:paraId="798F1206" w14:textId="77777777" w:rsidR="00376523" w:rsidRPr="00C807FA" w:rsidRDefault="00376523" w:rsidP="00B42873">
            <w:pPr>
              <w:spacing w:after="40"/>
              <w:rPr>
                <w:rFonts w:ascii="Arial Narrow" w:hAnsi="Arial Narrow"/>
                <w:szCs w:val="20"/>
              </w:rPr>
            </w:pPr>
            <w:r>
              <w:rPr>
                <w:rFonts w:ascii="Arial Narrow" w:hAnsi="Arial Narrow"/>
                <w:szCs w:val="20"/>
              </w:rPr>
              <w:t>Single centre, retrospective review</w:t>
            </w:r>
          </w:p>
        </w:tc>
        <w:tc>
          <w:tcPr>
            <w:tcW w:w="3119" w:type="dxa"/>
          </w:tcPr>
          <w:p w14:paraId="00B36E5D" w14:textId="77777777" w:rsidR="00376523" w:rsidRDefault="00376523" w:rsidP="00B42873">
            <w:pPr>
              <w:spacing w:after="40"/>
              <w:rPr>
                <w:rFonts w:ascii="Arial Narrow" w:hAnsi="Arial Narrow"/>
                <w:szCs w:val="20"/>
              </w:rPr>
            </w:pPr>
            <w:r>
              <w:rPr>
                <w:rFonts w:ascii="Arial Narrow" w:hAnsi="Arial Narrow"/>
                <w:szCs w:val="20"/>
              </w:rPr>
              <w:t>Grant 2015. Proton versus conventional radiotherapy for pediatric salivary gland tumors: acute toxicity and dosimetric characteristics</w:t>
            </w:r>
          </w:p>
        </w:tc>
        <w:tc>
          <w:tcPr>
            <w:tcW w:w="3402" w:type="dxa"/>
          </w:tcPr>
          <w:p w14:paraId="7E9D94C3" w14:textId="77777777" w:rsidR="00376523" w:rsidRDefault="00376523" w:rsidP="00B42873">
            <w:pPr>
              <w:spacing w:after="40"/>
              <w:rPr>
                <w:rFonts w:ascii="Arial Narrow" w:hAnsi="Arial Narrow"/>
                <w:szCs w:val="20"/>
              </w:rPr>
            </w:pPr>
            <w:r>
              <w:rPr>
                <w:rFonts w:ascii="Arial Narrow" w:hAnsi="Arial Narrow"/>
                <w:szCs w:val="20"/>
              </w:rPr>
              <w:t>Paediatric patients with salivary gland tumours treated with PBT (n=12) or XRT (n=11) over a median follow-up of 8 and 35 months, respectively. Grade II and III toxicities, including, dermatitis, dysphagia, otitis extrema and mucositis were compared.</w:t>
            </w:r>
          </w:p>
        </w:tc>
        <w:tc>
          <w:tcPr>
            <w:tcW w:w="4579" w:type="dxa"/>
          </w:tcPr>
          <w:p w14:paraId="7E60F8C5" w14:textId="49836349" w:rsidR="00376523" w:rsidRPr="00C807FA" w:rsidRDefault="00A95AB2" w:rsidP="00B42873">
            <w:pPr>
              <w:spacing w:after="40"/>
              <w:rPr>
                <w:rFonts w:ascii="Arial Narrow" w:hAnsi="Arial Narrow"/>
                <w:szCs w:val="20"/>
              </w:rPr>
            </w:pPr>
            <w:hyperlink r:id="rId43" w:tooltip="This link goes to the pubmed journal article" w:history="1">
              <w:r w:rsidR="00376523">
                <w:rPr>
                  <w:rStyle w:val="Hyperlink"/>
                </w:rPr>
                <w:t>https://www.ncbi.nlm.nih.gov/pubmed/26232128</w:t>
              </w:r>
            </w:hyperlink>
          </w:p>
        </w:tc>
        <w:tc>
          <w:tcPr>
            <w:tcW w:w="1091" w:type="dxa"/>
          </w:tcPr>
          <w:p w14:paraId="69349394" w14:textId="77777777" w:rsidR="00376523" w:rsidRPr="00C807FA" w:rsidRDefault="00376523" w:rsidP="00B42873">
            <w:pPr>
              <w:spacing w:after="40"/>
              <w:rPr>
                <w:rFonts w:ascii="Arial Narrow" w:hAnsi="Arial Narrow"/>
                <w:szCs w:val="20"/>
              </w:rPr>
            </w:pPr>
            <w:r>
              <w:rPr>
                <w:rFonts w:ascii="Arial Narrow" w:hAnsi="Arial Narrow"/>
                <w:szCs w:val="20"/>
              </w:rPr>
              <w:t>2015</w:t>
            </w:r>
          </w:p>
        </w:tc>
      </w:tr>
      <w:tr w:rsidR="00376523" w:rsidRPr="00C807FA" w14:paraId="4231CC2E" w14:textId="77777777" w:rsidTr="009C17F8">
        <w:tc>
          <w:tcPr>
            <w:tcW w:w="1838" w:type="dxa"/>
          </w:tcPr>
          <w:p w14:paraId="42347C4A" w14:textId="77777777" w:rsidR="00376523" w:rsidRPr="00C807FA" w:rsidRDefault="00376523" w:rsidP="00B42873">
            <w:pPr>
              <w:spacing w:after="40"/>
              <w:rPr>
                <w:rFonts w:ascii="Arial Narrow" w:hAnsi="Arial Narrow"/>
                <w:szCs w:val="20"/>
              </w:rPr>
            </w:pPr>
            <w:r>
              <w:rPr>
                <w:rFonts w:ascii="Arial Narrow" w:hAnsi="Arial Narrow"/>
                <w:szCs w:val="20"/>
              </w:rPr>
              <w:t>Retrospective review</w:t>
            </w:r>
          </w:p>
        </w:tc>
        <w:tc>
          <w:tcPr>
            <w:tcW w:w="3119" w:type="dxa"/>
          </w:tcPr>
          <w:p w14:paraId="729106C2" w14:textId="77777777" w:rsidR="00376523" w:rsidRPr="00E17708" w:rsidRDefault="00376523" w:rsidP="00B42873">
            <w:pPr>
              <w:autoSpaceDE w:val="0"/>
              <w:autoSpaceDN w:val="0"/>
              <w:adjustRightInd w:val="0"/>
              <w:spacing w:after="0"/>
              <w:rPr>
                <w:rFonts w:ascii="Arial Narrow" w:hAnsi="Arial Narrow"/>
                <w:szCs w:val="20"/>
              </w:rPr>
            </w:pPr>
            <w:r>
              <w:rPr>
                <w:rFonts w:ascii="Arial Narrow" w:hAnsi="Arial Narrow"/>
                <w:szCs w:val="20"/>
              </w:rPr>
              <w:t xml:space="preserve">Agarwal 2016. </w:t>
            </w:r>
            <w:r w:rsidRPr="00E17708">
              <w:rPr>
                <w:rFonts w:ascii="Arial Narrow" w:hAnsi="Arial Narrow"/>
                <w:szCs w:val="20"/>
              </w:rPr>
              <w:t>The Evolution of Radiation Therapy for Retinoblastoma: The MD Anderson Cancer Center Experience</w:t>
            </w:r>
          </w:p>
        </w:tc>
        <w:tc>
          <w:tcPr>
            <w:tcW w:w="3402" w:type="dxa"/>
          </w:tcPr>
          <w:p w14:paraId="40BD458D" w14:textId="77777777" w:rsidR="00376523" w:rsidRDefault="00376523" w:rsidP="00B42873">
            <w:pPr>
              <w:spacing w:after="40"/>
              <w:rPr>
                <w:rFonts w:ascii="Arial Narrow" w:hAnsi="Arial Narrow"/>
                <w:szCs w:val="20"/>
              </w:rPr>
            </w:pPr>
            <w:r>
              <w:rPr>
                <w:rFonts w:ascii="Arial Narrow" w:hAnsi="Arial Narrow"/>
                <w:szCs w:val="20"/>
              </w:rPr>
              <w:t>Children with retinoblastoma treated with PBT (n=16) or photon or electron radiotherapy (n=31) with a median follow up of 8 years. The long-term complications recorded include cataracts, vitreous haemorrhage, radiation retinopathy, change in visual acuity, strabismus</w:t>
            </w:r>
          </w:p>
        </w:tc>
        <w:tc>
          <w:tcPr>
            <w:tcW w:w="4579" w:type="dxa"/>
          </w:tcPr>
          <w:p w14:paraId="3821FC7A" w14:textId="3D61879D" w:rsidR="00376523" w:rsidRPr="00C807FA" w:rsidRDefault="00A95AB2" w:rsidP="00B42873">
            <w:pPr>
              <w:spacing w:after="40"/>
              <w:rPr>
                <w:rFonts w:ascii="Arial Narrow" w:hAnsi="Arial Narrow"/>
                <w:szCs w:val="20"/>
              </w:rPr>
            </w:pPr>
            <w:hyperlink r:id="rId44" w:tooltip="This link goes to the pubmed journal article" w:history="1">
              <w:r w:rsidR="00376523">
                <w:rPr>
                  <w:rStyle w:val="Hyperlink"/>
                </w:rPr>
                <w:t>https://www.ncbi.nlm.nih.gov/pmc/articles/PMC6871642/</w:t>
              </w:r>
            </w:hyperlink>
          </w:p>
        </w:tc>
        <w:tc>
          <w:tcPr>
            <w:tcW w:w="1091" w:type="dxa"/>
          </w:tcPr>
          <w:p w14:paraId="0ADFAE63" w14:textId="77777777" w:rsidR="00376523" w:rsidRPr="00C807FA" w:rsidRDefault="00376523" w:rsidP="00B42873">
            <w:pPr>
              <w:spacing w:after="40"/>
              <w:rPr>
                <w:rFonts w:ascii="Arial Narrow" w:hAnsi="Arial Narrow"/>
                <w:szCs w:val="20"/>
              </w:rPr>
            </w:pPr>
            <w:r>
              <w:rPr>
                <w:rFonts w:ascii="Arial Narrow" w:hAnsi="Arial Narrow"/>
                <w:szCs w:val="20"/>
              </w:rPr>
              <w:t>2016</w:t>
            </w:r>
          </w:p>
        </w:tc>
      </w:tr>
      <w:tr w:rsidR="005D1CBF" w:rsidRPr="00273F41" w14:paraId="4E4B9B02" w14:textId="77777777" w:rsidTr="009C17F8">
        <w:tc>
          <w:tcPr>
            <w:tcW w:w="1838" w:type="dxa"/>
          </w:tcPr>
          <w:p w14:paraId="6370D642" w14:textId="77777777" w:rsidR="005D1CBF" w:rsidRPr="00273F41" w:rsidRDefault="005D1CBF" w:rsidP="00B42873">
            <w:pPr>
              <w:spacing w:after="40"/>
              <w:rPr>
                <w:rFonts w:ascii="Arial Narrow" w:hAnsi="Arial Narrow"/>
                <w:b/>
                <w:bCs/>
                <w:szCs w:val="20"/>
              </w:rPr>
            </w:pPr>
            <w:r w:rsidRPr="00273F41">
              <w:rPr>
                <w:rFonts w:ascii="Arial Narrow" w:hAnsi="Arial Narrow"/>
                <w:b/>
                <w:bCs/>
                <w:szCs w:val="20"/>
              </w:rPr>
              <w:t>Studies identified in updated literature search</w:t>
            </w:r>
          </w:p>
        </w:tc>
        <w:tc>
          <w:tcPr>
            <w:tcW w:w="3119" w:type="dxa"/>
          </w:tcPr>
          <w:p w14:paraId="7AD89D15" w14:textId="23E7D9DF" w:rsidR="005D1CBF" w:rsidRPr="00273F41" w:rsidRDefault="00D36DBA" w:rsidP="00B42873">
            <w:pPr>
              <w:spacing w:after="40"/>
              <w:rPr>
                <w:rFonts w:ascii="Arial Narrow" w:hAnsi="Arial Narrow"/>
                <w:b/>
                <w:bCs/>
                <w:szCs w:val="20"/>
              </w:rPr>
            </w:pPr>
            <w:r>
              <w:rPr>
                <w:rFonts w:ascii="Arial Narrow" w:hAnsi="Arial Narrow"/>
                <w:b/>
                <w:bCs/>
                <w:szCs w:val="20"/>
              </w:rPr>
              <w:t>-</w:t>
            </w:r>
          </w:p>
        </w:tc>
        <w:tc>
          <w:tcPr>
            <w:tcW w:w="3402" w:type="dxa"/>
          </w:tcPr>
          <w:p w14:paraId="630F192D" w14:textId="109E138F" w:rsidR="005D1CBF" w:rsidRPr="00273F41" w:rsidRDefault="00D36DBA" w:rsidP="00B42873">
            <w:pPr>
              <w:spacing w:after="40"/>
              <w:rPr>
                <w:rFonts w:ascii="Arial Narrow" w:hAnsi="Arial Narrow"/>
                <w:b/>
                <w:bCs/>
                <w:szCs w:val="20"/>
              </w:rPr>
            </w:pPr>
            <w:r>
              <w:rPr>
                <w:rFonts w:ascii="Arial Narrow" w:hAnsi="Arial Narrow"/>
                <w:b/>
                <w:bCs/>
                <w:szCs w:val="20"/>
              </w:rPr>
              <w:t>-</w:t>
            </w:r>
          </w:p>
        </w:tc>
        <w:tc>
          <w:tcPr>
            <w:tcW w:w="4579" w:type="dxa"/>
          </w:tcPr>
          <w:p w14:paraId="5545B893" w14:textId="1B611CBC" w:rsidR="005D1CBF" w:rsidRPr="00273F41" w:rsidRDefault="00D36DBA" w:rsidP="00B42873">
            <w:pPr>
              <w:spacing w:after="40"/>
              <w:rPr>
                <w:rFonts w:ascii="Arial Narrow" w:hAnsi="Arial Narrow"/>
                <w:b/>
                <w:bCs/>
                <w:szCs w:val="20"/>
              </w:rPr>
            </w:pPr>
            <w:r>
              <w:rPr>
                <w:rFonts w:ascii="Arial Narrow" w:hAnsi="Arial Narrow"/>
                <w:b/>
                <w:bCs/>
                <w:szCs w:val="20"/>
              </w:rPr>
              <w:t>-</w:t>
            </w:r>
          </w:p>
        </w:tc>
        <w:tc>
          <w:tcPr>
            <w:tcW w:w="1091" w:type="dxa"/>
          </w:tcPr>
          <w:p w14:paraId="0B72CDBE" w14:textId="77980C38" w:rsidR="005D1CBF" w:rsidRPr="00273F41" w:rsidRDefault="00D36DBA" w:rsidP="00B42873">
            <w:pPr>
              <w:spacing w:after="40"/>
              <w:rPr>
                <w:rFonts w:ascii="Arial Narrow" w:hAnsi="Arial Narrow"/>
                <w:b/>
                <w:bCs/>
                <w:szCs w:val="20"/>
              </w:rPr>
            </w:pPr>
            <w:r>
              <w:rPr>
                <w:rFonts w:ascii="Arial Narrow" w:hAnsi="Arial Narrow"/>
                <w:b/>
                <w:bCs/>
                <w:szCs w:val="20"/>
              </w:rPr>
              <w:t>-</w:t>
            </w:r>
          </w:p>
        </w:tc>
      </w:tr>
      <w:tr w:rsidR="00D36DBA" w:rsidRPr="00C807FA" w14:paraId="546715AE" w14:textId="77777777" w:rsidTr="009C17F8">
        <w:tc>
          <w:tcPr>
            <w:tcW w:w="1838" w:type="dxa"/>
          </w:tcPr>
          <w:p w14:paraId="2B978F83" w14:textId="77777777" w:rsidR="00D36DBA" w:rsidRPr="00C807FA" w:rsidRDefault="00D36DBA" w:rsidP="00B42873">
            <w:pPr>
              <w:spacing w:after="40"/>
              <w:rPr>
                <w:rFonts w:ascii="Arial Narrow" w:hAnsi="Arial Narrow"/>
                <w:szCs w:val="20"/>
              </w:rPr>
            </w:pPr>
            <w:r>
              <w:rPr>
                <w:rFonts w:ascii="Arial Narrow" w:hAnsi="Arial Narrow"/>
                <w:szCs w:val="20"/>
              </w:rPr>
              <w:t>Adult brain, spinal and soft tissue</w:t>
            </w:r>
          </w:p>
        </w:tc>
        <w:tc>
          <w:tcPr>
            <w:tcW w:w="3119" w:type="dxa"/>
          </w:tcPr>
          <w:p w14:paraId="70694C2F" w14:textId="31A3F8A9" w:rsidR="00D36DBA" w:rsidRPr="00C807FA" w:rsidRDefault="00D36DBA" w:rsidP="00B42873">
            <w:pPr>
              <w:spacing w:after="40"/>
              <w:rPr>
                <w:rFonts w:ascii="Arial Narrow" w:hAnsi="Arial Narrow"/>
                <w:szCs w:val="20"/>
              </w:rPr>
            </w:pPr>
            <w:r>
              <w:rPr>
                <w:rFonts w:ascii="Arial Narrow" w:hAnsi="Arial Narrow"/>
                <w:szCs w:val="20"/>
              </w:rPr>
              <w:t>-</w:t>
            </w:r>
          </w:p>
        </w:tc>
        <w:tc>
          <w:tcPr>
            <w:tcW w:w="3402" w:type="dxa"/>
          </w:tcPr>
          <w:p w14:paraId="129C9EBD" w14:textId="7A8735A5" w:rsidR="00D36DBA" w:rsidRPr="00C807FA" w:rsidRDefault="00D36DBA" w:rsidP="00B42873">
            <w:pPr>
              <w:spacing w:after="40"/>
              <w:rPr>
                <w:rFonts w:ascii="Arial Narrow" w:hAnsi="Arial Narrow"/>
                <w:szCs w:val="20"/>
              </w:rPr>
            </w:pPr>
            <w:r>
              <w:rPr>
                <w:rFonts w:ascii="Arial Narrow" w:hAnsi="Arial Narrow"/>
                <w:szCs w:val="20"/>
              </w:rPr>
              <w:t>-</w:t>
            </w:r>
          </w:p>
        </w:tc>
        <w:tc>
          <w:tcPr>
            <w:tcW w:w="4579" w:type="dxa"/>
          </w:tcPr>
          <w:p w14:paraId="1D826F49" w14:textId="3021FB5F" w:rsidR="00D36DBA" w:rsidRPr="00C807FA" w:rsidRDefault="00D36DBA" w:rsidP="00B42873">
            <w:pPr>
              <w:spacing w:after="40"/>
              <w:rPr>
                <w:rFonts w:ascii="Arial Narrow" w:hAnsi="Arial Narrow"/>
                <w:szCs w:val="20"/>
              </w:rPr>
            </w:pPr>
            <w:r>
              <w:rPr>
                <w:rFonts w:ascii="Arial Narrow" w:hAnsi="Arial Narrow"/>
                <w:szCs w:val="20"/>
              </w:rPr>
              <w:t>-</w:t>
            </w:r>
          </w:p>
        </w:tc>
        <w:tc>
          <w:tcPr>
            <w:tcW w:w="1091" w:type="dxa"/>
          </w:tcPr>
          <w:p w14:paraId="45868347" w14:textId="22B52BE1" w:rsidR="00D36DBA" w:rsidRPr="00C807FA" w:rsidRDefault="00D36DBA" w:rsidP="00B42873">
            <w:pPr>
              <w:spacing w:after="40"/>
              <w:rPr>
                <w:rFonts w:ascii="Arial Narrow" w:hAnsi="Arial Narrow"/>
                <w:szCs w:val="20"/>
              </w:rPr>
            </w:pPr>
            <w:r>
              <w:rPr>
                <w:rFonts w:ascii="Arial Narrow" w:hAnsi="Arial Narrow"/>
                <w:szCs w:val="20"/>
              </w:rPr>
              <w:t>-</w:t>
            </w:r>
          </w:p>
        </w:tc>
      </w:tr>
      <w:tr w:rsidR="00376523" w:rsidRPr="00C807FA" w14:paraId="35F42E3B" w14:textId="77777777" w:rsidTr="009C17F8">
        <w:tc>
          <w:tcPr>
            <w:tcW w:w="1838" w:type="dxa"/>
          </w:tcPr>
          <w:p w14:paraId="11B79AB7" w14:textId="77777777" w:rsidR="00376523" w:rsidRDefault="00376523" w:rsidP="00B42873">
            <w:pPr>
              <w:spacing w:after="40"/>
              <w:rPr>
                <w:rFonts w:ascii="Arial Narrow" w:hAnsi="Arial Narrow"/>
                <w:szCs w:val="20"/>
              </w:rPr>
            </w:pPr>
            <w:r>
              <w:rPr>
                <w:rFonts w:ascii="Arial Narrow" w:hAnsi="Arial Narrow"/>
                <w:szCs w:val="20"/>
              </w:rPr>
              <w:t>Retrospective cohort study</w:t>
            </w:r>
          </w:p>
        </w:tc>
        <w:tc>
          <w:tcPr>
            <w:tcW w:w="3119" w:type="dxa"/>
          </w:tcPr>
          <w:p w14:paraId="4BB7248A" w14:textId="77777777" w:rsidR="00376523" w:rsidRDefault="00376523" w:rsidP="00B42873">
            <w:pPr>
              <w:autoSpaceDE w:val="0"/>
              <w:autoSpaceDN w:val="0"/>
              <w:adjustRightInd w:val="0"/>
              <w:spacing w:after="0"/>
              <w:rPr>
                <w:rFonts w:ascii="Arial Narrow" w:hAnsi="Arial Narrow"/>
                <w:szCs w:val="20"/>
              </w:rPr>
            </w:pPr>
            <w:r>
              <w:rPr>
                <w:rFonts w:ascii="Arial Narrow" w:hAnsi="Arial Narrow"/>
                <w:szCs w:val="20"/>
              </w:rPr>
              <w:t xml:space="preserve">Alterio 2020. </w:t>
            </w:r>
            <w:r w:rsidRPr="004F2040">
              <w:rPr>
                <w:rFonts w:ascii="Arial Narrow" w:hAnsi="Arial Narrow"/>
                <w:szCs w:val="20"/>
              </w:rPr>
              <w:t>Mixed-beam approach in locally advanced nasopharyngeal carcinoma: IMRT followed by proton therapy boost versus IMRT-only. Evaluation of toxicity and efficacy</w:t>
            </w:r>
          </w:p>
        </w:tc>
        <w:tc>
          <w:tcPr>
            <w:tcW w:w="3402" w:type="dxa"/>
          </w:tcPr>
          <w:p w14:paraId="4C01959A" w14:textId="77777777" w:rsidR="00376523" w:rsidRDefault="00376523" w:rsidP="00B42873">
            <w:pPr>
              <w:spacing w:after="40"/>
              <w:rPr>
                <w:rFonts w:ascii="Arial Narrow" w:hAnsi="Arial Narrow"/>
                <w:szCs w:val="20"/>
              </w:rPr>
            </w:pPr>
            <w:r>
              <w:rPr>
                <w:rFonts w:ascii="Arial Narrow" w:hAnsi="Arial Narrow"/>
                <w:szCs w:val="20"/>
              </w:rPr>
              <w:t>Adults with locally advanced nasopharyngeal cancer treated with mixed IMRT and PBT (n=27) or IMRT alone (n=17)</w:t>
            </w:r>
          </w:p>
        </w:tc>
        <w:tc>
          <w:tcPr>
            <w:tcW w:w="4579" w:type="dxa"/>
          </w:tcPr>
          <w:p w14:paraId="73D51C1E" w14:textId="5488B981" w:rsidR="00376523" w:rsidRDefault="00A95AB2" w:rsidP="00B42873">
            <w:pPr>
              <w:spacing w:after="40"/>
            </w:pPr>
            <w:hyperlink r:id="rId45" w:tooltip="This link goes to the pubmed journal article" w:history="1">
              <w:r w:rsidR="00376523">
                <w:rPr>
                  <w:rStyle w:val="Hyperlink"/>
                </w:rPr>
                <w:t>https://www.ncbi.nlm.nih.gov/pubmed/32090645</w:t>
              </w:r>
            </w:hyperlink>
          </w:p>
        </w:tc>
        <w:tc>
          <w:tcPr>
            <w:tcW w:w="1091" w:type="dxa"/>
          </w:tcPr>
          <w:p w14:paraId="51A4AFAC" w14:textId="77777777" w:rsidR="00376523" w:rsidRDefault="00376523" w:rsidP="00B42873">
            <w:pPr>
              <w:spacing w:after="40"/>
              <w:rPr>
                <w:rFonts w:ascii="Arial Narrow" w:hAnsi="Arial Narrow"/>
                <w:szCs w:val="20"/>
              </w:rPr>
            </w:pPr>
            <w:r>
              <w:rPr>
                <w:rFonts w:ascii="Arial Narrow" w:hAnsi="Arial Narrow"/>
                <w:szCs w:val="20"/>
              </w:rPr>
              <w:t>2020</w:t>
            </w:r>
          </w:p>
        </w:tc>
      </w:tr>
      <w:tr w:rsidR="00376523" w:rsidRPr="00C807FA" w14:paraId="7A47C10C" w14:textId="77777777" w:rsidTr="009C17F8">
        <w:tc>
          <w:tcPr>
            <w:tcW w:w="1838" w:type="dxa"/>
          </w:tcPr>
          <w:p w14:paraId="739E519E" w14:textId="77777777" w:rsidR="00376523" w:rsidRDefault="00376523" w:rsidP="00B42873">
            <w:pPr>
              <w:spacing w:after="40"/>
              <w:rPr>
                <w:rFonts w:ascii="Arial Narrow" w:hAnsi="Arial Narrow"/>
                <w:szCs w:val="20"/>
              </w:rPr>
            </w:pPr>
            <w:r>
              <w:rPr>
                <w:rFonts w:ascii="Arial Narrow" w:hAnsi="Arial Narrow"/>
                <w:szCs w:val="20"/>
              </w:rPr>
              <w:t>Prospective clinical trial</w:t>
            </w:r>
          </w:p>
        </w:tc>
        <w:tc>
          <w:tcPr>
            <w:tcW w:w="3119" w:type="dxa"/>
          </w:tcPr>
          <w:p w14:paraId="1BADFF7B" w14:textId="77777777" w:rsidR="00376523" w:rsidRDefault="00376523" w:rsidP="00B42873">
            <w:pPr>
              <w:autoSpaceDE w:val="0"/>
              <w:autoSpaceDN w:val="0"/>
              <w:adjustRightInd w:val="0"/>
              <w:spacing w:after="0"/>
              <w:rPr>
                <w:rFonts w:ascii="Arial Narrow" w:hAnsi="Arial Narrow"/>
                <w:szCs w:val="20"/>
              </w:rPr>
            </w:pPr>
            <w:r>
              <w:rPr>
                <w:rFonts w:ascii="Arial Narrow" w:hAnsi="Arial Narrow"/>
                <w:szCs w:val="20"/>
              </w:rPr>
              <w:t xml:space="preserve">Baumann 2019. </w:t>
            </w:r>
            <w:r w:rsidRPr="00A8335F">
              <w:rPr>
                <w:rFonts w:ascii="Arial Narrow" w:hAnsi="Arial Narrow"/>
                <w:szCs w:val="20"/>
              </w:rPr>
              <w:t>A prospective clinical trial of proton therapy for chordoma and chondrosarcoma: Feasibility assessment</w:t>
            </w:r>
          </w:p>
        </w:tc>
        <w:tc>
          <w:tcPr>
            <w:tcW w:w="3402" w:type="dxa"/>
          </w:tcPr>
          <w:p w14:paraId="7D2EC681" w14:textId="77777777" w:rsidR="00376523" w:rsidRDefault="00376523" w:rsidP="00B42873">
            <w:pPr>
              <w:spacing w:after="40"/>
              <w:rPr>
                <w:rFonts w:ascii="Arial Narrow" w:hAnsi="Arial Narrow"/>
                <w:szCs w:val="20"/>
              </w:rPr>
            </w:pPr>
            <w:r>
              <w:rPr>
                <w:rFonts w:ascii="Arial Narrow" w:hAnsi="Arial Narrow"/>
                <w:szCs w:val="20"/>
              </w:rPr>
              <w:t>Patients with chordoma and chondrosarcoma treated with PBT (n=6) or PBT + IMRT (n=14). Outcomes assessed include QoL, fatigue local control and PFS.</w:t>
            </w:r>
          </w:p>
        </w:tc>
        <w:tc>
          <w:tcPr>
            <w:tcW w:w="4579" w:type="dxa"/>
          </w:tcPr>
          <w:p w14:paraId="0682453E" w14:textId="3CD3A86B" w:rsidR="00376523" w:rsidRDefault="00A95AB2" w:rsidP="00B42873">
            <w:pPr>
              <w:spacing w:after="40"/>
            </w:pPr>
            <w:hyperlink r:id="rId46" w:tooltip="This link goes to the pubmed journal article" w:history="1">
              <w:r w:rsidR="00376523">
                <w:rPr>
                  <w:rStyle w:val="Hyperlink"/>
                </w:rPr>
                <w:t>https://www.ncbi.nlm.nih.gov/pubmed/31111502</w:t>
              </w:r>
            </w:hyperlink>
          </w:p>
        </w:tc>
        <w:tc>
          <w:tcPr>
            <w:tcW w:w="1091" w:type="dxa"/>
          </w:tcPr>
          <w:p w14:paraId="4EA71119" w14:textId="77777777" w:rsidR="00376523" w:rsidRDefault="00376523" w:rsidP="00B42873">
            <w:pPr>
              <w:spacing w:after="40"/>
              <w:rPr>
                <w:rFonts w:ascii="Arial Narrow" w:hAnsi="Arial Narrow"/>
                <w:szCs w:val="20"/>
              </w:rPr>
            </w:pPr>
            <w:r>
              <w:rPr>
                <w:rFonts w:ascii="Arial Narrow" w:hAnsi="Arial Narrow"/>
                <w:szCs w:val="20"/>
              </w:rPr>
              <w:t>2019</w:t>
            </w:r>
          </w:p>
        </w:tc>
      </w:tr>
      <w:tr w:rsidR="00376523" w:rsidRPr="00C807FA" w14:paraId="179D29A0" w14:textId="77777777" w:rsidTr="009C17F8">
        <w:tc>
          <w:tcPr>
            <w:tcW w:w="1838" w:type="dxa"/>
          </w:tcPr>
          <w:p w14:paraId="2DC5E8D0" w14:textId="77777777" w:rsidR="00376523" w:rsidRDefault="00376523" w:rsidP="00B42873">
            <w:pPr>
              <w:spacing w:after="40"/>
              <w:rPr>
                <w:rFonts w:ascii="Arial Narrow" w:hAnsi="Arial Narrow"/>
                <w:szCs w:val="20"/>
              </w:rPr>
            </w:pPr>
            <w:r>
              <w:rPr>
                <w:rFonts w:ascii="Arial Narrow" w:hAnsi="Arial Narrow"/>
                <w:szCs w:val="20"/>
              </w:rPr>
              <w:t>Retrospective cohort study</w:t>
            </w:r>
          </w:p>
        </w:tc>
        <w:tc>
          <w:tcPr>
            <w:tcW w:w="3119" w:type="dxa"/>
          </w:tcPr>
          <w:p w14:paraId="1C814C5B" w14:textId="77777777" w:rsidR="00376523" w:rsidRDefault="00376523" w:rsidP="00B42873">
            <w:pPr>
              <w:autoSpaceDE w:val="0"/>
              <w:autoSpaceDN w:val="0"/>
              <w:adjustRightInd w:val="0"/>
              <w:spacing w:after="0"/>
              <w:rPr>
                <w:rFonts w:ascii="Arial Narrow" w:hAnsi="Arial Narrow"/>
                <w:szCs w:val="20"/>
              </w:rPr>
            </w:pPr>
            <w:r>
              <w:rPr>
                <w:rFonts w:ascii="Arial Narrow" w:hAnsi="Arial Narrow"/>
                <w:szCs w:val="20"/>
              </w:rPr>
              <w:t xml:space="preserve">Baumann 2020. </w:t>
            </w:r>
            <w:r w:rsidRPr="004F2040">
              <w:rPr>
                <w:rFonts w:ascii="Arial Narrow" w:hAnsi="Arial Narrow"/>
                <w:szCs w:val="20"/>
              </w:rPr>
              <w:t>Comparative Effectiveness of Proton vs Photon Therapy as Part of Concurrent Chemoradiotherapy for Locally Advanced Cancer</w:t>
            </w:r>
          </w:p>
        </w:tc>
        <w:tc>
          <w:tcPr>
            <w:tcW w:w="3402" w:type="dxa"/>
          </w:tcPr>
          <w:p w14:paraId="275AFBE7" w14:textId="77777777" w:rsidR="00376523" w:rsidRDefault="00376523" w:rsidP="00B42873">
            <w:pPr>
              <w:spacing w:after="40"/>
              <w:rPr>
                <w:rFonts w:ascii="Arial Narrow" w:hAnsi="Arial Narrow"/>
                <w:szCs w:val="20"/>
              </w:rPr>
            </w:pPr>
            <w:r>
              <w:rPr>
                <w:rFonts w:ascii="Arial Narrow" w:hAnsi="Arial Narrow"/>
                <w:szCs w:val="20"/>
              </w:rPr>
              <w:t xml:space="preserve">Patients with </w:t>
            </w:r>
            <w:r w:rsidRPr="004F2040">
              <w:rPr>
                <w:rFonts w:ascii="Arial Narrow" w:hAnsi="Arial Narrow"/>
                <w:szCs w:val="20"/>
              </w:rPr>
              <w:t>non</w:t>
            </w:r>
            <w:r>
              <w:rPr>
                <w:rFonts w:ascii="Arial Narrow" w:hAnsi="Arial Narrow"/>
                <w:szCs w:val="20"/>
              </w:rPr>
              <w:t>-metastatic</w:t>
            </w:r>
            <w:r w:rsidRPr="004F2040">
              <w:rPr>
                <w:rFonts w:ascii="Arial Narrow" w:hAnsi="Arial Narrow"/>
                <w:szCs w:val="20"/>
              </w:rPr>
              <w:t xml:space="preserve"> locally advanced cancer</w:t>
            </w:r>
          </w:p>
        </w:tc>
        <w:tc>
          <w:tcPr>
            <w:tcW w:w="4579" w:type="dxa"/>
          </w:tcPr>
          <w:p w14:paraId="687E9346" w14:textId="3F3B296A" w:rsidR="00376523" w:rsidRDefault="00A95AB2" w:rsidP="00B42873">
            <w:pPr>
              <w:spacing w:after="40"/>
            </w:pPr>
            <w:hyperlink r:id="rId47" w:tooltip="This link goes to the pubmed journal article" w:history="1">
              <w:r w:rsidR="00376523">
                <w:rPr>
                  <w:rStyle w:val="Hyperlink"/>
                </w:rPr>
                <w:t>https://www.ncbi.nlm.nih.gov/pubmed/31876914</w:t>
              </w:r>
            </w:hyperlink>
          </w:p>
        </w:tc>
        <w:tc>
          <w:tcPr>
            <w:tcW w:w="1091" w:type="dxa"/>
          </w:tcPr>
          <w:p w14:paraId="5AE4D3C6" w14:textId="77777777" w:rsidR="00376523" w:rsidRDefault="00376523" w:rsidP="00B42873">
            <w:pPr>
              <w:spacing w:after="40"/>
              <w:rPr>
                <w:rFonts w:ascii="Arial Narrow" w:hAnsi="Arial Narrow"/>
                <w:szCs w:val="20"/>
              </w:rPr>
            </w:pPr>
            <w:r>
              <w:rPr>
                <w:rFonts w:ascii="Arial Narrow" w:hAnsi="Arial Narrow"/>
                <w:szCs w:val="20"/>
              </w:rPr>
              <w:t>2020</w:t>
            </w:r>
          </w:p>
        </w:tc>
      </w:tr>
      <w:tr w:rsidR="005D1CBF" w:rsidRPr="00C807FA" w14:paraId="12B7C525" w14:textId="77777777" w:rsidTr="009C17F8">
        <w:tc>
          <w:tcPr>
            <w:tcW w:w="1838" w:type="dxa"/>
          </w:tcPr>
          <w:p w14:paraId="1557CEE0" w14:textId="77777777" w:rsidR="005D1CBF" w:rsidRPr="00C807FA" w:rsidRDefault="005D1CBF" w:rsidP="00B42873">
            <w:pPr>
              <w:spacing w:after="40"/>
              <w:rPr>
                <w:rFonts w:ascii="Arial Narrow" w:hAnsi="Arial Narrow"/>
                <w:szCs w:val="20"/>
              </w:rPr>
            </w:pPr>
            <w:r>
              <w:rPr>
                <w:rFonts w:ascii="Arial Narrow" w:hAnsi="Arial Narrow"/>
                <w:szCs w:val="20"/>
              </w:rPr>
              <w:t>Paediatric brain, spinal and soft tissue cancers</w:t>
            </w:r>
          </w:p>
        </w:tc>
        <w:tc>
          <w:tcPr>
            <w:tcW w:w="3119" w:type="dxa"/>
          </w:tcPr>
          <w:p w14:paraId="64A820C5" w14:textId="1B610B57" w:rsidR="005D1CBF" w:rsidRPr="00C807FA" w:rsidRDefault="00D36DBA" w:rsidP="00B42873">
            <w:pPr>
              <w:spacing w:after="40"/>
              <w:rPr>
                <w:rFonts w:ascii="Arial Narrow" w:hAnsi="Arial Narrow"/>
                <w:szCs w:val="20"/>
              </w:rPr>
            </w:pPr>
            <w:r>
              <w:rPr>
                <w:rFonts w:ascii="Arial Narrow" w:hAnsi="Arial Narrow"/>
                <w:szCs w:val="20"/>
              </w:rPr>
              <w:t>-</w:t>
            </w:r>
          </w:p>
        </w:tc>
        <w:tc>
          <w:tcPr>
            <w:tcW w:w="3402" w:type="dxa"/>
          </w:tcPr>
          <w:p w14:paraId="20FE04A7" w14:textId="74FCCFB6" w:rsidR="005D1CBF" w:rsidRPr="00C807FA" w:rsidRDefault="00D36DBA" w:rsidP="00B42873">
            <w:pPr>
              <w:spacing w:after="40"/>
              <w:rPr>
                <w:rFonts w:ascii="Arial Narrow" w:hAnsi="Arial Narrow"/>
                <w:szCs w:val="20"/>
              </w:rPr>
            </w:pPr>
            <w:r>
              <w:rPr>
                <w:rFonts w:ascii="Arial Narrow" w:hAnsi="Arial Narrow"/>
                <w:szCs w:val="20"/>
              </w:rPr>
              <w:t>-</w:t>
            </w:r>
          </w:p>
        </w:tc>
        <w:tc>
          <w:tcPr>
            <w:tcW w:w="4579" w:type="dxa"/>
          </w:tcPr>
          <w:p w14:paraId="4C054166" w14:textId="21B9616B" w:rsidR="005D1CBF" w:rsidRPr="00C807FA" w:rsidRDefault="00D36DBA" w:rsidP="00B42873">
            <w:pPr>
              <w:spacing w:after="40"/>
              <w:rPr>
                <w:rFonts w:ascii="Arial Narrow" w:hAnsi="Arial Narrow"/>
                <w:szCs w:val="20"/>
              </w:rPr>
            </w:pPr>
            <w:r>
              <w:rPr>
                <w:rFonts w:ascii="Arial Narrow" w:hAnsi="Arial Narrow"/>
                <w:szCs w:val="20"/>
              </w:rPr>
              <w:t>-</w:t>
            </w:r>
          </w:p>
        </w:tc>
        <w:tc>
          <w:tcPr>
            <w:tcW w:w="1091" w:type="dxa"/>
          </w:tcPr>
          <w:p w14:paraId="035298AD" w14:textId="5FDB19B7" w:rsidR="005D1CBF" w:rsidRPr="00C807FA" w:rsidRDefault="00D36DBA" w:rsidP="00B42873">
            <w:pPr>
              <w:spacing w:after="40"/>
              <w:rPr>
                <w:rFonts w:ascii="Arial Narrow" w:hAnsi="Arial Narrow"/>
                <w:szCs w:val="20"/>
              </w:rPr>
            </w:pPr>
            <w:r>
              <w:rPr>
                <w:rFonts w:ascii="Arial Narrow" w:hAnsi="Arial Narrow"/>
                <w:szCs w:val="20"/>
              </w:rPr>
              <w:t>-</w:t>
            </w:r>
          </w:p>
        </w:tc>
      </w:tr>
      <w:tr w:rsidR="00376523" w:rsidRPr="00C807FA" w14:paraId="46838374" w14:textId="77777777" w:rsidTr="009C17F8">
        <w:tc>
          <w:tcPr>
            <w:tcW w:w="1838" w:type="dxa"/>
          </w:tcPr>
          <w:p w14:paraId="2F12DAEF" w14:textId="77777777" w:rsidR="00376523" w:rsidRDefault="00376523" w:rsidP="00B42873">
            <w:pPr>
              <w:spacing w:after="40"/>
              <w:rPr>
                <w:rFonts w:ascii="Arial Narrow" w:hAnsi="Arial Narrow"/>
                <w:szCs w:val="20"/>
              </w:rPr>
            </w:pPr>
            <w:r>
              <w:rPr>
                <w:rFonts w:ascii="Arial Narrow" w:hAnsi="Arial Narrow"/>
                <w:szCs w:val="20"/>
              </w:rPr>
              <w:t>Prospective comparative study</w:t>
            </w:r>
          </w:p>
        </w:tc>
        <w:tc>
          <w:tcPr>
            <w:tcW w:w="3119" w:type="dxa"/>
          </w:tcPr>
          <w:p w14:paraId="0165E00A" w14:textId="77777777" w:rsidR="00376523" w:rsidRDefault="00376523" w:rsidP="00B42873">
            <w:pPr>
              <w:autoSpaceDE w:val="0"/>
              <w:autoSpaceDN w:val="0"/>
              <w:adjustRightInd w:val="0"/>
              <w:spacing w:after="0"/>
              <w:rPr>
                <w:rFonts w:ascii="Arial Narrow" w:hAnsi="Arial Narrow"/>
                <w:szCs w:val="20"/>
              </w:rPr>
            </w:pPr>
            <w:r>
              <w:rPr>
                <w:rFonts w:ascii="Arial Narrow" w:hAnsi="Arial Narrow"/>
                <w:szCs w:val="20"/>
              </w:rPr>
              <w:t xml:space="preserve">Hasimoto 2019. </w:t>
            </w:r>
            <w:r w:rsidRPr="00A8335F">
              <w:rPr>
                <w:rFonts w:ascii="Arial Narrow" w:hAnsi="Arial Narrow"/>
                <w:szCs w:val="20"/>
              </w:rPr>
              <w:t>Clinical experience of craniospinal intensity-modulated spot-scanning proton therapy using large fields for central nervous system medulloblastomas and germ cell tumo</w:t>
            </w:r>
            <w:r>
              <w:rPr>
                <w:rFonts w:ascii="Arial Narrow" w:hAnsi="Arial Narrow"/>
                <w:szCs w:val="20"/>
              </w:rPr>
              <w:t>u</w:t>
            </w:r>
            <w:r w:rsidRPr="00A8335F">
              <w:rPr>
                <w:rFonts w:ascii="Arial Narrow" w:hAnsi="Arial Narrow"/>
                <w:szCs w:val="20"/>
              </w:rPr>
              <w:t>rs in children, adolescents, and young adults</w:t>
            </w:r>
          </w:p>
        </w:tc>
        <w:tc>
          <w:tcPr>
            <w:tcW w:w="3402" w:type="dxa"/>
          </w:tcPr>
          <w:p w14:paraId="3C50919C" w14:textId="77777777" w:rsidR="00376523" w:rsidRDefault="00376523" w:rsidP="00B42873">
            <w:pPr>
              <w:spacing w:after="40"/>
              <w:rPr>
                <w:rFonts w:ascii="Arial Narrow" w:hAnsi="Arial Narrow"/>
                <w:szCs w:val="20"/>
              </w:rPr>
            </w:pPr>
            <w:r>
              <w:rPr>
                <w:rFonts w:ascii="Arial Narrow" w:hAnsi="Arial Narrow"/>
                <w:szCs w:val="20"/>
              </w:rPr>
              <w:t>Paediatrics with medulloblastoma and germ cell tumours treated with intensity modulated proton craniospinal irradiation (CSI) (n=9) or photon CSI (n=8). P</w:t>
            </w:r>
            <w:r w:rsidRPr="00273F41">
              <w:rPr>
                <w:rFonts w:ascii="Arial Narrow" w:hAnsi="Arial Narrow"/>
                <w:szCs w:val="20"/>
              </w:rPr>
              <w:t>atients experienced a lower incidence of serious acute h</w:t>
            </w:r>
            <w:r>
              <w:rPr>
                <w:rFonts w:ascii="Arial Narrow" w:hAnsi="Arial Narrow"/>
                <w:szCs w:val="20"/>
              </w:rPr>
              <w:t>a</w:t>
            </w:r>
            <w:r w:rsidRPr="00273F41">
              <w:rPr>
                <w:rFonts w:ascii="Arial Narrow" w:hAnsi="Arial Narrow"/>
                <w:szCs w:val="20"/>
              </w:rPr>
              <w:t>ematological toxicity than</w:t>
            </w:r>
            <w:r>
              <w:rPr>
                <w:rFonts w:ascii="Arial Narrow" w:hAnsi="Arial Narrow"/>
                <w:szCs w:val="20"/>
              </w:rPr>
              <w:t xml:space="preserve"> </w:t>
            </w:r>
            <w:r w:rsidRPr="00273F41">
              <w:rPr>
                <w:rFonts w:ascii="Arial Narrow" w:hAnsi="Arial Narrow"/>
                <w:szCs w:val="20"/>
              </w:rPr>
              <w:t>patients treated with photon CSI.</w:t>
            </w:r>
          </w:p>
        </w:tc>
        <w:tc>
          <w:tcPr>
            <w:tcW w:w="4579" w:type="dxa"/>
          </w:tcPr>
          <w:p w14:paraId="79EEED6E" w14:textId="0901B49A" w:rsidR="00376523" w:rsidRDefault="00A95AB2" w:rsidP="00B42873">
            <w:pPr>
              <w:spacing w:after="40"/>
            </w:pPr>
            <w:hyperlink r:id="rId48" w:tooltip="This link goes to the pubmed journal article" w:history="1">
              <w:r w:rsidR="00376523">
                <w:rPr>
                  <w:rStyle w:val="Hyperlink"/>
                </w:rPr>
                <w:t>https://www.ncbi.nlm.nih.gov/pubmed/31111946</w:t>
              </w:r>
            </w:hyperlink>
          </w:p>
        </w:tc>
        <w:tc>
          <w:tcPr>
            <w:tcW w:w="1091" w:type="dxa"/>
          </w:tcPr>
          <w:p w14:paraId="5E177F82" w14:textId="77777777" w:rsidR="00376523" w:rsidRDefault="00376523" w:rsidP="00B42873">
            <w:pPr>
              <w:spacing w:after="40"/>
              <w:rPr>
                <w:rFonts w:ascii="Arial Narrow" w:hAnsi="Arial Narrow"/>
                <w:szCs w:val="20"/>
              </w:rPr>
            </w:pPr>
            <w:r>
              <w:rPr>
                <w:rFonts w:ascii="Arial Narrow" w:hAnsi="Arial Narrow"/>
                <w:szCs w:val="20"/>
              </w:rPr>
              <w:t>2019</w:t>
            </w:r>
          </w:p>
        </w:tc>
      </w:tr>
      <w:tr w:rsidR="00376523" w:rsidRPr="00C807FA" w14:paraId="615EA962" w14:textId="77777777" w:rsidTr="009C17F8">
        <w:tc>
          <w:tcPr>
            <w:tcW w:w="1838" w:type="dxa"/>
          </w:tcPr>
          <w:p w14:paraId="3E56E231" w14:textId="77777777" w:rsidR="00376523" w:rsidRDefault="00376523" w:rsidP="00B42873">
            <w:pPr>
              <w:spacing w:after="40"/>
              <w:rPr>
                <w:rFonts w:ascii="Arial Narrow" w:hAnsi="Arial Narrow"/>
                <w:szCs w:val="20"/>
              </w:rPr>
            </w:pPr>
            <w:r>
              <w:rPr>
                <w:rFonts w:ascii="Arial Narrow" w:hAnsi="Arial Narrow"/>
                <w:szCs w:val="20"/>
              </w:rPr>
              <w:t>Prospective comparative study</w:t>
            </w:r>
          </w:p>
        </w:tc>
        <w:tc>
          <w:tcPr>
            <w:tcW w:w="3119" w:type="dxa"/>
          </w:tcPr>
          <w:p w14:paraId="26303E9B" w14:textId="77777777" w:rsidR="00376523" w:rsidRDefault="00376523" w:rsidP="00B42873">
            <w:pPr>
              <w:autoSpaceDE w:val="0"/>
              <w:autoSpaceDN w:val="0"/>
              <w:adjustRightInd w:val="0"/>
              <w:spacing w:after="0"/>
              <w:rPr>
                <w:rFonts w:ascii="Arial Narrow" w:hAnsi="Arial Narrow"/>
                <w:szCs w:val="20"/>
              </w:rPr>
            </w:pPr>
            <w:r>
              <w:rPr>
                <w:rFonts w:ascii="Arial Narrow" w:hAnsi="Arial Narrow"/>
                <w:szCs w:val="20"/>
              </w:rPr>
              <w:t xml:space="preserve">Kahalley 2020. </w:t>
            </w:r>
            <w:r w:rsidRPr="00A8335F">
              <w:rPr>
                <w:rFonts w:ascii="Arial Narrow" w:hAnsi="Arial Narrow"/>
                <w:szCs w:val="20"/>
              </w:rPr>
              <w:t>Superior Intellectual Outcomes After Proton Radiotherapy Compared With Photon Radiotherapy for Pediatric Medulloblastoma</w:t>
            </w:r>
          </w:p>
        </w:tc>
        <w:tc>
          <w:tcPr>
            <w:tcW w:w="3402" w:type="dxa"/>
          </w:tcPr>
          <w:p w14:paraId="23DE7AC1" w14:textId="77777777" w:rsidR="00376523" w:rsidRDefault="00376523" w:rsidP="00B42873">
            <w:pPr>
              <w:spacing w:after="40"/>
              <w:rPr>
                <w:rFonts w:ascii="Arial Narrow" w:hAnsi="Arial Narrow"/>
                <w:szCs w:val="20"/>
              </w:rPr>
            </w:pPr>
            <w:r>
              <w:rPr>
                <w:rFonts w:ascii="Arial Narrow" w:hAnsi="Arial Narrow"/>
                <w:szCs w:val="20"/>
              </w:rPr>
              <w:t>Paediatric patients with medulloblastoma treated with PBT (n=37) or XRT (n=42). Outcomes included global IQ, perceptual reasoning, working memory, processing speed.</w:t>
            </w:r>
          </w:p>
        </w:tc>
        <w:tc>
          <w:tcPr>
            <w:tcW w:w="4579" w:type="dxa"/>
          </w:tcPr>
          <w:p w14:paraId="29180BAA" w14:textId="24BBE9A5" w:rsidR="00376523" w:rsidRDefault="00A95AB2" w:rsidP="00B42873">
            <w:pPr>
              <w:spacing w:after="40"/>
            </w:pPr>
            <w:hyperlink r:id="rId49" w:tooltip="This link goes to the journal article" w:history="1">
              <w:r w:rsidR="00376523">
                <w:rPr>
                  <w:rStyle w:val="Hyperlink"/>
                </w:rPr>
                <w:t>https://ascopubs.org/doi/abs/10.1200/JCO.19.01706</w:t>
              </w:r>
            </w:hyperlink>
          </w:p>
        </w:tc>
        <w:tc>
          <w:tcPr>
            <w:tcW w:w="1091" w:type="dxa"/>
          </w:tcPr>
          <w:p w14:paraId="1A845286" w14:textId="77777777" w:rsidR="00376523" w:rsidRDefault="00376523" w:rsidP="00B42873">
            <w:pPr>
              <w:spacing w:after="40"/>
              <w:rPr>
                <w:rFonts w:ascii="Arial Narrow" w:hAnsi="Arial Narrow"/>
                <w:szCs w:val="20"/>
              </w:rPr>
            </w:pPr>
            <w:r>
              <w:rPr>
                <w:rFonts w:ascii="Arial Narrow" w:hAnsi="Arial Narrow"/>
                <w:szCs w:val="20"/>
              </w:rPr>
              <w:t>2020</w:t>
            </w:r>
          </w:p>
        </w:tc>
      </w:tr>
      <w:tr w:rsidR="00376523" w:rsidRPr="00C807FA" w14:paraId="3B4831B0" w14:textId="77777777" w:rsidTr="009C17F8">
        <w:tc>
          <w:tcPr>
            <w:tcW w:w="1838" w:type="dxa"/>
          </w:tcPr>
          <w:p w14:paraId="0794F21E" w14:textId="77777777" w:rsidR="00376523" w:rsidRDefault="00376523" w:rsidP="00B42873">
            <w:pPr>
              <w:spacing w:after="40"/>
              <w:rPr>
                <w:rFonts w:ascii="Arial Narrow" w:hAnsi="Arial Narrow"/>
                <w:szCs w:val="20"/>
              </w:rPr>
            </w:pPr>
            <w:r>
              <w:rPr>
                <w:rFonts w:ascii="Arial Narrow" w:hAnsi="Arial Narrow"/>
                <w:szCs w:val="20"/>
              </w:rPr>
              <w:t>Comparative study</w:t>
            </w:r>
          </w:p>
        </w:tc>
        <w:tc>
          <w:tcPr>
            <w:tcW w:w="3119" w:type="dxa"/>
          </w:tcPr>
          <w:p w14:paraId="78191062" w14:textId="77777777" w:rsidR="00376523" w:rsidRDefault="00376523" w:rsidP="00B42873">
            <w:pPr>
              <w:autoSpaceDE w:val="0"/>
              <w:autoSpaceDN w:val="0"/>
              <w:adjustRightInd w:val="0"/>
              <w:spacing w:after="0"/>
              <w:rPr>
                <w:rFonts w:ascii="Arial Narrow" w:hAnsi="Arial Narrow"/>
                <w:szCs w:val="20"/>
              </w:rPr>
            </w:pPr>
            <w:r>
              <w:rPr>
                <w:rFonts w:ascii="Arial Narrow" w:hAnsi="Arial Narrow"/>
                <w:szCs w:val="20"/>
              </w:rPr>
              <w:t xml:space="preserve">Peterson 2019. </w:t>
            </w:r>
            <w:r w:rsidRPr="00A8335F">
              <w:rPr>
                <w:rFonts w:ascii="Arial Narrow" w:hAnsi="Arial Narrow"/>
                <w:szCs w:val="20"/>
              </w:rPr>
              <w:t>Working memory and processing speed among pediatric brain tumo</w:t>
            </w:r>
            <w:r>
              <w:rPr>
                <w:rFonts w:ascii="Arial Narrow" w:hAnsi="Arial Narrow"/>
                <w:szCs w:val="20"/>
              </w:rPr>
              <w:t>u</w:t>
            </w:r>
            <w:r w:rsidRPr="00A8335F">
              <w:rPr>
                <w:rFonts w:ascii="Arial Narrow" w:hAnsi="Arial Narrow"/>
                <w:szCs w:val="20"/>
              </w:rPr>
              <w:t>r patients treated with photon or proton beam radiation therapy</w:t>
            </w:r>
          </w:p>
        </w:tc>
        <w:tc>
          <w:tcPr>
            <w:tcW w:w="3402" w:type="dxa"/>
          </w:tcPr>
          <w:p w14:paraId="7496753C" w14:textId="77777777" w:rsidR="00376523" w:rsidRDefault="00376523" w:rsidP="00B42873">
            <w:pPr>
              <w:spacing w:after="40"/>
              <w:rPr>
                <w:rFonts w:ascii="Arial Narrow" w:hAnsi="Arial Narrow"/>
                <w:szCs w:val="20"/>
              </w:rPr>
            </w:pPr>
            <w:r>
              <w:rPr>
                <w:rFonts w:ascii="Arial Narrow" w:hAnsi="Arial Narrow"/>
                <w:szCs w:val="20"/>
              </w:rPr>
              <w:t>Paediatric patients with brain tumours treated with PBT (n=2) or photon therapy (n=17). Working memory and processing speed were assessed over 24 months post treatment.</w:t>
            </w:r>
          </w:p>
        </w:tc>
        <w:tc>
          <w:tcPr>
            <w:tcW w:w="4579" w:type="dxa"/>
          </w:tcPr>
          <w:p w14:paraId="4B1C85E4" w14:textId="175CCA96" w:rsidR="00376523" w:rsidRDefault="00A95AB2" w:rsidP="00B42873">
            <w:pPr>
              <w:spacing w:after="40"/>
            </w:pPr>
            <w:hyperlink r:id="rId50" w:tooltip="This link goes to the pubmed journal article" w:history="1">
              <w:r w:rsidR="00376523">
                <w:rPr>
                  <w:rStyle w:val="Hyperlink"/>
                </w:rPr>
                <w:t>https://www.tandfonline.com/doi/abs/10.1080/02739615.2018.1510330?journalCode=hchc20</w:t>
              </w:r>
            </w:hyperlink>
          </w:p>
        </w:tc>
        <w:tc>
          <w:tcPr>
            <w:tcW w:w="1091" w:type="dxa"/>
          </w:tcPr>
          <w:p w14:paraId="204968DA" w14:textId="77777777" w:rsidR="00376523" w:rsidRDefault="00376523" w:rsidP="00B42873">
            <w:pPr>
              <w:spacing w:after="40"/>
              <w:rPr>
                <w:rFonts w:ascii="Arial Narrow" w:hAnsi="Arial Narrow"/>
                <w:szCs w:val="20"/>
              </w:rPr>
            </w:pPr>
            <w:r>
              <w:rPr>
                <w:rFonts w:ascii="Arial Narrow" w:hAnsi="Arial Narrow"/>
                <w:szCs w:val="20"/>
              </w:rPr>
              <w:t>2019</w:t>
            </w:r>
          </w:p>
        </w:tc>
      </w:tr>
      <w:tr w:rsidR="005D1CBF" w:rsidRPr="003B3BF9" w14:paraId="2ECAB3D9" w14:textId="77777777" w:rsidTr="009C17F8">
        <w:tc>
          <w:tcPr>
            <w:tcW w:w="1838" w:type="dxa"/>
          </w:tcPr>
          <w:p w14:paraId="30751AD9" w14:textId="77777777" w:rsidR="005D1CBF" w:rsidRPr="003B3BF9" w:rsidRDefault="005D1CBF" w:rsidP="00B42873">
            <w:pPr>
              <w:spacing w:after="40"/>
              <w:rPr>
                <w:rFonts w:ascii="Arial Narrow" w:hAnsi="Arial Narrow"/>
                <w:b/>
                <w:bCs/>
                <w:szCs w:val="20"/>
              </w:rPr>
            </w:pPr>
            <w:r w:rsidRPr="003B3BF9">
              <w:rPr>
                <w:rFonts w:ascii="Arial Narrow" w:hAnsi="Arial Narrow"/>
                <w:b/>
                <w:bCs/>
                <w:szCs w:val="20"/>
              </w:rPr>
              <w:t>Systematic reviews</w:t>
            </w:r>
          </w:p>
        </w:tc>
        <w:tc>
          <w:tcPr>
            <w:tcW w:w="3119" w:type="dxa"/>
          </w:tcPr>
          <w:p w14:paraId="1793B852" w14:textId="73766522" w:rsidR="005D1CBF" w:rsidRPr="003B3BF9" w:rsidRDefault="00D36DBA" w:rsidP="00B42873">
            <w:pPr>
              <w:spacing w:after="40"/>
              <w:rPr>
                <w:rFonts w:ascii="Arial Narrow" w:hAnsi="Arial Narrow"/>
                <w:b/>
                <w:bCs/>
                <w:szCs w:val="20"/>
              </w:rPr>
            </w:pPr>
            <w:r>
              <w:rPr>
                <w:rFonts w:ascii="Arial Narrow" w:hAnsi="Arial Narrow"/>
                <w:b/>
                <w:bCs/>
                <w:szCs w:val="20"/>
              </w:rPr>
              <w:t>-</w:t>
            </w:r>
          </w:p>
        </w:tc>
        <w:tc>
          <w:tcPr>
            <w:tcW w:w="3402" w:type="dxa"/>
          </w:tcPr>
          <w:p w14:paraId="1912F231" w14:textId="2012B986" w:rsidR="005D1CBF" w:rsidRPr="003B3BF9" w:rsidRDefault="00D36DBA" w:rsidP="00B42873">
            <w:pPr>
              <w:spacing w:after="40"/>
              <w:rPr>
                <w:rFonts w:ascii="Arial Narrow" w:hAnsi="Arial Narrow"/>
                <w:b/>
                <w:bCs/>
                <w:szCs w:val="20"/>
              </w:rPr>
            </w:pPr>
            <w:r>
              <w:rPr>
                <w:rFonts w:ascii="Arial Narrow" w:hAnsi="Arial Narrow"/>
                <w:b/>
                <w:bCs/>
                <w:szCs w:val="20"/>
              </w:rPr>
              <w:t>-</w:t>
            </w:r>
          </w:p>
        </w:tc>
        <w:tc>
          <w:tcPr>
            <w:tcW w:w="4579" w:type="dxa"/>
          </w:tcPr>
          <w:p w14:paraId="06E1F176" w14:textId="0963FA03" w:rsidR="005D1CBF" w:rsidRPr="003B3BF9" w:rsidRDefault="00D36DBA" w:rsidP="00B42873">
            <w:pPr>
              <w:spacing w:after="40"/>
              <w:rPr>
                <w:rFonts w:ascii="Arial Narrow" w:hAnsi="Arial Narrow"/>
                <w:b/>
                <w:bCs/>
                <w:szCs w:val="20"/>
              </w:rPr>
            </w:pPr>
            <w:r>
              <w:rPr>
                <w:rFonts w:ascii="Arial Narrow" w:hAnsi="Arial Narrow"/>
                <w:b/>
                <w:bCs/>
                <w:szCs w:val="20"/>
              </w:rPr>
              <w:t>-</w:t>
            </w:r>
          </w:p>
        </w:tc>
        <w:tc>
          <w:tcPr>
            <w:tcW w:w="1091" w:type="dxa"/>
          </w:tcPr>
          <w:p w14:paraId="5BA6F325" w14:textId="5B7AFEA2" w:rsidR="005D1CBF" w:rsidRPr="003B3BF9" w:rsidRDefault="00D36DBA" w:rsidP="00B42873">
            <w:pPr>
              <w:spacing w:after="40"/>
              <w:rPr>
                <w:rFonts w:ascii="Arial Narrow" w:hAnsi="Arial Narrow"/>
                <w:b/>
                <w:bCs/>
                <w:szCs w:val="20"/>
              </w:rPr>
            </w:pPr>
            <w:r>
              <w:rPr>
                <w:rFonts w:ascii="Arial Narrow" w:hAnsi="Arial Narrow"/>
                <w:b/>
                <w:bCs/>
                <w:szCs w:val="20"/>
              </w:rPr>
              <w:t>-</w:t>
            </w:r>
          </w:p>
        </w:tc>
      </w:tr>
      <w:tr w:rsidR="00376523" w:rsidRPr="00C807FA" w14:paraId="5A302AE0" w14:textId="77777777" w:rsidTr="009C17F8">
        <w:tc>
          <w:tcPr>
            <w:tcW w:w="1838" w:type="dxa"/>
          </w:tcPr>
          <w:p w14:paraId="31626AC4" w14:textId="77777777" w:rsidR="00376523" w:rsidRDefault="00376523" w:rsidP="00B42873">
            <w:pPr>
              <w:spacing w:after="40"/>
              <w:rPr>
                <w:rFonts w:ascii="Arial Narrow" w:hAnsi="Arial Narrow"/>
                <w:szCs w:val="20"/>
              </w:rPr>
            </w:pPr>
            <w:r>
              <w:rPr>
                <w:rFonts w:ascii="Arial Narrow" w:hAnsi="Arial Narrow"/>
                <w:szCs w:val="20"/>
              </w:rPr>
              <w:t>Health Technology Assessment</w:t>
            </w:r>
          </w:p>
        </w:tc>
        <w:tc>
          <w:tcPr>
            <w:tcW w:w="3119" w:type="dxa"/>
          </w:tcPr>
          <w:p w14:paraId="27A6C05D" w14:textId="77777777" w:rsidR="00376523" w:rsidRDefault="00376523" w:rsidP="00B42873">
            <w:pPr>
              <w:autoSpaceDE w:val="0"/>
              <w:autoSpaceDN w:val="0"/>
              <w:adjustRightInd w:val="0"/>
              <w:spacing w:after="0"/>
              <w:rPr>
                <w:rFonts w:ascii="Arial Narrow" w:hAnsi="Arial Narrow"/>
                <w:szCs w:val="20"/>
              </w:rPr>
            </w:pPr>
            <w:r w:rsidRPr="003B3BF9">
              <w:rPr>
                <w:rFonts w:ascii="Arial Narrow" w:hAnsi="Arial Narrow"/>
                <w:szCs w:val="20"/>
              </w:rPr>
              <w:t>Skelly, Andrea C., Erika D. Brodt, Naomi Schwartz, Aaron JR Ferguson, and Shelby Kantner. "Proton Beam Therapy–Re-review." (2019).</w:t>
            </w:r>
            <w:r>
              <w:rPr>
                <w:rFonts w:ascii="Arial Narrow" w:hAnsi="Arial Narrow"/>
                <w:szCs w:val="20"/>
              </w:rPr>
              <w:t xml:space="preserve">Washington State Healthcare Authority </w:t>
            </w:r>
          </w:p>
        </w:tc>
        <w:tc>
          <w:tcPr>
            <w:tcW w:w="3402" w:type="dxa"/>
          </w:tcPr>
          <w:p w14:paraId="432E7D7C" w14:textId="77777777" w:rsidR="00376523" w:rsidRDefault="00376523" w:rsidP="00B42873">
            <w:pPr>
              <w:spacing w:after="40"/>
              <w:rPr>
                <w:rFonts w:ascii="Arial Narrow" w:hAnsi="Arial Narrow"/>
                <w:szCs w:val="20"/>
              </w:rPr>
            </w:pPr>
            <w:r>
              <w:rPr>
                <w:rFonts w:ascii="Arial Narrow" w:hAnsi="Arial Narrow"/>
                <w:szCs w:val="20"/>
              </w:rPr>
              <w:t xml:space="preserve">Review of the </w:t>
            </w:r>
            <w:r w:rsidRPr="000C4994">
              <w:rPr>
                <w:rFonts w:ascii="Arial Narrow" w:hAnsi="Arial Narrow"/>
                <w:szCs w:val="20"/>
              </w:rPr>
              <w:t>safety and efficacy of PBT, as a primary or as a salvage therapy (i.e., for recurrent disease or failure of initial therapy), for the treatment of multiple cancer types as well as selected noncancerous conditions in adults and children.</w:t>
            </w:r>
          </w:p>
        </w:tc>
        <w:tc>
          <w:tcPr>
            <w:tcW w:w="4579" w:type="dxa"/>
          </w:tcPr>
          <w:p w14:paraId="6990E5BF" w14:textId="0C01495D" w:rsidR="00376523" w:rsidRDefault="00A95AB2" w:rsidP="00B42873">
            <w:pPr>
              <w:spacing w:after="40"/>
            </w:pPr>
            <w:hyperlink r:id="rId51" w:tooltip="This link goes to the systematic review" w:history="1">
              <w:r w:rsidR="00376523">
                <w:rPr>
                  <w:rStyle w:val="Hyperlink"/>
                </w:rPr>
                <w:t>https://www.hca.wa.gov/assets/program/proton-beam-therapy-rr-final-report-20190418.pdf</w:t>
              </w:r>
            </w:hyperlink>
          </w:p>
        </w:tc>
        <w:tc>
          <w:tcPr>
            <w:tcW w:w="1091" w:type="dxa"/>
          </w:tcPr>
          <w:p w14:paraId="76CAB935" w14:textId="77777777" w:rsidR="00376523" w:rsidRDefault="00376523" w:rsidP="00B42873">
            <w:pPr>
              <w:spacing w:after="40"/>
              <w:rPr>
                <w:rFonts w:ascii="Arial Narrow" w:hAnsi="Arial Narrow"/>
                <w:szCs w:val="20"/>
              </w:rPr>
            </w:pPr>
            <w:r>
              <w:rPr>
                <w:rFonts w:ascii="Arial Narrow" w:hAnsi="Arial Narrow"/>
                <w:szCs w:val="20"/>
              </w:rPr>
              <w:t>2019</w:t>
            </w:r>
          </w:p>
        </w:tc>
      </w:tr>
      <w:tr w:rsidR="00376523" w:rsidRPr="00C807FA" w14:paraId="3F23A899" w14:textId="77777777" w:rsidTr="009C17F8">
        <w:tc>
          <w:tcPr>
            <w:tcW w:w="1838" w:type="dxa"/>
          </w:tcPr>
          <w:p w14:paraId="04E9C0B3" w14:textId="77777777" w:rsidR="00376523" w:rsidRDefault="00376523" w:rsidP="00B42873">
            <w:pPr>
              <w:spacing w:after="40"/>
              <w:rPr>
                <w:rFonts w:ascii="Arial Narrow" w:hAnsi="Arial Narrow"/>
                <w:szCs w:val="20"/>
              </w:rPr>
            </w:pPr>
            <w:r>
              <w:rPr>
                <w:rFonts w:ascii="Arial Narrow" w:hAnsi="Arial Narrow"/>
                <w:szCs w:val="20"/>
              </w:rPr>
              <w:t>Health Technology Assessment</w:t>
            </w:r>
          </w:p>
        </w:tc>
        <w:tc>
          <w:tcPr>
            <w:tcW w:w="3119" w:type="dxa"/>
          </w:tcPr>
          <w:p w14:paraId="16924708" w14:textId="77777777" w:rsidR="00376523" w:rsidRDefault="00376523" w:rsidP="00B42873">
            <w:pPr>
              <w:autoSpaceDE w:val="0"/>
              <w:autoSpaceDN w:val="0"/>
              <w:adjustRightInd w:val="0"/>
              <w:spacing w:after="0"/>
              <w:rPr>
                <w:rFonts w:ascii="Arial Narrow" w:hAnsi="Arial Narrow"/>
                <w:szCs w:val="20"/>
              </w:rPr>
            </w:pPr>
            <w:r w:rsidRPr="000C4994">
              <w:rPr>
                <w:rFonts w:ascii="Arial Narrow" w:hAnsi="Arial Narrow"/>
                <w:szCs w:val="20"/>
              </w:rPr>
              <w:t>Kim, Joanne, C. Wells, S. Khangura, C. Alexander, S. Mulla, K. Farrah, M. Paulden et al. "Proton Beam Therapy for the Treatment of Cancer in Children and Adults: A Health Technology Assessment." (2017).</w:t>
            </w:r>
            <w:r>
              <w:rPr>
                <w:rFonts w:ascii="Arial Narrow" w:hAnsi="Arial Narrow"/>
                <w:szCs w:val="20"/>
              </w:rPr>
              <w:t>Canadian Agency for Drugs and Technologies in Health</w:t>
            </w:r>
          </w:p>
        </w:tc>
        <w:tc>
          <w:tcPr>
            <w:tcW w:w="3402" w:type="dxa"/>
          </w:tcPr>
          <w:p w14:paraId="04BBB3A2" w14:textId="77777777" w:rsidR="00376523" w:rsidRDefault="00376523" w:rsidP="00B42873">
            <w:pPr>
              <w:spacing w:after="40"/>
              <w:rPr>
                <w:rFonts w:ascii="Arial Narrow" w:hAnsi="Arial Narrow"/>
                <w:szCs w:val="20"/>
              </w:rPr>
            </w:pPr>
            <w:r>
              <w:rPr>
                <w:rFonts w:ascii="Arial Narrow" w:hAnsi="Arial Narrow"/>
                <w:szCs w:val="20"/>
              </w:rPr>
              <w:t>Review of the effectiveness, safety and cost-effectiveness of PBT</w:t>
            </w:r>
            <w:r w:rsidRPr="000C4994">
              <w:rPr>
                <w:rFonts w:ascii="Arial Narrow" w:hAnsi="Arial Narrow"/>
                <w:szCs w:val="20"/>
              </w:rPr>
              <w:t xml:space="preserve"> for the </w:t>
            </w:r>
            <w:r>
              <w:rPr>
                <w:rFonts w:ascii="Arial Narrow" w:hAnsi="Arial Narrow"/>
                <w:szCs w:val="20"/>
              </w:rPr>
              <w:t>treatment of cancer in children and adults</w:t>
            </w:r>
          </w:p>
        </w:tc>
        <w:tc>
          <w:tcPr>
            <w:tcW w:w="4579" w:type="dxa"/>
          </w:tcPr>
          <w:p w14:paraId="2FE70A65" w14:textId="356481B5" w:rsidR="00376523" w:rsidRDefault="00A95AB2" w:rsidP="00B42873">
            <w:pPr>
              <w:spacing w:after="40"/>
            </w:pPr>
            <w:hyperlink r:id="rId52" w:tooltip="This link goes to the systematic review" w:history="1">
              <w:r w:rsidR="00376523">
                <w:rPr>
                  <w:rStyle w:val="Hyperlink"/>
                </w:rPr>
                <w:t>https://www.cadth.ca/proton-beam-therapy-treatment-cancer-children-and-adults</w:t>
              </w:r>
            </w:hyperlink>
          </w:p>
        </w:tc>
        <w:tc>
          <w:tcPr>
            <w:tcW w:w="1091" w:type="dxa"/>
          </w:tcPr>
          <w:p w14:paraId="4D86958A" w14:textId="77777777" w:rsidR="00376523" w:rsidRDefault="00376523" w:rsidP="00B42873">
            <w:pPr>
              <w:spacing w:after="40"/>
              <w:rPr>
                <w:rFonts w:ascii="Arial Narrow" w:hAnsi="Arial Narrow"/>
                <w:szCs w:val="20"/>
              </w:rPr>
            </w:pPr>
            <w:r>
              <w:rPr>
                <w:rFonts w:ascii="Arial Narrow" w:hAnsi="Arial Narrow"/>
                <w:szCs w:val="20"/>
              </w:rPr>
              <w:t>2017</w:t>
            </w:r>
          </w:p>
        </w:tc>
      </w:tr>
    </w:tbl>
    <w:p w14:paraId="3D81BAA4" w14:textId="77777777" w:rsidR="00376523" w:rsidRDefault="00376523" w:rsidP="00DD308E">
      <w:pPr>
        <w:spacing w:after="0"/>
        <w:ind w:left="426"/>
        <w:rPr>
          <w:i/>
          <w:szCs w:val="20"/>
        </w:rPr>
      </w:pPr>
    </w:p>
    <w:p w14:paraId="061CA9EF" w14:textId="426BD2C5"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4AFDB5E"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397F58B3"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657AA3AA" w14:textId="77777777" w:rsidR="00DD308E" w:rsidRDefault="00DD308E" w:rsidP="00DD308E">
      <w:pPr>
        <w:rPr>
          <w:i/>
          <w:szCs w:val="20"/>
        </w:rPr>
      </w:pPr>
      <w:r>
        <w:rPr>
          <w:i/>
          <w:szCs w:val="20"/>
        </w:rPr>
        <w:br w:type="page"/>
      </w:r>
    </w:p>
    <w:p w14:paraId="2CE5AC64"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021346EF"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4674" w:type="pct"/>
        <w:tblLook w:val="04A0" w:firstRow="1" w:lastRow="0" w:firstColumn="1" w:lastColumn="0" w:noHBand="0" w:noVBand="1"/>
        <w:tblCaption w:val="Summary of Evidence - Yet to be Published"/>
      </w:tblPr>
      <w:tblGrid>
        <w:gridCol w:w="2499"/>
        <w:gridCol w:w="3137"/>
        <w:gridCol w:w="2467"/>
        <w:gridCol w:w="3476"/>
        <w:gridCol w:w="1460"/>
      </w:tblGrid>
      <w:tr w:rsidR="006E692E" w14:paraId="6C1423BF" w14:textId="77777777" w:rsidTr="006E692E">
        <w:trPr>
          <w:cantSplit/>
          <w:tblHeader/>
        </w:trPr>
        <w:tc>
          <w:tcPr>
            <w:tcW w:w="958" w:type="pct"/>
          </w:tcPr>
          <w:p w14:paraId="427CC40A" w14:textId="77777777" w:rsidR="006E692E" w:rsidRDefault="006E692E" w:rsidP="00855944">
            <w:pPr>
              <w:pStyle w:val="TableHEADER"/>
            </w:pPr>
            <w:r>
              <w:t>Type of study design*</w:t>
            </w:r>
          </w:p>
        </w:tc>
        <w:tc>
          <w:tcPr>
            <w:tcW w:w="1203" w:type="pct"/>
          </w:tcPr>
          <w:p w14:paraId="47798707" w14:textId="77777777" w:rsidR="006E692E" w:rsidRDefault="006E692E" w:rsidP="00855944">
            <w:pPr>
              <w:pStyle w:val="TableHEADER"/>
            </w:pPr>
            <w:r>
              <w:t>Title of research (including any trial identifier if relevant)</w:t>
            </w:r>
          </w:p>
        </w:tc>
        <w:tc>
          <w:tcPr>
            <w:tcW w:w="946" w:type="pct"/>
          </w:tcPr>
          <w:p w14:paraId="1C3DF7C1" w14:textId="77777777" w:rsidR="006E692E" w:rsidRDefault="006E692E" w:rsidP="00855944">
            <w:pPr>
              <w:pStyle w:val="TableHEADER"/>
            </w:pPr>
            <w:r>
              <w:t>Short description of research (max 50 words)**</w:t>
            </w:r>
          </w:p>
        </w:tc>
        <w:tc>
          <w:tcPr>
            <w:tcW w:w="1333" w:type="pct"/>
          </w:tcPr>
          <w:p w14:paraId="10566349" w14:textId="77777777" w:rsidR="006E692E" w:rsidRDefault="006E692E" w:rsidP="00855944">
            <w:pPr>
              <w:pStyle w:val="TableHEADER"/>
            </w:pPr>
            <w:r w:rsidRPr="00E82F54">
              <w:t xml:space="preserve">Website link to </w:t>
            </w:r>
            <w:r>
              <w:t>research (if available)</w:t>
            </w:r>
          </w:p>
        </w:tc>
        <w:tc>
          <w:tcPr>
            <w:tcW w:w="561" w:type="pct"/>
          </w:tcPr>
          <w:p w14:paraId="5D2B9586" w14:textId="77777777" w:rsidR="006E692E" w:rsidRDefault="006E692E" w:rsidP="00855944">
            <w:pPr>
              <w:pStyle w:val="TableHEADER"/>
            </w:pPr>
            <w:r w:rsidRPr="00E82F54">
              <w:t>Date*</w:t>
            </w:r>
            <w:r>
              <w:t>**</w:t>
            </w:r>
          </w:p>
        </w:tc>
      </w:tr>
    </w:tbl>
    <w:p w14:paraId="2067934B"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408A631C"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18091239"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2F0CE183"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1C341909"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15B13BD3"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4B50C10E" w14:textId="44C61EA3" w:rsidR="00A727B6" w:rsidRDefault="00CA599B" w:rsidP="00A727B6">
      <w:pPr>
        <w:ind w:left="426"/>
      </w:pPr>
      <w:r>
        <w:t>Royal Australian and New Zealand College of Radiologists</w:t>
      </w:r>
    </w:p>
    <w:p w14:paraId="7F921CB8" w14:textId="20B6C508" w:rsidR="00CA599B" w:rsidRDefault="00CA599B" w:rsidP="00A727B6">
      <w:pPr>
        <w:ind w:left="426"/>
      </w:pPr>
      <w:r>
        <w:t>Australasian College of Physical Scientists and Engineers in Medicine</w:t>
      </w:r>
    </w:p>
    <w:p w14:paraId="1EB18C24" w14:textId="17953E11" w:rsidR="00CA599B" w:rsidRDefault="00CA599B" w:rsidP="00A727B6">
      <w:pPr>
        <w:ind w:left="426"/>
      </w:pPr>
      <w:r>
        <w:t>Australian Society of Medical Imaging and Radiation Therapy</w:t>
      </w:r>
    </w:p>
    <w:p w14:paraId="537ADFF3" w14:textId="13C272D8" w:rsidR="00CA599B" w:rsidRDefault="00CA599B" w:rsidP="00A727B6">
      <w:pPr>
        <w:ind w:left="426"/>
      </w:pPr>
      <w:r>
        <w:t>Cancer Nurses Society of Australia</w:t>
      </w:r>
    </w:p>
    <w:p w14:paraId="25BC91FA" w14:textId="1C08388E" w:rsidR="00815DAF" w:rsidRPr="00E47C50" w:rsidRDefault="00E47C50" w:rsidP="00A727B6">
      <w:pPr>
        <w:ind w:left="426"/>
        <w:rPr>
          <w:i/>
          <w:iCs/>
        </w:rPr>
      </w:pPr>
      <w:r>
        <w:rPr>
          <w:i/>
          <w:iCs/>
        </w:rPr>
        <w:t>As t</w:t>
      </w:r>
      <w:r w:rsidR="009C3856">
        <w:rPr>
          <w:i/>
          <w:iCs/>
        </w:rPr>
        <w:t>he professional bodies were contacted as part of the consultation for MSAC 1455, we have not attached a statement of clinical relevance</w:t>
      </w:r>
      <w:r w:rsidR="007273DB">
        <w:rPr>
          <w:i/>
          <w:iCs/>
        </w:rPr>
        <w:t xml:space="preserve"> to this application.</w:t>
      </w:r>
    </w:p>
    <w:p w14:paraId="740B00C9"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7F162801" w14:textId="77777777" w:rsidR="00CA599B" w:rsidRDefault="00CA599B" w:rsidP="00CA599B">
      <w:pPr>
        <w:ind w:left="426"/>
      </w:pPr>
      <w:r>
        <w:t>Royal Australian and New Zealand College of Radiologists</w:t>
      </w:r>
    </w:p>
    <w:p w14:paraId="1009AD5F" w14:textId="77777777" w:rsidR="00CA599B" w:rsidRDefault="00CA599B" w:rsidP="00CA599B">
      <w:pPr>
        <w:ind w:left="426"/>
      </w:pPr>
      <w:r>
        <w:t>Australasian College of Physical Scientists and Engineers in Medicine</w:t>
      </w:r>
    </w:p>
    <w:p w14:paraId="5E4CC47E" w14:textId="77777777" w:rsidR="00CA599B" w:rsidRDefault="00CA599B" w:rsidP="00CA599B">
      <w:pPr>
        <w:ind w:left="426"/>
      </w:pPr>
      <w:r>
        <w:t>Australian Society of Medical Imaging and Radiation Therapy</w:t>
      </w:r>
    </w:p>
    <w:p w14:paraId="652A22E4" w14:textId="421AEB57" w:rsidR="00EA173C" w:rsidRDefault="00CA599B" w:rsidP="00CA599B">
      <w:pPr>
        <w:ind w:left="426"/>
      </w:pPr>
      <w:r>
        <w:t>Cancer Nurses Society of Australia</w:t>
      </w:r>
    </w:p>
    <w:p w14:paraId="1C89790B"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0ED00A73" w14:textId="36E36E5F" w:rsidR="00CA599B" w:rsidRDefault="00CA599B" w:rsidP="00A727B6">
      <w:pPr>
        <w:ind w:left="426"/>
      </w:pPr>
      <w:r>
        <w:t>Cancer Council Australia</w:t>
      </w:r>
    </w:p>
    <w:p w14:paraId="60F56A45" w14:textId="0FA6D898" w:rsidR="00E82F54" w:rsidRDefault="00CA599B" w:rsidP="00A727B6">
      <w:pPr>
        <w:ind w:left="426"/>
      </w:pPr>
      <w:r>
        <w:t>Cancer Voices Australia</w:t>
      </w:r>
    </w:p>
    <w:p w14:paraId="517BBEC1" w14:textId="32D77B6D" w:rsidR="00CA599B" w:rsidRDefault="00CA599B" w:rsidP="00A727B6">
      <w:pPr>
        <w:ind w:left="426"/>
        <w:rPr>
          <w:szCs w:val="20"/>
        </w:rPr>
      </w:pPr>
      <w:r>
        <w:t>CanTeen</w:t>
      </w:r>
    </w:p>
    <w:p w14:paraId="41FAB9A6"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4AB0F450" w14:textId="22304F0B" w:rsidR="00EE6450" w:rsidRDefault="00CA599B" w:rsidP="00EE6450">
      <w:pPr>
        <w:ind w:left="426"/>
      </w:pPr>
      <w:r>
        <w:t>Ion Beam Applications</w:t>
      </w:r>
    </w:p>
    <w:p w14:paraId="325515EA" w14:textId="48FAA6A4" w:rsidR="00CA599B" w:rsidRDefault="00CA599B" w:rsidP="00EE6450">
      <w:pPr>
        <w:ind w:left="426"/>
      </w:pPr>
      <w:r>
        <w:t>Varian</w:t>
      </w:r>
    </w:p>
    <w:p w14:paraId="52D7CF0C" w14:textId="2AD440C9" w:rsidR="00CA599B" w:rsidRDefault="00CA599B" w:rsidP="00EE6450">
      <w:pPr>
        <w:ind w:left="426"/>
      </w:pPr>
      <w:r>
        <w:t>Hitachi</w:t>
      </w:r>
    </w:p>
    <w:p w14:paraId="2BC63231" w14:textId="319DAD3E" w:rsidR="00CA599B" w:rsidRDefault="00CA599B" w:rsidP="00EE6450">
      <w:pPr>
        <w:ind w:left="426"/>
      </w:pPr>
      <w:r>
        <w:t>Mevion</w:t>
      </w:r>
    </w:p>
    <w:p w14:paraId="090BEE15" w14:textId="2DF5C56F" w:rsidR="00CA599B" w:rsidRDefault="00CA599B" w:rsidP="00EE6450">
      <w:pPr>
        <w:ind w:left="426"/>
        <w:rPr>
          <w:szCs w:val="20"/>
        </w:rPr>
      </w:pPr>
      <w:r>
        <w:t>Sumitomo</w:t>
      </w:r>
    </w:p>
    <w:p w14:paraId="79E42C61" w14:textId="59DEAA30" w:rsidR="00A96329" w:rsidRPr="00A96329" w:rsidRDefault="00E82F54" w:rsidP="00A96329">
      <w:pPr>
        <w:pStyle w:val="Heading2"/>
      </w:pPr>
      <w:r w:rsidRPr="00154B00">
        <w:t>Nominate two experts who could be approached about the proposed medical service and the current clinical management of the service(s):</w:t>
      </w:r>
    </w:p>
    <w:p w14:paraId="41876D51" w14:textId="09DD97EF" w:rsidR="00987ABE" w:rsidRPr="00987ABE" w:rsidRDefault="00987ABE" w:rsidP="00987ABE">
      <w:pPr>
        <w:ind w:left="426"/>
        <w:rPr>
          <w:szCs w:val="20"/>
        </w:rPr>
      </w:pPr>
      <w:r>
        <w:rPr>
          <w:szCs w:val="20"/>
        </w:rPr>
        <w:t xml:space="preserve">Name of expert 1: </w:t>
      </w:r>
      <w:r w:rsidR="0094028E" w:rsidRPr="0094028E">
        <w:rPr>
          <w:szCs w:val="20"/>
          <w:highlight w:val="black"/>
        </w:rPr>
        <w:t>_________</w:t>
      </w:r>
    </w:p>
    <w:p w14:paraId="037986FC" w14:textId="31751AF4" w:rsidR="00987ABE" w:rsidRPr="00987ABE" w:rsidRDefault="00987ABE" w:rsidP="00987ABE">
      <w:pPr>
        <w:ind w:left="426"/>
        <w:rPr>
          <w:szCs w:val="20"/>
        </w:rPr>
      </w:pPr>
      <w:r>
        <w:rPr>
          <w:szCs w:val="20"/>
        </w:rPr>
        <w:t xml:space="preserve">Telephone number(s): </w:t>
      </w:r>
      <w:r w:rsidR="0094028E" w:rsidRPr="0094028E">
        <w:rPr>
          <w:szCs w:val="20"/>
          <w:highlight w:val="black"/>
        </w:rPr>
        <w:t>__________</w:t>
      </w:r>
    </w:p>
    <w:p w14:paraId="683C1AC1" w14:textId="1CD36A64" w:rsidR="00987ABE" w:rsidRPr="00987ABE" w:rsidRDefault="00987ABE" w:rsidP="00987ABE">
      <w:pPr>
        <w:ind w:left="426"/>
        <w:rPr>
          <w:szCs w:val="20"/>
        </w:rPr>
      </w:pPr>
      <w:r>
        <w:rPr>
          <w:szCs w:val="20"/>
        </w:rPr>
        <w:lastRenderedPageBreak/>
        <w:t xml:space="preserve">Email address: </w:t>
      </w:r>
      <w:r w:rsidR="0094028E" w:rsidRPr="0094028E">
        <w:rPr>
          <w:szCs w:val="20"/>
          <w:highlight w:val="black"/>
        </w:rPr>
        <w:t>___________________</w:t>
      </w:r>
    </w:p>
    <w:p w14:paraId="64DB5A91" w14:textId="6E2166C6" w:rsidR="00987ABE" w:rsidRPr="00987ABE" w:rsidRDefault="00987ABE" w:rsidP="00987ABE">
      <w:pPr>
        <w:ind w:left="426"/>
        <w:rPr>
          <w:szCs w:val="20"/>
        </w:rPr>
      </w:pPr>
      <w:r>
        <w:rPr>
          <w:szCs w:val="20"/>
        </w:rPr>
        <w:t xml:space="preserve">Justification of expertise: </w:t>
      </w:r>
      <w:r w:rsidR="0094028E" w:rsidRPr="0094028E">
        <w:rPr>
          <w:szCs w:val="20"/>
          <w:highlight w:val="black"/>
        </w:rPr>
        <w:t>______________________________________________________</w:t>
      </w:r>
    </w:p>
    <w:p w14:paraId="4E2E6190" w14:textId="77777777" w:rsidR="00987ABE" w:rsidRPr="00987ABE" w:rsidRDefault="00987ABE" w:rsidP="00987ABE">
      <w:pPr>
        <w:ind w:left="426"/>
        <w:rPr>
          <w:szCs w:val="20"/>
        </w:rPr>
      </w:pPr>
    </w:p>
    <w:p w14:paraId="6461B8F0" w14:textId="2AF9EA3B" w:rsidR="00987ABE" w:rsidRPr="00987ABE" w:rsidRDefault="00987ABE" w:rsidP="00987ABE">
      <w:pPr>
        <w:ind w:left="426"/>
        <w:rPr>
          <w:szCs w:val="20"/>
        </w:rPr>
      </w:pPr>
      <w:r>
        <w:rPr>
          <w:szCs w:val="20"/>
        </w:rPr>
        <w:t xml:space="preserve">Name of expert 2: </w:t>
      </w:r>
      <w:r w:rsidR="0094028E" w:rsidRPr="0094028E">
        <w:rPr>
          <w:szCs w:val="20"/>
          <w:highlight w:val="black"/>
        </w:rPr>
        <w:t>_______________</w:t>
      </w:r>
    </w:p>
    <w:p w14:paraId="1400B10C" w14:textId="756DE52F" w:rsidR="00987ABE" w:rsidRPr="00987ABE" w:rsidRDefault="00987ABE" w:rsidP="00987ABE">
      <w:pPr>
        <w:ind w:left="426"/>
        <w:rPr>
          <w:szCs w:val="20"/>
        </w:rPr>
      </w:pPr>
      <w:r>
        <w:rPr>
          <w:szCs w:val="20"/>
        </w:rPr>
        <w:t xml:space="preserve">Telephone number(s): </w:t>
      </w:r>
    </w:p>
    <w:p w14:paraId="7994D560" w14:textId="64702FB5" w:rsidR="00987ABE" w:rsidRPr="00987ABE" w:rsidRDefault="00987ABE" w:rsidP="00987ABE">
      <w:pPr>
        <w:ind w:left="426"/>
        <w:rPr>
          <w:szCs w:val="20"/>
        </w:rPr>
      </w:pPr>
      <w:r>
        <w:rPr>
          <w:szCs w:val="20"/>
        </w:rPr>
        <w:t xml:space="preserve">Email address: </w:t>
      </w:r>
      <w:r w:rsidR="0094028E" w:rsidRPr="0094028E">
        <w:rPr>
          <w:szCs w:val="20"/>
          <w:highlight w:val="black"/>
        </w:rPr>
        <w:t>________________</w:t>
      </w:r>
    </w:p>
    <w:p w14:paraId="5DCAB0AB" w14:textId="217686AB" w:rsidR="00E82F54" w:rsidRPr="00154B00" w:rsidRDefault="00987ABE" w:rsidP="00987ABE">
      <w:pPr>
        <w:ind w:left="426"/>
        <w:rPr>
          <w:szCs w:val="20"/>
        </w:rPr>
      </w:pPr>
      <w:r>
        <w:rPr>
          <w:szCs w:val="20"/>
        </w:rPr>
        <w:t xml:space="preserve">Justification of expertise: </w:t>
      </w:r>
      <w:r w:rsidR="0094028E" w:rsidRPr="0094028E">
        <w:rPr>
          <w:highlight w:val="black"/>
        </w:rPr>
        <w:t>____________________________________________</w:t>
      </w:r>
      <w:r w:rsidR="0048113C">
        <w:t xml:space="preserve"> </w:t>
      </w:r>
    </w:p>
    <w:p w14:paraId="7F888A74" w14:textId="77777777" w:rsidR="00E82F54" w:rsidRPr="00EA173C" w:rsidRDefault="00F93784" w:rsidP="0056015F">
      <w:pPr>
        <w:pStyle w:val="Heading1"/>
      </w:pPr>
      <w:r>
        <w:t>PAR</w:t>
      </w:r>
      <w:r w:rsidR="005C3AE7">
        <w:t>T 6</w:t>
      </w:r>
      <w:r>
        <w:t xml:space="preserve"> – POPULATION</w:t>
      </w:r>
      <w:r w:rsidR="000525BC">
        <w:t xml:space="preserve"> (AND PRIOR TESTS)</w:t>
      </w:r>
      <w:r>
        <w:t xml:space="preserve">, </w:t>
      </w:r>
      <w:r w:rsidR="00CC5AB1">
        <w:t>INTERVENTION</w:t>
      </w:r>
      <w:r>
        <w:t>, COMPARATOR, OUTCOME (PICO)</w:t>
      </w:r>
    </w:p>
    <w:p w14:paraId="34347AC1" w14:textId="2B24192C" w:rsidR="0021185D" w:rsidRDefault="005C3AE7" w:rsidP="005C3AE7">
      <w:pPr>
        <w:pStyle w:val="Subtitle"/>
      </w:pPr>
      <w:r w:rsidRPr="005C3AE7">
        <w:t xml:space="preserve">PART 6a – </w:t>
      </w:r>
      <w:r w:rsidR="0021185D" w:rsidRPr="005C3AE7">
        <w:t>INFORMATION ABOUT THE PROPOSED POPULATION</w:t>
      </w:r>
    </w:p>
    <w:p w14:paraId="22E67AE9" w14:textId="518C8D9D" w:rsidR="004D095E" w:rsidRPr="004D095E" w:rsidRDefault="004D095E" w:rsidP="004D095E">
      <w:r>
        <w:t>This application makes use of the PICO Confirmation of MSAC 1455.</w:t>
      </w:r>
    </w:p>
    <w:p w14:paraId="5C560645"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04F0034D" w14:textId="77777777" w:rsidR="00B256B1" w:rsidRDefault="00585890" w:rsidP="002554AF">
      <w:pPr>
        <w:ind w:left="426"/>
        <w:rPr>
          <w:szCs w:val="20"/>
        </w:rPr>
      </w:pPr>
      <w:r>
        <w:rPr>
          <w:szCs w:val="20"/>
        </w:rPr>
        <w:t>Proton beam therapy can be used in the treatment of benign and malignant neoplasms. In line with the PICO confirmation of MSAC 1455, this application applies to paediatric</w:t>
      </w:r>
      <w:r w:rsidR="00B256B1">
        <w:rPr>
          <w:szCs w:val="20"/>
        </w:rPr>
        <w:t xml:space="preserve"> tumours</w:t>
      </w:r>
      <w:r>
        <w:rPr>
          <w:szCs w:val="20"/>
        </w:rPr>
        <w:t xml:space="preserve"> and rare adult </w:t>
      </w:r>
      <w:r w:rsidR="00B256B1">
        <w:rPr>
          <w:szCs w:val="20"/>
        </w:rPr>
        <w:t>tumours of the head and spine</w:t>
      </w:r>
      <w:r>
        <w:rPr>
          <w:szCs w:val="20"/>
        </w:rPr>
        <w:t xml:space="preserve">. </w:t>
      </w:r>
    </w:p>
    <w:p w14:paraId="77C034A0" w14:textId="15134A59" w:rsidR="002554AF" w:rsidRDefault="008B47F4" w:rsidP="002554AF">
      <w:pPr>
        <w:ind w:left="426"/>
        <w:rPr>
          <w:szCs w:val="20"/>
        </w:rPr>
      </w:pPr>
      <w:r>
        <w:rPr>
          <w:szCs w:val="20"/>
        </w:rPr>
        <w:t>A summary of the major</w:t>
      </w:r>
      <w:r w:rsidR="00B256B1">
        <w:rPr>
          <w:szCs w:val="20"/>
        </w:rPr>
        <w:t xml:space="preserve"> tumours in the paediatric and adolescent and young adult (AYA) population that may benefit from proton beam therapy include:</w:t>
      </w:r>
    </w:p>
    <w:p w14:paraId="23AFE67F" w14:textId="383838A6" w:rsidR="002554AF" w:rsidRDefault="002554AF" w:rsidP="002554AF">
      <w:pPr>
        <w:pStyle w:val="ListParagraph"/>
        <w:numPr>
          <w:ilvl w:val="0"/>
          <w:numId w:val="44"/>
        </w:numPr>
        <w:rPr>
          <w:szCs w:val="20"/>
        </w:rPr>
      </w:pPr>
      <w:r>
        <w:rPr>
          <w:szCs w:val="20"/>
        </w:rPr>
        <w:t>CNS tumours</w:t>
      </w:r>
    </w:p>
    <w:p w14:paraId="2E2A6018" w14:textId="77777777" w:rsidR="002554AF" w:rsidRDefault="002554AF" w:rsidP="002554AF">
      <w:pPr>
        <w:pStyle w:val="ListParagraph"/>
        <w:numPr>
          <w:ilvl w:val="0"/>
          <w:numId w:val="44"/>
        </w:numPr>
        <w:rPr>
          <w:szCs w:val="20"/>
        </w:rPr>
      </w:pPr>
      <w:r>
        <w:rPr>
          <w:szCs w:val="20"/>
        </w:rPr>
        <w:t>Retinoblastoma</w:t>
      </w:r>
    </w:p>
    <w:p w14:paraId="2AB536E9" w14:textId="77777777" w:rsidR="002554AF" w:rsidRDefault="002554AF" w:rsidP="002554AF">
      <w:pPr>
        <w:pStyle w:val="ListParagraph"/>
        <w:numPr>
          <w:ilvl w:val="0"/>
          <w:numId w:val="44"/>
        </w:numPr>
        <w:rPr>
          <w:szCs w:val="20"/>
        </w:rPr>
      </w:pPr>
      <w:r>
        <w:rPr>
          <w:szCs w:val="20"/>
        </w:rPr>
        <w:t>Soft tissue sarcomas in close proximity to the axial skeleton (including rhabdomyosarcomas)</w:t>
      </w:r>
    </w:p>
    <w:p w14:paraId="05085959" w14:textId="77777777" w:rsidR="002554AF" w:rsidRDefault="002554AF" w:rsidP="002554AF">
      <w:pPr>
        <w:pStyle w:val="ListParagraph"/>
        <w:numPr>
          <w:ilvl w:val="0"/>
          <w:numId w:val="44"/>
        </w:numPr>
        <w:rPr>
          <w:szCs w:val="20"/>
        </w:rPr>
      </w:pPr>
      <w:r>
        <w:rPr>
          <w:szCs w:val="20"/>
        </w:rPr>
        <w:t>Craniopharyngioma</w:t>
      </w:r>
    </w:p>
    <w:p w14:paraId="2C58507F" w14:textId="77777777" w:rsidR="002554AF" w:rsidRDefault="002554AF" w:rsidP="002554AF">
      <w:pPr>
        <w:pStyle w:val="ListParagraph"/>
        <w:numPr>
          <w:ilvl w:val="0"/>
          <w:numId w:val="44"/>
        </w:numPr>
        <w:rPr>
          <w:szCs w:val="20"/>
        </w:rPr>
      </w:pPr>
      <w:r>
        <w:rPr>
          <w:szCs w:val="20"/>
        </w:rPr>
        <w:t>Intracranial germ cell tumours</w:t>
      </w:r>
    </w:p>
    <w:p w14:paraId="5314F592" w14:textId="77777777" w:rsidR="002554AF" w:rsidRDefault="002554AF" w:rsidP="002554AF">
      <w:pPr>
        <w:pStyle w:val="ListParagraph"/>
        <w:numPr>
          <w:ilvl w:val="0"/>
          <w:numId w:val="44"/>
        </w:numPr>
        <w:rPr>
          <w:szCs w:val="20"/>
        </w:rPr>
      </w:pPr>
      <w:r>
        <w:rPr>
          <w:szCs w:val="20"/>
        </w:rPr>
        <w:t>Neuroblastoma</w:t>
      </w:r>
    </w:p>
    <w:p w14:paraId="661DCF48" w14:textId="77777777" w:rsidR="002554AF" w:rsidRDefault="002554AF" w:rsidP="002554AF">
      <w:pPr>
        <w:pStyle w:val="ListParagraph"/>
        <w:numPr>
          <w:ilvl w:val="0"/>
          <w:numId w:val="44"/>
        </w:numPr>
        <w:rPr>
          <w:szCs w:val="20"/>
        </w:rPr>
      </w:pPr>
      <w:r>
        <w:rPr>
          <w:szCs w:val="20"/>
        </w:rPr>
        <w:t>Nephroblastoma</w:t>
      </w:r>
    </w:p>
    <w:p w14:paraId="530D51D0" w14:textId="65D33EF8" w:rsidR="00585890" w:rsidRDefault="008B47F4" w:rsidP="00E357B9">
      <w:pPr>
        <w:ind w:left="426"/>
        <w:rPr>
          <w:szCs w:val="20"/>
        </w:rPr>
      </w:pPr>
      <w:r>
        <w:rPr>
          <w:szCs w:val="20"/>
        </w:rPr>
        <w:t>A summary of the major</w:t>
      </w:r>
      <w:r w:rsidR="00585890">
        <w:rPr>
          <w:szCs w:val="20"/>
        </w:rPr>
        <w:t xml:space="preserve"> rare adult </w:t>
      </w:r>
      <w:r w:rsidR="00B256B1">
        <w:rPr>
          <w:szCs w:val="20"/>
        </w:rPr>
        <w:t>tumours of the head and spine</w:t>
      </w:r>
      <w:r w:rsidR="00585890">
        <w:rPr>
          <w:szCs w:val="20"/>
        </w:rPr>
        <w:t xml:space="preserve"> </w:t>
      </w:r>
      <w:r w:rsidR="00B256B1">
        <w:rPr>
          <w:szCs w:val="20"/>
        </w:rPr>
        <w:t>that may benefit from proton beam therapy include</w:t>
      </w:r>
      <w:r w:rsidR="00585890">
        <w:rPr>
          <w:szCs w:val="20"/>
        </w:rPr>
        <w:t>:</w:t>
      </w:r>
    </w:p>
    <w:p w14:paraId="47139B8E" w14:textId="629FA0BF" w:rsidR="00B256B1" w:rsidRDefault="00B256B1" w:rsidP="00585890">
      <w:pPr>
        <w:pStyle w:val="ListParagraph"/>
        <w:numPr>
          <w:ilvl w:val="0"/>
          <w:numId w:val="44"/>
        </w:numPr>
        <w:rPr>
          <w:szCs w:val="20"/>
        </w:rPr>
      </w:pPr>
      <w:r>
        <w:rPr>
          <w:szCs w:val="20"/>
        </w:rPr>
        <w:t>Brain tumours</w:t>
      </w:r>
    </w:p>
    <w:p w14:paraId="20E6A691" w14:textId="3C2960EB" w:rsidR="00B256B1" w:rsidRPr="00B256B1" w:rsidRDefault="00B256B1" w:rsidP="00B256B1">
      <w:pPr>
        <w:pStyle w:val="ListParagraph"/>
        <w:numPr>
          <w:ilvl w:val="0"/>
          <w:numId w:val="44"/>
        </w:numPr>
        <w:rPr>
          <w:szCs w:val="20"/>
        </w:rPr>
      </w:pPr>
      <w:r>
        <w:rPr>
          <w:szCs w:val="20"/>
        </w:rPr>
        <w:t>Base of skull tumours</w:t>
      </w:r>
      <w:r w:rsidR="00FB0B32">
        <w:rPr>
          <w:szCs w:val="20"/>
        </w:rPr>
        <w:t xml:space="preserve"> including chordoma, chondrosarcoma and meningioma</w:t>
      </w:r>
    </w:p>
    <w:p w14:paraId="176CDBA6" w14:textId="1FEDE2F1" w:rsidR="00585890" w:rsidRPr="00111C9B" w:rsidRDefault="00FB0B32" w:rsidP="00111C9B">
      <w:pPr>
        <w:pStyle w:val="ListParagraph"/>
        <w:numPr>
          <w:ilvl w:val="0"/>
          <w:numId w:val="44"/>
        </w:numPr>
        <w:rPr>
          <w:szCs w:val="20"/>
        </w:rPr>
      </w:pPr>
      <w:r>
        <w:rPr>
          <w:szCs w:val="20"/>
        </w:rPr>
        <w:t>Spine/paraspinal tumours including chordoma, chondrosarcoma and meningioma</w:t>
      </w:r>
    </w:p>
    <w:p w14:paraId="16D362D5" w14:textId="5FE21750" w:rsidR="00585890" w:rsidRDefault="00585890" w:rsidP="00585890">
      <w:pPr>
        <w:pStyle w:val="ListParagraph"/>
        <w:numPr>
          <w:ilvl w:val="0"/>
          <w:numId w:val="44"/>
        </w:numPr>
        <w:rPr>
          <w:szCs w:val="20"/>
        </w:rPr>
      </w:pPr>
      <w:r>
        <w:rPr>
          <w:szCs w:val="20"/>
        </w:rPr>
        <w:t>Ocular melanoma</w:t>
      </w:r>
    </w:p>
    <w:p w14:paraId="46CE9194" w14:textId="6DBA2F85" w:rsidR="00585890" w:rsidRDefault="00585890" w:rsidP="00585890">
      <w:pPr>
        <w:pStyle w:val="ListParagraph"/>
        <w:numPr>
          <w:ilvl w:val="0"/>
          <w:numId w:val="44"/>
        </w:numPr>
        <w:rPr>
          <w:szCs w:val="20"/>
        </w:rPr>
      </w:pPr>
      <w:r>
        <w:rPr>
          <w:szCs w:val="20"/>
        </w:rPr>
        <w:t>Adenoid cystic carcinoma</w:t>
      </w:r>
      <w:r w:rsidR="00B256B1">
        <w:rPr>
          <w:szCs w:val="20"/>
        </w:rPr>
        <w:t xml:space="preserve"> of the salivary or lacrimal gland</w:t>
      </w:r>
    </w:p>
    <w:p w14:paraId="43DC450A" w14:textId="67D7F3BC" w:rsidR="00B42873" w:rsidRPr="00154B00" w:rsidRDefault="002554AF" w:rsidP="00D16693">
      <w:pPr>
        <w:ind w:left="426"/>
        <w:rPr>
          <w:szCs w:val="20"/>
        </w:rPr>
      </w:pPr>
      <w:r>
        <w:rPr>
          <w:szCs w:val="20"/>
        </w:rPr>
        <w:t xml:space="preserve">The majority of these cancer types are derived from genetic </w:t>
      </w:r>
      <w:r w:rsidR="001D1F3F">
        <w:rPr>
          <w:szCs w:val="20"/>
        </w:rPr>
        <w:t>origins, as opposed to environmental or lifestyle factors.</w:t>
      </w:r>
      <w:r w:rsidR="00B256B1">
        <w:rPr>
          <w:szCs w:val="20"/>
        </w:rPr>
        <w:t xml:space="preserve"> The morbidity associated with a given cancer is heavily dependent on the location, stage and grade of the cancer. </w:t>
      </w:r>
      <w:r w:rsidR="001D1F3F">
        <w:rPr>
          <w:szCs w:val="20"/>
        </w:rPr>
        <w:t>All conditions</w:t>
      </w:r>
      <w:r w:rsidR="00D16693">
        <w:rPr>
          <w:szCs w:val="20"/>
        </w:rPr>
        <w:t xml:space="preserve"> listed above</w:t>
      </w:r>
      <w:r w:rsidR="001D1F3F">
        <w:rPr>
          <w:szCs w:val="20"/>
        </w:rPr>
        <w:t xml:space="preserve"> </w:t>
      </w:r>
      <w:r w:rsidR="00FB0B32">
        <w:rPr>
          <w:szCs w:val="20"/>
        </w:rPr>
        <w:t>have extremely high</w:t>
      </w:r>
      <w:r w:rsidR="001D1F3F">
        <w:rPr>
          <w:szCs w:val="20"/>
        </w:rPr>
        <w:t xml:space="preserve"> fatal</w:t>
      </w:r>
      <w:r w:rsidR="00FB0B32">
        <w:rPr>
          <w:szCs w:val="20"/>
        </w:rPr>
        <w:t>ity rates</w:t>
      </w:r>
      <w:r w:rsidR="001D1F3F">
        <w:rPr>
          <w:szCs w:val="20"/>
        </w:rPr>
        <w:t xml:space="preserve"> if </w:t>
      </w:r>
      <w:r w:rsidR="00D16693">
        <w:rPr>
          <w:szCs w:val="20"/>
        </w:rPr>
        <w:t>left untreated</w:t>
      </w:r>
      <w:r w:rsidR="001D1F3F">
        <w:rPr>
          <w:szCs w:val="20"/>
        </w:rPr>
        <w:t>.</w:t>
      </w:r>
    </w:p>
    <w:p w14:paraId="5F3EE141"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w:t>
      </w:r>
      <w:r w:rsidR="007D2358" w:rsidRPr="00154B00">
        <w:lastRenderedPageBreak/>
        <w:t xml:space="preserve">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7AEA0F6D" w14:textId="3F34A264" w:rsidR="00D16693" w:rsidRDefault="00D16693" w:rsidP="00E357B9">
      <w:pPr>
        <w:ind w:left="426"/>
        <w:rPr>
          <w:szCs w:val="20"/>
        </w:rPr>
      </w:pPr>
      <w:r>
        <w:rPr>
          <w:szCs w:val="20"/>
        </w:rPr>
        <w:t>It is proposed that all paediatric and AYA patients presenting with a solid tumour in the head, neck or trunk of the body would be eligible for</w:t>
      </w:r>
      <w:r w:rsidR="00683C15">
        <w:rPr>
          <w:szCs w:val="20"/>
        </w:rPr>
        <w:t xml:space="preserve"> </w:t>
      </w:r>
      <w:r>
        <w:rPr>
          <w:szCs w:val="20"/>
        </w:rPr>
        <w:t>proton beam therapy</w:t>
      </w:r>
      <w:r w:rsidR="00683C15">
        <w:rPr>
          <w:szCs w:val="20"/>
        </w:rPr>
        <w:t xml:space="preserve"> funding through Medicare</w:t>
      </w:r>
      <w:r>
        <w:rPr>
          <w:szCs w:val="20"/>
        </w:rPr>
        <w:t xml:space="preserve">. </w:t>
      </w:r>
    </w:p>
    <w:p w14:paraId="6CBF1DD4" w14:textId="05A07511" w:rsidR="00683C15" w:rsidRDefault="00D16693" w:rsidP="00E357B9">
      <w:pPr>
        <w:ind w:left="426"/>
        <w:rPr>
          <w:szCs w:val="20"/>
        </w:rPr>
      </w:pPr>
      <w:r>
        <w:rPr>
          <w:szCs w:val="20"/>
        </w:rPr>
        <w:t>For the adult population, it is proposed that patients presenting with a solid tumour of the brain,</w:t>
      </w:r>
      <w:r w:rsidR="007178EC">
        <w:rPr>
          <w:szCs w:val="20"/>
        </w:rPr>
        <w:t xml:space="preserve"> orbital region,</w:t>
      </w:r>
      <w:r>
        <w:rPr>
          <w:szCs w:val="20"/>
        </w:rPr>
        <w:t xml:space="preserve"> base of skull</w:t>
      </w:r>
      <w:r w:rsidR="00683C15">
        <w:rPr>
          <w:szCs w:val="20"/>
        </w:rPr>
        <w:t xml:space="preserve"> and</w:t>
      </w:r>
      <w:r>
        <w:rPr>
          <w:szCs w:val="20"/>
        </w:rPr>
        <w:t xml:space="preserve"> spine </w:t>
      </w:r>
      <w:r w:rsidR="00683C15">
        <w:rPr>
          <w:szCs w:val="20"/>
        </w:rPr>
        <w:t>would be eligible for proton beam therapy funding through Medicare.</w:t>
      </w:r>
    </w:p>
    <w:p w14:paraId="77B7CA77" w14:textId="426C7E8D" w:rsidR="00683C15" w:rsidRDefault="00BB1FC9" w:rsidP="00E357B9">
      <w:pPr>
        <w:ind w:left="426"/>
        <w:rPr>
          <w:szCs w:val="20"/>
        </w:rPr>
      </w:pPr>
      <w:r>
        <w:rPr>
          <w:szCs w:val="20"/>
        </w:rPr>
        <w:t>The proposed population is comprised of a heterogeneous group of diseases; however, all stand to benefit from the reduced toxicity profile of proton beam therapy. As such, c</w:t>
      </w:r>
      <w:r w:rsidR="00683C15">
        <w:rPr>
          <w:szCs w:val="20"/>
        </w:rPr>
        <w:t>linical judgement may be exercised on a case-by-case basis to determine whether proton beam therapy would be beneficial relative to conventional X-ray therapy for a given patient of the above populations.</w:t>
      </w:r>
      <w:r w:rsidR="00841A18">
        <w:rPr>
          <w:szCs w:val="20"/>
        </w:rPr>
        <w:t xml:space="preserve"> This judgement should be based on multidisciplinary team input.</w:t>
      </w:r>
      <w:r w:rsidR="008B47F4">
        <w:rPr>
          <w:szCs w:val="20"/>
        </w:rPr>
        <w:t xml:space="preserve"> </w:t>
      </w:r>
      <w:r w:rsidR="008B47F4" w:rsidRPr="00777291">
        <w:rPr>
          <w:szCs w:val="20"/>
        </w:rPr>
        <w:t>The importance of the multidisciplinary team in initial assessment, diagnosis and making decisions about treatment is strongly endorsed by clinical guidelines. A multidisciplinary approach is preferred, involving pathologists, radiologists, surgeons, radiation therapists, medical oncologists and paediatric oncologists, with experience in the tumour type, and within reference networks sharing expertise and treating a high number of patients annually</w:t>
      </w:r>
      <w:r w:rsidR="008B47F4">
        <w:rPr>
          <w:szCs w:val="20"/>
        </w:rPr>
        <w:t>.</w:t>
      </w:r>
    </w:p>
    <w:p w14:paraId="4763BC78" w14:textId="212713A1" w:rsidR="00841A18" w:rsidRDefault="005A770A" w:rsidP="00E357B9">
      <w:pPr>
        <w:ind w:left="426"/>
        <w:rPr>
          <w:szCs w:val="20"/>
        </w:rPr>
      </w:pPr>
      <w:r>
        <w:rPr>
          <w:szCs w:val="20"/>
        </w:rPr>
        <w:t>Patients</w:t>
      </w:r>
      <w:r w:rsidR="00C673D3">
        <w:rPr>
          <w:szCs w:val="20"/>
        </w:rPr>
        <w:t xml:space="preserve"> not located in proximity to a proton beam therapy centre</w:t>
      </w:r>
      <w:r>
        <w:rPr>
          <w:szCs w:val="20"/>
        </w:rPr>
        <w:t xml:space="preserve"> </w:t>
      </w:r>
      <w:r w:rsidR="003764D0">
        <w:rPr>
          <w:szCs w:val="20"/>
        </w:rPr>
        <w:t>may be referred to their local consulting Radiation Oncologist</w:t>
      </w:r>
      <w:r w:rsidR="00921EE7">
        <w:rPr>
          <w:szCs w:val="20"/>
        </w:rPr>
        <w:t xml:space="preserve"> who may then submit the patient for inclusion at </w:t>
      </w:r>
      <w:r w:rsidR="005154ED">
        <w:rPr>
          <w:szCs w:val="20"/>
        </w:rPr>
        <w:t>a</w:t>
      </w:r>
      <w:r w:rsidR="008353D5">
        <w:rPr>
          <w:szCs w:val="20"/>
        </w:rPr>
        <w:t xml:space="preserve"> multidisciplinary</w:t>
      </w:r>
      <w:r w:rsidR="005154ED">
        <w:rPr>
          <w:szCs w:val="20"/>
        </w:rPr>
        <w:t xml:space="preserve"> National Proton Therapy Referral meeting.</w:t>
      </w:r>
      <w:r w:rsidR="006440C6">
        <w:rPr>
          <w:szCs w:val="20"/>
        </w:rPr>
        <w:t xml:space="preserve"> </w:t>
      </w:r>
      <w:r w:rsidR="00841A18">
        <w:rPr>
          <w:szCs w:val="20"/>
        </w:rPr>
        <w:t>Guidance on this referral pathway is being prepared by the Royal Australian and New Zealand College of Radiologists.</w:t>
      </w:r>
    </w:p>
    <w:p w14:paraId="0A546397" w14:textId="39C7878F" w:rsidR="00AA5FDA" w:rsidRPr="00154B00" w:rsidRDefault="006440C6" w:rsidP="00E357B9">
      <w:pPr>
        <w:ind w:left="426"/>
        <w:rPr>
          <w:szCs w:val="20"/>
        </w:rPr>
      </w:pPr>
      <w:r>
        <w:rPr>
          <w:szCs w:val="20"/>
        </w:rPr>
        <w:t xml:space="preserve">Patients located </w:t>
      </w:r>
      <w:r w:rsidR="004253E2">
        <w:rPr>
          <w:szCs w:val="20"/>
        </w:rPr>
        <w:t>in proximity</w:t>
      </w:r>
      <w:r>
        <w:rPr>
          <w:szCs w:val="20"/>
        </w:rPr>
        <w:t xml:space="preserve"> to </w:t>
      </w:r>
      <w:r w:rsidR="00841A18">
        <w:rPr>
          <w:szCs w:val="20"/>
        </w:rPr>
        <w:t>a</w:t>
      </w:r>
      <w:r>
        <w:rPr>
          <w:szCs w:val="20"/>
        </w:rPr>
        <w:t xml:space="preserve"> proton beam therapy centre may be discussed </w:t>
      </w:r>
      <w:r w:rsidR="00AC47C8">
        <w:rPr>
          <w:szCs w:val="20"/>
        </w:rPr>
        <w:t xml:space="preserve">at internal </w:t>
      </w:r>
      <w:r w:rsidR="00E72528">
        <w:rPr>
          <w:szCs w:val="20"/>
        </w:rPr>
        <w:t>multidisciplinary</w:t>
      </w:r>
      <w:r w:rsidR="00AC47C8">
        <w:rPr>
          <w:szCs w:val="20"/>
        </w:rPr>
        <w:t xml:space="preserve"> meetings.</w:t>
      </w:r>
    </w:p>
    <w:p w14:paraId="627D5DB0"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4394D72E" w14:textId="77777777" w:rsidR="00841A18" w:rsidRDefault="00A759C3" w:rsidP="00D73646">
      <w:pPr>
        <w:ind w:left="426"/>
      </w:pPr>
      <w:r>
        <w:t xml:space="preserve">Patients may present to their local general practitioner </w:t>
      </w:r>
      <w:r w:rsidR="004344DF">
        <w:t xml:space="preserve">displaying symptoms. The GP may then refer the patient for diagnostic </w:t>
      </w:r>
      <w:r w:rsidR="00AF6D20">
        <w:t>investigation</w:t>
      </w:r>
      <w:r w:rsidR="008B44BB">
        <w:t>, typically medical imaging or biopsy.</w:t>
      </w:r>
      <w:r w:rsidR="00701B2F">
        <w:t xml:space="preserve"> </w:t>
      </w:r>
      <w:r w:rsidR="00AF6D20">
        <w:t xml:space="preserve">If the investigation shows </w:t>
      </w:r>
      <w:r w:rsidR="007A0B67">
        <w:t xml:space="preserve">the possibility of a medical condition outlined in Question 24, the GP </w:t>
      </w:r>
      <w:r w:rsidR="00CB702C">
        <w:t>may</w:t>
      </w:r>
      <w:r w:rsidR="007A0B67">
        <w:t xml:space="preserve"> refer the patient to a</w:t>
      </w:r>
      <w:r w:rsidR="006107C4">
        <w:t>n appropriate specialist</w:t>
      </w:r>
      <w:r w:rsidR="00427855">
        <w:t xml:space="preserve"> (surgeon, paediatric oncologist, medical oncologist or radiation oncologist)</w:t>
      </w:r>
      <w:r w:rsidR="006107C4">
        <w:t xml:space="preserve">. </w:t>
      </w:r>
    </w:p>
    <w:p w14:paraId="1893C5E5" w14:textId="3D25A49F" w:rsidR="00F324F5" w:rsidRDefault="006107C4" w:rsidP="00D73646">
      <w:pPr>
        <w:ind w:left="426"/>
      </w:pPr>
      <w:r>
        <w:t>Following an initial consult with the specialist, the patient will typically be discussed at a</w:t>
      </w:r>
      <w:r w:rsidR="00FB0B32">
        <w:t xml:space="preserve"> local</w:t>
      </w:r>
      <w:r>
        <w:t xml:space="preserve"> multidisciplinary meeting to determine</w:t>
      </w:r>
      <w:r w:rsidR="00FB0B32">
        <w:t xml:space="preserve"> the optimal</w:t>
      </w:r>
      <w:r>
        <w:t xml:space="preserve"> treatment strateg</w:t>
      </w:r>
      <w:r w:rsidR="005A6D8F">
        <w:t>y. If radiotherapy is to be included in the</w:t>
      </w:r>
      <w:r w:rsidR="00FB0B32">
        <w:t xml:space="preserve"> consensus</w:t>
      </w:r>
      <w:r w:rsidR="005A6D8F">
        <w:t xml:space="preserve"> treatment strategy, </w:t>
      </w:r>
      <w:r w:rsidR="009A4E0A">
        <w:t xml:space="preserve">the patient will be referred to a consulting </w:t>
      </w:r>
      <w:r w:rsidR="009E35A8">
        <w:t>r</w:t>
      </w:r>
      <w:r w:rsidR="009A4E0A">
        <w:t xml:space="preserve">adiation </w:t>
      </w:r>
      <w:r w:rsidR="009E35A8">
        <w:t>o</w:t>
      </w:r>
      <w:r w:rsidR="009A4E0A">
        <w:t>ncologist</w:t>
      </w:r>
      <w:r w:rsidR="009E35A8">
        <w:t xml:space="preserve">. </w:t>
      </w:r>
    </w:p>
    <w:p w14:paraId="7E800DDD" w14:textId="5AA5BFBC" w:rsidR="00BC424B" w:rsidRDefault="009E35A8" w:rsidP="00D73646">
      <w:pPr>
        <w:ind w:left="426"/>
      </w:pPr>
      <w:r>
        <w:t xml:space="preserve">Currently, public funding for proton beam therapy is only available through the Medical Treatment Overseas Program (MTOP). For an individual to access MTOP funding, their case must be reviewed by a panel of experts. A component of the review is a </w:t>
      </w:r>
      <w:r>
        <w:lastRenderedPageBreak/>
        <w:t>comparison of calculated radiotherapy dose distributions generated with proton beam and X-ray beam machine models.</w:t>
      </w:r>
      <w:r w:rsidR="00FB0B32">
        <w:t xml:space="preserve"> If the individual case is deemed to be eligible for MTOP funding, the patient will be approved for financial support of treatment carries out overseas.</w:t>
      </w:r>
      <w:r>
        <w:t xml:space="preserve"> When a proton beam therapy centre becomes operational in Australia, MTOP funding</w:t>
      </w:r>
      <w:r w:rsidR="00F324F5">
        <w:t xml:space="preserve"> will no longer be accessible for proton beam therapy</w:t>
      </w:r>
      <w:r>
        <w:t>.</w:t>
      </w:r>
    </w:p>
    <w:p w14:paraId="427CAEC2" w14:textId="5D9D49DF" w:rsidR="009E35A8" w:rsidRPr="00BC424B" w:rsidRDefault="009E35A8" w:rsidP="00D73646">
      <w:pPr>
        <w:ind w:left="426"/>
      </w:pPr>
      <w:r>
        <w:t>Flowcharts showing the current and proposed clinical management pathway are included as an attachment. These are reproduced from the MSAC 1455 application.</w:t>
      </w:r>
    </w:p>
    <w:p w14:paraId="11A0CAD4" w14:textId="77777777" w:rsidR="002A50FD" w:rsidRPr="00881F93" w:rsidRDefault="005C3AE7" w:rsidP="005C3AE7">
      <w:pPr>
        <w:pStyle w:val="Subtitle"/>
      </w:pPr>
      <w:r>
        <w:t xml:space="preserve">PART 6b – </w:t>
      </w:r>
      <w:r w:rsidR="002A50FD" w:rsidRPr="00881F93">
        <w:t>INFORMATION ABOUT THE INTERVENTION</w:t>
      </w:r>
    </w:p>
    <w:p w14:paraId="6091DE16"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5701DF3D" w14:textId="3639B362" w:rsidR="002A50FD" w:rsidRDefault="009E5B13" w:rsidP="00E357B9">
      <w:pPr>
        <w:ind w:left="426"/>
      </w:pPr>
      <w:r>
        <w:t>Proton beam therapy is a multi-stage process:</w:t>
      </w:r>
    </w:p>
    <w:p w14:paraId="5EA39349" w14:textId="484CDB78" w:rsidR="009E5B13" w:rsidRDefault="009E5B13" w:rsidP="009E5B13">
      <w:pPr>
        <w:pStyle w:val="ListParagraph"/>
        <w:numPr>
          <w:ilvl w:val="0"/>
          <w:numId w:val="43"/>
        </w:numPr>
        <w:rPr>
          <w:szCs w:val="20"/>
        </w:rPr>
      </w:pPr>
      <w:r w:rsidRPr="001A30C0">
        <w:rPr>
          <w:b/>
          <w:bCs/>
          <w:szCs w:val="20"/>
        </w:rPr>
        <w:t>Initial consult</w:t>
      </w:r>
      <w:r w:rsidR="001D3CED">
        <w:rPr>
          <w:szCs w:val="20"/>
        </w:rPr>
        <w:t xml:space="preserve"> with </w:t>
      </w:r>
      <w:r w:rsidR="00D1478C">
        <w:rPr>
          <w:szCs w:val="20"/>
        </w:rPr>
        <w:t>radiation oncologist</w:t>
      </w:r>
      <w:r w:rsidR="001D3CED">
        <w:rPr>
          <w:szCs w:val="20"/>
        </w:rPr>
        <w:t xml:space="preserve"> to outline </w:t>
      </w:r>
      <w:r w:rsidR="0059306C">
        <w:rPr>
          <w:szCs w:val="20"/>
        </w:rPr>
        <w:t>prognosis and risks associated with treatment and obtain informed consent.</w:t>
      </w:r>
    </w:p>
    <w:p w14:paraId="24DA3141" w14:textId="275F891F" w:rsidR="003D63CD" w:rsidRPr="00CC68FE" w:rsidRDefault="003D63CD" w:rsidP="009E5B13">
      <w:pPr>
        <w:pStyle w:val="ListParagraph"/>
        <w:numPr>
          <w:ilvl w:val="0"/>
          <w:numId w:val="43"/>
        </w:numPr>
        <w:rPr>
          <w:szCs w:val="20"/>
        </w:rPr>
      </w:pPr>
      <w:r w:rsidRPr="00CC68FE">
        <w:rPr>
          <w:b/>
          <w:bCs/>
          <w:szCs w:val="20"/>
        </w:rPr>
        <w:t>Treatment prescription</w:t>
      </w:r>
      <w:r w:rsidRPr="00CC68FE">
        <w:rPr>
          <w:szCs w:val="20"/>
        </w:rPr>
        <w:t xml:space="preserve">. </w:t>
      </w:r>
      <w:r w:rsidR="00CC68FE">
        <w:rPr>
          <w:szCs w:val="20"/>
        </w:rPr>
        <w:t>Clearly defined instructions for the radiation dose prescription of treatment.</w:t>
      </w:r>
    </w:p>
    <w:p w14:paraId="652DB98E" w14:textId="6EED68CB" w:rsidR="001D3CED" w:rsidRDefault="001A30C0" w:rsidP="009E5B13">
      <w:pPr>
        <w:pStyle w:val="ListParagraph"/>
        <w:numPr>
          <w:ilvl w:val="0"/>
          <w:numId w:val="43"/>
        </w:numPr>
        <w:rPr>
          <w:szCs w:val="20"/>
        </w:rPr>
      </w:pPr>
      <w:r w:rsidRPr="001A30C0">
        <w:rPr>
          <w:b/>
          <w:bCs/>
          <w:szCs w:val="20"/>
        </w:rPr>
        <w:t>Radiotherapy simulation scan</w:t>
      </w:r>
      <w:r w:rsidR="000D5575">
        <w:rPr>
          <w:szCs w:val="20"/>
        </w:rPr>
        <w:t>. Typically performed with X-ray computed tomography, however research is investigating the use of magnetic resonance imaging for RT simulation imaging.</w:t>
      </w:r>
    </w:p>
    <w:p w14:paraId="5C9F0E25" w14:textId="0E21C3C6" w:rsidR="00300B1D" w:rsidRDefault="00300B1D" w:rsidP="009E5B13">
      <w:pPr>
        <w:pStyle w:val="ListParagraph"/>
        <w:numPr>
          <w:ilvl w:val="0"/>
          <w:numId w:val="43"/>
        </w:numPr>
        <w:rPr>
          <w:szCs w:val="20"/>
        </w:rPr>
      </w:pPr>
      <w:r>
        <w:rPr>
          <w:b/>
          <w:bCs/>
          <w:szCs w:val="20"/>
        </w:rPr>
        <w:t>Treatment planning</w:t>
      </w:r>
      <w:r w:rsidRPr="00300B1D">
        <w:rPr>
          <w:szCs w:val="20"/>
        </w:rPr>
        <w:t>.</w:t>
      </w:r>
      <w:r>
        <w:rPr>
          <w:szCs w:val="20"/>
        </w:rPr>
        <w:t xml:space="preserve"> </w:t>
      </w:r>
      <w:r w:rsidR="007B6A69">
        <w:rPr>
          <w:szCs w:val="20"/>
        </w:rPr>
        <w:t>Making use of the tomographic imaging acquired in the previous step</w:t>
      </w:r>
      <w:r w:rsidR="00703145">
        <w:rPr>
          <w:szCs w:val="20"/>
        </w:rPr>
        <w:t>, treatment planning involves the following steps</w:t>
      </w:r>
    </w:p>
    <w:p w14:paraId="40602CAA" w14:textId="67BC4481" w:rsidR="00703145" w:rsidRDefault="00703145" w:rsidP="00703145">
      <w:pPr>
        <w:pStyle w:val="ListParagraph"/>
        <w:numPr>
          <w:ilvl w:val="1"/>
          <w:numId w:val="43"/>
        </w:numPr>
        <w:rPr>
          <w:szCs w:val="20"/>
        </w:rPr>
      </w:pPr>
      <w:r>
        <w:rPr>
          <w:b/>
          <w:bCs/>
          <w:szCs w:val="20"/>
        </w:rPr>
        <w:t>Target contouring</w:t>
      </w:r>
      <w:r w:rsidRPr="00703145">
        <w:rPr>
          <w:szCs w:val="20"/>
        </w:rPr>
        <w:t>.</w:t>
      </w:r>
      <w:r>
        <w:rPr>
          <w:szCs w:val="20"/>
        </w:rPr>
        <w:t xml:space="preserve"> </w:t>
      </w:r>
      <w:r w:rsidR="00362DA0">
        <w:rPr>
          <w:szCs w:val="20"/>
        </w:rPr>
        <w:t>Delineation of the target tissues p</w:t>
      </w:r>
      <w:r>
        <w:rPr>
          <w:szCs w:val="20"/>
        </w:rPr>
        <w:t>erformed by the consulting radiation oncologist</w:t>
      </w:r>
      <w:r w:rsidR="00362DA0">
        <w:rPr>
          <w:szCs w:val="20"/>
        </w:rPr>
        <w:t>.</w:t>
      </w:r>
    </w:p>
    <w:p w14:paraId="4E23B5F9" w14:textId="66AEBC6E" w:rsidR="00362DA0" w:rsidRDefault="00362DA0" w:rsidP="00703145">
      <w:pPr>
        <w:pStyle w:val="ListParagraph"/>
        <w:numPr>
          <w:ilvl w:val="1"/>
          <w:numId w:val="43"/>
        </w:numPr>
        <w:rPr>
          <w:szCs w:val="20"/>
        </w:rPr>
      </w:pPr>
      <w:r>
        <w:rPr>
          <w:b/>
          <w:bCs/>
          <w:szCs w:val="20"/>
        </w:rPr>
        <w:t>Organ at risk contouring</w:t>
      </w:r>
      <w:r w:rsidRPr="00362DA0">
        <w:rPr>
          <w:szCs w:val="20"/>
        </w:rPr>
        <w:t>.</w:t>
      </w:r>
      <w:r>
        <w:rPr>
          <w:szCs w:val="20"/>
        </w:rPr>
        <w:t xml:space="preserve"> Delineation of normal tissue structures in proximity to the target tissue or that may </w:t>
      </w:r>
      <w:r w:rsidR="00015CFE">
        <w:rPr>
          <w:szCs w:val="20"/>
        </w:rPr>
        <w:t>experience radiation dosage.</w:t>
      </w:r>
    </w:p>
    <w:p w14:paraId="587FBE7F" w14:textId="1A0E8831" w:rsidR="00015CFE" w:rsidRDefault="00D9516B" w:rsidP="00703145">
      <w:pPr>
        <w:pStyle w:val="ListParagraph"/>
        <w:numPr>
          <w:ilvl w:val="1"/>
          <w:numId w:val="43"/>
        </w:numPr>
        <w:rPr>
          <w:szCs w:val="20"/>
        </w:rPr>
      </w:pPr>
      <w:r>
        <w:rPr>
          <w:b/>
          <w:bCs/>
          <w:szCs w:val="20"/>
        </w:rPr>
        <w:t>Treatment optimization</w:t>
      </w:r>
      <w:r w:rsidRPr="00D9516B">
        <w:rPr>
          <w:szCs w:val="20"/>
        </w:rPr>
        <w:t>.</w:t>
      </w:r>
      <w:r>
        <w:rPr>
          <w:szCs w:val="20"/>
        </w:rPr>
        <w:t xml:space="preserve"> </w:t>
      </w:r>
      <w:r w:rsidR="003D63CD">
        <w:rPr>
          <w:szCs w:val="20"/>
        </w:rPr>
        <w:t>Optimization of the treatment machine parameters to ensure a prescription dose can be delivered to the target tissues</w:t>
      </w:r>
      <w:r w:rsidR="00EB0358">
        <w:rPr>
          <w:szCs w:val="20"/>
        </w:rPr>
        <w:t xml:space="preserve"> while minimizing dose to normal tissues. Performed by a radiation therapist.</w:t>
      </w:r>
    </w:p>
    <w:p w14:paraId="3A8B7201" w14:textId="1E23E616" w:rsidR="00B14E5C" w:rsidRDefault="00B14E5C" w:rsidP="00703145">
      <w:pPr>
        <w:pStyle w:val="ListParagraph"/>
        <w:numPr>
          <w:ilvl w:val="1"/>
          <w:numId w:val="43"/>
        </w:numPr>
        <w:rPr>
          <w:szCs w:val="20"/>
        </w:rPr>
      </w:pPr>
      <w:r>
        <w:rPr>
          <w:b/>
          <w:bCs/>
          <w:szCs w:val="20"/>
        </w:rPr>
        <w:t>Treatment plan review</w:t>
      </w:r>
      <w:r w:rsidRPr="00B14E5C">
        <w:rPr>
          <w:szCs w:val="20"/>
        </w:rPr>
        <w:t>.</w:t>
      </w:r>
      <w:r>
        <w:rPr>
          <w:szCs w:val="20"/>
        </w:rPr>
        <w:t xml:space="preserve"> </w:t>
      </w:r>
      <w:r w:rsidR="0013791F">
        <w:rPr>
          <w:szCs w:val="20"/>
        </w:rPr>
        <w:t>Performed by radiation oncologist.</w:t>
      </w:r>
    </w:p>
    <w:p w14:paraId="24889460" w14:textId="3A6A460F" w:rsidR="00EB0358" w:rsidRDefault="00E2378C" w:rsidP="00E2378C">
      <w:pPr>
        <w:pStyle w:val="ListParagraph"/>
        <w:numPr>
          <w:ilvl w:val="0"/>
          <w:numId w:val="43"/>
        </w:numPr>
        <w:rPr>
          <w:szCs w:val="20"/>
        </w:rPr>
      </w:pPr>
      <w:r>
        <w:rPr>
          <w:b/>
          <w:bCs/>
          <w:szCs w:val="20"/>
        </w:rPr>
        <w:t xml:space="preserve">Quality assurance. </w:t>
      </w:r>
      <w:r>
        <w:rPr>
          <w:szCs w:val="20"/>
        </w:rPr>
        <w:t xml:space="preserve">Ensuring that the </w:t>
      </w:r>
      <w:r w:rsidR="00B14E5C">
        <w:rPr>
          <w:szCs w:val="20"/>
        </w:rPr>
        <w:t>treatment plan parameters are correct for the specific patients’ treatment. Performed by radiation therapists and medical physicists.</w:t>
      </w:r>
    </w:p>
    <w:p w14:paraId="4A51031E" w14:textId="62678E06" w:rsidR="00B14E5C" w:rsidRDefault="00B14E5C" w:rsidP="00E2378C">
      <w:pPr>
        <w:pStyle w:val="ListParagraph"/>
        <w:numPr>
          <w:ilvl w:val="0"/>
          <w:numId w:val="43"/>
        </w:numPr>
        <w:rPr>
          <w:szCs w:val="20"/>
        </w:rPr>
      </w:pPr>
      <w:r>
        <w:rPr>
          <w:b/>
          <w:bCs/>
          <w:szCs w:val="20"/>
        </w:rPr>
        <w:t>Treatment delivery.</w:t>
      </w:r>
      <w:r>
        <w:rPr>
          <w:szCs w:val="20"/>
        </w:rPr>
        <w:t xml:space="preserve"> </w:t>
      </w:r>
      <w:r w:rsidR="0013791F">
        <w:rPr>
          <w:szCs w:val="20"/>
        </w:rPr>
        <w:t>Ensuring the geometry of the treatment plan is replicated</w:t>
      </w:r>
      <w:r w:rsidR="00644ABB">
        <w:rPr>
          <w:szCs w:val="20"/>
        </w:rPr>
        <w:t xml:space="preserve"> through visual and X-ray imaging means. Delivering the treatment plan on the treatment machine.</w:t>
      </w:r>
      <w:r w:rsidR="00E948B8">
        <w:rPr>
          <w:szCs w:val="20"/>
        </w:rPr>
        <w:t xml:space="preserve"> Performed by radiation therapists. A treatment course may consist of approximately 30 </w:t>
      </w:r>
      <w:r w:rsidR="009267C6">
        <w:rPr>
          <w:szCs w:val="20"/>
        </w:rPr>
        <w:t>treatment delivery sessions (typically once per day).</w:t>
      </w:r>
    </w:p>
    <w:p w14:paraId="32AA93F3" w14:textId="39C07317" w:rsidR="00644ABB" w:rsidRDefault="00E948B8" w:rsidP="00E2378C">
      <w:pPr>
        <w:pStyle w:val="ListParagraph"/>
        <w:numPr>
          <w:ilvl w:val="0"/>
          <w:numId w:val="43"/>
        </w:numPr>
        <w:rPr>
          <w:szCs w:val="20"/>
        </w:rPr>
      </w:pPr>
      <w:r>
        <w:rPr>
          <w:b/>
          <w:bCs/>
          <w:szCs w:val="20"/>
        </w:rPr>
        <w:t>Treatment verification.</w:t>
      </w:r>
      <w:r>
        <w:rPr>
          <w:szCs w:val="20"/>
        </w:rPr>
        <w:t xml:space="preserve"> Independent review of the imaging acquired at the time of treatment to ensure the patient was set-up correctly.</w:t>
      </w:r>
    </w:p>
    <w:p w14:paraId="270C1D50" w14:textId="380F32F4" w:rsidR="009267C6" w:rsidRPr="009E5B13" w:rsidRDefault="009267C6" w:rsidP="00E2378C">
      <w:pPr>
        <w:pStyle w:val="ListParagraph"/>
        <w:numPr>
          <w:ilvl w:val="0"/>
          <w:numId w:val="43"/>
        </w:numPr>
        <w:rPr>
          <w:szCs w:val="20"/>
        </w:rPr>
      </w:pPr>
      <w:r w:rsidRPr="009267C6">
        <w:rPr>
          <w:b/>
          <w:bCs/>
          <w:szCs w:val="20"/>
        </w:rPr>
        <w:t>Follow-up consultations</w:t>
      </w:r>
      <w:r>
        <w:rPr>
          <w:szCs w:val="20"/>
        </w:rPr>
        <w:t xml:space="preserve">. </w:t>
      </w:r>
      <w:r w:rsidR="004310FD">
        <w:rPr>
          <w:szCs w:val="20"/>
        </w:rPr>
        <w:t>Monitoring of patient outcomes and documentation during course of treatment and after. Performed by radiation oncologists or cancer nurses.</w:t>
      </w:r>
    </w:p>
    <w:p w14:paraId="7DDDFA8D" w14:textId="77777777" w:rsidR="002A6753" w:rsidRPr="00154B00" w:rsidRDefault="002A6753" w:rsidP="00530204">
      <w:pPr>
        <w:pStyle w:val="Heading2"/>
      </w:pPr>
      <w:r w:rsidRPr="00154B00">
        <w:lastRenderedPageBreak/>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47E1F9CB" w14:textId="51499821" w:rsidR="002A6753" w:rsidRPr="00154B00" w:rsidRDefault="00D1478C" w:rsidP="00E357B9">
      <w:pPr>
        <w:ind w:left="426"/>
        <w:rPr>
          <w:szCs w:val="20"/>
        </w:rPr>
      </w:pPr>
      <w:r>
        <w:t xml:space="preserve">No. </w:t>
      </w:r>
      <w:r w:rsidR="0048113C">
        <w:t>All proton therapy systems are comparable in technology.</w:t>
      </w:r>
    </w:p>
    <w:p w14:paraId="4338C347"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73A84F29" w14:textId="1C5F04FF" w:rsidR="00DF0C51" w:rsidRPr="00012A79" w:rsidRDefault="00012A79" w:rsidP="00E357B9">
      <w:pPr>
        <w:ind w:left="426"/>
        <w:rPr>
          <w:bCs/>
          <w:szCs w:val="20"/>
        </w:rPr>
      </w:pPr>
      <w:r w:rsidRPr="00012A79">
        <w:rPr>
          <w:bCs/>
          <w:szCs w:val="20"/>
        </w:rPr>
        <w:t xml:space="preserve">Proton beam therapy </w:t>
      </w:r>
      <w:r>
        <w:rPr>
          <w:bCs/>
          <w:szCs w:val="20"/>
        </w:rPr>
        <w:t xml:space="preserve">is </w:t>
      </w:r>
      <w:r w:rsidR="00A20B40">
        <w:rPr>
          <w:bCs/>
          <w:szCs w:val="20"/>
        </w:rPr>
        <w:t>an alternative</w:t>
      </w:r>
      <w:r>
        <w:rPr>
          <w:bCs/>
          <w:szCs w:val="20"/>
        </w:rPr>
        <w:t xml:space="preserve"> way of delivering external beam radiotherapy</w:t>
      </w:r>
      <w:r w:rsidR="00E65108">
        <w:rPr>
          <w:bCs/>
          <w:szCs w:val="20"/>
        </w:rPr>
        <w:t xml:space="preserve"> (EBRT).</w:t>
      </w:r>
      <w:r w:rsidR="00AE3EA9">
        <w:rPr>
          <w:bCs/>
          <w:szCs w:val="20"/>
        </w:rPr>
        <w:t xml:space="preserve"> In Australia</w:t>
      </w:r>
      <w:r w:rsidR="00E65108">
        <w:rPr>
          <w:bCs/>
          <w:szCs w:val="20"/>
        </w:rPr>
        <w:t xml:space="preserve"> EBRT is currently delivered with</w:t>
      </w:r>
      <w:r w:rsidR="00AE3EA9">
        <w:rPr>
          <w:bCs/>
          <w:szCs w:val="20"/>
        </w:rPr>
        <w:t xml:space="preserve"> X-rays generated by</w:t>
      </w:r>
      <w:r w:rsidR="00E65108">
        <w:rPr>
          <w:bCs/>
          <w:szCs w:val="20"/>
        </w:rPr>
        <w:t xml:space="preserve"> </w:t>
      </w:r>
      <w:r w:rsidR="00AE3EA9">
        <w:rPr>
          <w:bCs/>
          <w:szCs w:val="20"/>
        </w:rPr>
        <w:t>electron linear accelerators.</w:t>
      </w:r>
    </w:p>
    <w:p w14:paraId="1AF1C5F7"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48446820" w14:textId="55B6CE32" w:rsidR="00CC09D7" w:rsidRDefault="00336397" w:rsidP="00E357B9">
      <w:pPr>
        <w:ind w:left="426"/>
        <w:rPr>
          <w:szCs w:val="20"/>
        </w:rPr>
      </w:pPr>
      <w:r>
        <w:rPr>
          <w:szCs w:val="20"/>
        </w:rPr>
        <w:t>Proton beam therapy centre</w:t>
      </w:r>
      <w:r w:rsidR="00C95938">
        <w:rPr>
          <w:szCs w:val="20"/>
        </w:rPr>
        <w:t xml:space="preserve">s require a large capital expenditure. Because of this, there will be a limited number of centres in Australia. </w:t>
      </w:r>
      <w:r w:rsidR="002245AD">
        <w:rPr>
          <w:szCs w:val="20"/>
        </w:rPr>
        <w:t xml:space="preserve">Currently there is </w:t>
      </w:r>
      <w:r w:rsidR="00644190">
        <w:rPr>
          <w:szCs w:val="20"/>
        </w:rPr>
        <w:t xml:space="preserve">only public funding for one centre in Adelaide. However, the Adelaide centre has been designed </w:t>
      </w:r>
      <w:r w:rsidR="00841A18">
        <w:rPr>
          <w:szCs w:val="20"/>
        </w:rPr>
        <w:t>with</w:t>
      </w:r>
      <w:r w:rsidR="00644190">
        <w:rPr>
          <w:szCs w:val="20"/>
        </w:rPr>
        <w:t xml:space="preserve"> a capacity of approximately 700 patients per year. This far exceeds the </w:t>
      </w:r>
      <w:r w:rsidR="00883F91">
        <w:rPr>
          <w:szCs w:val="20"/>
        </w:rPr>
        <w:t>estimated incidence of patients with the conditions shown in Question 24</w:t>
      </w:r>
      <w:r w:rsidR="008A29A0">
        <w:rPr>
          <w:szCs w:val="20"/>
        </w:rPr>
        <w:t xml:space="preserve"> of approximately 150-200</w:t>
      </w:r>
      <w:r w:rsidR="00AD7A9F">
        <w:rPr>
          <w:szCs w:val="20"/>
        </w:rPr>
        <w:t xml:space="preserve"> per year.</w:t>
      </w:r>
    </w:p>
    <w:p w14:paraId="18210BE2" w14:textId="5E486E00" w:rsidR="00AD7A9F" w:rsidRPr="00154B00" w:rsidRDefault="00AD7A9F" w:rsidP="00E357B9">
      <w:pPr>
        <w:ind w:left="426"/>
        <w:rPr>
          <w:szCs w:val="20"/>
        </w:rPr>
      </w:pPr>
      <w:r>
        <w:rPr>
          <w:szCs w:val="20"/>
        </w:rPr>
        <w:t xml:space="preserve">Many patients will be required to travel interstate or intercity to receive proton beam therapy. </w:t>
      </w:r>
      <w:r w:rsidR="00D86AE5">
        <w:rPr>
          <w:szCs w:val="20"/>
        </w:rPr>
        <w:t>This will require</w:t>
      </w:r>
      <w:r w:rsidR="007C72DE">
        <w:rPr>
          <w:szCs w:val="20"/>
        </w:rPr>
        <w:t xml:space="preserve"> utilization of</w:t>
      </w:r>
      <w:r w:rsidR="00AD529B">
        <w:rPr>
          <w:szCs w:val="20"/>
        </w:rPr>
        <w:t xml:space="preserve"> existing</w:t>
      </w:r>
      <w:r w:rsidR="00D86AE5">
        <w:rPr>
          <w:szCs w:val="20"/>
        </w:rPr>
        <w:t xml:space="preserve"> cross-border funding </w:t>
      </w:r>
      <w:r w:rsidR="007C72DE">
        <w:rPr>
          <w:szCs w:val="20"/>
        </w:rPr>
        <w:t xml:space="preserve">agreements and </w:t>
      </w:r>
      <w:r w:rsidR="00AD529B">
        <w:rPr>
          <w:szCs w:val="20"/>
        </w:rPr>
        <w:t>patient transport schemes.</w:t>
      </w:r>
    </w:p>
    <w:p w14:paraId="035B73D6"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268B2830" w14:textId="77777777" w:rsidR="00F324F5" w:rsidRPr="00F324F5" w:rsidRDefault="00F324F5" w:rsidP="00F324F5">
      <w:pPr>
        <w:ind w:left="426"/>
      </w:pPr>
      <w:bookmarkStart w:id="3" w:name="_Hlk37834412"/>
      <w:r w:rsidRPr="00F324F5">
        <w:t>In certain cases, concurrent chemotherapy or immunotherapy may be required at the time of proton beam therapy. This will require patient management by a medical oncologist. The specific chemotherapy or immunotherapy regimen will be dependent on the cancer type.</w:t>
      </w:r>
    </w:p>
    <w:p w14:paraId="43918E08" w14:textId="77777777" w:rsidR="00F324F5" w:rsidRPr="00F324F5" w:rsidRDefault="00F324F5" w:rsidP="00F324F5">
      <w:pPr>
        <w:ind w:left="426"/>
      </w:pPr>
      <w:r w:rsidRPr="00F324F5">
        <w:t>For young patients, oversight by a paediatric medical oncologist may be required, additionally simulation and treatment delivery sessions may require general anaesthetic to ensure the patient remains still during the scan and delivery of the radiation beam. This requires a paediatric anaesthetic team.</w:t>
      </w:r>
    </w:p>
    <w:p w14:paraId="667794E8" w14:textId="726A764F" w:rsidR="00791C8D" w:rsidRPr="00154B00" w:rsidRDefault="00F324F5" w:rsidP="00F324F5">
      <w:pPr>
        <w:ind w:left="426"/>
        <w:rPr>
          <w:szCs w:val="20"/>
        </w:rPr>
      </w:pPr>
      <w:r w:rsidRPr="00F324F5">
        <w:t>Allied health professionals such as dieticians,</w:t>
      </w:r>
      <w:r w:rsidR="00EE6B07">
        <w:t xml:space="preserve"> play therapists,</w:t>
      </w:r>
      <w:r w:rsidRPr="00F324F5">
        <w:t xml:space="preserve"> physiotherapists and/or clinical psychologists are also often engaged during a course of treatment to assist the patient in maintaining a healthy lifestyle and manage side-effects of treatment.</w:t>
      </w:r>
      <w:r w:rsidR="001D1F3F" w:rsidRPr="00F324F5">
        <w:t xml:space="preserve"> </w:t>
      </w:r>
      <w:bookmarkEnd w:id="3"/>
    </w:p>
    <w:p w14:paraId="14988304"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39E6F829" w14:textId="054C7415" w:rsidR="00B17E26" w:rsidRPr="00154B00" w:rsidRDefault="00F45B83" w:rsidP="00884E69">
      <w:pPr>
        <w:ind w:left="426"/>
        <w:rPr>
          <w:szCs w:val="20"/>
        </w:rPr>
      </w:pPr>
      <w:r>
        <w:rPr>
          <w:szCs w:val="20"/>
        </w:rPr>
        <w:t xml:space="preserve">As outlined in Question 27, </w:t>
      </w:r>
      <w:r w:rsidR="00733EC5">
        <w:rPr>
          <w:szCs w:val="20"/>
        </w:rPr>
        <w:t xml:space="preserve">delivery of proton beam therapy is a multidisciplinary undertaking consisting of </w:t>
      </w:r>
      <w:r w:rsidR="005100C0">
        <w:rPr>
          <w:szCs w:val="20"/>
        </w:rPr>
        <w:t>R</w:t>
      </w:r>
      <w:r w:rsidR="00733EC5">
        <w:rPr>
          <w:szCs w:val="20"/>
        </w:rPr>
        <w:t xml:space="preserve">adiation </w:t>
      </w:r>
      <w:r w:rsidR="005100C0">
        <w:rPr>
          <w:szCs w:val="20"/>
        </w:rPr>
        <w:t>O</w:t>
      </w:r>
      <w:r w:rsidR="00733EC5">
        <w:rPr>
          <w:szCs w:val="20"/>
        </w:rPr>
        <w:t xml:space="preserve">ncologists, </w:t>
      </w:r>
      <w:r w:rsidR="005100C0">
        <w:rPr>
          <w:szCs w:val="20"/>
        </w:rPr>
        <w:t>R</w:t>
      </w:r>
      <w:r w:rsidR="00733EC5">
        <w:rPr>
          <w:szCs w:val="20"/>
        </w:rPr>
        <w:t xml:space="preserve">adiation </w:t>
      </w:r>
      <w:r w:rsidR="005100C0">
        <w:rPr>
          <w:szCs w:val="20"/>
        </w:rPr>
        <w:t>T</w:t>
      </w:r>
      <w:r w:rsidR="00733EC5">
        <w:rPr>
          <w:szCs w:val="20"/>
        </w:rPr>
        <w:t xml:space="preserve">herapists, </w:t>
      </w:r>
      <w:r w:rsidR="005100C0">
        <w:rPr>
          <w:szCs w:val="20"/>
        </w:rPr>
        <w:t>M</w:t>
      </w:r>
      <w:r w:rsidR="00733EC5">
        <w:rPr>
          <w:szCs w:val="20"/>
        </w:rPr>
        <w:t xml:space="preserve">edical </w:t>
      </w:r>
      <w:r w:rsidR="005100C0">
        <w:rPr>
          <w:szCs w:val="20"/>
        </w:rPr>
        <w:t>P</w:t>
      </w:r>
      <w:r w:rsidR="00733EC5">
        <w:rPr>
          <w:szCs w:val="20"/>
        </w:rPr>
        <w:t xml:space="preserve">hysicists and </w:t>
      </w:r>
      <w:r w:rsidR="005100C0">
        <w:rPr>
          <w:szCs w:val="20"/>
        </w:rPr>
        <w:t>C</w:t>
      </w:r>
      <w:r w:rsidR="00733EC5">
        <w:rPr>
          <w:szCs w:val="20"/>
        </w:rPr>
        <w:t xml:space="preserve">ancer </w:t>
      </w:r>
      <w:r w:rsidR="005100C0">
        <w:rPr>
          <w:szCs w:val="20"/>
        </w:rPr>
        <w:t>N</w:t>
      </w:r>
      <w:r w:rsidR="00733EC5">
        <w:rPr>
          <w:szCs w:val="20"/>
        </w:rPr>
        <w:t>urses.</w:t>
      </w:r>
    </w:p>
    <w:p w14:paraId="6CCB1036"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4539E738" w14:textId="3EF8AA21" w:rsidR="00B17E26" w:rsidRPr="00154B00" w:rsidRDefault="00BF3CFA" w:rsidP="00884E69">
      <w:pPr>
        <w:ind w:left="426"/>
        <w:rPr>
          <w:szCs w:val="20"/>
        </w:rPr>
      </w:pPr>
      <w:r>
        <w:lastRenderedPageBreak/>
        <w:t>Proton beam therapy can</w:t>
      </w:r>
      <w:r w:rsidR="00012521">
        <w:t xml:space="preserve"> only</w:t>
      </w:r>
      <w:r>
        <w:t xml:space="preserve"> be delivered by</w:t>
      </w:r>
      <w:r w:rsidR="003E2B60">
        <w:t xml:space="preserve"> the</w:t>
      </w:r>
      <w:r>
        <w:t xml:space="preserve"> health practitioners </w:t>
      </w:r>
      <w:r w:rsidR="00012521">
        <w:t>listed in Question 32.</w:t>
      </w:r>
    </w:p>
    <w:p w14:paraId="59683612"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0DEF2B81" w14:textId="25314809" w:rsidR="00EA0E25" w:rsidRDefault="00170AA2" w:rsidP="00BC424B">
      <w:pPr>
        <w:ind w:left="426"/>
      </w:pPr>
      <w:r>
        <w:t xml:space="preserve">The professional bodies representing Radiation Oncologists, Radiation Therapists and Radiation Oncology Medical Physicists are currently defining the training and qualification requirements to perform proton beam therapy. </w:t>
      </w:r>
    </w:p>
    <w:p w14:paraId="6EA53797" w14:textId="5E5BD8E4" w:rsidR="001538F1" w:rsidRPr="00154B00" w:rsidRDefault="00AA69A1" w:rsidP="00BC424B">
      <w:pPr>
        <w:ind w:left="426"/>
        <w:rPr>
          <w:szCs w:val="20"/>
        </w:rPr>
      </w:pPr>
      <w:r>
        <w:t xml:space="preserve">Referral to proton beam therapy will be limited to the same professionals </w:t>
      </w:r>
      <w:r w:rsidR="003D5865">
        <w:t>who</w:t>
      </w:r>
      <w:r>
        <w:t xml:space="preserve"> currently refer to</w:t>
      </w:r>
      <w:r w:rsidR="003D5865">
        <w:t xml:space="preserve"> conventional radiotherapy.</w:t>
      </w:r>
      <w:r>
        <w:t xml:space="preserve"> </w:t>
      </w:r>
    </w:p>
    <w:p w14:paraId="2B64BAF9"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6EF5907D" w14:textId="376CE16E" w:rsidR="00841D10" w:rsidRPr="00154B00" w:rsidRDefault="00D02410" w:rsidP="0073597B">
      <w:pPr>
        <w:ind w:left="426"/>
        <w:rPr>
          <w:szCs w:val="20"/>
        </w:rPr>
      </w:pPr>
      <w:r>
        <w:t xml:space="preserve">The professional bodies representing Radiation Oncologists, Radiation Therapists and Radiation Oncology Medical Physicists are currently defining the training and qualification requirements to perform </w:t>
      </w:r>
      <w:r w:rsidR="00CE78E5">
        <w:t>proton beam therapy.</w:t>
      </w:r>
    </w:p>
    <w:p w14:paraId="20608A8A"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32AF8D6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13D1586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61393E09" w14:textId="133D6BDF" w:rsidR="000A478F" w:rsidRDefault="00841D10" w:rsidP="000A478F">
      <w:pPr>
        <w:spacing w:before="0" w:after="0"/>
        <w:ind w:left="426"/>
      </w:pPr>
      <w:r>
        <w:rPr>
          <w:szCs w:val="20"/>
        </w:rPr>
        <w:fldChar w:fldCharType="begin">
          <w:ffData>
            <w:name w:val=""/>
            <w:enabled/>
            <w:calcOnExit w:val="0"/>
            <w:checkBox>
              <w:sizeAuto/>
              <w:default w:val="1"/>
            </w:checkBox>
          </w:ffData>
        </w:fldChar>
      </w:r>
      <w:r w:rsidRPr="00841D10">
        <w:rPr>
          <w:szCs w:val="20"/>
        </w:rPr>
        <w:instrText xml:space="preserve"> FORMCHECKBOX </w:instrText>
      </w:r>
      <w:r w:rsidR="00A95AB2">
        <w:rPr>
          <w:szCs w:val="20"/>
        </w:rPr>
      </w:r>
      <w:r w:rsidR="00A95AB2">
        <w:rPr>
          <w:szCs w:val="20"/>
        </w:rPr>
        <w:fldChar w:fldCharType="separate"/>
      </w:r>
      <w:r>
        <w:rPr>
          <w:szCs w:val="20"/>
        </w:rPr>
        <w:fldChar w:fldCharType="end"/>
      </w:r>
      <w:r w:rsidR="000A478F">
        <w:rPr>
          <w:szCs w:val="20"/>
        </w:rPr>
        <w:t xml:space="preserve"> </w:t>
      </w:r>
      <w:r w:rsidR="003904AC">
        <w:rPr>
          <w:szCs w:val="20"/>
        </w:rPr>
        <w:t>Private o</w:t>
      </w:r>
      <w:r w:rsidR="000A478F">
        <w:t>utpatient clinic</w:t>
      </w:r>
    </w:p>
    <w:p w14:paraId="6C0DB835" w14:textId="7875C960" w:rsidR="0079354C" w:rsidRDefault="00841D10" w:rsidP="000A478F">
      <w:pPr>
        <w:spacing w:before="0" w:after="0"/>
        <w:ind w:left="426"/>
        <w:rPr>
          <w:szCs w:val="20"/>
        </w:rPr>
      </w:pPr>
      <w:r>
        <w:rPr>
          <w:szCs w:val="20"/>
        </w:rPr>
        <w:fldChar w:fldCharType="begin">
          <w:ffData>
            <w:name w:val=""/>
            <w:enabled/>
            <w:calcOnExit w:val="0"/>
            <w:checkBox>
              <w:sizeAuto/>
              <w:default w:val="1"/>
            </w:checkBox>
          </w:ffData>
        </w:fldChar>
      </w:r>
      <w:r w:rsidRPr="00841D10">
        <w:rPr>
          <w:szCs w:val="20"/>
        </w:rPr>
        <w:instrText xml:space="preserve"> FORMCHECKBOX </w:instrText>
      </w:r>
      <w:r w:rsidR="00A95AB2">
        <w:rPr>
          <w:szCs w:val="20"/>
        </w:rPr>
      </w:r>
      <w:r w:rsidR="00A95AB2">
        <w:rPr>
          <w:szCs w:val="20"/>
        </w:rPr>
        <w:fldChar w:fldCharType="separate"/>
      </w:r>
      <w:r>
        <w:rPr>
          <w:szCs w:val="20"/>
        </w:rPr>
        <w:fldChar w:fldCharType="end"/>
      </w:r>
      <w:r w:rsidR="0079354C">
        <w:rPr>
          <w:szCs w:val="20"/>
        </w:rPr>
        <w:t xml:space="preserve"> Public outpatient clinic</w:t>
      </w:r>
    </w:p>
    <w:p w14:paraId="6560BA6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w:t>
      </w:r>
      <w:r>
        <w:t>Emergency Department</w:t>
      </w:r>
    </w:p>
    <w:p w14:paraId="4ADB995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6595B674"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Private consulting rooms – specialist</w:t>
      </w:r>
    </w:p>
    <w:p w14:paraId="3B856DE9"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Private consulting rooms – other health practitioner (nurse or allied health)</w:t>
      </w:r>
    </w:p>
    <w:p w14:paraId="08D6617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236588DE"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Private day surgery clinic (non-admitted patient)</w:t>
      </w:r>
    </w:p>
    <w:p w14:paraId="09406B71"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Public day surgery clinic (admitted patient)</w:t>
      </w:r>
    </w:p>
    <w:p w14:paraId="076689C6"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Public day surgery clinic (non-admitted patient)</w:t>
      </w:r>
    </w:p>
    <w:p w14:paraId="03C01B7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w:t>
      </w:r>
      <w:r>
        <w:t>Residential aged care facility</w:t>
      </w:r>
    </w:p>
    <w:p w14:paraId="7BEB6AD7"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w:t>
      </w:r>
      <w:r>
        <w:t>Patient’s home</w:t>
      </w:r>
    </w:p>
    <w:p w14:paraId="116EB18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w:t>
      </w:r>
      <w:r>
        <w:t>Laboratory</w:t>
      </w:r>
    </w:p>
    <w:p w14:paraId="5E9DE9A7"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95AB2">
        <w:rPr>
          <w:szCs w:val="20"/>
        </w:rPr>
      </w:r>
      <w:r w:rsidR="00A95AB2">
        <w:rPr>
          <w:szCs w:val="20"/>
        </w:rPr>
        <w:fldChar w:fldCharType="separate"/>
      </w:r>
      <w:r w:rsidRPr="000A5B32">
        <w:rPr>
          <w:szCs w:val="20"/>
        </w:rPr>
        <w:fldChar w:fldCharType="end"/>
      </w:r>
      <w:r>
        <w:rPr>
          <w:szCs w:val="20"/>
        </w:rPr>
        <w:t xml:space="preserve"> </w:t>
      </w:r>
      <w:r>
        <w:t>Other – please specify below</w:t>
      </w:r>
    </w:p>
    <w:p w14:paraId="6B19826F"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4CADC333"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41266481" w14:textId="6571F204" w:rsidR="0073597B" w:rsidRDefault="00841D10" w:rsidP="0073597B">
      <w:pPr>
        <w:ind w:left="426"/>
        <w:rPr>
          <w:b/>
          <w:szCs w:val="20"/>
        </w:rPr>
      </w:pPr>
      <w:r>
        <w:t>Proton beam therapy may be delivered at either a public of private outpatient clinic, depending on the operator of the service.</w:t>
      </w:r>
    </w:p>
    <w:p w14:paraId="78EA6EB1" w14:textId="77777777" w:rsidR="003E30FB" w:rsidRDefault="003E30FB" w:rsidP="00530204">
      <w:pPr>
        <w:pStyle w:val="Heading2"/>
      </w:pPr>
      <w:r>
        <w:t xml:space="preserve">Is the </w:t>
      </w:r>
      <w:r w:rsidRPr="001B29A1">
        <w:t>proposed</w:t>
      </w:r>
      <w:r>
        <w:t xml:space="preserve"> medical service intended to be entirely rendered in Australia?</w:t>
      </w:r>
    </w:p>
    <w:p w14:paraId="54A58797" w14:textId="1C620888" w:rsidR="000A478F" w:rsidRDefault="00841D10" w:rsidP="000A478F">
      <w:pPr>
        <w:spacing w:before="0" w:after="0"/>
        <w:ind w:left="426"/>
        <w:rPr>
          <w:szCs w:val="20"/>
        </w:rPr>
      </w:pPr>
      <w:r>
        <w:rPr>
          <w:szCs w:val="20"/>
        </w:rPr>
        <w:fldChar w:fldCharType="begin">
          <w:ffData>
            <w:name w:val=""/>
            <w:enabled/>
            <w:calcOnExit w:val="0"/>
            <w:checkBox>
              <w:sizeAuto/>
              <w:default w:val="1"/>
            </w:checkBox>
          </w:ffData>
        </w:fldChar>
      </w:r>
      <w:r w:rsidRPr="00841D10">
        <w:rPr>
          <w:szCs w:val="20"/>
        </w:rPr>
        <w:instrText xml:space="preserve"> FORMCHECKBOX </w:instrText>
      </w:r>
      <w:r w:rsidR="00A95AB2">
        <w:rPr>
          <w:szCs w:val="20"/>
        </w:rPr>
      </w:r>
      <w:r w:rsidR="00A95AB2">
        <w:rPr>
          <w:szCs w:val="20"/>
        </w:rPr>
        <w:fldChar w:fldCharType="separate"/>
      </w:r>
      <w:r>
        <w:rPr>
          <w:szCs w:val="20"/>
        </w:rPr>
        <w:fldChar w:fldCharType="end"/>
      </w:r>
      <w:r w:rsidR="000A478F">
        <w:rPr>
          <w:szCs w:val="20"/>
        </w:rPr>
        <w:t xml:space="preserve"> Yes</w:t>
      </w:r>
    </w:p>
    <w:p w14:paraId="6D4F9F78"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95AB2">
        <w:rPr>
          <w:szCs w:val="20"/>
        </w:rPr>
      </w:r>
      <w:r w:rsidR="00A95AB2">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47653A2B" w14:textId="77777777" w:rsidR="000A478F" w:rsidRDefault="000A478F" w:rsidP="00881F93">
      <w:pPr>
        <w:rPr>
          <w:b/>
          <w:i/>
          <w:szCs w:val="20"/>
          <w:u w:val="single"/>
        </w:rPr>
      </w:pPr>
      <w:r>
        <w:rPr>
          <w:b/>
          <w:i/>
          <w:szCs w:val="20"/>
          <w:u w:val="single"/>
        </w:rPr>
        <w:lastRenderedPageBreak/>
        <w:br w:type="page"/>
      </w:r>
    </w:p>
    <w:p w14:paraId="11756D93"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60F94DBB"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5727FB04" w14:textId="011FE009" w:rsidR="00E60529" w:rsidRDefault="00841D10" w:rsidP="001B29A1">
      <w:pPr>
        <w:ind w:left="426"/>
      </w:pPr>
      <w:r>
        <w:t>External beam X-ray</w:t>
      </w:r>
      <w:r w:rsidR="002C5318">
        <w:t xml:space="preserve"> therapy</w:t>
      </w:r>
      <w:r>
        <w:t xml:space="preserve"> will be the comparator for this application.</w:t>
      </w:r>
    </w:p>
    <w:p w14:paraId="33D59A80"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2494F65F" w14:textId="13DE16E0" w:rsidR="006A1038" w:rsidRDefault="00841D10" w:rsidP="006A1038">
      <w:pPr>
        <w:spacing w:before="0" w:after="0"/>
        <w:ind w:left="426"/>
        <w:rPr>
          <w:szCs w:val="20"/>
        </w:rPr>
      </w:pPr>
      <w:r>
        <w:rPr>
          <w:szCs w:val="20"/>
        </w:rPr>
        <w:fldChar w:fldCharType="begin">
          <w:ffData>
            <w:name w:val=""/>
            <w:enabled/>
            <w:calcOnExit w:val="0"/>
            <w:checkBox>
              <w:sizeAuto/>
              <w:default w:val="1"/>
            </w:checkBox>
          </w:ffData>
        </w:fldChar>
      </w:r>
      <w:r w:rsidRPr="00841D10">
        <w:rPr>
          <w:szCs w:val="20"/>
        </w:rPr>
        <w:instrText xml:space="preserve"> FORMCHECKBOX </w:instrText>
      </w:r>
      <w:r w:rsidR="00A95AB2">
        <w:rPr>
          <w:szCs w:val="20"/>
        </w:rPr>
      </w:r>
      <w:r w:rsidR="00A95AB2">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01BC5423"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95AB2">
        <w:rPr>
          <w:szCs w:val="20"/>
        </w:rPr>
      </w:r>
      <w:r w:rsidR="00A95AB2">
        <w:rPr>
          <w:szCs w:val="20"/>
        </w:rPr>
        <w:fldChar w:fldCharType="separate"/>
      </w:r>
      <w:r w:rsidRPr="00753C44">
        <w:rPr>
          <w:szCs w:val="20"/>
        </w:rPr>
        <w:fldChar w:fldCharType="end"/>
      </w:r>
      <w:r>
        <w:rPr>
          <w:szCs w:val="20"/>
        </w:rPr>
        <w:t xml:space="preserve"> No  </w:t>
      </w:r>
    </w:p>
    <w:p w14:paraId="73E5DE94" w14:textId="26715F8D" w:rsidR="00557CC6" w:rsidRPr="00D77EE3" w:rsidRDefault="00841D10" w:rsidP="00D77EE3">
      <w:pPr>
        <w:ind w:left="426"/>
      </w:pPr>
      <w:r>
        <w:t>15555, 15565, 15275, 15715</w:t>
      </w:r>
    </w:p>
    <w:p w14:paraId="2B927C8F"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2DC1312C" w14:textId="5A32FD28" w:rsidR="003433D1" w:rsidRDefault="004B6218" w:rsidP="001B29A1">
      <w:pPr>
        <w:ind w:left="426"/>
        <w:rPr>
          <w:b/>
          <w:szCs w:val="20"/>
        </w:rPr>
      </w:pPr>
      <w:r>
        <w:t>Following a course of</w:t>
      </w:r>
      <w:r w:rsidR="00AF027D">
        <w:t xml:space="preserve"> conventional</w:t>
      </w:r>
      <w:r>
        <w:t xml:space="preserve"> radiotherapy, a patient </w:t>
      </w:r>
      <w:r w:rsidR="00303CCB">
        <w:t>may</w:t>
      </w:r>
      <w:r>
        <w:t xml:space="preserve"> </w:t>
      </w:r>
      <w:r w:rsidR="00D16C81">
        <w:t xml:space="preserve">be scheduled for a number of follow-up appointments to monitor clinical outcomes of treatment. The number of follow-up appointments and </w:t>
      </w:r>
      <w:r w:rsidR="00303CCB">
        <w:t xml:space="preserve">their </w:t>
      </w:r>
      <w:r w:rsidR="00D16C81">
        <w:t xml:space="preserve">frequency is </w:t>
      </w:r>
      <w:r w:rsidR="00FD370C">
        <w:t>determined by individual radiotherapy departments.</w:t>
      </w:r>
    </w:p>
    <w:p w14:paraId="678839CD"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701E5EFD"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A95AB2">
        <w:rPr>
          <w:szCs w:val="20"/>
        </w:rPr>
      </w:r>
      <w:r w:rsidR="00A95AB2">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582EF0DE" w14:textId="53795067" w:rsidR="001B29A1" w:rsidRDefault="002C5318" w:rsidP="001B29A1">
      <w:pPr>
        <w:spacing w:before="0" w:after="0"/>
        <w:ind w:left="426"/>
        <w:rPr>
          <w:szCs w:val="20"/>
        </w:rPr>
      </w:pPr>
      <w:r>
        <w:rPr>
          <w:szCs w:val="20"/>
        </w:rPr>
        <w:fldChar w:fldCharType="begin">
          <w:ffData>
            <w:name w:val=""/>
            <w:enabled/>
            <w:calcOnExit w:val="0"/>
            <w:checkBox>
              <w:sizeAuto/>
              <w:default w:val="1"/>
            </w:checkBox>
          </w:ffData>
        </w:fldChar>
      </w:r>
      <w:r w:rsidRPr="002C5318">
        <w:rPr>
          <w:szCs w:val="20"/>
        </w:rPr>
        <w:instrText xml:space="preserve"> FORMCHECKBOX </w:instrText>
      </w:r>
      <w:r w:rsidR="00A95AB2">
        <w:rPr>
          <w:szCs w:val="20"/>
        </w:rPr>
      </w:r>
      <w:r w:rsidR="00A95AB2">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1BDB504A"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47A3DFFA" w14:textId="3EE275E3" w:rsidR="003433D1" w:rsidRPr="001B29A1" w:rsidRDefault="002C5318" w:rsidP="001B29A1">
      <w:pPr>
        <w:ind w:left="426"/>
        <w:rPr>
          <w:szCs w:val="20"/>
        </w:rPr>
      </w:pPr>
      <w:r>
        <w:t>It is expected that all patients within the PICO population would be eligible for proton beam therapy and as such, would not receive external beam X-ray therapy. While all patients may be eligible, it is likely that a proportion of patients will elect not to travel to the limited number of proton therapy centres and will receive external beam X-ray therapy.</w:t>
      </w:r>
    </w:p>
    <w:p w14:paraId="74D46364"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463143A7" w14:textId="2BF7976D" w:rsidR="00FA4338" w:rsidRDefault="006D171D" w:rsidP="00D10B47">
      <w:pPr>
        <w:pStyle w:val="ListParagraph"/>
        <w:ind w:left="360"/>
        <w:rPr>
          <w:bCs/>
          <w:szCs w:val="20"/>
        </w:rPr>
      </w:pPr>
      <w:r>
        <w:rPr>
          <w:bCs/>
          <w:szCs w:val="20"/>
        </w:rPr>
        <w:t>In general, t</w:t>
      </w:r>
      <w:r w:rsidR="00AC1C3B">
        <w:rPr>
          <w:bCs/>
          <w:szCs w:val="20"/>
        </w:rPr>
        <w:t xml:space="preserve">he clinical management pathway </w:t>
      </w:r>
      <w:r w:rsidR="001D7CFE">
        <w:rPr>
          <w:bCs/>
          <w:szCs w:val="20"/>
        </w:rPr>
        <w:t>following a course of proton beam therapy is not intended to differ from that of the comparator.</w:t>
      </w:r>
      <w:r w:rsidR="005E10C3">
        <w:rPr>
          <w:bCs/>
          <w:szCs w:val="20"/>
        </w:rPr>
        <w:t xml:space="preserve"> The patient will be scheduled for a series of follow-up </w:t>
      </w:r>
      <w:r w:rsidR="006B7ACC">
        <w:rPr>
          <w:bCs/>
          <w:szCs w:val="20"/>
        </w:rPr>
        <w:t>appointments with a radiation oncologist or cancer nurse.</w:t>
      </w:r>
      <w:r w:rsidR="00AD5EDB">
        <w:rPr>
          <w:bCs/>
          <w:szCs w:val="20"/>
        </w:rPr>
        <w:t xml:space="preserve"> </w:t>
      </w:r>
      <w:r w:rsidR="00FA4338">
        <w:rPr>
          <w:bCs/>
          <w:szCs w:val="20"/>
        </w:rPr>
        <w:t xml:space="preserve">Because a large number of patients will have travelled interstate or intercity to receive </w:t>
      </w:r>
      <w:r w:rsidR="00FA4338">
        <w:rPr>
          <w:bCs/>
          <w:szCs w:val="20"/>
        </w:rPr>
        <w:lastRenderedPageBreak/>
        <w:t xml:space="preserve">proton beam therapy, the follow-up appointments will </w:t>
      </w:r>
      <w:r w:rsidR="00841A18">
        <w:rPr>
          <w:bCs/>
          <w:szCs w:val="20"/>
        </w:rPr>
        <w:t>likely</w:t>
      </w:r>
      <w:r w:rsidR="00FA4338">
        <w:rPr>
          <w:bCs/>
          <w:szCs w:val="20"/>
        </w:rPr>
        <w:t xml:space="preserve"> make use of telehealth infrastructure.</w:t>
      </w:r>
      <w:r>
        <w:rPr>
          <w:bCs/>
          <w:szCs w:val="20"/>
        </w:rPr>
        <w:t xml:space="preserve"> </w:t>
      </w:r>
    </w:p>
    <w:p w14:paraId="11F928DD" w14:textId="77777777" w:rsidR="00FA4338" w:rsidRDefault="00FA4338" w:rsidP="00D10B47">
      <w:pPr>
        <w:pStyle w:val="ListParagraph"/>
        <w:ind w:left="360"/>
        <w:rPr>
          <w:bCs/>
          <w:szCs w:val="20"/>
        </w:rPr>
      </w:pPr>
    </w:p>
    <w:p w14:paraId="12F5F0E9" w14:textId="6AFD497D" w:rsidR="0054594B" w:rsidRPr="00AC1C3B" w:rsidRDefault="006D171D" w:rsidP="00D10B47">
      <w:pPr>
        <w:pStyle w:val="ListParagraph"/>
        <w:ind w:left="360"/>
        <w:rPr>
          <w:bCs/>
          <w:szCs w:val="20"/>
        </w:rPr>
      </w:pPr>
      <w:r>
        <w:rPr>
          <w:bCs/>
          <w:szCs w:val="20"/>
        </w:rPr>
        <w:t xml:space="preserve">Providing consent is obtained from the patient, all follow-up data will be entered into a </w:t>
      </w:r>
      <w:r w:rsidR="00493081">
        <w:rPr>
          <w:bCs/>
          <w:szCs w:val="20"/>
        </w:rPr>
        <w:t>data registry.</w:t>
      </w:r>
      <w:r w:rsidR="00DB544F">
        <w:rPr>
          <w:bCs/>
          <w:szCs w:val="20"/>
        </w:rPr>
        <w:t xml:space="preserve"> It is intended that all patients will have follow-up data acquired for a minimum of 5 years, and substantially longer for paediatric an</w:t>
      </w:r>
      <w:r w:rsidR="00AD5EDB">
        <w:rPr>
          <w:bCs/>
          <w:szCs w:val="20"/>
        </w:rPr>
        <w:t>d AYA patients.</w:t>
      </w:r>
    </w:p>
    <w:p w14:paraId="0027DE9C" w14:textId="77777777" w:rsidR="002053F2" w:rsidRPr="00154B00" w:rsidRDefault="002053F2" w:rsidP="00D10B47">
      <w:pPr>
        <w:pStyle w:val="ListParagraph"/>
        <w:ind w:left="360"/>
        <w:rPr>
          <w:b/>
          <w:szCs w:val="20"/>
        </w:rPr>
      </w:pPr>
    </w:p>
    <w:p w14:paraId="1493B07C" w14:textId="77777777" w:rsidR="001B29A1" w:rsidRDefault="001B29A1" w:rsidP="00881F93">
      <w:pPr>
        <w:rPr>
          <w:b/>
          <w:i/>
          <w:szCs w:val="20"/>
          <w:u w:val="single"/>
        </w:rPr>
      </w:pPr>
      <w:r>
        <w:rPr>
          <w:b/>
          <w:i/>
          <w:szCs w:val="20"/>
          <w:u w:val="single"/>
        </w:rPr>
        <w:br w:type="page"/>
      </w:r>
    </w:p>
    <w:p w14:paraId="00E6462A"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1D1E752F"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34825364" w14:textId="7E85D1EA" w:rsidR="004E3CC7" w:rsidRDefault="002C5318" w:rsidP="001B29A1">
      <w:pPr>
        <w:ind w:left="426"/>
      </w:pPr>
      <w:r>
        <w:t>When delivered at the same prescribed tumour dose as the comparator, proton beam therapy delivers less radiation to the healthy tissue of the patient than the comparator. In these cases, proton beam therapy has a superior safety profile than the comparator.</w:t>
      </w:r>
    </w:p>
    <w:p w14:paraId="77BBF2EA" w14:textId="41CB70BC" w:rsidR="002C5318" w:rsidRPr="00154B00" w:rsidRDefault="002C5318" w:rsidP="001B29A1">
      <w:pPr>
        <w:ind w:left="426"/>
        <w:rPr>
          <w:szCs w:val="20"/>
        </w:rPr>
      </w:pPr>
      <w:r>
        <w:t>When delivered with the same tolerance dose to healthy tissues as the comparator, proton beam therapy may be able to deliver higher doses to the tumour volume than the comparator. In these cases, proton beam therapy has a superior efficacy profile than the comparator.</w:t>
      </w:r>
      <w:r w:rsidR="00741B42">
        <w:t xml:space="preserve"> Potential dose reductions to surrounding tissues may also decrease the incidence of adverse events and the risk of complications.</w:t>
      </w:r>
    </w:p>
    <w:p w14:paraId="06C5E724"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71411250" w14:textId="7DC2D34B" w:rsidR="001B29A1" w:rsidRPr="001B29A1" w:rsidRDefault="002749DC" w:rsidP="001B29A1">
      <w:pPr>
        <w:spacing w:before="0" w:after="0"/>
        <w:ind w:left="426"/>
        <w:rPr>
          <w:szCs w:val="20"/>
        </w:rPr>
      </w:pPr>
      <w:r>
        <w:rPr>
          <w:szCs w:val="20"/>
        </w:rPr>
        <w:fldChar w:fldCharType="begin">
          <w:ffData>
            <w:name w:val=""/>
            <w:enabled/>
            <w:calcOnExit w:val="0"/>
            <w:checkBox>
              <w:sizeAuto/>
              <w:default w:val="1"/>
            </w:checkBox>
          </w:ffData>
        </w:fldChar>
      </w:r>
      <w:r w:rsidRPr="002749DC">
        <w:rPr>
          <w:szCs w:val="20"/>
        </w:rPr>
        <w:instrText xml:space="preserve"> FORMCHECKBOX </w:instrText>
      </w:r>
      <w:r w:rsidR="00A95AB2">
        <w:rPr>
          <w:szCs w:val="20"/>
        </w:rPr>
      </w:r>
      <w:r w:rsidR="00A95AB2">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686876C7" w14:textId="2C6C9D5E" w:rsidR="004E3CC7" w:rsidRDefault="002749DC" w:rsidP="001B29A1">
      <w:pPr>
        <w:spacing w:before="0" w:after="0"/>
        <w:ind w:left="426"/>
        <w:rPr>
          <w:szCs w:val="20"/>
        </w:rPr>
      </w:pPr>
      <w:r>
        <w:rPr>
          <w:szCs w:val="20"/>
        </w:rPr>
        <w:fldChar w:fldCharType="begin">
          <w:ffData>
            <w:name w:val=""/>
            <w:enabled/>
            <w:calcOnExit w:val="0"/>
            <w:checkBox>
              <w:sizeAuto/>
              <w:default w:val="1"/>
            </w:checkBox>
          </w:ffData>
        </w:fldChar>
      </w:r>
      <w:r w:rsidRPr="002749DC">
        <w:rPr>
          <w:szCs w:val="20"/>
        </w:rPr>
        <w:instrText xml:space="preserve"> FORMCHECKBOX </w:instrText>
      </w:r>
      <w:r w:rsidR="00A95AB2">
        <w:rPr>
          <w:szCs w:val="20"/>
        </w:rPr>
      </w:r>
      <w:r w:rsidR="00A95AB2">
        <w:rPr>
          <w:szCs w:val="20"/>
        </w:rPr>
        <w:fldChar w:fldCharType="separate"/>
      </w:r>
      <w:r>
        <w:rPr>
          <w:szCs w:val="20"/>
        </w:rPr>
        <w:fldChar w:fldCharType="end"/>
      </w:r>
      <w:r w:rsidR="001B29A1" w:rsidRPr="001B29A1">
        <w:rPr>
          <w:szCs w:val="20"/>
        </w:rPr>
        <w:t xml:space="preserve"> Non-inferiority</w:t>
      </w:r>
    </w:p>
    <w:p w14:paraId="5DDDE3A2" w14:textId="24729871" w:rsidR="002749DC" w:rsidRDefault="002749DC" w:rsidP="001B29A1">
      <w:pPr>
        <w:spacing w:before="0" w:after="0"/>
        <w:ind w:left="426"/>
        <w:rPr>
          <w:szCs w:val="20"/>
        </w:rPr>
      </w:pPr>
    </w:p>
    <w:p w14:paraId="5B4EF1AE" w14:textId="0BDBC481" w:rsidR="002749DC" w:rsidRDefault="002749DC" w:rsidP="001B29A1">
      <w:pPr>
        <w:spacing w:before="0" w:after="0"/>
        <w:ind w:left="426"/>
        <w:rPr>
          <w:szCs w:val="20"/>
        </w:rPr>
      </w:pPr>
      <w:r>
        <w:rPr>
          <w:szCs w:val="20"/>
        </w:rPr>
        <w:t>Superiority in safety for paediatric patients.</w:t>
      </w:r>
    </w:p>
    <w:p w14:paraId="090E44BC" w14:textId="48F1FF44" w:rsidR="002749DC" w:rsidRPr="001B29A1" w:rsidRDefault="002749DC" w:rsidP="001B29A1">
      <w:pPr>
        <w:spacing w:before="0" w:after="0"/>
        <w:ind w:left="426"/>
        <w:rPr>
          <w:szCs w:val="20"/>
        </w:rPr>
      </w:pPr>
      <w:r>
        <w:rPr>
          <w:szCs w:val="20"/>
        </w:rPr>
        <w:t>Superior or non-inferior for adult populations depending on the individual case.</w:t>
      </w:r>
    </w:p>
    <w:p w14:paraId="0AA1A9E8"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76FFD530" w14:textId="543416C6"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4FA27D36" w14:textId="2EB1529A" w:rsidR="001B29A1" w:rsidRPr="00A741F5" w:rsidRDefault="00A741F5" w:rsidP="001B29A1">
      <w:pPr>
        <w:pBdr>
          <w:top w:val="single" w:sz="4" w:space="1" w:color="auto"/>
          <w:left w:val="single" w:sz="4" w:space="4" w:color="auto"/>
          <w:bottom w:val="single" w:sz="4" w:space="1" w:color="auto"/>
          <w:right w:val="single" w:sz="4" w:space="4" w:color="auto"/>
        </w:pBdr>
        <w:rPr>
          <w:bCs/>
          <w:szCs w:val="20"/>
          <w:u w:val="single"/>
        </w:rPr>
      </w:pPr>
      <w:r w:rsidRPr="00A741F5">
        <w:rPr>
          <w:bCs/>
          <w:szCs w:val="20"/>
          <w:u w:val="single"/>
        </w:rPr>
        <w:t>Paediatric intracranial cancer patients:</w:t>
      </w:r>
    </w:p>
    <w:p w14:paraId="777200AB" w14:textId="6954CDC3" w:rsidR="00A741F5" w:rsidRDefault="00A741F5" w:rsidP="001B29A1">
      <w:pPr>
        <w:pBdr>
          <w:top w:val="single" w:sz="4" w:space="1" w:color="auto"/>
          <w:left w:val="single" w:sz="4" w:space="4" w:color="auto"/>
          <w:bottom w:val="single" w:sz="4" w:space="1" w:color="auto"/>
          <w:right w:val="single" w:sz="4" w:space="4" w:color="auto"/>
        </w:pBdr>
        <w:rPr>
          <w:bCs/>
          <w:szCs w:val="20"/>
        </w:rPr>
      </w:pPr>
      <w:r>
        <w:rPr>
          <w:bCs/>
          <w:szCs w:val="20"/>
        </w:rPr>
        <w:t>Reduced neurocognitive impairment</w:t>
      </w:r>
    </w:p>
    <w:p w14:paraId="7566B361" w14:textId="48E0ADDD" w:rsidR="00A741F5" w:rsidRDefault="00A741F5" w:rsidP="001B29A1">
      <w:pPr>
        <w:pBdr>
          <w:top w:val="single" w:sz="4" w:space="1" w:color="auto"/>
          <w:left w:val="single" w:sz="4" w:space="4" w:color="auto"/>
          <w:bottom w:val="single" w:sz="4" w:space="1" w:color="auto"/>
          <w:right w:val="single" w:sz="4" w:space="4" w:color="auto"/>
        </w:pBdr>
        <w:rPr>
          <w:bCs/>
          <w:szCs w:val="20"/>
        </w:rPr>
      </w:pPr>
      <w:r>
        <w:rPr>
          <w:bCs/>
          <w:szCs w:val="20"/>
        </w:rPr>
        <w:t>Reduced neuro-endocrine impairment</w:t>
      </w:r>
    </w:p>
    <w:p w14:paraId="6E7AD970" w14:textId="04ECA1BD" w:rsidR="00A741F5" w:rsidRPr="00A741F5" w:rsidRDefault="00A741F5" w:rsidP="001B29A1">
      <w:pPr>
        <w:pBdr>
          <w:top w:val="single" w:sz="4" w:space="1" w:color="auto"/>
          <w:left w:val="single" w:sz="4" w:space="4" w:color="auto"/>
          <w:bottom w:val="single" w:sz="4" w:space="1" w:color="auto"/>
          <w:right w:val="single" w:sz="4" w:space="4" w:color="auto"/>
        </w:pBdr>
        <w:rPr>
          <w:bCs/>
          <w:szCs w:val="20"/>
        </w:rPr>
      </w:pPr>
      <w:r>
        <w:rPr>
          <w:bCs/>
          <w:szCs w:val="20"/>
        </w:rPr>
        <w:t>Reduced likelihood of second cancer induction from treatment</w:t>
      </w:r>
    </w:p>
    <w:p w14:paraId="09C26450" w14:textId="3D14251D" w:rsidR="00A741F5" w:rsidRPr="00A741F5" w:rsidRDefault="00A741F5" w:rsidP="001B29A1">
      <w:pPr>
        <w:pBdr>
          <w:top w:val="single" w:sz="4" w:space="1" w:color="auto"/>
          <w:left w:val="single" w:sz="4" w:space="4" w:color="auto"/>
          <w:bottom w:val="single" w:sz="4" w:space="1" w:color="auto"/>
          <w:right w:val="single" w:sz="4" w:space="4" w:color="auto"/>
        </w:pBdr>
        <w:rPr>
          <w:bCs/>
          <w:szCs w:val="20"/>
          <w:u w:val="single"/>
        </w:rPr>
      </w:pPr>
      <w:r w:rsidRPr="00A741F5">
        <w:rPr>
          <w:bCs/>
          <w:szCs w:val="20"/>
          <w:u w:val="single"/>
        </w:rPr>
        <w:t>Paediatric extracranial cancer patients:</w:t>
      </w:r>
    </w:p>
    <w:p w14:paraId="0FA87C77" w14:textId="21E6C76F" w:rsidR="00A741F5" w:rsidRDefault="00A741F5" w:rsidP="001B29A1">
      <w:pPr>
        <w:pBdr>
          <w:top w:val="single" w:sz="4" w:space="1" w:color="auto"/>
          <w:left w:val="single" w:sz="4" w:space="4" w:color="auto"/>
          <w:bottom w:val="single" w:sz="4" w:space="1" w:color="auto"/>
          <w:right w:val="single" w:sz="4" w:space="4" w:color="auto"/>
        </w:pBdr>
        <w:rPr>
          <w:bCs/>
          <w:szCs w:val="20"/>
        </w:rPr>
      </w:pPr>
      <w:r>
        <w:rPr>
          <w:bCs/>
          <w:szCs w:val="20"/>
        </w:rPr>
        <w:t>Reduced acute toxicity resulting from treatment (type of toxicity dictated by site of cancer)</w:t>
      </w:r>
    </w:p>
    <w:p w14:paraId="163F4C45" w14:textId="2B1F3E95" w:rsidR="00A741F5" w:rsidRDefault="00A741F5" w:rsidP="001B29A1">
      <w:pPr>
        <w:pBdr>
          <w:top w:val="single" w:sz="4" w:space="1" w:color="auto"/>
          <w:left w:val="single" w:sz="4" w:space="4" w:color="auto"/>
          <w:bottom w:val="single" w:sz="4" w:space="1" w:color="auto"/>
          <w:right w:val="single" w:sz="4" w:space="4" w:color="auto"/>
        </w:pBdr>
        <w:rPr>
          <w:bCs/>
          <w:szCs w:val="20"/>
        </w:rPr>
      </w:pPr>
      <w:r>
        <w:rPr>
          <w:bCs/>
          <w:szCs w:val="20"/>
        </w:rPr>
        <w:t>Reduced likelihood of second cancer induction from treatment</w:t>
      </w:r>
    </w:p>
    <w:p w14:paraId="68B09E16" w14:textId="1EF6E862" w:rsidR="00747E40" w:rsidRDefault="00DD498F" w:rsidP="001B29A1">
      <w:pPr>
        <w:pBdr>
          <w:top w:val="single" w:sz="4" w:space="1" w:color="auto"/>
          <w:left w:val="single" w:sz="4" w:space="4" w:color="auto"/>
          <w:bottom w:val="single" w:sz="4" w:space="1" w:color="auto"/>
          <w:right w:val="single" w:sz="4" w:space="4" w:color="auto"/>
        </w:pBdr>
        <w:rPr>
          <w:bCs/>
          <w:szCs w:val="20"/>
          <w:u w:val="single"/>
        </w:rPr>
      </w:pPr>
      <w:r>
        <w:rPr>
          <w:bCs/>
          <w:szCs w:val="20"/>
          <w:u w:val="single"/>
        </w:rPr>
        <w:t>Adult patients:</w:t>
      </w:r>
    </w:p>
    <w:p w14:paraId="1AD8DE09" w14:textId="13D4C547" w:rsidR="00DD498F" w:rsidRPr="00DD498F" w:rsidRDefault="00DD498F" w:rsidP="001B29A1">
      <w:pPr>
        <w:pBdr>
          <w:top w:val="single" w:sz="4" w:space="1" w:color="auto"/>
          <w:left w:val="single" w:sz="4" w:space="4" w:color="auto"/>
          <w:bottom w:val="single" w:sz="4" w:space="1" w:color="auto"/>
          <w:right w:val="single" w:sz="4" w:space="4" w:color="auto"/>
        </w:pBdr>
        <w:rPr>
          <w:bCs/>
          <w:szCs w:val="20"/>
        </w:rPr>
      </w:pPr>
      <w:r>
        <w:rPr>
          <w:bCs/>
          <w:szCs w:val="20"/>
        </w:rPr>
        <w:t>Reduced short-term toxicities</w:t>
      </w:r>
    </w:p>
    <w:p w14:paraId="27AA5450" w14:textId="3A135934" w:rsidR="00B25D20" w:rsidRDefault="001B29A1" w:rsidP="001B29A1">
      <w:pPr>
        <w:pBdr>
          <w:top w:val="single" w:sz="4" w:space="1" w:color="auto"/>
          <w:left w:val="single" w:sz="4" w:space="4" w:color="auto"/>
          <w:bottom w:val="single" w:sz="4" w:space="1" w:color="auto"/>
          <w:right w:val="single" w:sz="4" w:space="4" w:color="auto"/>
        </w:pBdr>
      </w:pPr>
      <w:r w:rsidRPr="001B29A1">
        <w:rPr>
          <w:b/>
          <w:szCs w:val="20"/>
        </w:rPr>
        <w:t>Clinical Effectiveness Outcomes</w:t>
      </w:r>
      <w:r>
        <w:rPr>
          <w:b/>
          <w:szCs w:val="20"/>
        </w:rPr>
        <w:t xml:space="preserve">: </w:t>
      </w:r>
    </w:p>
    <w:p w14:paraId="1351F8D5" w14:textId="604A5964" w:rsidR="00A741F5" w:rsidRDefault="00A741F5" w:rsidP="001B29A1">
      <w:pPr>
        <w:pBdr>
          <w:top w:val="single" w:sz="4" w:space="1" w:color="auto"/>
          <w:left w:val="single" w:sz="4" w:space="4" w:color="auto"/>
          <w:bottom w:val="single" w:sz="4" w:space="1" w:color="auto"/>
          <w:right w:val="single" w:sz="4" w:space="4" w:color="auto"/>
        </w:pBdr>
        <w:rPr>
          <w:szCs w:val="20"/>
          <w:u w:val="single"/>
        </w:rPr>
      </w:pPr>
      <w:r>
        <w:rPr>
          <w:szCs w:val="20"/>
          <w:u w:val="single"/>
        </w:rPr>
        <w:t>Adult patients:</w:t>
      </w:r>
    </w:p>
    <w:p w14:paraId="1FDF9B02" w14:textId="7568AF58" w:rsidR="00A741F5" w:rsidRPr="00A741F5" w:rsidRDefault="00A741F5" w:rsidP="001B29A1">
      <w:pPr>
        <w:pBdr>
          <w:top w:val="single" w:sz="4" w:space="1" w:color="auto"/>
          <w:left w:val="single" w:sz="4" w:space="4" w:color="auto"/>
          <w:bottom w:val="single" w:sz="4" w:space="1" w:color="auto"/>
          <w:right w:val="single" w:sz="4" w:space="4" w:color="auto"/>
        </w:pBdr>
        <w:rPr>
          <w:szCs w:val="20"/>
        </w:rPr>
      </w:pPr>
      <w:r w:rsidRPr="00A741F5">
        <w:rPr>
          <w:szCs w:val="20"/>
        </w:rPr>
        <w:t>Incre</w:t>
      </w:r>
      <w:r>
        <w:rPr>
          <w:szCs w:val="20"/>
        </w:rPr>
        <w:t>ased local control for patients who can achieve dose escalation to the tumour in relative to the comparator</w:t>
      </w:r>
    </w:p>
    <w:p w14:paraId="4C7156C8"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331B08B4"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2F29B743"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6E683EF5" w14:textId="39AFF6E3" w:rsidR="006C74B1" w:rsidRPr="005E2404" w:rsidRDefault="00A741F5" w:rsidP="005E2404">
      <w:pPr>
        <w:ind w:left="426"/>
        <w:rPr>
          <w:szCs w:val="20"/>
        </w:rPr>
      </w:pPr>
      <w:r>
        <w:rPr>
          <w:szCs w:val="20"/>
        </w:rPr>
        <w:t>Approximately 100</w:t>
      </w:r>
      <w:r w:rsidR="00901D51">
        <w:rPr>
          <w:szCs w:val="20"/>
        </w:rPr>
        <w:t>-150</w:t>
      </w:r>
      <w:r>
        <w:rPr>
          <w:szCs w:val="20"/>
        </w:rPr>
        <w:t xml:space="preserve"> paediatric patients and 50 adult patients</w:t>
      </w:r>
      <w:r w:rsidR="00FB2AAE">
        <w:rPr>
          <w:szCs w:val="20"/>
        </w:rPr>
        <w:t xml:space="preserve"> per year across Australia.</w:t>
      </w:r>
      <w:r w:rsidR="00EB4B6C">
        <w:rPr>
          <w:szCs w:val="20"/>
        </w:rPr>
        <w:t xml:space="preserve"> </w:t>
      </w:r>
      <w:r w:rsidR="006D7AD7">
        <w:rPr>
          <w:szCs w:val="20"/>
        </w:rPr>
        <w:t>Up-to-date incidence data</w:t>
      </w:r>
      <w:r w:rsidR="00EA3A6C">
        <w:rPr>
          <w:szCs w:val="20"/>
        </w:rPr>
        <w:t xml:space="preserve"> for this PICO population</w:t>
      </w:r>
      <w:r w:rsidR="006D7AD7">
        <w:rPr>
          <w:szCs w:val="20"/>
        </w:rPr>
        <w:t xml:space="preserve"> is being retrieved through the Australian </w:t>
      </w:r>
      <w:r w:rsidR="008F161D">
        <w:rPr>
          <w:szCs w:val="20"/>
        </w:rPr>
        <w:t>I</w:t>
      </w:r>
      <w:r w:rsidR="00EA3A6C">
        <w:rPr>
          <w:szCs w:val="20"/>
        </w:rPr>
        <w:t>n</w:t>
      </w:r>
      <w:r w:rsidR="00725202">
        <w:rPr>
          <w:szCs w:val="20"/>
        </w:rPr>
        <w:t>stitute of Health and Wel</w:t>
      </w:r>
      <w:r w:rsidR="00EA3A6C">
        <w:rPr>
          <w:szCs w:val="20"/>
        </w:rPr>
        <w:t>fare.</w:t>
      </w:r>
      <w:r w:rsidR="00405AB1">
        <w:rPr>
          <w:szCs w:val="20"/>
        </w:rPr>
        <w:t xml:space="preserve"> This information will be utilized in the Health Technology Assessment Report.</w:t>
      </w:r>
    </w:p>
    <w:p w14:paraId="304430FF"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43186102" w14:textId="46B05E54" w:rsidR="00382407" w:rsidRPr="00154B00" w:rsidRDefault="003A5BE6" w:rsidP="00AE1188">
      <w:pPr>
        <w:ind w:left="426"/>
        <w:rPr>
          <w:szCs w:val="20"/>
        </w:rPr>
      </w:pPr>
      <w:r>
        <w:t>A patient would be expected to undergo one treatment course of proton therapy in a year. Each treatment course consists of</w:t>
      </w:r>
      <w:r w:rsidR="00A741F5">
        <w:t xml:space="preserve"> approximately</w:t>
      </w:r>
      <w:r>
        <w:t xml:space="preserve"> 3</w:t>
      </w:r>
      <w:r w:rsidR="00A039C1">
        <w:t>3</w:t>
      </w:r>
      <w:r>
        <w:t xml:space="preserve"> treatment sessions, on average, with a treatment session typically delivered 5 days per week for a period of 6 weeks.</w:t>
      </w:r>
    </w:p>
    <w:p w14:paraId="194E5050"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6C6BC495" w14:textId="6E9D04BE" w:rsidR="00382407" w:rsidRPr="00154B00" w:rsidRDefault="003A5BE6" w:rsidP="00AE1188">
      <w:pPr>
        <w:ind w:left="426"/>
        <w:rPr>
          <w:b/>
          <w:szCs w:val="20"/>
        </w:rPr>
      </w:pPr>
      <w:r>
        <w:t>Treatments are intended to be one-time events. However, if recurrence of the disease or progression to other sites occurs, the patient may be eligible for further treatment courses.</w:t>
      </w:r>
    </w:p>
    <w:p w14:paraId="7D6178D1"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1F64F153" w14:textId="68DFEDA0" w:rsidR="00AE1188" w:rsidRPr="00154B00" w:rsidRDefault="00A741F5" w:rsidP="00AE1188">
      <w:pPr>
        <w:ind w:left="426"/>
        <w:rPr>
          <w:szCs w:val="20"/>
        </w:rPr>
      </w:pPr>
      <w:r>
        <w:t>Approximately 100.</w:t>
      </w:r>
    </w:p>
    <w:p w14:paraId="7E8AB951"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68A949E2" w14:textId="4E42C4BC" w:rsidR="00971543" w:rsidRDefault="00A741F5" w:rsidP="00AE1188">
      <w:pPr>
        <w:ind w:left="426"/>
      </w:pPr>
      <w:r>
        <w:t>Full uptake (~150</w:t>
      </w:r>
      <w:r w:rsidR="00D34595">
        <w:t>-200</w:t>
      </w:r>
      <w:r>
        <w:t xml:space="preserve"> patients) from the </w:t>
      </w:r>
      <w:r w:rsidR="00971543">
        <w:t>proposed population</w:t>
      </w:r>
      <w:r>
        <w:t xml:space="preserve"> is anticipated within the first 3 years.</w:t>
      </w:r>
      <w:r w:rsidR="00971543">
        <w:t xml:space="preserve"> </w:t>
      </w:r>
    </w:p>
    <w:p w14:paraId="4EB08170" w14:textId="248F686A" w:rsidR="00A16DC2" w:rsidRPr="00971543" w:rsidRDefault="00971543" w:rsidP="00A05659">
      <w:pPr>
        <w:ind w:left="426"/>
      </w:pPr>
      <w:r>
        <w:t>Data suggests proton beam therapy is at least non-inferior to external beam X-ray therapy for other common cancers. These patients may be treated with the service, but until clinical trial data is completed, we do not expect these patients to be covered by Medicare. Future applications for MBS funding will be based on the results of local or international clinical trials.</w:t>
      </w:r>
    </w:p>
    <w:p w14:paraId="7A2713BF" w14:textId="77777777" w:rsidR="003433D1" w:rsidRDefault="003433D1">
      <w:pPr>
        <w:rPr>
          <w:b/>
          <w:sz w:val="32"/>
          <w:szCs w:val="32"/>
        </w:rPr>
      </w:pPr>
      <w:r>
        <w:rPr>
          <w:b/>
          <w:sz w:val="32"/>
          <w:szCs w:val="32"/>
        </w:rPr>
        <w:br w:type="page"/>
      </w:r>
    </w:p>
    <w:p w14:paraId="482D8E02"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16ADB3E0"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20DA675A" w14:textId="3D5C4F6C" w:rsidR="00951933" w:rsidRDefault="009A0A7A" w:rsidP="00B61153">
      <w:pPr>
        <w:ind w:left="426"/>
      </w:pPr>
      <w:r>
        <w:t xml:space="preserve">A detailed cost </w:t>
      </w:r>
      <w:r w:rsidR="00DB39DE">
        <w:t xml:space="preserve">breakdown will be provided in the </w:t>
      </w:r>
      <w:r w:rsidR="00F80BD8">
        <w:t>Health Technology Assessment Report</w:t>
      </w:r>
      <w:r w:rsidR="00DB39DE">
        <w:t xml:space="preserve">. </w:t>
      </w:r>
      <w:r w:rsidR="009733DC">
        <w:t>Costs shown below are</w:t>
      </w:r>
      <w:r w:rsidR="00B6598D">
        <w:t xml:space="preserve"> initial estimates</w:t>
      </w:r>
      <w:r w:rsidR="009733DC">
        <w:t xml:space="preserve"> based on the current IMRT radiotherapy MBS item structure; however, it is assumed that on average, more experienced staff are required to deliver proton beam therapy than IMRT. Thus, the cost of proton beam therapy is approximately 3.0 times the cost of an equivalent course of IMRT.</w:t>
      </w:r>
      <w:r w:rsidR="00B6598D">
        <w:t xml:space="preserve"> The cost </w:t>
      </w:r>
      <w:r w:rsidR="00F80BD8">
        <w:t xml:space="preserve">model will be refined in the </w:t>
      </w:r>
      <w:r w:rsidR="00171428">
        <w:t>Health Technology Assessment Report.</w:t>
      </w:r>
    </w:p>
    <w:tbl>
      <w:tblPr>
        <w:tblStyle w:val="GridTable1Light"/>
        <w:tblW w:w="0" w:type="auto"/>
        <w:tblLook w:val="04A0" w:firstRow="1" w:lastRow="0" w:firstColumn="1" w:lastColumn="0" w:noHBand="0" w:noVBand="1"/>
        <w:tblCaption w:val="Cost of providing proton beam therapy"/>
        <w:tblDescription w:val="This table compares the costs of providing intensity modulated radiation therapy with X-rays (the comparator) with proton beam therapy."/>
      </w:tblPr>
      <w:tblGrid>
        <w:gridCol w:w="3005"/>
        <w:gridCol w:w="3005"/>
        <w:gridCol w:w="3006"/>
      </w:tblGrid>
      <w:tr w:rsidR="005F0429" w14:paraId="52F1721E" w14:textId="77777777" w:rsidTr="00F731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5" w:type="dxa"/>
          </w:tcPr>
          <w:p w14:paraId="0A2E84E2" w14:textId="0E329FA5" w:rsidR="009733DC" w:rsidRDefault="008259EE" w:rsidP="00AE1188">
            <w:r>
              <w:t>Activity</w:t>
            </w:r>
          </w:p>
        </w:tc>
        <w:tc>
          <w:tcPr>
            <w:tcW w:w="3005" w:type="dxa"/>
          </w:tcPr>
          <w:p w14:paraId="35AC7937" w14:textId="6C45717C" w:rsidR="009733DC" w:rsidRDefault="008259EE" w:rsidP="00B61153">
            <w:pPr>
              <w:jc w:val="center"/>
              <w:cnfStyle w:val="100000000000" w:firstRow="1" w:lastRow="0" w:firstColumn="0" w:lastColumn="0" w:oddVBand="0" w:evenVBand="0" w:oddHBand="0" w:evenHBand="0" w:firstRowFirstColumn="0" w:firstRowLastColumn="0" w:lastRowFirstColumn="0" w:lastRowLastColumn="0"/>
            </w:pPr>
            <w:r>
              <w:t>IMRT</w:t>
            </w:r>
          </w:p>
        </w:tc>
        <w:tc>
          <w:tcPr>
            <w:tcW w:w="3006" w:type="dxa"/>
          </w:tcPr>
          <w:p w14:paraId="33A1413E" w14:textId="77777777" w:rsidR="009733DC" w:rsidRDefault="008259EE" w:rsidP="00B61153">
            <w:pPr>
              <w:jc w:val="center"/>
              <w:cnfStyle w:val="100000000000" w:firstRow="1" w:lastRow="0" w:firstColumn="0" w:lastColumn="0" w:oddVBand="0" w:evenVBand="0" w:oddHBand="0" w:evenHBand="0" w:firstRowFirstColumn="0" w:firstRowLastColumn="0" w:lastRowFirstColumn="0" w:lastRowLastColumn="0"/>
            </w:pPr>
            <w:r>
              <w:t>PBT</w:t>
            </w:r>
          </w:p>
          <w:p w14:paraId="34B305C7" w14:textId="31B6D82E" w:rsidR="00DC6CDA" w:rsidRDefault="00DC6CDA" w:rsidP="00B61153">
            <w:pPr>
              <w:jc w:val="center"/>
              <w:cnfStyle w:val="100000000000" w:firstRow="1" w:lastRow="0" w:firstColumn="0" w:lastColumn="0" w:oddVBand="0" w:evenVBand="0" w:oddHBand="0" w:evenHBand="0" w:firstRowFirstColumn="0" w:firstRowLastColumn="0" w:lastRowFirstColumn="0" w:lastRowLastColumn="0"/>
            </w:pPr>
            <w:r>
              <w:t>without and (with) anaesthetic</w:t>
            </w:r>
          </w:p>
        </w:tc>
      </w:tr>
      <w:tr w:rsidR="005F0429" w14:paraId="17B87A4A" w14:textId="77777777" w:rsidTr="00B61153">
        <w:tc>
          <w:tcPr>
            <w:cnfStyle w:val="001000000000" w:firstRow="0" w:lastRow="0" w:firstColumn="1" w:lastColumn="0" w:oddVBand="0" w:evenVBand="0" w:oddHBand="0" w:evenHBand="0" w:firstRowFirstColumn="0" w:firstRowLastColumn="0" w:lastRowFirstColumn="0" w:lastRowLastColumn="0"/>
            <w:tcW w:w="3005" w:type="dxa"/>
          </w:tcPr>
          <w:p w14:paraId="13B3C60A" w14:textId="5C4829E2" w:rsidR="009733DC" w:rsidRDefault="0056201C" w:rsidP="00AE1188">
            <w:r>
              <w:t>Simulation</w:t>
            </w:r>
          </w:p>
        </w:tc>
        <w:tc>
          <w:tcPr>
            <w:tcW w:w="3005" w:type="dxa"/>
          </w:tcPr>
          <w:p w14:paraId="72C118A4" w14:textId="1A4703DE" w:rsidR="009733DC" w:rsidRDefault="00155D89" w:rsidP="00B61153">
            <w:pPr>
              <w:jc w:val="center"/>
              <w:cnfStyle w:val="000000000000" w:firstRow="0" w:lastRow="0" w:firstColumn="0" w:lastColumn="0" w:oddVBand="0" w:evenVBand="0" w:oddHBand="0" w:evenHBand="0" w:firstRowFirstColumn="0" w:firstRowLastColumn="0" w:lastRowFirstColumn="0" w:lastRowLastColumn="0"/>
            </w:pPr>
            <w:r>
              <w:t>$721.90</w:t>
            </w:r>
          </w:p>
        </w:tc>
        <w:tc>
          <w:tcPr>
            <w:tcW w:w="3006" w:type="dxa"/>
          </w:tcPr>
          <w:p w14:paraId="74DB2F74" w14:textId="1E3B8099" w:rsidR="009733DC" w:rsidRDefault="0094028E" w:rsidP="00B61153">
            <w:pPr>
              <w:jc w:val="center"/>
              <w:cnfStyle w:val="000000000000" w:firstRow="0" w:lastRow="0" w:firstColumn="0" w:lastColumn="0" w:oddVBand="0" w:evenVBand="0" w:oddHBand="0" w:evenHBand="0" w:firstRowFirstColumn="0" w:firstRowLastColumn="0" w:lastRowFirstColumn="0" w:lastRowLastColumn="0"/>
            </w:pPr>
            <w:r w:rsidRPr="0094028E">
              <w:rPr>
                <w:highlight w:val="black"/>
              </w:rPr>
              <w:t>___________</w:t>
            </w:r>
          </w:p>
        </w:tc>
      </w:tr>
      <w:tr w:rsidR="005F0429" w14:paraId="04E65A1A" w14:textId="77777777" w:rsidTr="00B61153">
        <w:tc>
          <w:tcPr>
            <w:cnfStyle w:val="001000000000" w:firstRow="0" w:lastRow="0" w:firstColumn="1" w:lastColumn="0" w:oddVBand="0" w:evenVBand="0" w:oddHBand="0" w:evenHBand="0" w:firstRowFirstColumn="0" w:firstRowLastColumn="0" w:lastRowFirstColumn="0" w:lastRowLastColumn="0"/>
            <w:tcW w:w="3005" w:type="dxa"/>
          </w:tcPr>
          <w:p w14:paraId="1B383A2F" w14:textId="539CD314" w:rsidR="009733DC" w:rsidRDefault="0056201C" w:rsidP="00AE1188">
            <w:r>
              <w:t>Treatment planning</w:t>
            </w:r>
          </w:p>
        </w:tc>
        <w:tc>
          <w:tcPr>
            <w:tcW w:w="3005" w:type="dxa"/>
          </w:tcPr>
          <w:p w14:paraId="571CD39F" w14:textId="0A4E629D" w:rsidR="009733DC" w:rsidRDefault="00155D89" w:rsidP="00B61153">
            <w:pPr>
              <w:jc w:val="center"/>
              <w:cnfStyle w:val="000000000000" w:firstRow="0" w:lastRow="0" w:firstColumn="0" w:lastColumn="0" w:oddVBand="0" w:evenVBand="0" w:oddHBand="0" w:evenHBand="0" w:firstRowFirstColumn="0" w:firstRowLastColumn="0" w:lastRowFirstColumn="0" w:lastRowLastColumn="0"/>
            </w:pPr>
            <w:r>
              <w:t>$</w:t>
            </w:r>
            <w:r w:rsidR="00E7764C">
              <w:t>3,3</w:t>
            </w:r>
            <w:r w:rsidR="004A4342">
              <w:t>66.85</w:t>
            </w:r>
          </w:p>
        </w:tc>
        <w:tc>
          <w:tcPr>
            <w:tcW w:w="3006" w:type="dxa"/>
          </w:tcPr>
          <w:p w14:paraId="07EF5D99" w14:textId="46526288" w:rsidR="009733DC" w:rsidRDefault="0094028E" w:rsidP="00B61153">
            <w:pPr>
              <w:jc w:val="center"/>
              <w:cnfStyle w:val="000000000000" w:firstRow="0" w:lastRow="0" w:firstColumn="0" w:lastColumn="0" w:oddVBand="0" w:evenVBand="0" w:oddHBand="0" w:evenHBand="0" w:firstRowFirstColumn="0" w:firstRowLastColumn="0" w:lastRowFirstColumn="0" w:lastRowLastColumn="0"/>
            </w:pPr>
            <w:r w:rsidRPr="0094028E">
              <w:rPr>
                <w:highlight w:val="black"/>
              </w:rPr>
              <w:t>_____</w:t>
            </w:r>
          </w:p>
        </w:tc>
      </w:tr>
      <w:tr w:rsidR="005F0429" w14:paraId="02A9BC6D" w14:textId="77777777" w:rsidTr="00B61153">
        <w:tc>
          <w:tcPr>
            <w:cnfStyle w:val="001000000000" w:firstRow="0" w:lastRow="0" w:firstColumn="1" w:lastColumn="0" w:oddVBand="0" w:evenVBand="0" w:oddHBand="0" w:evenHBand="0" w:firstRowFirstColumn="0" w:firstRowLastColumn="0" w:lastRowFirstColumn="0" w:lastRowLastColumn="0"/>
            <w:tcW w:w="3005" w:type="dxa"/>
          </w:tcPr>
          <w:p w14:paraId="141B4EAC" w14:textId="740E1055" w:rsidR="009733DC" w:rsidRDefault="0056201C" w:rsidP="00AE1188">
            <w:r>
              <w:t>Treatment delivery</w:t>
            </w:r>
            <w:r w:rsidR="00E21F42">
              <w:t xml:space="preserve"> (per fraction)</w:t>
            </w:r>
          </w:p>
        </w:tc>
        <w:tc>
          <w:tcPr>
            <w:tcW w:w="3005" w:type="dxa"/>
          </w:tcPr>
          <w:p w14:paraId="76A5CAF0" w14:textId="757F5520" w:rsidR="009733DC" w:rsidRDefault="00F32548" w:rsidP="00B61153">
            <w:pPr>
              <w:jc w:val="center"/>
              <w:cnfStyle w:val="000000000000" w:firstRow="0" w:lastRow="0" w:firstColumn="0" w:lastColumn="0" w:oddVBand="0" w:evenVBand="0" w:oddHBand="0" w:evenHBand="0" w:firstRowFirstColumn="0" w:firstRowLastColumn="0" w:lastRowFirstColumn="0" w:lastRowLastColumn="0"/>
            </w:pPr>
            <w:r>
              <w:t>$185.85</w:t>
            </w:r>
          </w:p>
        </w:tc>
        <w:tc>
          <w:tcPr>
            <w:tcW w:w="3006" w:type="dxa"/>
          </w:tcPr>
          <w:p w14:paraId="51674AB4" w14:textId="5A73455F" w:rsidR="009733DC" w:rsidRDefault="0094028E" w:rsidP="00B61153">
            <w:pPr>
              <w:jc w:val="center"/>
              <w:cnfStyle w:val="000000000000" w:firstRow="0" w:lastRow="0" w:firstColumn="0" w:lastColumn="0" w:oddVBand="0" w:evenVBand="0" w:oddHBand="0" w:evenHBand="0" w:firstRowFirstColumn="0" w:firstRowLastColumn="0" w:lastRowFirstColumn="0" w:lastRowLastColumn="0"/>
            </w:pPr>
            <w:r w:rsidRPr="0094028E">
              <w:rPr>
                <w:highlight w:val="black"/>
              </w:rPr>
              <w:t>________</w:t>
            </w:r>
          </w:p>
        </w:tc>
      </w:tr>
      <w:tr w:rsidR="005F0429" w14:paraId="616F3CA9" w14:textId="77777777" w:rsidTr="00B61153">
        <w:tc>
          <w:tcPr>
            <w:cnfStyle w:val="001000000000" w:firstRow="0" w:lastRow="0" w:firstColumn="1" w:lastColumn="0" w:oddVBand="0" w:evenVBand="0" w:oddHBand="0" w:evenHBand="0" w:firstRowFirstColumn="0" w:firstRowLastColumn="0" w:lastRowFirstColumn="0" w:lastRowLastColumn="0"/>
            <w:tcW w:w="3005" w:type="dxa"/>
          </w:tcPr>
          <w:p w14:paraId="44AE5DB1" w14:textId="7EA2EDBF" w:rsidR="009733DC" w:rsidRDefault="0056201C" w:rsidP="00AE1188">
            <w:r>
              <w:t>Treatment verification</w:t>
            </w:r>
            <w:r w:rsidR="00E21F42">
              <w:t xml:space="preserve"> (per fraction)</w:t>
            </w:r>
          </w:p>
        </w:tc>
        <w:tc>
          <w:tcPr>
            <w:tcW w:w="3005" w:type="dxa"/>
          </w:tcPr>
          <w:p w14:paraId="704D1CB4" w14:textId="4D473467" w:rsidR="009733DC" w:rsidRDefault="00F32548" w:rsidP="00B61153">
            <w:pPr>
              <w:jc w:val="center"/>
              <w:cnfStyle w:val="000000000000" w:firstRow="0" w:lastRow="0" w:firstColumn="0" w:lastColumn="0" w:oddVBand="0" w:evenVBand="0" w:oddHBand="0" w:evenHBand="0" w:firstRowFirstColumn="0" w:firstRowLastColumn="0" w:lastRowFirstColumn="0" w:lastRowLastColumn="0"/>
            </w:pPr>
            <w:r>
              <w:t>$77.85</w:t>
            </w:r>
          </w:p>
        </w:tc>
        <w:tc>
          <w:tcPr>
            <w:tcW w:w="3006" w:type="dxa"/>
          </w:tcPr>
          <w:p w14:paraId="59530838" w14:textId="4DBA9695" w:rsidR="009733DC" w:rsidRDefault="0094028E" w:rsidP="00B61153">
            <w:pPr>
              <w:jc w:val="center"/>
              <w:cnfStyle w:val="000000000000" w:firstRow="0" w:lastRow="0" w:firstColumn="0" w:lastColumn="0" w:oddVBand="0" w:evenVBand="0" w:oddHBand="0" w:evenHBand="0" w:firstRowFirstColumn="0" w:firstRowLastColumn="0" w:lastRowFirstColumn="0" w:lastRowLastColumn="0"/>
            </w:pPr>
            <w:r w:rsidRPr="0094028E">
              <w:rPr>
                <w:highlight w:val="black"/>
              </w:rPr>
              <w:t>__</w:t>
            </w:r>
          </w:p>
        </w:tc>
      </w:tr>
      <w:tr w:rsidR="00E21F42" w14:paraId="2AB44A6C" w14:textId="77777777" w:rsidTr="00B61153">
        <w:tc>
          <w:tcPr>
            <w:cnfStyle w:val="001000000000" w:firstRow="0" w:lastRow="0" w:firstColumn="1" w:lastColumn="0" w:oddVBand="0" w:evenVBand="0" w:oddHBand="0" w:evenHBand="0" w:firstRowFirstColumn="0" w:firstRowLastColumn="0" w:lastRowFirstColumn="0" w:lastRowLastColumn="0"/>
            <w:tcW w:w="3005" w:type="dxa"/>
          </w:tcPr>
          <w:p w14:paraId="55566D34" w14:textId="3936D252" w:rsidR="00E21F42" w:rsidRDefault="00E21F42" w:rsidP="00AE1188">
            <w:r>
              <w:t>Total</w:t>
            </w:r>
            <w:r w:rsidR="00D51D86">
              <w:t xml:space="preserve"> - </w:t>
            </w:r>
            <w:r>
              <w:t>33 fraction treatment</w:t>
            </w:r>
          </w:p>
        </w:tc>
        <w:tc>
          <w:tcPr>
            <w:tcW w:w="3005" w:type="dxa"/>
          </w:tcPr>
          <w:p w14:paraId="6FA84AFD" w14:textId="0B34430F" w:rsidR="00E21F42" w:rsidRDefault="00020C70" w:rsidP="00B61153">
            <w:pPr>
              <w:jc w:val="center"/>
              <w:cnfStyle w:val="000000000000" w:firstRow="0" w:lastRow="0" w:firstColumn="0" w:lastColumn="0" w:oddVBand="0" w:evenVBand="0" w:oddHBand="0" w:evenHBand="0" w:firstRowFirstColumn="0" w:firstRowLastColumn="0" w:lastRowFirstColumn="0" w:lastRowLastColumn="0"/>
            </w:pPr>
            <w:r>
              <w:t>$12,790</w:t>
            </w:r>
          </w:p>
        </w:tc>
        <w:tc>
          <w:tcPr>
            <w:tcW w:w="3006" w:type="dxa"/>
          </w:tcPr>
          <w:p w14:paraId="2651C9B7" w14:textId="597E86DA" w:rsidR="00E21F42" w:rsidRDefault="0094028E" w:rsidP="00B61153">
            <w:pPr>
              <w:jc w:val="center"/>
              <w:cnfStyle w:val="000000000000" w:firstRow="0" w:lastRow="0" w:firstColumn="0" w:lastColumn="0" w:oddVBand="0" w:evenVBand="0" w:oddHBand="0" w:evenHBand="0" w:firstRowFirstColumn="0" w:firstRowLastColumn="0" w:lastRowFirstColumn="0" w:lastRowLastColumn="0"/>
            </w:pPr>
            <w:r w:rsidRPr="0094028E">
              <w:rPr>
                <w:highlight w:val="black"/>
              </w:rPr>
              <w:t>____________</w:t>
            </w:r>
          </w:p>
        </w:tc>
      </w:tr>
    </w:tbl>
    <w:p w14:paraId="0317C1C8" w14:textId="77777777" w:rsidR="009733DC" w:rsidRDefault="009733DC" w:rsidP="00AE1188">
      <w:pPr>
        <w:ind w:left="426"/>
      </w:pPr>
    </w:p>
    <w:p w14:paraId="0E0F58A1" w14:textId="24EFD3CE" w:rsidR="00E36395" w:rsidRPr="00154B00" w:rsidRDefault="00E36395" w:rsidP="00AE1188">
      <w:pPr>
        <w:ind w:left="426"/>
        <w:rPr>
          <w:szCs w:val="20"/>
        </w:rPr>
      </w:pPr>
      <w:r>
        <w:t>Note: the extra expense with anaesthetic is to account for the extra</w:t>
      </w:r>
      <w:r w:rsidR="008106E9">
        <w:t xml:space="preserve"> PBT staff</w:t>
      </w:r>
      <w:r>
        <w:t xml:space="preserve"> time</w:t>
      </w:r>
      <w:r w:rsidR="000602C5">
        <w:t xml:space="preserve"> required to perform the task, not for anaesthetic staff or consumables</w:t>
      </w:r>
      <w:r w:rsidR="008106E9">
        <w:t xml:space="preserve"> which is </w:t>
      </w:r>
      <w:r w:rsidR="005E7DB4">
        <w:t>covered by separate item numbers.</w:t>
      </w:r>
    </w:p>
    <w:p w14:paraId="75BBAC67"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3BD1DAE9" w14:textId="4E664641" w:rsidR="00951933" w:rsidRDefault="003A5BE6" w:rsidP="00AE1188">
      <w:pPr>
        <w:ind w:left="426"/>
      </w:pPr>
      <w:r>
        <w:t>There are a number of stages to the delivery of proton therapy.</w:t>
      </w:r>
    </w:p>
    <w:p w14:paraId="44A21DA7" w14:textId="14600A41" w:rsidR="003A5BE6" w:rsidRDefault="003A5BE6" w:rsidP="003A5BE6">
      <w:pPr>
        <w:pStyle w:val="ListParagraph"/>
        <w:numPr>
          <w:ilvl w:val="0"/>
          <w:numId w:val="37"/>
        </w:numPr>
        <w:rPr>
          <w:b/>
          <w:szCs w:val="20"/>
        </w:rPr>
      </w:pPr>
      <w:r>
        <w:rPr>
          <w:b/>
          <w:szCs w:val="20"/>
        </w:rPr>
        <w:t>Treatment simulation with CT or MRI</w:t>
      </w:r>
    </w:p>
    <w:p w14:paraId="43762AFE" w14:textId="7EAD79BC" w:rsidR="003A5BE6" w:rsidRDefault="00E67502" w:rsidP="003A5BE6">
      <w:pPr>
        <w:ind w:left="1146"/>
        <w:rPr>
          <w:bCs/>
          <w:szCs w:val="20"/>
        </w:rPr>
      </w:pPr>
      <w:r w:rsidRPr="00374E48">
        <w:rPr>
          <w:bCs/>
          <w:szCs w:val="20"/>
        </w:rPr>
        <w:t>Typical a</w:t>
      </w:r>
      <w:r w:rsidR="003A5BE6" w:rsidRPr="00374E48">
        <w:rPr>
          <w:bCs/>
          <w:szCs w:val="20"/>
        </w:rPr>
        <w:t>ppointment time</w:t>
      </w:r>
      <w:r w:rsidRPr="00374E48">
        <w:rPr>
          <w:bCs/>
          <w:szCs w:val="20"/>
        </w:rPr>
        <w:t>: 30 mins – 1 hour</w:t>
      </w:r>
      <w:r w:rsidR="00961C61">
        <w:rPr>
          <w:bCs/>
          <w:szCs w:val="20"/>
        </w:rPr>
        <w:t xml:space="preserve"> (without anaesthetic)</w:t>
      </w:r>
    </w:p>
    <w:p w14:paraId="6024101D" w14:textId="23E6A59D" w:rsidR="00961C61" w:rsidRPr="00374E48" w:rsidRDefault="00961C61" w:rsidP="003A5BE6">
      <w:pPr>
        <w:ind w:left="1146"/>
        <w:rPr>
          <w:bCs/>
          <w:szCs w:val="20"/>
        </w:rPr>
      </w:pPr>
      <w:r w:rsidRPr="00374E48">
        <w:rPr>
          <w:bCs/>
          <w:szCs w:val="20"/>
        </w:rPr>
        <w:t xml:space="preserve">Typical appointment time: </w:t>
      </w:r>
      <w:r>
        <w:rPr>
          <w:bCs/>
          <w:szCs w:val="20"/>
        </w:rPr>
        <w:t>1</w:t>
      </w:r>
      <w:r w:rsidRPr="00374E48">
        <w:rPr>
          <w:bCs/>
          <w:szCs w:val="20"/>
        </w:rPr>
        <w:t xml:space="preserve"> </w:t>
      </w:r>
      <w:r>
        <w:rPr>
          <w:bCs/>
          <w:szCs w:val="20"/>
        </w:rPr>
        <w:t>hour</w:t>
      </w:r>
      <w:r w:rsidRPr="00374E48">
        <w:rPr>
          <w:bCs/>
          <w:szCs w:val="20"/>
        </w:rPr>
        <w:t xml:space="preserve"> – </w:t>
      </w:r>
      <w:r>
        <w:rPr>
          <w:bCs/>
          <w:szCs w:val="20"/>
        </w:rPr>
        <w:t>2</w:t>
      </w:r>
      <w:r w:rsidRPr="00374E48">
        <w:rPr>
          <w:bCs/>
          <w:szCs w:val="20"/>
        </w:rPr>
        <w:t xml:space="preserve"> hour</w:t>
      </w:r>
      <w:r>
        <w:rPr>
          <w:bCs/>
          <w:szCs w:val="20"/>
        </w:rPr>
        <w:t xml:space="preserve"> (with anaesthetic)</w:t>
      </w:r>
    </w:p>
    <w:p w14:paraId="53945355" w14:textId="62D1437F" w:rsidR="00E67502" w:rsidRDefault="00E67502" w:rsidP="00E67502">
      <w:pPr>
        <w:pStyle w:val="ListParagraph"/>
        <w:numPr>
          <w:ilvl w:val="0"/>
          <w:numId w:val="37"/>
        </w:numPr>
        <w:rPr>
          <w:b/>
          <w:szCs w:val="20"/>
        </w:rPr>
      </w:pPr>
      <w:r>
        <w:rPr>
          <w:b/>
          <w:szCs w:val="20"/>
        </w:rPr>
        <w:t>Contouring</w:t>
      </w:r>
    </w:p>
    <w:p w14:paraId="11175DB2" w14:textId="11793880" w:rsidR="00E67502" w:rsidRPr="00374E48" w:rsidRDefault="00E67502" w:rsidP="00E67502">
      <w:pPr>
        <w:ind w:left="1146"/>
        <w:rPr>
          <w:bCs/>
          <w:szCs w:val="20"/>
        </w:rPr>
      </w:pPr>
      <w:r w:rsidRPr="00374E48">
        <w:rPr>
          <w:bCs/>
          <w:szCs w:val="20"/>
        </w:rPr>
        <w:t>Typical time: 4 hours – 8 hours</w:t>
      </w:r>
    </w:p>
    <w:p w14:paraId="062B2601" w14:textId="580BB10E" w:rsidR="00E67502" w:rsidRDefault="00E67502" w:rsidP="00E67502">
      <w:pPr>
        <w:pStyle w:val="ListParagraph"/>
        <w:numPr>
          <w:ilvl w:val="0"/>
          <w:numId w:val="37"/>
        </w:numPr>
        <w:rPr>
          <w:b/>
          <w:szCs w:val="20"/>
        </w:rPr>
      </w:pPr>
      <w:r>
        <w:rPr>
          <w:b/>
          <w:szCs w:val="20"/>
        </w:rPr>
        <w:t>Treatment planning</w:t>
      </w:r>
    </w:p>
    <w:p w14:paraId="703A5B91" w14:textId="01B2A22A" w:rsidR="00E67502" w:rsidRPr="00374E48" w:rsidRDefault="00E67502" w:rsidP="00E67502">
      <w:pPr>
        <w:ind w:left="1146"/>
        <w:rPr>
          <w:bCs/>
          <w:szCs w:val="20"/>
        </w:rPr>
      </w:pPr>
      <w:r w:rsidRPr="00374E48">
        <w:rPr>
          <w:bCs/>
          <w:szCs w:val="20"/>
        </w:rPr>
        <w:t>Typical time: 8 hours – 12 hours</w:t>
      </w:r>
    </w:p>
    <w:p w14:paraId="3D03DB95" w14:textId="56FDE216" w:rsidR="00E67502" w:rsidRDefault="00E67502" w:rsidP="00E67502">
      <w:pPr>
        <w:pStyle w:val="ListParagraph"/>
        <w:numPr>
          <w:ilvl w:val="0"/>
          <w:numId w:val="37"/>
        </w:numPr>
        <w:rPr>
          <w:b/>
          <w:szCs w:val="20"/>
        </w:rPr>
      </w:pPr>
      <w:r>
        <w:rPr>
          <w:b/>
          <w:szCs w:val="20"/>
        </w:rPr>
        <w:t>Treatment plan review</w:t>
      </w:r>
    </w:p>
    <w:p w14:paraId="64D74A52" w14:textId="304F30AB" w:rsidR="00E67502" w:rsidRPr="00374E48" w:rsidRDefault="00E67502" w:rsidP="00E67502">
      <w:pPr>
        <w:ind w:left="1146"/>
        <w:rPr>
          <w:bCs/>
          <w:szCs w:val="20"/>
        </w:rPr>
      </w:pPr>
      <w:r w:rsidRPr="00374E48">
        <w:rPr>
          <w:bCs/>
          <w:szCs w:val="20"/>
        </w:rPr>
        <w:t>Typical time: 1 hour</w:t>
      </w:r>
    </w:p>
    <w:p w14:paraId="690AF040" w14:textId="4910811C" w:rsidR="00E67502" w:rsidRDefault="00E67502" w:rsidP="00E67502">
      <w:pPr>
        <w:pStyle w:val="ListParagraph"/>
        <w:numPr>
          <w:ilvl w:val="0"/>
          <w:numId w:val="37"/>
        </w:numPr>
        <w:rPr>
          <w:b/>
          <w:szCs w:val="20"/>
        </w:rPr>
      </w:pPr>
      <w:r>
        <w:rPr>
          <w:b/>
          <w:szCs w:val="20"/>
        </w:rPr>
        <w:t>Treatment plan quality assurance</w:t>
      </w:r>
    </w:p>
    <w:p w14:paraId="1935DDED" w14:textId="24E67D28" w:rsidR="00E67502" w:rsidRPr="00374E48" w:rsidRDefault="00E67502" w:rsidP="00E67502">
      <w:pPr>
        <w:ind w:left="1146"/>
        <w:rPr>
          <w:bCs/>
          <w:szCs w:val="20"/>
        </w:rPr>
      </w:pPr>
      <w:r w:rsidRPr="00374E48">
        <w:rPr>
          <w:bCs/>
          <w:szCs w:val="20"/>
        </w:rPr>
        <w:t>Typical time: 2 hours – 4 hours</w:t>
      </w:r>
    </w:p>
    <w:p w14:paraId="395C3E26" w14:textId="4F6429AE" w:rsidR="00E67502" w:rsidRDefault="00374E48" w:rsidP="00E67502">
      <w:pPr>
        <w:pStyle w:val="ListParagraph"/>
        <w:numPr>
          <w:ilvl w:val="0"/>
          <w:numId w:val="37"/>
        </w:numPr>
        <w:rPr>
          <w:b/>
          <w:szCs w:val="20"/>
        </w:rPr>
      </w:pPr>
      <w:r>
        <w:rPr>
          <w:b/>
          <w:szCs w:val="20"/>
        </w:rPr>
        <w:t>Treatment session</w:t>
      </w:r>
    </w:p>
    <w:p w14:paraId="3F1686F7" w14:textId="6290B0BD" w:rsidR="00374E48" w:rsidRDefault="00374E48" w:rsidP="00374E48">
      <w:pPr>
        <w:ind w:left="1146"/>
        <w:rPr>
          <w:bCs/>
          <w:szCs w:val="20"/>
        </w:rPr>
      </w:pPr>
      <w:r>
        <w:rPr>
          <w:bCs/>
          <w:szCs w:val="20"/>
        </w:rPr>
        <w:lastRenderedPageBreak/>
        <w:t xml:space="preserve">Typical time: 20 mins – </w:t>
      </w:r>
      <w:r w:rsidR="00961C61">
        <w:rPr>
          <w:bCs/>
          <w:szCs w:val="20"/>
        </w:rPr>
        <w:t>30 mins (without anaesthetic)</w:t>
      </w:r>
    </w:p>
    <w:p w14:paraId="63D9324D" w14:textId="11041585" w:rsidR="00961C61" w:rsidRDefault="00961C61" w:rsidP="00374E48">
      <w:pPr>
        <w:ind w:left="1146"/>
        <w:rPr>
          <w:bCs/>
          <w:szCs w:val="20"/>
        </w:rPr>
      </w:pPr>
      <w:r>
        <w:rPr>
          <w:bCs/>
          <w:szCs w:val="20"/>
        </w:rPr>
        <w:t xml:space="preserve">Typical time: </w:t>
      </w:r>
      <w:r w:rsidR="00835504">
        <w:rPr>
          <w:bCs/>
          <w:szCs w:val="20"/>
        </w:rPr>
        <w:t>45</w:t>
      </w:r>
      <w:r>
        <w:rPr>
          <w:bCs/>
          <w:szCs w:val="20"/>
        </w:rPr>
        <w:t xml:space="preserve"> mins – 1</w:t>
      </w:r>
      <w:r w:rsidR="00835504">
        <w:rPr>
          <w:bCs/>
          <w:szCs w:val="20"/>
        </w:rPr>
        <w:t>:15</w:t>
      </w:r>
      <w:r>
        <w:rPr>
          <w:bCs/>
          <w:szCs w:val="20"/>
        </w:rPr>
        <w:t xml:space="preserve"> hour (with anaesthetic)</w:t>
      </w:r>
    </w:p>
    <w:p w14:paraId="05DD009D" w14:textId="2C9A4C1A" w:rsidR="00256C54" w:rsidRDefault="00256C54" w:rsidP="00256C54">
      <w:pPr>
        <w:pStyle w:val="ListParagraph"/>
        <w:numPr>
          <w:ilvl w:val="0"/>
          <w:numId w:val="37"/>
        </w:numPr>
        <w:rPr>
          <w:b/>
          <w:szCs w:val="20"/>
        </w:rPr>
      </w:pPr>
      <w:r w:rsidRPr="00256C54">
        <w:rPr>
          <w:b/>
          <w:szCs w:val="20"/>
        </w:rPr>
        <w:t>Treatment verification</w:t>
      </w:r>
    </w:p>
    <w:p w14:paraId="36663D50" w14:textId="1FB358A7" w:rsidR="00256C54" w:rsidRPr="00256C54" w:rsidRDefault="00256C54" w:rsidP="00256C54">
      <w:pPr>
        <w:ind w:left="1146"/>
        <w:rPr>
          <w:bCs/>
          <w:szCs w:val="20"/>
        </w:rPr>
      </w:pPr>
      <w:r w:rsidRPr="00256C54">
        <w:rPr>
          <w:bCs/>
          <w:szCs w:val="20"/>
        </w:rPr>
        <w:t xml:space="preserve">Typical time: </w:t>
      </w:r>
      <w:r>
        <w:rPr>
          <w:bCs/>
          <w:szCs w:val="20"/>
        </w:rPr>
        <w:t>3</w:t>
      </w:r>
      <w:r w:rsidRPr="00256C54">
        <w:rPr>
          <w:bCs/>
          <w:szCs w:val="20"/>
        </w:rPr>
        <w:t>0 mins</w:t>
      </w:r>
    </w:p>
    <w:p w14:paraId="5E73D195" w14:textId="1C5A2934" w:rsidR="00374E48" w:rsidRDefault="00374E48" w:rsidP="00374E48">
      <w:pPr>
        <w:pStyle w:val="ListParagraph"/>
        <w:numPr>
          <w:ilvl w:val="0"/>
          <w:numId w:val="37"/>
        </w:numPr>
        <w:rPr>
          <w:b/>
          <w:szCs w:val="20"/>
        </w:rPr>
      </w:pPr>
      <w:r>
        <w:rPr>
          <w:b/>
          <w:szCs w:val="20"/>
        </w:rPr>
        <w:t>Treatment course (~3</w:t>
      </w:r>
      <w:r w:rsidR="00742184">
        <w:rPr>
          <w:b/>
          <w:szCs w:val="20"/>
        </w:rPr>
        <w:t>3</w:t>
      </w:r>
      <w:r>
        <w:rPr>
          <w:b/>
          <w:szCs w:val="20"/>
        </w:rPr>
        <w:t xml:space="preserve"> sessions)</w:t>
      </w:r>
    </w:p>
    <w:p w14:paraId="45A80C60" w14:textId="748E8ABF" w:rsidR="00374E48" w:rsidRPr="00374E48" w:rsidRDefault="00374E48" w:rsidP="00374E48">
      <w:pPr>
        <w:ind w:left="1146"/>
        <w:rPr>
          <w:bCs/>
          <w:szCs w:val="20"/>
        </w:rPr>
      </w:pPr>
      <w:r w:rsidRPr="00374E48">
        <w:rPr>
          <w:bCs/>
          <w:szCs w:val="20"/>
        </w:rPr>
        <w:t xml:space="preserve">Typical time: </w:t>
      </w:r>
      <w:r w:rsidR="00961C61">
        <w:rPr>
          <w:bCs/>
          <w:szCs w:val="20"/>
        </w:rPr>
        <w:t xml:space="preserve">1 session per weekday for </w:t>
      </w:r>
      <w:r>
        <w:rPr>
          <w:bCs/>
          <w:szCs w:val="20"/>
        </w:rPr>
        <w:t>6 weeks</w:t>
      </w:r>
    </w:p>
    <w:p w14:paraId="7CC80145" w14:textId="78908935"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2E0E4CB3" w14:textId="2906A505" w:rsidR="000A2866" w:rsidRDefault="00B52B2A" w:rsidP="00B52B2A">
      <w:pPr>
        <w:ind w:left="360"/>
      </w:pPr>
      <w:r>
        <w:t>The proposed item descriptors are aligned with the Oncology Clinical Committee Medicare Benefits Schedule Review.</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MBS item descriptor for simulation and planning of proton beam therapy"/>
        <w:tblDescription w:val="This table provides the proposed description of the requested Medicare Benefits Schedule item for simulation and treatment planning of proton beam therapy."/>
      </w:tblPr>
      <w:tblGrid>
        <w:gridCol w:w="8885"/>
      </w:tblGrid>
      <w:tr w:rsidR="00B52B2A" w14:paraId="6D873BCE" w14:textId="77777777" w:rsidTr="00F7311C">
        <w:trPr>
          <w:tblHeader/>
        </w:trPr>
        <w:tc>
          <w:tcPr>
            <w:tcW w:w="8885" w:type="dxa"/>
            <w:tcBorders>
              <w:top w:val="single" w:sz="4" w:space="0" w:color="000000"/>
              <w:left w:val="single" w:sz="4" w:space="0" w:color="000000"/>
              <w:bottom w:val="single" w:sz="4" w:space="0" w:color="000000"/>
              <w:right w:val="single" w:sz="4" w:space="0" w:color="000000"/>
            </w:tcBorders>
            <w:hideMark/>
          </w:tcPr>
          <w:p w14:paraId="5B1C737C" w14:textId="77777777" w:rsidR="00B52B2A" w:rsidRDefault="00B52B2A" w:rsidP="00B52B2A">
            <w:pPr>
              <w:pStyle w:val="Tabletext"/>
              <w:keepNext/>
            </w:pPr>
            <w:r>
              <w:t xml:space="preserve">Category 3 – </w:t>
            </w:r>
            <w:r w:rsidRPr="009C17F8">
              <w:t>XXXXXX</w:t>
            </w:r>
          </w:p>
        </w:tc>
      </w:tr>
      <w:tr w:rsidR="00B52B2A" w14:paraId="35381847" w14:textId="77777777" w:rsidTr="006E692E">
        <w:tc>
          <w:tcPr>
            <w:tcW w:w="8885" w:type="dxa"/>
            <w:tcBorders>
              <w:top w:val="single" w:sz="4" w:space="0" w:color="000000"/>
              <w:left w:val="single" w:sz="4" w:space="0" w:color="000000"/>
              <w:bottom w:val="single" w:sz="4" w:space="0" w:color="000000"/>
              <w:right w:val="single" w:sz="4" w:space="0" w:color="000000"/>
            </w:tcBorders>
            <w:hideMark/>
          </w:tcPr>
          <w:p w14:paraId="780E2CEB" w14:textId="77777777" w:rsidR="00B52B2A" w:rsidRDefault="00B52B2A" w:rsidP="00B52B2A">
            <w:pPr>
              <w:pStyle w:val="Tabletext"/>
              <w:keepNext/>
            </w:pPr>
            <w:r>
              <w:t xml:space="preserve">Megavoltage Level 6 - Proton Beam Therapy Simulation &amp; Planning </w:t>
            </w:r>
          </w:p>
          <w:p w14:paraId="52DE208A" w14:textId="77777777" w:rsidR="00B52B2A" w:rsidRDefault="00B52B2A" w:rsidP="00B52B2A">
            <w:pPr>
              <w:pStyle w:val="Tabletext"/>
              <w:keepNext/>
            </w:pPr>
            <w:r>
              <w:t xml:space="preserve">(a) Simulation for PROTON BEAM RADIOTHERAPY, if: </w:t>
            </w:r>
          </w:p>
          <w:p w14:paraId="2E934100" w14:textId="77777777" w:rsidR="00B52B2A" w:rsidRDefault="00B52B2A" w:rsidP="00B52B2A">
            <w:pPr>
              <w:pStyle w:val="Tabletext"/>
              <w:keepNext/>
              <w:ind w:left="437"/>
            </w:pPr>
            <w:r>
              <w:t xml:space="preserve">i. Patient set-up and immobilisation techniques are suitable for reliable image volume data acquisition and reproducible IMPT treatment; and </w:t>
            </w:r>
          </w:p>
          <w:p w14:paraId="623161EF" w14:textId="77777777" w:rsidR="00B52B2A" w:rsidRDefault="00B52B2A" w:rsidP="00B52B2A">
            <w:pPr>
              <w:pStyle w:val="Tabletext"/>
              <w:keepNext/>
              <w:ind w:left="437"/>
            </w:pPr>
            <w:r>
              <w:t xml:space="preserve">ii. A high-quality three dimensional or four dimensional image volume dataset is acquired in treatment position for the relevant region of interest to be planned, treated and verified (through daily planar or volumetric image guidance strategies); and </w:t>
            </w:r>
          </w:p>
          <w:p w14:paraId="1B86EBDD" w14:textId="77777777" w:rsidR="00B52B2A" w:rsidRDefault="00B52B2A" w:rsidP="00B52B2A">
            <w:pPr>
              <w:pStyle w:val="Tabletext"/>
              <w:keepNext/>
              <w:ind w:left="437"/>
            </w:pPr>
            <w:r>
              <w:t xml:space="preserve">iii. The image-set must be suitable for fusion or co-registration with diagnostic quality datasets and generation of quality digitally reconstructed radiographic images to all complex IMPT, and </w:t>
            </w:r>
          </w:p>
          <w:p w14:paraId="22132F31" w14:textId="77777777" w:rsidR="00B52B2A" w:rsidRDefault="00B52B2A" w:rsidP="00B52B2A">
            <w:pPr>
              <w:pStyle w:val="Tabletext"/>
              <w:keepNext/>
            </w:pPr>
            <w:r>
              <w:t xml:space="preserve">(b) Dosimetry for proton beam therapy if: </w:t>
            </w:r>
          </w:p>
          <w:p w14:paraId="55061D3A" w14:textId="77777777" w:rsidR="00B52B2A" w:rsidRDefault="00B52B2A" w:rsidP="00B52B2A">
            <w:pPr>
              <w:pStyle w:val="Tabletext"/>
              <w:keepNext/>
              <w:ind w:left="437"/>
            </w:pPr>
            <w:r>
              <w:t xml:space="preserve">i. The complex IMPT delivery planning process is required to calculate dose to single or multiple target structures and requires a dose-volume histogram to complete the planning process; and </w:t>
            </w:r>
          </w:p>
          <w:p w14:paraId="669C1D46" w14:textId="77777777" w:rsidR="00B52B2A" w:rsidRDefault="00B52B2A" w:rsidP="00B52B2A">
            <w:pPr>
              <w:pStyle w:val="Tabletext"/>
              <w:keepNext/>
              <w:ind w:left="437"/>
            </w:pPr>
            <w:r>
              <w:t xml:space="preserve">ii. The complex IMPT delivery planning process maximises the differential between target dose, organs at risk and normal tissue dose, based on review and assessment by a radiation oncologist; and </w:t>
            </w:r>
          </w:p>
          <w:p w14:paraId="0E1BF327" w14:textId="77777777" w:rsidR="00B52B2A" w:rsidRDefault="00B52B2A" w:rsidP="00B52B2A">
            <w:pPr>
              <w:pStyle w:val="Tabletext"/>
              <w:keepNext/>
              <w:ind w:left="437"/>
            </w:pPr>
            <w:r>
              <w:t xml:space="preserve">iii. All gross tumour volume, clinical targets volumes, planning targets volumes and organs at risk must be rendered; and </w:t>
            </w:r>
          </w:p>
          <w:p w14:paraId="614BE825" w14:textId="77777777" w:rsidR="00B52B2A" w:rsidRDefault="00B52B2A" w:rsidP="00B52B2A">
            <w:pPr>
              <w:pStyle w:val="Tabletext"/>
              <w:keepNext/>
              <w:ind w:left="437"/>
            </w:pPr>
            <w:r>
              <w:t xml:space="preserve">iv. Organs at risk must be nominated as planning dose goals or constraints; and </w:t>
            </w:r>
          </w:p>
          <w:p w14:paraId="3815D07F" w14:textId="77777777" w:rsidR="00B52B2A" w:rsidRDefault="00B52B2A" w:rsidP="00B52B2A">
            <w:pPr>
              <w:pStyle w:val="Tabletext"/>
              <w:keepNext/>
              <w:ind w:left="437"/>
            </w:pPr>
            <w:r>
              <w:t xml:space="preserve">v. Dose calculations and dose-volume histograms must be generated in a complex inverse-planned process, using a specialised calculation algorithm, with prescription and plan details approved and recorded with the plan; and </w:t>
            </w:r>
          </w:p>
          <w:p w14:paraId="37EC780C" w14:textId="77777777" w:rsidR="00B52B2A" w:rsidRDefault="00B52B2A" w:rsidP="00B52B2A">
            <w:pPr>
              <w:pStyle w:val="Tabletext"/>
              <w:keepNext/>
              <w:ind w:left="437"/>
            </w:pPr>
            <w:r>
              <w:t xml:space="preserve">vi. Three dimensional image volume dataset must be used for the relevant region to be planned, treated and verified; and </w:t>
            </w:r>
          </w:p>
          <w:p w14:paraId="05C62B05" w14:textId="77777777" w:rsidR="00B52B2A" w:rsidRDefault="00B52B2A" w:rsidP="00B52B2A">
            <w:pPr>
              <w:pStyle w:val="Tabletext"/>
              <w:keepNext/>
              <w:ind w:left="437"/>
            </w:pPr>
            <w:r>
              <w:t>vii. Relevant multi-modality diagnostic imaging (imaging including four-dimensional CT, contrast-enhanced CT, magnetic resonance imaging and positron emission tomography is used to delineate all relevant targets and organs at risk; and</w:t>
            </w:r>
          </w:p>
          <w:p w14:paraId="1E6D1D4F" w14:textId="77777777" w:rsidR="00B52B2A" w:rsidRDefault="00B52B2A" w:rsidP="00B52B2A">
            <w:pPr>
              <w:pStyle w:val="Tabletext"/>
              <w:keepNext/>
              <w:ind w:left="437"/>
            </w:pPr>
            <w:r>
              <w:t xml:space="preserve">viii. Images are suitable for generation of quality digitally reconstructed radiographic images; and </w:t>
            </w:r>
          </w:p>
          <w:p w14:paraId="5B0A25E8" w14:textId="77777777" w:rsidR="00B52B2A" w:rsidRDefault="00B52B2A" w:rsidP="00B52B2A">
            <w:pPr>
              <w:pStyle w:val="Tabletext"/>
              <w:keepNext/>
              <w:ind w:left="437"/>
            </w:pPr>
            <w:r>
              <w:t xml:space="preserve">ix. The final dosimetry plan is validated by both the appropriately qualified radiation therapist and/or medical physicist, using robust quality-assurance processes, with the plan approved by the radiation oncologist prior to delivery, which must include: </w:t>
            </w:r>
          </w:p>
          <w:p w14:paraId="2F5D16B0" w14:textId="77777777" w:rsidR="00B52B2A" w:rsidRDefault="00B52B2A" w:rsidP="00B52B2A">
            <w:pPr>
              <w:pStyle w:val="Tabletext"/>
              <w:keepNext/>
              <w:ind w:left="721"/>
            </w:pPr>
            <w:r>
              <w:t xml:space="preserve">A. Determination of accuracy of dose fluence delivered by the pencil beam scanning system and gantry position (static or dynamic); or </w:t>
            </w:r>
          </w:p>
          <w:p w14:paraId="213C3CE0" w14:textId="77777777" w:rsidR="00B52B2A" w:rsidRDefault="00B52B2A" w:rsidP="00B52B2A">
            <w:pPr>
              <w:pStyle w:val="Tabletext"/>
              <w:keepNext/>
              <w:ind w:left="721"/>
            </w:pPr>
            <w:r>
              <w:t xml:space="preserve">B. Ensuring the plan is deliverable, data transfer is acceptable and validation checks are completed on a proton therapy system; or </w:t>
            </w:r>
          </w:p>
          <w:p w14:paraId="1EF8162C" w14:textId="77777777" w:rsidR="00B52B2A" w:rsidRDefault="00B52B2A" w:rsidP="00B52B2A">
            <w:pPr>
              <w:pStyle w:val="Tabletext"/>
              <w:keepNext/>
              <w:ind w:left="721"/>
            </w:pPr>
            <w:r>
              <w:t xml:space="preserve">C. Validation of accuracy of the derived IMPT treatment plan; and </w:t>
            </w:r>
          </w:p>
          <w:p w14:paraId="2E7763B0" w14:textId="77777777" w:rsidR="00B52B2A" w:rsidRDefault="00B52B2A" w:rsidP="00B52B2A">
            <w:pPr>
              <w:pStyle w:val="Tabletext"/>
              <w:keepNext/>
              <w:ind w:left="437"/>
            </w:pPr>
            <w:r>
              <w:t>x. Only one ADDITIONAL dosimetry plan (for re-planning/adaptive strategy) every 5 treatment fractions is payable through the MBS during the treatment course (at 50% of the fee for this item), when treatment adjustments are inadequate to satisfy treatment protocol requirements.</w:t>
            </w:r>
          </w:p>
        </w:tc>
      </w:tr>
    </w:tbl>
    <w:p w14:paraId="17EC352F" w14:textId="77777777" w:rsidR="00B52B2A" w:rsidRDefault="00B52B2A" w:rsidP="00B52B2A">
      <w:pPr>
        <w:jc w:val="both"/>
        <w:rPr>
          <w:rFonts w:ascii="Calibri" w:hAnsi="Calibri" w:cs="Tahoma"/>
          <w:sz w:val="22"/>
          <w:highlight w:val="yellow"/>
        </w:rPr>
      </w:pPr>
    </w:p>
    <w:p w14:paraId="5BC11880" w14:textId="7EF5796B" w:rsidR="00B52B2A" w:rsidRDefault="00B52B2A" w:rsidP="00B52B2A">
      <w:pPr>
        <w:pStyle w:val="Caption"/>
        <w:tabs>
          <w:tab w:val="left" w:pos="1134"/>
        </w:tabs>
        <w:ind w:left="1134" w:hanging="1134"/>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MBS item descriptor for treatment and verification of proton beam therapy"/>
        <w:tblDescription w:val="This table provides the proposed description of the requested Medicare Benefits Schedule item for simulation and treatment planning of proton beam therapy."/>
      </w:tblPr>
      <w:tblGrid>
        <w:gridCol w:w="8885"/>
      </w:tblGrid>
      <w:tr w:rsidR="00B52B2A" w14:paraId="39D3092C" w14:textId="77777777" w:rsidTr="00F7311C">
        <w:trPr>
          <w:tblHeader/>
        </w:trPr>
        <w:tc>
          <w:tcPr>
            <w:tcW w:w="8885" w:type="dxa"/>
            <w:tcBorders>
              <w:top w:val="single" w:sz="4" w:space="0" w:color="000000"/>
              <w:left w:val="single" w:sz="4" w:space="0" w:color="000000"/>
              <w:bottom w:val="single" w:sz="4" w:space="0" w:color="000000"/>
              <w:right w:val="single" w:sz="4" w:space="0" w:color="000000"/>
            </w:tcBorders>
            <w:hideMark/>
          </w:tcPr>
          <w:p w14:paraId="19D5CAD5" w14:textId="77777777" w:rsidR="00B52B2A" w:rsidRDefault="00B52B2A" w:rsidP="00B52B2A">
            <w:pPr>
              <w:pStyle w:val="Tabletext"/>
              <w:keepNext/>
            </w:pPr>
            <w:r>
              <w:lastRenderedPageBreak/>
              <w:t xml:space="preserve">Category 3 – </w:t>
            </w:r>
            <w:r w:rsidRPr="009C17F8">
              <w:t>XXXXXX</w:t>
            </w:r>
          </w:p>
        </w:tc>
      </w:tr>
      <w:tr w:rsidR="00B52B2A" w14:paraId="41CECED6" w14:textId="77777777" w:rsidTr="00F7311C">
        <w:tc>
          <w:tcPr>
            <w:tcW w:w="8885" w:type="dxa"/>
            <w:tcBorders>
              <w:top w:val="single" w:sz="4" w:space="0" w:color="000000"/>
              <w:left w:val="single" w:sz="4" w:space="0" w:color="000000"/>
              <w:bottom w:val="single" w:sz="4" w:space="0" w:color="000000"/>
              <w:right w:val="single" w:sz="4" w:space="0" w:color="000000"/>
            </w:tcBorders>
            <w:hideMark/>
          </w:tcPr>
          <w:p w14:paraId="7013B4DF" w14:textId="77777777" w:rsidR="00B52B2A" w:rsidRDefault="00B52B2A" w:rsidP="00B52B2A">
            <w:pPr>
              <w:pStyle w:val="Tabletext"/>
              <w:keepNext/>
              <w:ind w:left="12"/>
            </w:pPr>
            <w:r>
              <w:t>Megavoltage Level 6 – Proton Beam Therapy Treatment &amp; Verification, Treatment Strategies</w:t>
            </w:r>
          </w:p>
          <w:p w14:paraId="3F0ED1B0" w14:textId="77777777" w:rsidR="00B52B2A" w:rsidRDefault="00B52B2A" w:rsidP="00B52B2A">
            <w:pPr>
              <w:pStyle w:val="Tabletext"/>
              <w:keepNext/>
              <w:ind w:left="12"/>
            </w:pPr>
            <w:r>
              <w:t xml:space="preserve">Proton beam therapy and verification, using a device approved by the Therapeutic Goods Administration if: </w:t>
            </w:r>
          </w:p>
          <w:p w14:paraId="368F1E63" w14:textId="77777777" w:rsidR="00B52B2A" w:rsidRDefault="00B52B2A" w:rsidP="00B52B2A">
            <w:pPr>
              <w:pStyle w:val="Tabletext"/>
              <w:keepNext/>
              <w:ind w:left="12"/>
            </w:pPr>
            <w:r>
              <w:t xml:space="preserve">(a) Image-guided radiation therapy imaging is used (with motion management functionality if required) to implement a complex IMPT, prepared in accordance with item 15XXX; and </w:t>
            </w:r>
          </w:p>
          <w:p w14:paraId="2B8D8073" w14:textId="77777777" w:rsidR="00B52B2A" w:rsidRDefault="00B52B2A" w:rsidP="00B52B2A">
            <w:pPr>
              <w:pStyle w:val="Tabletext"/>
              <w:keepNext/>
              <w:ind w:left="12"/>
            </w:pPr>
            <w:r>
              <w:t xml:space="preserve">(b) Complex IMPT delivery mode is utilised (delivered by a fixed or dynamic gantry proton therapy delivery system); and image decisions and actions are documented in the patient’s record; and </w:t>
            </w:r>
          </w:p>
          <w:p w14:paraId="6E85965D" w14:textId="77777777" w:rsidR="00B52B2A" w:rsidRDefault="00B52B2A" w:rsidP="00B52B2A">
            <w:pPr>
              <w:pStyle w:val="Tabletext"/>
              <w:keepNext/>
              <w:ind w:left="12"/>
            </w:pPr>
            <w:r>
              <w:t xml:space="preserve">(c) Payable once only for each attendance at which treatment is given (with two attendances only paid if another site is located in a different organ/part of the body and requires treatment on the same day), and </w:t>
            </w:r>
          </w:p>
          <w:p w14:paraId="15E65EC8" w14:textId="77777777" w:rsidR="00B52B2A" w:rsidRDefault="00B52B2A" w:rsidP="00B52B2A">
            <w:pPr>
              <w:pStyle w:val="Tabletext"/>
              <w:keepNext/>
              <w:ind w:left="12"/>
            </w:pPr>
            <w:r>
              <w:t>(d) Daily treatment verification is included in the MBS fee, and patient-specific IMPT quality assurance applied to all cases, with one ADDITIONAL IMPT plan/adaptive strategy payable per 5 fractions (at 50% of the fee for item 15XXX) when treatment adjustments are inadequate to satisfy treatment protocol requirements.</w:t>
            </w:r>
          </w:p>
        </w:tc>
      </w:tr>
    </w:tbl>
    <w:p w14:paraId="6C4A1D57" w14:textId="77777777" w:rsidR="00B52B2A" w:rsidRDefault="00B52B2A" w:rsidP="00B52B2A">
      <w:pPr>
        <w:jc w:val="both"/>
        <w:rPr>
          <w:rFonts w:ascii="Calibri" w:hAnsi="Calibri" w:cs="Tahoma"/>
          <w:sz w:val="22"/>
          <w:highlight w:val="yellow"/>
        </w:rPr>
      </w:pPr>
    </w:p>
    <w:p w14:paraId="72548638" w14:textId="77777777" w:rsidR="00B52B2A" w:rsidRDefault="00B52B2A" w:rsidP="00B52B2A">
      <w:pPr>
        <w:ind w:left="426"/>
        <w:jc w:val="both"/>
        <w:rPr>
          <w:i/>
          <w:iCs/>
        </w:rPr>
      </w:pPr>
      <w:r>
        <w:rPr>
          <w:i/>
          <w:iCs/>
        </w:rPr>
        <w:t>In items 15XXX and 15YYY: Inverse Planned Proton Beam Therapy is localised through 3D or 4D volumetric imaging to identify Clinical and Planning Targets, Organs at Risk and Normal Tissue (and tumour/OAR excursion in the case of 4D applications). Planning includes optimisation of the dose based on assessment of OAR doses. This technique involves very sharp dose gradients adjacent to both targets and organs at risk increasing the consequences of any geometric uncertainty, making daily treatment verification (IGRT) an essential component of quality IMPT. In the case of 4D applications, treatment delivery utilises some form of motion management (gating, deep inspiration breath hold, rescanning etc.) and further complicates the planning, delivery and quality assurance processes. It is the tumour location, size, adjacent organs and dosimetry that define the appropriate role for IMPT, and support an approach where the clinical circumstances rather than specific diagnoses are the most important determinants for using IMPT. Patient specific pretreatment Quality Assurance will be required and consideration for re-planning/adaption is included.</w:t>
      </w:r>
    </w:p>
    <w:p w14:paraId="2BBE2AA4" w14:textId="02FF39C4" w:rsidR="00B52B2A" w:rsidRDefault="00B52B2A" w:rsidP="005165E1">
      <w:pPr>
        <w:ind w:left="426"/>
        <w:jc w:val="both"/>
        <w:rPr>
          <w:i/>
          <w:iCs/>
        </w:rPr>
      </w:pPr>
      <w:r>
        <w:rPr>
          <w:i/>
          <w:iCs/>
        </w:rPr>
        <w:t>Delivery Technologies: Proton accelerator based fixed beam IMPT, Proton accelerator based IMPT with a gantry</w:t>
      </w:r>
    </w:p>
    <w:p w14:paraId="4DA44122" w14:textId="347B2EB4" w:rsidR="00E97A35" w:rsidRPr="00733FB5" w:rsidRDefault="00B52B2A" w:rsidP="00AF0B97">
      <w:pPr>
        <w:ind w:left="426"/>
        <w:jc w:val="both"/>
      </w:pPr>
      <w:r>
        <w:rPr>
          <w:i/>
          <w:iCs/>
        </w:rPr>
        <w:t>Grouped Elements: 3D or 4D Simulation/IMPT Planning. Daily Verification, Pre-Treatment QA and 1 x Re-planning/Adaption event per 5 days of treatment.</w:t>
      </w:r>
      <w:bookmarkStart w:id="4" w:name="_GoBack"/>
      <w:bookmarkEnd w:id="4"/>
      <w:r w:rsidR="00AF0B97" w:rsidRPr="00733FB5">
        <w:t xml:space="preserve"> </w:t>
      </w:r>
    </w:p>
    <w:p w14:paraId="6BCF56FC" w14:textId="66DDAB51" w:rsidR="00451840" w:rsidRPr="009C17F8" w:rsidRDefault="00451840" w:rsidP="009C17F8">
      <w:pPr>
        <w:spacing w:before="0" w:after="200" w:line="276" w:lineRule="auto"/>
        <w:rPr>
          <w:bCs/>
          <w:color w:val="4F81BD" w:themeColor="accent1"/>
          <w:sz w:val="40"/>
          <w:szCs w:val="32"/>
        </w:rPr>
      </w:pPr>
    </w:p>
    <w:sectPr w:rsidR="00451840" w:rsidRPr="009C17F8"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9B7DE" w14:textId="77777777" w:rsidR="00327AB8" w:rsidRDefault="00327AB8" w:rsidP="00CF2DFA">
      <w:pPr>
        <w:spacing w:after="0"/>
      </w:pPr>
      <w:r>
        <w:separator/>
      </w:r>
    </w:p>
  </w:endnote>
  <w:endnote w:type="continuationSeparator" w:id="0">
    <w:p w14:paraId="0B170618" w14:textId="77777777" w:rsidR="00327AB8" w:rsidRDefault="00327AB8"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7A20" w14:textId="77777777" w:rsidR="00A95AB2" w:rsidRDefault="00A95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676F0D5B" w14:textId="60004BCD" w:rsidR="006E692E" w:rsidRDefault="006E692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A95AB2" w:rsidRPr="00A95AB2">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2A6045EF" w14:textId="77777777" w:rsidR="006E692E" w:rsidRPr="003F7CB9" w:rsidRDefault="006E692E"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D1CA" w14:textId="77777777" w:rsidR="00A95AB2" w:rsidRDefault="00A95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09AC5" w14:textId="77777777" w:rsidR="00327AB8" w:rsidRDefault="00327AB8" w:rsidP="00CF2DFA">
      <w:pPr>
        <w:spacing w:after="0"/>
      </w:pPr>
      <w:r>
        <w:separator/>
      </w:r>
    </w:p>
  </w:footnote>
  <w:footnote w:type="continuationSeparator" w:id="0">
    <w:p w14:paraId="70FE0E63" w14:textId="77777777" w:rsidR="00327AB8" w:rsidRDefault="00327AB8" w:rsidP="00CF2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66E35" w14:textId="77777777" w:rsidR="00A95AB2" w:rsidRDefault="00A95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571AB" w14:textId="77777777" w:rsidR="00A95AB2" w:rsidRDefault="00A95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6CBBA" w14:textId="77777777" w:rsidR="00A95AB2" w:rsidRDefault="00A95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584F74"/>
    <w:multiLevelType w:val="hybridMultilevel"/>
    <w:tmpl w:val="14DA3A4E"/>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553DA6"/>
    <w:multiLevelType w:val="hybridMultilevel"/>
    <w:tmpl w:val="9D5A1AF4"/>
    <w:lvl w:ilvl="0" w:tplc="0C09000F">
      <w:start w:val="1"/>
      <w:numFmt w:val="decimal"/>
      <w:lvlText w:val="%1."/>
      <w:lvlJc w:val="left"/>
      <w:pPr>
        <w:ind w:left="1146" w:hanging="360"/>
      </w:p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471F21BC"/>
    <w:multiLevelType w:val="hybridMultilevel"/>
    <w:tmpl w:val="FA1A528C"/>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4AF448FA"/>
    <w:multiLevelType w:val="hybridMultilevel"/>
    <w:tmpl w:val="CBB80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204B2B"/>
    <w:multiLevelType w:val="hybridMultilevel"/>
    <w:tmpl w:val="087A7872"/>
    <w:lvl w:ilvl="0" w:tplc="0C090001">
      <w:start w:val="1"/>
      <w:numFmt w:val="bullet"/>
      <w:lvlText w:val=""/>
      <w:lvlJc w:val="left"/>
      <w:pPr>
        <w:ind w:left="1146" w:hanging="360"/>
      </w:pPr>
      <w:rPr>
        <w:rFonts w:ascii="Symbol" w:hAnsi="Symbol" w:cs="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cs="Wingdings" w:hint="default"/>
      </w:rPr>
    </w:lvl>
    <w:lvl w:ilvl="3" w:tplc="0C090001" w:tentative="1">
      <w:start w:val="1"/>
      <w:numFmt w:val="bullet"/>
      <w:lvlText w:val=""/>
      <w:lvlJc w:val="left"/>
      <w:pPr>
        <w:ind w:left="3306" w:hanging="360"/>
      </w:pPr>
      <w:rPr>
        <w:rFonts w:ascii="Symbol" w:hAnsi="Symbol" w:cs="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cs="Wingdings" w:hint="default"/>
      </w:rPr>
    </w:lvl>
    <w:lvl w:ilvl="6" w:tplc="0C090001" w:tentative="1">
      <w:start w:val="1"/>
      <w:numFmt w:val="bullet"/>
      <w:lvlText w:val=""/>
      <w:lvlJc w:val="left"/>
      <w:pPr>
        <w:ind w:left="5466" w:hanging="360"/>
      </w:pPr>
      <w:rPr>
        <w:rFonts w:ascii="Symbol" w:hAnsi="Symbol" w:cs="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cs="Wingdings" w:hint="default"/>
      </w:rPr>
    </w:lvl>
  </w:abstractNum>
  <w:abstractNum w:abstractNumId="18"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33356A"/>
    <w:multiLevelType w:val="hybridMultilevel"/>
    <w:tmpl w:val="591CE6F0"/>
    <w:lvl w:ilvl="0" w:tplc="0E9A723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9A6EF7"/>
    <w:multiLevelType w:val="hybridMultilevel"/>
    <w:tmpl w:val="882ECC1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2EC1F31"/>
    <w:multiLevelType w:val="hybridMultilevel"/>
    <w:tmpl w:val="180CCBCA"/>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5"/>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21"/>
  </w:num>
  <w:num w:numId="26">
    <w:abstractNumId w:val="3"/>
  </w:num>
  <w:num w:numId="27">
    <w:abstractNumId w:val="18"/>
  </w:num>
  <w:num w:numId="28">
    <w:abstractNumId w:val="10"/>
  </w:num>
  <w:num w:numId="29">
    <w:abstractNumId w:val="23"/>
  </w:num>
  <w:num w:numId="30">
    <w:abstractNumId w:val="2"/>
  </w:num>
  <w:num w:numId="31">
    <w:abstractNumId w:val="20"/>
  </w:num>
  <w:num w:numId="32">
    <w:abstractNumId w:val="7"/>
  </w:num>
  <w:num w:numId="33">
    <w:abstractNumId w:val="19"/>
  </w:num>
  <w:num w:numId="34">
    <w:abstractNumId w:val="5"/>
  </w:num>
  <w:num w:numId="35">
    <w:abstractNumId w:val="13"/>
  </w:num>
  <w:num w:numId="36">
    <w:abstractNumId w:val="0"/>
  </w:num>
  <w:num w:numId="37">
    <w:abstractNumId w:val="6"/>
  </w:num>
  <w:num w:numId="38">
    <w:abstractNumId w:val="14"/>
  </w:num>
  <w:num w:numId="39">
    <w:abstractNumId w:val="22"/>
  </w:num>
  <w:num w:numId="40">
    <w:abstractNumId w:val="26"/>
  </w:num>
  <w:num w:numId="41">
    <w:abstractNumId w:val="12"/>
  </w:num>
  <w:num w:numId="42">
    <w:abstractNumId w:val="25"/>
  </w:num>
  <w:num w:numId="43">
    <w:abstractNumId w:val="1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2521"/>
    <w:rsid w:val="00012A79"/>
    <w:rsid w:val="000158AA"/>
    <w:rsid w:val="000159B9"/>
    <w:rsid w:val="00015CFE"/>
    <w:rsid w:val="00016B6E"/>
    <w:rsid w:val="00020C70"/>
    <w:rsid w:val="00021E99"/>
    <w:rsid w:val="0002263E"/>
    <w:rsid w:val="00023E21"/>
    <w:rsid w:val="00025ABC"/>
    <w:rsid w:val="00026412"/>
    <w:rsid w:val="00031F6F"/>
    <w:rsid w:val="00034D6E"/>
    <w:rsid w:val="00043DEE"/>
    <w:rsid w:val="0005089D"/>
    <w:rsid w:val="000518D4"/>
    <w:rsid w:val="000525BC"/>
    <w:rsid w:val="00056424"/>
    <w:rsid w:val="000576F9"/>
    <w:rsid w:val="000602C5"/>
    <w:rsid w:val="00063492"/>
    <w:rsid w:val="00064459"/>
    <w:rsid w:val="00073222"/>
    <w:rsid w:val="000770BA"/>
    <w:rsid w:val="00090876"/>
    <w:rsid w:val="00092228"/>
    <w:rsid w:val="00092580"/>
    <w:rsid w:val="000955E7"/>
    <w:rsid w:val="000966C4"/>
    <w:rsid w:val="000A110D"/>
    <w:rsid w:val="000A2866"/>
    <w:rsid w:val="000A287C"/>
    <w:rsid w:val="000A478F"/>
    <w:rsid w:val="000A5B32"/>
    <w:rsid w:val="000B03D4"/>
    <w:rsid w:val="000B3CD0"/>
    <w:rsid w:val="000D066E"/>
    <w:rsid w:val="000D0831"/>
    <w:rsid w:val="000D4D4A"/>
    <w:rsid w:val="000D5575"/>
    <w:rsid w:val="000D6828"/>
    <w:rsid w:val="000E47E7"/>
    <w:rsid w:val="000E5439"/>
    <w:rsid w:val="000E7617"/>
    <w:rsid w:val="000F4F79"/>
    <w:rsid w:val="00100A61"/>
    <w:rsid w:val="00102686"/>
    <w:rsid w:val="00105AF3"/>
    <w:rsid w:val="00107086"/>
    <w:rsid w:val="00107D0D"/>
    <w:rsid w:val="0011036E"/>
    <w:rsid w:val="00111105"/>
    <w:rsid w:val="00111C9B"/>
    <w:rsid w:val="001130B0"/>
    <w:rsid w:val="0011369B"/>
    <w:rsid w:val="00114865"/>
    <w:rsid w:val="0011742E"/>
    <w:rsid w:val="00123D10"/>
    <w:rsid w:val="00126B33"/>
    <w:rsid w:val="0013791F"/>
    <w:rsid w:val="00142916"/>
    <w:rsid w:val="001538F1"/>
    <w:rsid w:val="00154B00"/>
    <w:rsid w:val="00155D89"/>
    <w:rsid w:val="00162EEB"/>
    <w:rsid w:val="001644E9"/>
    <w:rsid w:val="00170AA2"/>
    <w:rsid w:val="00171428"/>
    <w:rsid w:val="00176F15"/>
    <w:rsid w:val="001832C2"/>
    <w:rsid w:val="001845D9"/>
    <w:rsid w:val="0018630F"/>
    <w:rsid w:val="001906CD"/>
    <w:rsid w:val="00191B99"/>
    <w:rsid w:val="0019694B"/>
    <w:rsid w:val="00197D29"/>
    <w:rsid w:val="001A02E3"/>
    <w:rsid w:val="001A0FF9"/>
    <w:rsid w:val="001A1ADF"/>
    <w:rsid w:val="001A30C0"/>
    <w:rsid w:val="001A365C"/>
    <w:rsid w:val="001B171D"/>
    <w:rsid w:val="001B1EB7"/>
    <w:rsid w:val="001B29A1"/>
    <w:rsid w:val="001B5169"/>
    <w:rsid w:val="001B6164"/>
    <w:rsid w:val="001C4178"/>
    <w:rsid w:val="001D1F3F"/>
    <w:rsid w:val="001D3B7B"/>
    <w:rsid w:val="001D3CED"/>
    <w:rsid w:val="001D77ED"/>
    <w:rsid w:val="001D7CFE"/>
    <w:rsid w:val="001E1180"/>
    <w:rsid w:val="001E23EA"/>
    <w:rsid w:val="001E2508"/>
    <w:rsid w:val="001E6919"/>
    <w:rsid w:val="001E6958"/>
    <w:rsid w:val="001E7780"/>
    <w:rsid w:val="00200FF8"/>
    <w:rsid w:val="00201924"/>
    <w:rsid w:val="00202473"/>
    <w:rsid w:val="002053F2"/>
    <w:rsid w:val="00206D63"/>
    <w:rsid w:val="0021185D"/>
    <w:rsid w:val="00221924"/>
    <w:rsid w:val="0022253F"/>
    <w:rsid w:val="002245AD"/>
    <w:rsid w:val="00226777"/>
    <w:rsid w:val="00235BD1"/>
    <w:rsid w:val="00237D03"/>
    <w:rsid w:val="00242B0E"/>
    <w:rsid w:val="00242F51"/>
    <w:rsid w:val="00244828"/>
    <w:rsid w:val="00247ACC"/>
    <w:rsid w:val="00247DF0"/>
    <w:rsid w:val="00254813"/>
    <w:rsid w:val="002554AF"/>
    <w:rsid w:val="00256C54"/>
    <w:rsid w:val="00257FF2"/>
    <w:rsid w:val="00265822"/>
    <w:rsid w:val="0027105F"/>
    <w:rsid w:val="002711FB"/>
    <w:rsid w:val="0027239D"/>
    <w:rsid w:val="002749DC"/>
    <w:rsid w:val="00281964"/>
    <w:rsid w:val="002822AA"/>
    <w:rsid w:val="00282BE8"/>
    <w:rsid w:val="00283318"/>
    <w:rsid w:val="00285525"/>
    <w:rsid w:val="00294CD8"/>
    <w:rsid w:val="002A1393"/>
    <w:rsid w:val="002A270B"/>
    <w:rsid w:val="002A50FD"/>
    <w:rsid w:val="002A6753"/>
    <w:rsid w:val="002A6BF2"/>
    <w:rsid w:val="002B28D7"/>
    <w:rsid w:val="002B7EB6"/>
    <w:rsid w:val="002C0B61"/>
    <w:rsid w:val="002C15E6"/>
    <w:rsid w:val="002C247D"/>
    <w:rsid w:val="002C3345"/>
    <w:rsid w:val="002C5318"/>
    <w:rsid w:val="002D02F3"/>
    <w:rsid w:val="002D409A"/>
    <w:rsid w:val="002E603D"/>
    <w:rsid w:val="002F30E7"/>
    <w:rsid w:val="00300B1D"/>
    <w:rsid w:val="00300EEB"/>
    <w:rsid w:val="003013A9"/>
    <w:rsid w:val="00301958"/>
    <w:rsid w:val="003020B5"/>
    <w:rsid w:val="003027BB"/>
    <w:rsid w:val="00303CCB"/>
    <w:rsid w:val="003068B5"/>
    <w:rsid w:val="00310A10"/>
    <w:rsid w:val="00317FC1"/>
    <w:rsid w:val="0032413E"/>
    <w:rsid w:val="00327AB8"/>
    <w:rsid w:val="00327D25"/>
    <w:rsid w:val="003319A7"/>
    <w:rsid w:val="00334FE3"/>
    <w:rsid w:val="00336397"/>
    <w:rsid w:val="003365AB"/>
    <w:rsid w:val="00336E41"/>
    <w:rsid w:val="003421AE"/>
    <w:rsid w:val="003433D1"/>
    <w:rsid w:val="00344B24"/>
    <w:rsid w:val="003456B9"/>
    <w:rsid w:val="00350098"/>
    <w:rsid w:val="0035067D"/>
    <w:rsid w:val="00353A16"/>
    <w:rsid w:val="0035776D"/>
    <w:rsid w:val="00360790"/>
    <w:rsid w:val="00362DA0"/>
    <w:rsid w:val="00364FD9"/>
    <w:rsid w:val="00367C1B"/>
    <w:rsid w:val="00374E48"/>
    <w:rsid w:val="003764D0"/>
    <w:rsid w:val="003764D4"/>
    <w:rsid w:val="00376523"/>
    <w:rsid w:val="00376B61"/>
    <w:rsid w:val="00382407"/>
    <w:rsid w:val="00386A64"/>
    <w:rsid w:val="00386FA1"/>
    <w:rsid w:val="00390142"/>
    <w:rsid w:val="003904AC"/>
    <w:rsid w:val="00392F00"/>
    <w:rsid w:val="00397377"/>
    <w:rsid w:val="003A22DE"/>
    <w:rsid w:val="003A2860"/>
    <w:rsid w:val="003A3C35"/>
    <w:rsid w:val="003A5BE6"/>
    <w:rsid w:val="003A7688"/>
    <w:rsid w:val="003A7D30"/>
    <w:rsid w:val="003B3C5C"/>
    <w:rsid w:val="003B3E30"/>
    <w:rsid w:val="003C4465"/>
    <w:rsid w:val="003C47CA"/>
    <w:rsid w:val="003D5865"/>
    <w:rsid w:val="003D63CD"/>
    <w:rsid w:val="003D6DE1"/>
    <w:rsid w:val="003D795C"/>
    <w:rsid w:val="003E2B60"/>
    <w:rsid w:val="003E30FB"/>
    <w:rsid w:val="003E4798"/>
    <w:rsid w:val="003F2711"/>
    <w:rsid w:val="003F6C70"/>
    <w:rsid w:val="003F7CB9"/>
    <w:rsid w:val="00403333"/>
    <w:rsid w:val="00403ECA"/>
    <w:rsid w:val="00404604"/>
    <w:rsid w:val="00405AB1"/>
    <w:rsid w:val="0041154D"/>
    <w:rsid w:val="00411735"/>
    <w:rsid w:val="00411CCA"/>
    <w:rsid w:val="00415C74"/>
    <w:rsid w:val="0042388C"/>
    <w:rsid w:val="004253E2"/>
    <w:rsid w:val="00426363"/>
    <w:rsid w:val="00427855"/>
    <w:rsid w:val="004310FD"/>
    <w:rsid w:val="00431E67"/>
    <w:rsid w:val="00432959"/>
    <w:rsid w:val="00432EB9"/>
    <w:rsid w:val="004344DF"/>
    <w:rsid w:val="0043654D"/>
    <w:rsid w:val="00437F60"/>
    <w:rsid w:val="00442B76"/>
    <w:rsid w:val="00451840"/>
    <w:rsid w:val="00455E76"/>
    <w:rsid w:val="00460C9A"/>
    <w:rsid w:val="00461F0E"/>
    <w:rsid w:val="00464924"/>
    <w:rsid w:val="00466C1C"/>
    <w:rsid w:val="00472AE8"/>
    <w:rsid w:val="00473E23"/>
    <w:rsid w:val="0047581D"/>
    <w:rsid w:val="00480289"/>
    <w:rsid w:val="0048113C"/>
    <w:rsid w:val="00481279"/>
    <w:rsid w:val="00483368"/>
    <w:rsid w:val="004851E5"/>
    <w:rsid w:val="00492E3A"/>
    <w:rsid w:val="00493081"/>
    <w:rsid w:val="00494011"/>
    <w:rsid w:val="00496903"/>
    <w:rsid w:val="004A0BF4"/>
    <w:rsid w:val="004A263B"/>
    <w:rsid w:val="004A4342"/>
    <w:rsid w:val="004A7DD7"/>
    <w:rsid w:val="004B1B3D"/>
    <w:rsid w:val="004B3FE5"/>
    <w:rsid w:val="004B404C"/>
    <w:rsid w:val="004B4A93"/>
    <w:rsid w:val="004B6218"/>
    <w:rsid w:val="004B68AE"/>
    <w:rsid w:val="004C03AC"/>
    <w:rsid w:val="004C35B0"/>
    <w:rsid w:val="004C49EF"/>
    <w:rsid w:val="004C4A19"/>
    <w:rsid w:val="004C5570"/>
    <w:rsid w:val="004D00C9"/>
    <w:rsid w:val="004D095E"/>
    <w:rsid w:val="004D44C5"/>
    <w:rsid w:val="004E16F5"/>
    <w:rsid w:val="004E3CC7"/>
    <w:rsid w:val="004E5B69"/>
    <w:rsid w:val="004F2A87"/>
    <w:rsid w:val="00507C56"/>
    <w:rsid w:val="005100C0"/>
    <w:rsid w:val="005154ED"/>
    <w:rsid w:val="005165E1"/>
    <w:rsid w:val="0052344E"/>
    <w:rsid w:val="00526478"/>
    <w:rsid w:val="00530204"/>
    <w:rsid w:val="005327FE"/>
    <w:rsid w:val="00534C5F"/>
    <w:rsid w:val="00540257"/>
    <w:rsid w:val="0054192F"/>
    <w:rsid w:val="00544EB3"/>
    <w:rsid w:val="0054594B"/>
    <w:rsid w:val="0054749B"/>
    <w:rsid w:val="00550F65"/>
    <w:rsid w:val="00551CC6"/>
    <w:rsid w:val="00554E7A"/>
    <w:rsid w:val="00557CC6"/>
    <w:rsid w:val="00557E71"/>
    <w:rsid w:val="0056002A"/>
    <w:rsid w:val="0056015F"/>
    <w:rsid w:val="00560541"/>
    <w:rsid w:val="0056201C"/>
    <w:rsid w:val="00562383"/>
    <w:rsid w:val="005672D0"/>
    <w:rsid w:val="00572CEB"/>
    <w:rsid w:val="005834C9"/>
    <w:rsid w:val="00585890"/>
    <w:rsid w:val="0059306C"/>
    <w:rsid w:val="005A1DF9"/>
    <w:rsid w:val="005A58BA"/>
    <w:rsid w:val="005A5D30"/>
    <w:rsid w:val="005A6AB9"/>
    <w:rsid w:val="005A6D8F"/>
    <w:rsid w:val="005A770A"/>
    <w:rsid w:val="005A7D95"/>
    <w:rsid w:val="005C333E"/>
    <w:rsid w:val="005C3AE7"/>
    <w:rsid w:val="005D0677"/>
    <w:rsid w:val="005D1CBF"/>
    <w:rsid w:val="005D24E7"/>
    <w:rsid w:val="005D3418"/>
    <w:rsid w:val="005E10C3"/>
    <w:rsid w:val="005E2404"/>
    <w:rsid w:val="005E294C"/>
    <w:rsid w:val="005E2CE3"/>
    <w:rsid w:val="005E7DB4"/>
    <w:rsid w:val="005F0429"/>
    <w:rsid w:val="005F137F"/>
    <w:rsid w:val="005F3F07"/>
    <w:rsid w:val="00602615"/>
    <w:rsid w:val="00603D04"/>
    <w:rsid w:val="00606857"/>
    <w:rsid w:val="00606C02"/>
    <w:rsid w:val="006107C4"/>
    <w:rsid w:val="00615F42"/>
    <w:rsid w:val="006224F1"/>
    <w:rsid w:val="006258C2"/>
    <w:rsid w:val="00626365"/>
    <w:rsid w:val="00630E22"/>
    <w:rsid w:val="006353D2"/>
    <w:rsid w:val="0064168C"/>
    <w:rsid w:val="006440C6"/>
    <w:rsid w:val="00644190"/>
    <w:rsid w:val="00644ABB"/>
    <w:rsid w:val="006509E8"/>
    <w:rsid w:val="00651495"/>
    <w:rsid w:val="00657B46"/>
    <w:rsid w:val="00667C05"/>
    <w:rsid w:val="00673C35"/>
    <w:rsid w:val="006764EC"/>
    <w:rsid w:val="006835FE"/>
    <w:rsid w:val="00683C15"/>
    <w:rsid w:val="00685C58"/>
    <w:rsid w:val="00693BFD"/>
    <w:rsid w:val="00695065"/>
    <w:rsid w:val="006A0469"/>
    <w:rsid w:val="006A1038"/>
    <w:rsid w:val="006A4B36"/>
    <w:rsid w:val="006A649A"/>
    <w:rsid w:val="006A6ABE"/>
    <w:rsid w:val="006A7620"/>
    <w:rsid w:val="006B1B49"/>
    <w:rsid w:val="006B2E71"/>
    <w:rsid w:val="006B604C"/>
    <w:rsid w:val="006B6390"/>
    <w:rsid w:val="006B7ACC"/>
    <w:rsid w:val="006C0356"/>
    <w:rsid w:val="006C0843"/>
    <w:rsid w:val="006C28DD"/>
    <w:rsid w:val="006C40FF"/>
    <w:rsid w:val="006C74B1"/>
    <w:rsid w:val="006D171D"/>
    <w:rsid w:val="006D4B6D"/>
    <w:rsid w:val="006D7AD7"/>
    <w:rsid w:val="006E1E6D"/>
    <w:rsid w:val="006E57AA"/>
    <w:rsid w:val="006E692E"/>
    <w:rsid w:val="006F20CF"/>
    <w:rsid w:val="006F38ED"/>
    <w:rsid w:val="006F3F31"/>
    <w:rsid w:val="00701B2F"/>
    <w:rsid w:val="007025FE"/>
    <w:rsid w:val="00703145"/>
    <w:rsid w:val="00703BB9"/>
    <w:rsid w:val="00707D4D"/>
    <w:rsid w:val="007178EC"/>
    <w:rsid w:val="00720BB8"/>
    <w:rsid w:val="00723446"/>
    <w:rsid w:val="00723503"/>
    <w:rsid w:val="00725202"/>
    <w:rsid w:val="007273DB"/>
    <w:rsid w:val="00730C04"/>
    <w:rsid w:val="00731FC3"/>
    <w:rsid w:val="00733EC5"/>
    <w:rsid w:val="00733FB5"/>
    <w:rsid w:val="0073597B"/>
    <w:rsid w:val="007378F6"/>
    <w:rsid w:val="00741B42"/>
    <w:rsid w:val="00742184"/>
    <w:rsid w:val="0074545D"/>
    <w:rsid w:val="00747E40"/>
    <w:rsid w:val="00750207"/>
    <w:rsid w:val="007522E3"/>
    <w:rsid w:val="0075335B"/>
    <w:rsid w:val="00753C44"/>
    <w:rsid w:val="00754036"/>
    <w:rsid w:val="00754383"/>
    <w:rsid w:val="007564D1"/>
    <w:rsid w:val="00757232"/>
    <w:rsid w:val="00760679"/>
    <w:rsid w:val="00763628"/>
    <w:rsid w:val="00767E99"/>
    <w:rsid w:val="00772E62"/>
    <w:rsid w:val="00775A6A"/>
    <w:rsid w:val="0077789B"/>
    <w:rsid w:val="00780D29"/>
    <w:rsid w:val="00781D54"/>
    <w:rsid w:val="00782B34"/>
    <w:rsid w:val="00786E81"/>
    <w:rsid w:val="00791C8D"/>
    <w:rsid w:val="0079354C"/>
    <w:rsid w:val="00794181"/>
    <w:rsid w:val="007A0526"/>
    <w:rsid w:val="007A0B67"/>
    <w:rsid w:val="007A7F6F"/>
    <w:rsid w:val="007B03C8"/>
    <w:rsid w:val="007B4C76"/>
    <w:rsid w:val="007B6A69"/>
    <w:rsid w:val="007C2260"/>
    <w:rsid w:val="007C72DE"/>
    <w:rsid w:val="007D1E52"/>
    <w:rsid w:val="007D2358"/>
    <w:rsid w:val="007D7058"/>
    <w:rsid w:val="007E0162"/>
    <w:rsid w:val="007E39E4"/>
    <w:rsid w:val="007E6FB3"/>
    <w:rsid w:val="007F21B4"/>
    <w:rsid w:val="007F7561"/>
    <w:rsid w:val="00801A05"/>
    <w:rsid w:val="00801CD3"/>
    <w:rsid w:val="008021A8"/>
    <w:rsid w:val="00802553"/>
    <w:rsid w:val="00803EAB"/>
    <w:rsid w:val="008046B5"/>
    <w:rsid w:val="00810224"/>
    <w:rsid w:val="008106E9"/>
    <w:rsid w:val="008127C0"/>
    <w:rsid w:val="00812EDD"/>
    <w:rsid w:val="008139C5"/>
    <w:rsid w:val="00815DAF"/>
    <w:rsid w:val="0081650F"/>
    <w:rsid w:val="00824FF8"/>
    <w:rsid w:val="008259EE"/>
    <w:rsid w:val="00825E85"/>
    <w:rsid w:val="008328E7"/>
    <w:rsid w:val="00832B31"/>
    <w:rsid w:val="008353D5"/>
    <w:rsid w:val="00835504"/>
    <w:rsid w:val="008403E0"/>
    <w:rsid w:val="00841A18"/>
    <w:rsid w:val="00841D10"/>
    <w:rsid w:val="0084657B"/>
    <w:rsid w:val="0084676E"/>
    <w:rsid w:val="00846D2D"/>
    <w:rsid w:val="00855944"/>
    <w:rsid w:val="00864A18"/>
    <w:rsid w:val="00870833"/>
    <w:rsid w:val="00872DC7"/>
    <w:rsid w:val="00874571"/>
    <w:rsid w:val="00881F93"/>
    <w:rsid w:val="00882CB5"/>
    <w:rsid w:val="00883641"/>
    <w:rsid w:val="00883F91"/>
    <w:rsid w:val="00884E69"/>
    <w:rsid w:val="00885E59"/>
    <w:rsid w:val="00890082"/>
    <w:rsid w:val="00890E21"/>
    <w:rsid w:val="00891BBF"/>
    <w:rsid w:val="00896017"/>
    <w:rsid w:val="0089738F"/>
    <w:rsid w:val="008A29A0"/>
    <w:rsid w:val="008A48D2"/>
    <w:rsid w:val="008A7423"/>
    <w:rsid w:val="008B2610"/>
    <w:rsid w:val="008B44BB"/>
    <w:rsid w:val="008B4600"/>
    <w:rsid w:val="008B471D"/>
    <w:rsid w:val="008B47F4"/>
    <w:rsid w:val="008B49E4"/>
    <w:rsid w:val="008B729C"/>
    <w:rsid w:val="008C4A93"/>
    <w:rsid w:val="008C741E"/>
    <w:rsid w:val="008D5BA7"/>
    <w:rsid w:val="008D7788"/>
    <w:rsid w:val="008E0E49"/>
    <w:rsid w:val="008E35FD"/>
    <w:rsid w:val="008E5A09"/>
    <w:rsid w:val="008E6227"/>
    <w:rsid w:val="008E78B9"/>
    <w:rsid w:val="008F161D"/>
    <w:rsid w:val="008F6858"/>
    <w:rsid w:val="00901D51"/>
    <w:rsid w:val="00901F1C"/>
    <w:rsid w:val="0090543D"/>
    <w:rsid w:val="009056C5"/>
    <w:rsid w:val="0090742D"/>
    <w:rsid w:val="009142F2"/>
    <w:rsid w:val="0091547D"/>
    <w:rsid w:val="00921EE7"/>
    <w:rsid w:val="009262F2"/>
    <w:rsid w:val="009267C6"/>
    <w:rsid w:val="00934229"/>
    <w:rsid w:val="00937791"/>
    <w:rsid w:val="0094028E"/>
    <w:rsid w:val="00951933"/>
    <w:rsid w:val="00954343"/>
    <w:rsid w:val="00955271"/>
    <w:rsid w:val="00961C61"/>
    <w:rsid w:val="00963C9C"/>
    <w:rsid w:val="00965B6B"/>
    <w:rsid w:val="0096653F"/>
    <w:rsid w:val="00971543"/>
    <w:rsid w:val="009719AE"/>
    <w:rsid w:val="00971EDB"/>
    <w:rsid w:val="009733DC"/>
    <w:rsid w:val="00974D50"/>
    <w:rsid w:val="00987ABE"/>
    <w:rsid w:val="00991EE4"/>
    <w:rsid w:val="009939DC"/>
    <w:rsid w:val="00993B9C"/>
    <w:rsid w:val="009A0A7A"/>
    <w:rsid w:val="009A4E0A"/>
    <w:rsid w:val="009A510D"/>
    <w:rsid w:val="009B00B5"/>
    <w:rsid w:val="009B4E1E"/>
    <w:rsid w:val="009B539D"/>
    <w:rsid w:val="009C03FB"/>
    <w:rsid w:val="009C17F8"/>
    <w:rsid w:val="009C3856"/>
    <w:rsid w:val="009C4B4F"/>
    <w:rsid w:val="009D4792"/>
    <w:rsid w:val="009E35A8"/>
    <w:rsid w:val="009E3B03"/>
    <w:rsid w:val="009E5B13"/>
    <w:rsid w:val="009F012F"/>
    <w:rsid w:val="009F0C02"/>
    <w:rsid w:val="009F4648"/>
    <w:rsid w:val="009F5758"/>
    <w:rsid w:val="00A0283F"/>
    <w:rsid w:val="00A039C1"/>
    <w:rsid w:val="00A04F4A"/>
    <w:rsid w:val="00A05659"/>
    <w:rsid w:val="00A12B62"/>
    <w:rsid w:val="00A15965"/>
    <w:rsid w:val="00A16DC2"/>
    <w:rsid w:val="00A20B40"/>
    <w:rsid w:val="00A21252"/>
    <w:rsid w:val="00A26343"/>
    <w:rsid w:val="00A27C42"/>
    <w:rsid w:val="00A408B5"/>
    <w:rsid w:val="00A432B6"/>
    <w:rsid w:val="00A5230F"/>
    <w:rsid w:val="00A529E2"/>
    <w:rsid w:val="00A539F8"/>
    <w:rsid w:val="00A54B40"/>
    <w:rsid w:val="00A635E8"/>
    <w:rsid w:val="00A6491A"/>
    <w:rsid w:val="00A6594E"/>
    <w:rsid w:val="00A666F8"/>
    <w:rsid w:val="00A727B6"/>
    <w:rsid w:val="00A741F5"/>
    <w:rsid w:val="00A759C3"/>
    <w:rsid w:val="00A7769C"/>
    <w:rsid w:val="00A81CC6"/>
    <w:rsid w:val="00A83EC6"/>
    <w:rsid w:val="00A83F39"/>
    <w:rsid w:val="00A8732C"/>
    <w:rsid w:val="00A9062D"/>
    <w:rsid w:val="00A93F58"/>
    <w:rsid w:val="00A9507E"/>
    <w:rsid w:val="00A95AB2"/>
    <w:rsid w:val="00A96329"/>
    <w:rsid w:val="00AA134B"/>
    <w:rsid w:val="00AA2CFE"/>
    <w:rsid w:val="00AA5FDA"/>
    <w:rsid w:val="00AA6291"/>
    <w:rsid w:val="00AA69A1"/>
    <w:rsid w:val="00AC0C91"/>
    <w:rsid w:val="00AC1C3B"/>
    <w:rsid w:val="00AC47C8"/>
    <w:rsid w:val="00AD0B90"/>
    <w:rsid w:val="00AD37D4"/>
    <w:rsid w:val="00AD4063"/>
    <w:rsid w:val="00AD529B"/>
    <w:rsid w:val="00AD5EDB"/>
    <w:rsid w:val="00AD7986"/>
    <w:rsid w:val="00AD7A9F"/>
    <w:rsid w:val="00AE1188"/>
    <w:rsid w:val="00AE3EA9"/>
    <w:rsid w:val="00AE5405"/>
    <w:rsid w:val="00AE738C"/>
    <w:rsid w:val="00AF027D"/>
    <w:rsid w:val="00AF0B97"/>
    <w:rsid w:val="00AF1046"/>
    <w:rsid w:val="00AF4466"/>
    <w:rsid w:val="00AF5D1E"/>
    <w:rsid w:val="00AF6D20"/>
    <w:rsid w:val="00B040A9"/>
    <w:rsid w:val="00B14E5C"/>
    <w:rsid w:val="00B1711E"/>
    <w:rsid w:val="00B17CBE"/>
    <w:rsid w:val="00B17E26"/>
    <w:rsid w:val="00B231A4"/>
    <w:rsid w:val="00B256B1"/>
    <w:rsid w:val="00B25D20"/>
    <w:rsid w:val="00B26957"/>
    <w:rsid w:val="00B31C99"/>
    <w:rsid w:val="00B42873"/>
    <w:rsid w:val="00B52B2A"/>
    <w:rsid w:val="00B53BA6"/>
    <w:rsid w:val="00B5731D"/>
    <w:rsid w:val="00B61153"/>
    <w:rsid w:val="00B6378B"/>
    <w:rsid w:val="00B63E3A"/>
    <w:rsid w:val="00B6598D"/>
    <w:rsid w:val="00B71282"/>
    <w:rsid w:val="00B75965"/>
    <w:rsid w:val="00B7700D"/>
    <w:rsid w:val="00B771AD"/>
    <w:rsid w:val="00B814CB"/>
    <w:rsid w:val="00B94835"/>
    <w:rsid w:val="00BA0CF8"/>
    <w:rsid w:val="00BA1ADF"/>
    <w:rsid w:val="00BA51FC"/>
    <w:rsid w:val="00BA63A6"/>
    <w:rsid w:val="00BB003A"/>
    <w:rsid w:val="00BB1FC9"/>
    <w:rsid w:val="00BB3358"/>
    <w:rsid w:val="00BB3382"/>
    <w:rsid w:val="00BB3643"/>
    <w:rsid w:val="00BC3DA0"/>
    <w:rsid w:val="00BC424B"/>
    <w:rsid w:val="00BC431E"/>
    <w:rsid w:val="00BE0FDE"/>
    <w:rsid w:val="00BE221F"/>
    <w:rsid w:val="00BE2E82"/>
    <w:rsid w:val="00BE5ACA"/>
    <w:rsid w:val="00BF043A"/>
    <w:rsid w:val="00BF2213"/>
    <w:rsid w:val="00BF3CFA"/>
    <w:rsid w:val="00BF6AC5"/>
    <w:rsid w:val="00C01121"/>
    <w:rsid w:val="00C030A5"/>
    <w:rsid w:val="00C05A45"/>
    <w:rsid w:val="00C0796F"/>
    <w:rsid w:val="00C11B34"/>
    <w:rsid w:val="00C12C5C"/>
    <w:rsid w:val="00C171FB"/>
    <w:rsid w:val="00C209C2"/>
    <w:rsid w:val="00C2267F"/>
    <w:rsid w:val="00C22AD8"/>
    <w:rsid w:val="00C3557E"/>
    <w:rsid w:val="00C3594B"/>
    <w:rsid w:val="00C43102"/>
    <w:rsid w:val="00C4696B"/>
    <w:rsid w:val="00C50513"/>
    <w:rsid w:val="00C52C1E"/>
    <w:rsid w:val="00C54503"/>
    <w:rsid w:val="00C60270"/>
    <w:rsid w:val="00C63055"/>
    <w:rsid w:val="00C673D3"/>
    <w:rsid w:val="00C71E6B"/>
    <w:rsid w:val="00C73B62"/>
    <w:rsid w:val="00C776B1"/>
    <w:rsid w:val="00C815FE"/>
    <w:rsid w:val="00C81FA0"/>
    <w:rsid w:val="00C847AE"/>
    <w:rsid w:val="00C935C0"/>
    <w:rsid w:val="00C951FB"/>
    <w:rsid w:val="00C95938"/>
    <w:rsid w:val="00CA04C6"/>
    <w:rsid w:val="00CA26DD"/>
    <w:rsid w:val="00CA599B"/>
    <w:rsid w:val="00CA6955"/>
    <w:rsid w:val="00CB12EC"/>
    <w:rsid w:val="00CB5CAA"/>
    <w:rsid w:val="00CB702C"/>
    <w:rsid w:val="00CC09D7"/>
    <w:rsid w:val="00CC12B8"/>
    <w:rsid w:val="00CC3D1D"/>
    <w:rsid w:val="00CC5AB1"/>
    <w:rsid w:val="00CC68FE"/>
    <w:rsid w:val="00CD22E3"/>
    <w:rsid w:val="00CD41F1"/>
    <w:rsid w:val="00CD4E44"/>
    <w:rsid w:val="00CD5AE4"/>
    <w:rsid w:val="00CD7A7D"/>
    <w:rsid w:val="00CD7FD2"/>
    <w:rsid w:val="00CE0AA7"/>
    <w:rsid w:val="00CE5DBF"/>
    <w:rsid w:val="00CE78E5"/>
    <w:rsid w:val="00CF2D8E"/>
    <w:rsid w:val="00CF2DFA"/>
    <w:rsid w:val="00CF5AD8"/>
    <w:rsid w:val="00CF7B84"/>
    <w:rsid w:val="00CF7BDD"/>
    <w:rsid w:val="00D00122"/>
    <w:rsid w:val="00D01D2A"/>
    <w:rsid w:val="00D02410"/>
    <w:rsid w:val="00D10B47"/>
    <w:rsid w:val="00D11EB1"/>
    <w:rsid w:val="00D1478C"/>
    <w:rsid w:val="00D16693"/>
    <w:rsid w:val="00D16C81"/>
    <w:rsid w:val="00D17F17"/>
    <w:rsid w:val="00D22030"/>
    <w:rsid w:val="00D23597"/>
    <w:rsid w:val="00D23C9D"/>
    <w:rsid w:val="00D30BDC"/>
    <w:rsid w:val="00D30F4A"/>
    <w:rsid w:val="00D326CB"/>
    <w:rsid w:val="00D34595"/>
    <w:rsid w:val="00D3588F"/>
    <w:rsid w:val="00D36DBA"/>
    <w:rsid w:val="00D51D86"/>
    <w:rsid w:val="00D5211B"/>
    <w:rsid w:val="00D57F88"/>
    <w:rsid w:val="00D642BA"/>
    <w:rsid w:val="00D7105C"/>
    <w:rsid w:val="00D73646"/>
    <w:rsid w:val="00D777B4"/>
    <w:rsid w:val="00D77A90"/>
    <w:rsid w:val="00D77EE3"/>
    <w:rsid w:val="00D8360B"/>
    <w:rsid w:val="00D85676"/>
    <w:rsid w:val="00D86AE5"/>
    <w:rsid w:val="00D9516B"/>
    <w:rsid w:val="00D96294"/>
    <w:rsid w:val="00D968CF"/>
    <w:rsid w:val="00D96ADA"/>
    <w:rsid w:val="00DA2886"/>
    <w:rsid w:val="00DA5E50"/>
    <w:rsid w:val="00DA782B"/>
    <w:rsid w:val="00DA7D0C"/>
    <w:rsid w:val="00DB13B9"/>
    <w:rsid w:val="00DB311C"/>
    <w:rsid w:val="00DB39DE"/>
    <w:rsid w:val="00DB432D"/>
    <w:rsid w:val="00DB519B"/>
    <w:rsid w:val="00DB544F"/>
    <w:rsid w:val="00DB6FF9"/>
    <w:rsid w:val="00DC4C89"/>
    <w:rsid w:val="00DC6CDA"/>
    <w:rsid w:val="00DC72D4"/>
    <w:rsid w:val="00DC7694"/>
    <w:rsid w:val="00DC7FBE"/>
    <w:rsid w:val="00DD130E"/>
    <w:rsid w:val="00DD216D"/>
    <w:rsid w:val="00DD308E"/>
    <w:rsid w:val="00DD498F"/>
    <w:rsid w:val="00DE6F05"/>
    <w:rsid w:val="00DF03C7"/>
    <w:rsid w:val="00DF0C51"/>
    <w:rsid w:val="00DF0D47"/>
    <w:rsid w:val="00DF1652"/>
    <w:rsid w:val="00DF6D37"/>
    <w:rsid w:val="00E048ED"/>
    <w:rsid w:val="00E04FB3"/>
    <w:rsid w:val="00E058F2"/>
    <w:rsid w:val="00E05D9C"/>
    <w:rsid w:val="00E06102"/>
    <w:rsid w:val="00E12282"/>
    <w:rsid w:val="00E200DE"/>
    <w:rsid w:val="00E21450"/>
    <w:rsid w:val="00E21F42"/>
    <w:rsid w:val="00E2378C"/>
    <w:rsid w:val="00E23E71"/>
    <w:rsid w:val="00E27FBC"/>
    <w:rsid w:val="00E30F19"/>
    <w:rsid w:val="00E33C4A"/>
    <w:rsid w:val="00E357B9"/>
    <w:rsid w:val="00E36395"/>
    <w:rsid w:val="00E40999"/>
    <w:rsid w:val="00E4321E"/>
    <w:rsid w:val="00E439E0"/>
    <w:rsid w:val="00E44B80"/>
    <w:rsid w:val="00E46FBD"/>
    <w:rsid w:val="00E47623"/>
    <w:rsid w:val="00E47C50"/>
    <w:rsid w:val="00E60529"/>
    <w:rsid w:val="00E613E8"/>
    <w:rsid w:val="00E61942"/>
    <w:rsid w:val="00E641EF"/>
    <w:rsid w:val="00E65108"/>
    <w:rsid w:val="00E67502"/>
    <w:rsid w:val="00E70D86"/>
    <w:rsid w:val="00E72528"/>
    <w:rsid w:val="00E75BF5"/>
    <w:rsid w:val="00E75C95"/>
    <w:rsid w:val="00E761B4"/>
    <w:rsid w:val="00E7628E"/>
    <w:rsid w:val="00E7764C"/>
    <w:rsid w:val="00E82F54"/>
    <w:rsid w:val="00E8373D"/>
    <w:rsid w:val="00E8649B"/>
    <w:rsid w:val="00E871CD"/>
    <w:rsid w:val="00E90990"/>
    <w:rsid w:val="00E92A6A"/>
    <w:rsid w:val="00E948B8"/>
    <w:rsid w:val="00E95D3D"/>
    <w:rsid w:val="00E963AE"/>
    <w:rsid w:val="00E97A35"/>
    <w:rsid w:val="00EA0E25"/>
    <w:rsid w:val="00EA173C"/>
    <w:rsid w:val="00EA2EDC"/>
    <w:rsid w:val="00EA3A6C"/>
    <w:rsid w:val="00EB0358"/>
    <w:rsid w:val="00EB4B6C"/>
    <w:rsid w:val="00EC0A4B"/>
    <w:rsid w:val="00EC127A"/>
    <w:rsid w:val="00EC1FF9"/>
    <w:rsid w:val="00EC2737"/>
    <w:rsid w:val="00EE2716"/>
    <w:rsid w:val="00EE6450"/>
    <w:rsid w:val="00EE6632"/>
    <w:rsid w:val="00EE6B07"/>
    <w:rsid w:val="00EF07FC"/>
    <w:rsid w:val="00EF0B88"/>
    <w:rsid w:val="00EF228A"/>
    <w:rsid w:val="00F0010B"/>
    <w:rsid w:val="00F01C2C"/>
    <w:rsid w:val="00F03980"/>
    <w:rsid w:val="00F108A2"/>
    <w:rsid w:val="00F10ED8"/>
    <w:rsid w:val="00F15B49"/>
    <w:rsid w:val="00F219C2"/>
    <w:rsid w:val="00F222BE"/>
    <w:rsid w:val="00F24179"/>
    <w:rsid w:val="00F27D60"/>
    <w:rsid w:val="00F301F1"/>
    <w:rsid w:val="00F30C22"/>
    <w:rsid w:val="00F31123"/>
    <w:rsid w:val="00F324F5"/>
    <w:rsid w:val="00F32548"/>
    <w:rsid w:val="00F33F1A"/>
    <w:rsid w:val="00F45B83"/>
    <w:rsid w:val="00F547F7"/>
    <w:rsid w:val="00F54CCF"/>
    <w:rsid w:val="00F61D7A"/>
    <w:rsid w:val="00F637B3"/>
    <w:rsid w:val="00F66BB6"/>
    <w:rsid w:val="00F66CF7"/>
    <w:rsid w:val="00F67BCB"/>
    <w:rsid w:val="00F7311C"/>
    <w:rsid w:val="00F77C57"/>
    <w:rsid w:val="00F80BD8"/>
    <w:rsid w:val="00F813C7"/>
    <w:rsid w:val="00F823CE"/>
    <w:rsid w:val="00F83566"/>
    <w:rsid w:val="00F83A9D"/>
    <w:rsid w:val="00F906B5"/>
    <w:rsid w:val="00F93784"/>
    <w:rsid w:val="00F971CC"/>
    <w:rsid w:val="00FA1018"/>
    <w:rsid w:val="00FA2CAA"/>
    <w:rsid w:val="00FA3DA1"/>
    <w:rsid w:val="00FA4338"/>
    <w:rsid w:val="00FA6554"/>
    <w:rsid w:val="00FB0B32"/>
    <w:rsid w:val="00FB2AAE"/>
    <w:rsid w:val="00FD2789"/>
    <w:rsid w:val="00FD370C"/>
    <w:rsid w:val="00FE16C1"/>
    <w:rsid w:val="00FE19FF"/>
    <w:rsid w:val="00FE33A6"/>
    <w:rsid w:val="00FE5452"/>
    <w:rsid w:val="00FF450C"/>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C3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unhideWhenUsed/>
    <w:rsid w:val="005A6AB9"/>
    <w:rPr>
      <w:sz w:val="16"/>
      <w:szCs w:val="16"/>
    </w:rPr>
  </w:style>
  <w:style w:type="paragraph" w:styleId="CommentText">
    <w:name w:val="annotation text"/>
    <w:aliases w:val="Comment Text Char Char Char,Comment Text Char Char"/>
    <w:basedOn w:val="Normal"/>
    <w:link w:val="CommentTextChar"/>
    <w:uiPriority w:val="99"/>
    <w:unhideWhenUsed/>
    <w:qFormat/>
    <w:rsid w:val="005A6AB9"/>
    <w:rPr>
      <w:szCs w:val="20"/>
    </w:rPr>
  </w:style>
  <w:style w:type="character" w:customStyle="1" w:styleId="CommentTextChar">
    <w:name w:val="Comment Text Char"/>
    <w:aliases w:val="Comment Text Char Char Char Char,Comment Text Char Char Char1"/>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semiHidden/>
    <w:unhideWhenUsed/>
    <w:qFormat/>
    <w:rsid w:val="00B52B2A"/>
    <w:pPr>
      <w:spacing w:before="0"/>
    </w:pPr>
    <w:rPr>
      <w:rFonts w:ascii="Arial Narrow" w:eastAsia="Times New Roman" w:hAnsi="Arial Narrow" w:cs="Tahoma"/>
      <w:b/>
      <w:bCs/>
      <w:lang w:eastAsia="en-AU"/>
    </w:rPr>
  </w:style>
  <w:style w:type="character" w:customStyle="1" w:styleId="TabletextChar">
    <w:name w:val="Table text Char"/>
    <w:link w:val="Tabletext"/>
    <w:locked/>
    <w:rsid w:val="00B52B2A"/>
    <w:rPr>
      <w:rFonts w:ascii="Arial Narrow" w:hAnsi="Arial Narrow" w:cs="Tahoma"/>
    </w:rPr>
  </w:style>
  <w:style w:type="paragraph" w:customStyle="1" w:styleId="Tabletext">
    <w:name w:val="Table text"/>
    <w:basedOn w:val="Normal"/>
    <w:link w:val="TabletextChar"/>
    <w:qFormat/>
    <w:rsid w:val="00B52B2A"/>
    <w:pPr>
      <w:spacing w:before="40" w:after="40"/>
    </w:pPr>
    <w:rPr>
      <w:rFonts w:ascii="Arial Narrow" w:hAnsi="Arial Narrow" w:cs="Tahoma"/>
      <w:sz w:val="22"/>
    </w:rPr>
  </w:style>
  <w:style w:type="table" w:customStyle="1" w:styleId="OPTUMTableNormal">
    <w:name w:val="OPTUM Table Normal"/>
    <w:basedOn w:val="TableNormal"/>
    <w:rsid w:val="00376523"/>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styleId="GridTable1Light">
    <w:name w:val="Grid Table 1 Light"/>
    <w:basedOn w:val="TableNormal"/>
    <w:uiPriority w:val="46"/>
    <w:rsid w:val="00B611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229">
      <w:bodyDiv w:val="1"/>
      <w:marLeft w:val="0"/>
      <w:marRight w:val="0"/>
      <w:marTop w:val="0"/>
      <w:marBottom w:val="0"/>
      <w:divBdr>
        <w:top w:val="none" w:sz="0" w:space="0" w:color="auto"/>
        <w:left w:val="none" w:sz="0" w:space="0" w:color="auto"/>
        <w:bottom w:val="none" w:sz="0" w:space="0" w:color="auto"/>
        <w:right w:val="none" w:sz="0" w:space="0" w:color="auto"/>
      </w:divBdr>
    </w:div>
    <w:div w:id="94635727">
      <w:bodyDiv w:val="1"/>
      <w:marLeft w:val="0"/>
      <w:marRight w:val="0"/>
      <w:marTop w:val="0"/>
      <w:marBottom w:val="0"/>
      <w:divBdr>
        <w:top w:val="none" w:sz="0" w:space="0" w:color="auto"/>
        <w:left w:val="none" w:sz="0" w:space="0" w:color="auto"/>
        <w:bottom w:val="none" w:sz="0" w:space="0" w:color="auto"/>
        <w:right w:val="none" w:sz="0" w:space="0" w:color="auto"/>
      </w:divBdr>
    </w:div>
    <w:div w:id="156114210">
      <w:bodyDiv w:val="1"/>
      <w:marLeft w:val="0"/>
      <w:marRight w:val="0"/>
      <w:marTop w:val="0"/>
      <w:marBottom w:val="0"/>
      <w:divBdr>
        <w:top w:val="none" w:sz="0" w:space="0" w:color="auto"/>
        <w:left w:val="none" w:sz="0" w:space="0" w:color="auto"/>
        <w:bottom w:val="none" w:sz="0" w:space="0" w:color="auto"/>
        <w:right w:val="none" w:sz="0" w:space="0" w:color="auto"/>
      </w:divBdr>
    </w:div>
    <w:div w:id="266274137">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85028577">
      <w:bodyDiv w:val="1"/>
      <w:marLeft w:val="0"/>
      <w:marRight w:val="0"/>
      <w:marTop w:val="0"/>
      <w:marBottom w:val="0"/>
      <w:divBdr>
        <w:top w:val="none" w:sz="0" w:space="0" w:color="auto"/>
        <w:left w:val="none" w:sz="0" w:space="0" w:color="auto"/>
        <w:bottom w:val="none" w:sz="0" w:space="0" w:color="auto"/>
        <w:right w:val="none" w:sz="0" w:space="0" w:color="auto"/>
      </w:divBdr>
      <w:divsChild>
        <w:div w:id="621036342">
          <w:marLeft w:val="0"/>
          <w:marRight w:val="0"/>
          <w:marTop w:val="0"/>
          <w:marBottom w:val="0"/>
          <w:divBdr>
            <w:top w:val="none" w:sz="0" w:space="0" w:color="auto"/>
            <w:left w:val="none" w:sz="0" w:space="0" w:color="auto"/>
            <w:bottom w:val="none" w:sz="0" w:space="0" w:color="auto"/>
            <w:right w:val="none" w:sz="0" w:space="0" w:color="auto"/>
          </w:divBdr>
        </w:div>
        <w:div w:id="1311708232">
          <w:marLeft w:val="0"/>
          <w:marRight w:val="0"/>
          <w:marTop w:val="0"/>
          <w:marBottom w:val="0"/>
          <w:divBdr>
            <w:top w:val="none" w:sz="0" w:space="0" w:color="auto"/>
            <w:left w:val="none" w:sz="0" w:space="0" w:color="auto"/>
            <w:bottom w:val="none" w:sz="0" w:space="0" w:color="auto"/>
            <w:right w:val="none" w:sz="0" w:space="0" w:color="auto"/>
          </w:divBdr>
          <w:divsChild>
            <w:div w:id="860432095">
              <w:marLeft w:val="0"/>
              <w:marRight w:val="0"/>
              <w:marTop w:val="0"/>
              <w:marBottom w:val="0"/>
              <w:divBdr>
                <w:top w:val="none" w:sz="0" w:space="0" w:color="auto"/>
                <w:left w:val="none" w:sz="0" w:space="0" w:color="auto"/>
                <w:bottom w:val="none" w:sz="0" w:space="0" w:color="auto"/>
                <w:right w:val="none" w:sz="0" w:space="0" w:color="auto"/>
              </w:divBdr>
              <w:divsChild>
                <w:div w:id="727340957">
                  <w:marLeft w:val="0"/>
                  <w:marRight w:val="0"/>
                  <w:marTop w:val="0"/>
                  <w:marBottom w:val="0"/>
                  <w:divBdr>
                    <w:top w:val="none" w:sz="0" w:space="0" w:color="auto"/>
                    <w:left w:val="none" w:sz="0" w:space="0" w:color="auto"/>
                    <w:bottom w:val="none" w:sz="0" w:space="0" w:color="auto"/>
                    <w:right w:val="none" w:sz="0" w:space="0" w:color="auto"/>
                  </w:divBdr>
                  <w:divsChild>
                    <w:div w:id="1982230513">
                      <w:marLeft w:val="0"/>
                      <w:marRight w:val="0"/>
                      <w:marTop w:val="0"/>
                      <w:marBottom w:val="0"/>
                      <w:divBdr>
                        <w:top w:val="none" w:sz="0" w:space="0" w:color="auto"/>
                        <w:left w:val="none" w:sz="0" w:space="0" w:color="auto"/>
                        <w:bottom w:val="none" w:sz="0" w:space="0" w:color="auto"/>
                        <w:right w:val="none" w:sz="0" w:space="0" w:color="auto"/>
                      </w:divBdr>
                      <w:divsChild>
                        <w:div w:id="21155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694722">
      <w:bodyDiv w:val="1"/>
      <w:marLeft w:val="0"/>
      <w:marRight w:val="0"/>
      <w:marTop w:val="0"/>
      <w:marBottom w:val="0"/>
      <w:divBdr>
        <w:top w:val="none" w:sz="0" w:space="0" w:color="auto"/>
        <w:left w:val="none" w:sz="0" w:space="0" w:color="auto"/>
        <w:bottom w:val="none" w:sz="0" w:space="0" w:color="auto"/>
        <w:right w:val="none" w:sz="0" w:space="0" w:color="auto"/>
      </w:divBdr>
    </w:div>
    <w:div w:id="734940021">
      <w:bodyDiv w:val="1"/>
      <w:marLeft w:val="0"/>
      <w:marRight w:val="0"/>
      <w:marTop w:val="0"/>
      <w:marBottom w:val="0"/>
      <w:divBdr>
        <w:top w:val="none" w:sz="0" w:space="0" w:color="auto"/>
        <w:left w:val="none" w:sz="0" w:space="0" w:color="auto"/>
        <w:bottom w:val="none" w:sz="0" w:space="0" w:color="auto"/>
        <w:right w:val="none" w:sz="0" w:space="0" w:color="auto"/>
      </w:divBdr>
    </w:div>
    <w:div w:id="862325688">
      <w:bodyDiv w:val="1"/>
      <w:marLeft w:val="0"/>
      <w:marRight w:val="0"/>
      <w:marTop w:val="0"/>
      <w:marBottom w:val="0"/>
      <w:divBdr>
        <w:top w:val="none" w:sz="0" w:space="0" w:color="auto"/>
        <w:left w:val="none" w:sz="0" w:space="0" w:color="auto"/>
        <w:bottom w:val="none" w:sz="0" w:space="0" w:color="auto"/>
        <w:right w:val="none" w:sz="0" w:space="0" w:color="auto"/>
      </w:divBdr>
    </w:div>
    <w:div w:id="1288392691">
      <w:bodyDiv w:val="1"/>
      <w:marLeft w:val="0"/>
      <w:marRight w:val="0"/>
      <w:marTop w:val="0"/>
      <w:marBottom w:val="0"/>
      <w:divBdr>
        <w:top w:val="none" w:sz="0" w:space="0" w:color="auto"/>
        <w:left w:val="none" w:sz="0" w:space="0" w:color="auto"/>
        <w:bottom w:val="none" w:sz="0" w:space="0" w:color="auto"/>
        <w:right w:val="none" w:sz="0" w:space="0" w:color="auto"/>
      </w:divBdr>
    </w:div>
    <w:div w:id="1409771856">
      <w:bodyDiv w:val="1"/>
      <w:marLeft w:val="0"/>
      <w:marRight w:val="0"/>
      <w:marTop w:val="0"/>
      <w:marBottom w:val="0"/>
      <w:divBdr>
        <w:top w:val="none" w:sz="0" w:space="0" w:color="auto"/>
        <w:left w:val="none" w:sz="0" w:space="0" w:color="auto"/>
        <w:bottom w:val="none" w:sz="0" w:space="0" w:color="auto"/>
        <w:right w:val="none" w:sz="0" w:space="0" w:color="auto"/>
      </w:divBdr>
    </w:div>
    <w:div w:id="1604340123">
      <w:bodyDiv w:val="1"/>
      <w:marLeft w:val="0"/>
      <w:marRight w:val="0"/>
      <w:marTop w:val="0"/>
      <w:marBottom w:val="0"/>
      <w:divBdr>
        <w:top w:val="none" w:sz="0" w:space="0" w:color="auto"/>
        <w:left w:val="none" w:sz="0" w:space="0" w:color="auto"/>
        <w:bottom w:val="none" w:sz="0" w:space="0" w:color="auto"/>
        <w:right w:val="none" w:sz="0" w:space="0" w:color="auto"/>
      </w:divBdr>
    </w:div>
    <w:div w:id="1627084943">
      <w:bodyDiv w:val="1"/>
      <w:marLeft w:val="0"/>
      <w:marRight w:val="0"/>
      <w:marTop w:val="0"/>
      <w:marBottom w:val="0"/>
      <w:divBdr>
        <w:top w:val="none" w:sz="0" w:space="0" w:color="auto"/>
        <w:left w:val="none" w:sz="0" w:space="0" w:color="auto"/>
        <w:bottom w:val="none" w:sz="0" w:space="0" w:color="auto"/>
        <w:right w:val="none" w:sz="0" w:space="0" w:color="auto"/>
      </w:divBdr>
    </w:div>
    <w:div w:id="1664158926">
      <w:bodyDiv w:val="1"/>
      <w:marLeft w:val="0"/>
      <w:marRight w:val="0"/>
      <w:marTop w:val="0"/>
      <w:marBottom w:val="0"/>
      <w:divBdr>
        <w:top w:val="none" w:sz="0" w:space="0" w:color="auto"/>
        <w:left w:val="none" w:sz="0" w:space="0" w:color="auto"/>
        <w:bottom w:val="none" w:sz="0" w:space="0" w:color="auto"/>
        <w:right w:val="none" w:sz="0" w:space="0" w:color="auto"/>
      </w:divBdr>
    </w:div>
    <w:div w:id="1833791927">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cbi.nlm.nih.gov/pubmed/24288399" TargetMode="External"/><Relationship Id="rId26" Type="http://schemas.openxmlformats.org/officeDocument/2006/relationships/hyperlink" Target="https://www.ncbi.nlm.nih.gov/pubmed/23433794" TargetMode="External"/><Relationship Id="rId39" Type="http://schemas.openxmlformats.org/officeDocument/2006/relationships/hyperlink" Target="https://www.ncbi.nlm.nih.gov/pmc/articles/PMC5707421/" TargetMode="External"/><Relationship Id="rId3" Type="http://schemas.openxmlformats.org/officeDocument/2006/relationships/styles" Target="styles.xml"/><Relationship Id="rId21" Type="http://schemas.openxmlformats.org/officeDocument/2006/relationships/hyperlink" Target="https://www.ncbi.nlm.nih.gov/pubmed/29050959" TargetMode="External"/><Relationship Id="rId34" Type="http://schemas.openxmlformats.org/officeDocument/2006/relationships/hyperlink" Target="https://www.ncbi.nlm.nih.gov/pubmed/26700707" TargetMode="External"/><Relationship Id="rId42" Type="http://schemas.openxmlformats.org/officeDocument/2006/relationships/hyperlink" Target="https://www.ncbi.nlm.nih.gov/pubmed/24122173" TargetMode="External"/><Relationship Id="rId47" Type="http://schemas.openxmlformats.org/officeDocument/2006/relationships/hyperlink" Target="https://www.ncbi.nlm.nih.gov/pubmed/31876914" TargetMode="External"/><Relationship Id="rId50" Type="http://schemas.openxmlformats.org/officeDocument/2006/relationships/hyperlink" Target="https://www.tandfonline.com/doi/abs/10.1080/02739615.2018.1510330?journalCode=hchc2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cbi.nlm.nih.gov/pubmed/24926926" TargetMode="External"/><Relationship Id="rId25" Type="http://schemas.openxmlformats.org/officeDocument/2006/relationships/hyperlink" Target="https://www.ncbi.nlm.nih.gov/pubmed/30547008" TargetMode="External"/><Relationship Id="rId33" Type="http://schemas.openxmlformats.org/officeDocument/2006/relationships/hyperlink" Target="https://www.ncbi.nlm.nih.gov/pubmed/26279024" TargetMode="External"/><Relationship Id="rId38" Type="http://schemas.openxmlformats.org/officeDocument/2006/relationships/hyperlink" Target="https://www.ncbi.nlm.nih.gov/pubmed/30753584" TargetMode="External"/><Relationship Id="rId46" Type="http://schemas.openxmlformats.org/officeDocument/2006/relationships/hyperlink" Target="https://www.ncbi.nlm.nih.gov/pubmed/31111502"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cbi.nlm.nih.gov/pubmed/27084648" TargetMode="External"/><Relationship Id="rId29" Type="http://schemas.openxmlformats.org/officeDocument/2006/relationships/hyperlink" Target="https://www.ncbi.nlm.nih.gov/pubmed/23824106" TargetMode="External"/><Relationship Id="rId41" Type="http://schemas.openxmlformats.org/officeDocument/2006/relationships/hyperlink" Target="https://www.ncbi.nlm.nih.gov/pubmed/3053788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cbi.nlm.nih.gov/pubmed/27911139" TargetMode="External"/><Relationship Id="rId32" Type="http://schemas.openxmlformats.org/officeDocument/2006/relationships/hyperlink" Target="https://www.ncbi.nlm.nih.gov/pubmed/24913151" TargetMode="External"/><Relationship Id="rId37" Type="http://schemas.openxmlformats.org/officeDocument/2006/relationships/hyperlink" Target="https://www.ncbi.nlm.nih.gov/pubmed/26811522" TargetMode="External"/><Relationship Id="rId40" Type="http://schemas.openxmlformats.org/officeDocument/2006/relationships/hyperlink" Target="https://www.ncbi.nlm.nih.gov/pubmed/29373195" TargetMode="External"/><Relationship Id="rId45" Type="http://schemas.openxmlformats.org/officeDocument/2006/relationships/hyperlink" Target="https://www.ncbi.nlm.nih.gov/pubmed/3209064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ncbi.nlm.nih.gov/pubmed/26279024" TargetMode="External"/><Relationship Id="rId28" Type="http://schemas.openxmlformats.org/officeDocument/2006/relationships/hyperlink" Target="https://www.ncbi.nlm.nih.gov/pubmed/20947265" TargetMode="External"/><Relationship Id="rId36" Type="http://schemas.openxmlformats.org/officeDocument/2006/relationships/hyperlink" Target="https://www.ncbi.nlm.nih.gov/pubmed/28267208" TargetMode="External"/><Relationship Id="rId49" Type="http://schemas.openxmlformats.org/officeDocument/2006/relationships/hyperlink" Target="https://ascopubs.org/doi/abs/10.1200/JCO.19.01706" TargetMode="External"/><Relationship Id="rId10" Type="http://schemas.openxmlformats.org/officeDocument/2006/relationships/hyperlink" Target="http://www.msac.gov.au/" TargetMode="External"/><Relationship Id="rId19" Type="http://schemas.openxmlformats.org/officeDocument/2006/relationships/hyperlink" Target="https://www.ncbi.nlm.nih.gov/pubmed/26340383" TargetMode="External"/><Relationship Id="rId31" Type="http://schemas.openxmlformats.org/officeDocument/2006/relationships/hyperlink" Target="https://www.ncbi.nlm.nih.gov/pmc/articles/PMC4288853/" TargetMode="External"/><Relationship Id="rId44" Type="http://schemas.openxmlformats.org/officeDocument/2006/relationships/hyperlink" Target="https://www.ncbi.nlm.nih.gov/pmc/articles/PMC6871642/" TargetMode="External"/><Relationship Id="rId52" Type="http://schemas.openxmlformats.org/officeDocument/2006/relationships/hyperlink" Target="https://www.cadth.ca/proton-beam-therapy-treatment-cancer-children-and-adults"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www.ncbi.nlm.nih.gov/pubmed/29594248" TargetMode="External"/><Relationship Id="rId27" Type="http://schemas.openxmlformats.org/officeDocument/2006/relationships/hyperlink" Target="https://www.ncbi.nlm.nih.gov/pubmed/11082173" TargetMode="External"/><Relationship Id="rId30" Type="http://schemas.openxmlformats.org/officeDocument/2006/relationships/hyperlink" Target="https://www.ncbi.nlm.nih.gov/pubmed/25052561" TargetMode="External"/><Relationship Id="rId35" Type="http://schemas.openxmlformats.org/officeDocument/2006/relationships/hyperlink" Target="https://www.ncbi.nlm.nih.gov/pubmed/26688075" TargetMode="External"/><Relationship Id="rId43" Type="http://schemas.openxmlformats.org/officeDocument/2006/relationships/hyperlink" Target="https://www.ncbi.nlm.nih.gov/pubmed/26232128" TargetMode="External"/><Relationship Id="rId48" Type="http://schemas.openxmlformats.org/officeDocument/2006/relationships/hyperlink" Target="https://www.ncbi.nlm.nih.gov/pubmed/31111946" TargetMode="External"/><Relationship Id="rId8" Type="http://schemas.openxmlformats.org/officeDocument/2006/relationships/image" Target="media/image1.jpeg"/><Relationship Id="rId51" Type="http://schemas.openxmlformats.org/officeDocument/2006/relationships/hyperlink" Target="https://www.hca.wa.gov/assets/program/proton-beam-therapy-rr-final-report-201904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08DB2-5E52-41D8-AEE8-9954A890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9528</Words>
  <Characters>54312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2020-05-19T23:41:00Z</dcterms:created>
  <dcterms:modified xsi:type="dcterms:W3CDTF">2020-05-19T23:42:00Z</dcterms:modified>
</cp:coreProperties>
</file>