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7CA2"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7A5D2D3" wp14:editId="3F95C23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22F1A69"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3414F387" w14:textId="65C3D22B" w:rsidR="00BC1364" w:rsidRPr="00F715D1" w:rsidRDefault="002F43CF" w:rsidP="00F715D1">
      <w:pPr>
        <w:pStyle w:val="Subtitle"/>
      </w:pPr>
      <w:r>
        <w:t xml:space="preserve">Application </w:t>
      </w:r>
      <w:r w:rsidR="006370ED" w:rsidRPr="006370ED">
        <w:t xml:space="preserve">1642 – Programmed </w:t>
      </w:r>
      <w:r w:rsidR="00A23FF1" w:rsidRPr="006370ED">
        <w:t>death li</w:t>
      </w:r>
      <w:r w:rsidR="006370ED" w:rsidRPr="006370ED">
        <w:t>gand 1 testing for access to cemiplimab for the treatment of metastatic non-small cell lung cancer</w:t>
      </w:r>
    </w:p>
    <w:p w14:paraId="22CF6387" w14:textId="05EA69D2"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bookmarkStart w:id="0" w:name="_Hlk90625095"/>
      <w:r w:rsidR="001E2319">
        <w:rPr>
          <w:rFonts w:ascii="Arial" w:hAnsi="Arial" w:cs="Arial"/>
          <w:b/>
          <w:szCs w:val="24"/>
        </w:rPr>
        <w:t>s</w:t>
      </w:r>
      <w:r w:rsidR="006370ED" w:rsidRPr="006370ED">
        <w:rPr>
          <w:rFonts w:ascii="Arial" w:hAnsi="Arial" w:cs="Arial"/>
          <w:b/>
          <w:szCs w:val="24"/>
        </w:rPr>
        <w:t>anofi-</w:t>
      </w:r>
      <w:r w:rsidR="006370ED">
        <w:rPr>
          <w:rFonts w:ascii="Arial" w:hAnsi="Arial" w:cs="Arial"/>
          <w:b/>
          <w:szCs w:val="24"/>
        </w:rPr>
        <w:t>a</w:t>
      </w:r>
      <w:r w:rsidR="006370ED" w:rsidRPr="006370ED">
        <w:rPr>
          <w:rFonts w:ascii="Arial" w:hAnsi="Arial" w:cs="Arial"/>
          <w:b/>
          <w:szCs w:val="24"/>
        </w:rPr>
        <w:t>ventis Australia Pty Ltd</w:t>
      </w:r>
      <w:bookmarkEnd w:id="0"/>
    </w:p>
    <w:p w14:paraId="0929F196" w14:textId="709F4F9B" w:rsidR="00BC1364" w:rsidRPr="00F715D1" w:rsidRDefault="00BC1364" w:rsidP="006370ED">
      <w:pPr>
        <w:tabs>
          <w:tab w:val="left" w:pos="3420"/>
        </w:tabs>
        <w:spacing w:before="240"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bookmarkStart w:id="1" w:name="_Hlk89076073"/>
      <w:r w:rsidR="006370ED">
        <w:rPr>
          <w:rFonts w:ascii="Arial" w:hAnsi="Arial" w:cs="Arial"/>
          <w:b/>
          <w:szCs w:val="24"/>
        </w:rPr>
        <w:t>83</w:t>
      </w:r>
      <w:r w:rsidR="006370ED" w:rsidRPr="00747517">
        <w:rPr>
          <w:rFonts w:ascii="Arial" w:hAnsi="Arial" w:cs="Arial"/>
          <w:b/>
          <w:szCs w:val="24"/>
          <w:vertAlign w:val="superscript"/>
        </w:rPr>
        <w:t>rd</w:t>
      </w:r>
      <w:r w:rsidR="006370ED">
        <w:rPr>
          <w:rFonts w:ascii="Arial" w:hAnsi="Arial" w:cs="Arial"/>
          <w:b/>
          <w:szCs w:val="24"/>
        </w:rPr>
        <w:t xml:space="preserve"> MSAC Meeting, 25-26 November 2021</w:t>
      </w:r>
      <w:bookmarkEnd w:id="1"/>
    </w:p>
    <w:p w14:paraId="2925BC2B"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7B08BB3" w14:textId="15FF02B4" w:rsidR="003D7F29" w:rsidRPr="00F715D1" w:rsidRDefault="003D7F29" w:rsidP="00F715D1">
      <w:pPr>
        <w:pStyle w:val="Heading1"/>
      </w:pPr>
      <w:r w:rsidRPr="00F715D1">
        <w:t>Purpose of application</w:t>
      </w:r>
    </w:p>
    <w:p w14:paraId="340532D3" w14:textId="1261A89E" w:rsidR="00CE6B6D" w:rsidRDefault="00CE6B6D" w:rsidP="00DF489D">
      <w:pPr>
        <w:spacing w:after="240"/>
        <w:rPr>
          <w:iCs/>
        </w:rPr>
      </w:pPr>
      <w:r>
        <w:rPr>
          <w:iCs/>
        </w:rPr>
        <w:t>An application for a streamlined codependent consideration requested:</w:t>
      </w:r>
    </w:p>
    <w:p w14:paraId="478E63C7" w14:textId="018415EC" w:rsidR="00CE6B6D" w:rsidRDefault="00CE6B6D" w:rsidP="00CE6B6D">
      <w:pPr>
        <w:pStyle w:val="ListParagraph"/>
        <w:numPr>
          <w:ilvl w:val="0"/>
          <w:numId w:val="26"/>
        </w:numPr>
        <w:spacing w:after="240"/>
        <w:rPr>
          <w:iCs/>
        </w:rPr>
      </w:pPr>
      <w:r>
        <w:rPr>
          <w:iCs/>
        </w:rPr>
        <w:t xml:space="preserve">An amendment of Medicare </w:t>
      </w:r>
      <w:r w:rsidR="00A23FF1">
        <w:rPr>
          <w:iCs/>
        </w:rPr>
        <w:t>B</w:t>
      </w:r>
      <w:r>
        <w:rPr>
          <w:iCs/>
        </w:rPr>
        <w:t xml:space="preserve">enefits Schedule (MBS) item 72814 for testing of tumour tissue </w:t>
      </w:r>
      <w:r w:rsidR="00A23FF1">
        <w:rPr>
          <w:iCs/>
        </w:rPr>
        <w:t xml:space="preserve">from </w:t>
      </w:r>
      <w:r w:rsidR="00A23FF1">
        <w:rPr>
          <w:iCs/>
          <w:szCs w:val="24"/>
        </w:rPr>
        <w:t xml:space="preserve">patients with </w:t>
      </w:r>
      <w:r w:rsidR="00A23FF1" w:rsidRPr="00CE6B6D">
        <w:rPr>
          <w:iCs/>
          <w:szCs w:val="24"/>
        </w:rPr>
        <w:t>non-small cell lung cancer (NSCLC)</w:t>
      </w:r>
      <w:r w:rsidR="00A23FF1">
        <w:rPr>
          <w:iCs/>
          <w:szCs w:val="24"/>
        </w:rPr>
        <w:t xml:space="preserve"> </w:t>
      </w:r>
      <w:r>
        <w:rPr>
          <w:iCs/>
        </w:rPr>
        <w:t xml:space="preserve">to detect </w:t>
      </w:r>
      <w:r w:rsidR="00A23FF1">
        <w:rPr>
          <w:iCs/>
        </w:rPr>
        <w:t>programmed death liga</w:t>
      </w:r>
      <w:r>
        <w:rPr>
          <w:iCs/>
        </w:rPr>
        <w:t xml:space="preserve">nd 1 (PD-L1) to </w:t>
      </w:r>
      <w:r w:rsidR="00A23FF1">
        <w:rPr>
          <w:iCs/>
        </w:rPr>
        <w:t xml:space="preserve">help determine eligibility for </w:t>
      </w:r>
      <w:r>
        <w:rPr>
          <w:iCs/>
        </w:rPr>
        <w:t>cemiplimab</w:t>
      </w:r>
    </w:p>
    <w:p w14:paraId="7FD65EB2" w14:textId="007EA0D2" w:rsidR="00CE6B6D" w:rsidRPr="00AC3C01" w:rsidRDefault="00CE6B6D" w:rsidP="00E7087E">
      <w:pPr>
        <w:pStyle w:val="ListParagraph"/>
        <w:numPr>
          <w:ilvl w:val="0"/>
          <w:numId w:val="26"/>
        </w:numPr>
        <w:spacing w:after="240"/>
        <w:rPr>
          <w:iCs/>
          <w:szCs w:val="24"/>
        </w:rPr>
      </w:pPr>
      <w:r w:rsidRPr="00CA2D3B">
        <w:rPr>
          <w:iCs/>
          <w:szCs w:val="24"/>
        </w:rPr>
        <w:t>Pharmaceutical Benefits Schedule (PBS) listing of</w:t>
      </w:r>
      <w:r>
        <w:rPr>
          <w:iCs/>
          <w:szCs w:val="24"/>
        </w:rPr>
        <w:t xml:space="preserve"> cemiplimab </w:t>
      </w:r>
      <w:r w:rsidRPr="00CE6B6D">
        <w:rPr>
          <w:iCs/>
          <w:szCs w:val="24"/>
        </w:rPr>
        <w:t xml:space="preserve">for the treatment of </w:t>
      </w:r>
      <w:r w:rsidR="00A81ED1">
        <w:rPr>
          <w:iCs/>
          <w:szCs w:val="24"/>
        </w:rPr>
        <w:t xml:space="preserve">patients with </w:t>
      </w:r>
      <w:r w:rsidRPr="00CE6B6D">
        <w:rPr>
          <w:iCs/>
          <w:szCs w:val="24"/>
        </w:rPr>
        <w:t xml:space="preserve">metastatic NSCLC </w:t>
      </w:r>
      <w:r w:rsidR="00A81ED1" w:rsidRPr="00A81ED1">
        <w:rPr>
          <w:iCs/>
          <w:szCs w:val="24"/>
        </w:rPr>
        <w:t xml:space="preserve">with </w:t>
      </w:r>
      <w:r w:rsidR="00A81ED1">
        <w:rPr>
          <w:iCs/>
          <w:szCs w:val="24"/>
        </w:rPr>
        <w:t>PD-L</w:t>
      </w:r>
      <w:r w:rsidR="00A81ED1" w:rsidRPr="00A81ED1">
        <w:rPr>
          <w:iCs/>
          <w:szCs w:val="24"/>
        </w:rPr>
        <w:t xml:space="preserve">1 tumour proportion score </w:t>
      </w:r>
      <w:r w:rsidR="00A23FF1">
        <w:rPr>
          <w:iCs/>
          <w:szCs w:val="24"/>
        </w:rPr>
        <w:t>(TPS)</w:t>
      </w:r>
      <w:r w:rsidR="00A81ED1">
        <w:rPr>
          <w:iCs/>
          <w:szCs w:val="24"/>
        </w:rPr>
        <w:t xml:space="preserve"> ≥</w:t>
      </w:r>
      <w:r w:rsidR="00A81ED1" w:rsidRPr="00A81ED1">
        <w:rPr>
          <w:iCs/>
          <w:szCs w:val="24"/>
        </w:rPr>
        <w:t xml:space="preserve">50%, who are </w:t>
      </w:r>
      <w:r w:rsidR="00A23FF1">
        <w:rPr>
          <w:iCs/>
          <w:szCs w:val="24"/>
        </w:rPr>
        <w:t xml:space="preserve">negative for </w:t>
      </w:r>
      <w:r w:rsidR="00A81ED1" w:rsidRPr="00A81ED1">
        <w:rPr>
          <w:iCs/>
          <w:szCs w:val="24"/>
        </w:rPr>
        <w:t>epidermal growth</w:t>
      </w:r>
      <w:r w:rsidR="00A81ED1">
        <w:rPr>
          <w:iCs/>
          <w:szCs w:val="24"/>
        </w:rPr>
        <w:t xml:space="preserve"> </w:t>
      </w:r>
      <w:r w:rsidR="00A81ED1" w:rsidRPr="00E7087E">
        <w:rPr>
          <w:iCs/>
          <w:szCs w:val="24"/>
        </w:rPr>
        <w:t xml:space="preserve">factor receptor </w:t>
      </w:r>
      <w:r w:rsidR="00A81ED1">
        <w:rPr>
          <w:iCs/>
          <w:szCs w:val="24"/>
        </w:rPr>
        <w:t>(</w:t>
      </w:r>
      <w:r w:rsidR="00A81ED1" w:rsidRPr="00AC3C01">
        <w:rPr>
          <w:i/>
          <w:szCs w:val="24"/>
        </w:rPr>
        <w:t>EGFR</w:t>
      </w:r>
      <w:r w:rsidR="00A81ED1">
        <w:rPr>
          <w:iCs/>
          <w:szCs w:val="24"/>
        </w:rPr>
        <w:t>)</w:t>
      </w:r>
      <w:r w:rsidR="00A67FDD">
        <w:rPr>
          <w:iCs/>
          <w:szCs w:val="24"/>
        </w:rPr>
        <w:t xml:space="preserve"> </w:t>
      </w:r>
      <w:r w:rsidR="00A81ED1" w:rsidRPr="00E7087E">
        <w:rPr>
          <w:iCs/>
          <w:szCs w:val="24"/>
        </w:rPr>
        <w:t>wildtype and negative for anaplastic lymphoma kinase</w:t>
      </w:r>
      <w:r w:rsidR="00A81ED1">
        <w:rPr>
          <w:iCs/>
          <w:szCs w:val="24"/>
        </w:rPr>
        <w:t xml:space="preserve"> (</w:t>
      </w:r>
      <w:r w:rsidR="00A81ED1" w:rsidRPr="004D6D88">
        <w:rPr>
          <w:iCs/>
          <w:szCs w:val="24"/>
        </w:rPr>
        <w:t>ALK</w:t>
      </w:r>
      <w:r w:rsidR="00A81ED1">
        <w:rPr>
          <w:iCs/>
          <w:szCs w:val="24"/>
        </w:rPr>
        <w:t>)</w:t>
      </w:r>
      <w:r w:rsidR="00A81ED1" w:rsidRPr="00E7087E">
        <w:rPr>
          <w:iCs/>
          <w:szCs w:val="24"/>
        </w:rPr>
        <w:t xml:space="preserve"> and c-ROS proto</w:t>
      </w:r>
      <w:r w:rsidR="00737290">
        <w:rPr>
          <w:iCs/>
          <w:szCs w:val="24"/>
        </w:rPr>
        <w:t>-</w:t>
      </w:r>
      <w:r w:rsidR="00A81ED1" w:rsidRPr="00E7087E">
        <w:rPr>
          <w:iCs/>
          <w:szCs w:val="24"/>
        </w:rPr>
        <w:t>oncogene</w:t>
      </w:r>
      <w:r w:rsidR="00A67FDD">
        <w:rPr>
          <w:iCs/>
          <w:szCs w:val="24"/>
        </w:rPr>
        <w:t xml:space="preserve"> </w:t>
      </w:r>
      <w:r w:rsidR="00BE5862" w:rsidRPr="00E7087E">
        <w:rPr>
          <w:iCs/>
          <w:szCs w:val="24"/>
        </w:rPr>
        <w:t>(</w:t>
      </w:r>
      <w:r w:rsidR="00BE5862" w:rsidRPr="004D6D88">
        <w:rPr>
          <w:iCs/>
          <w:szCs w:val="24"/>
        </w:rPr>
        <w:t>ROS1</w:t>
      </w:r>
      <w:r w:rsidR="00BE5862" w:rsidRPr="00E7087E">
        <w:rPr>
          <w:iCs/>
          <w:szCs w:val="24"/>
        </w:rPr>
        <w:t>)</w:t>
      </w:r>
      <w:r w:rsidR="00A81ED1" w:rsidRPr="00E7087E">
        <w:rPr>
          <w:iCs/>
          <w:szCs w:val="24"/>
        </w:rPr>
        <w:t>.</w:t>
      </w:r>
    </w:p>
    <w:p w14:paraId="43BB9A43" w14:textId="77777777" w:rsidR="00E977EE" w:rsidRPr="00F715D1" w:rsidRDefault="00E977EE" w:rsidP="00F715D1">
      <w:pPr>
        <w:pStyle w:val="Heading1"/>
      </w:pPr>
      <w:r w:rsidRPr="00F715D1">
        <w:t>MSAC’s advice to the Minister</w:t>
      </w:r>
    </w:p>
    <w:p w14:paraId="02C9300F" w14:textId="0920106A" w:rsidR="00616365" w:rsidRDefault="00B366C5" w:rsidP="008349CC">
      <w:r w:rsidRPr="00B366C5">
        <w:t>MSAC supported public funding for PD-L1 testing in patients with non-small cell lung cancer in alignment with PBAC’s decision to recommend cemiplimab in this codependent submission.</w:t>
      </w:r>
    </w:p>
    <w:p w14:paraId="7327EC70" w14:textId="77777777" w:rsidR="008349CC" w:rsidRPr="00FF0759" w:rsidRDefault="008349CC" w:rsidP="008349CC"/>
    <w:p w14:paraId="0D9C9357" w14:textId="458C86B7" w:rsidR="00B366C5" w:rsidRPr="0095699B" w:rsidRDefault="00B366C5" w:rsidP="008349CC">
      <w:r w:rsidRPr="00B366C5">
        <w:t xml:space="preserve">Although the relevant MBS item descriptor implemented from 1 November 2021 did not need amending, MSAC supported related amendments to the MBS items for </w:t>
      </w:r>
      <w:bookmarkStart w:id="2" w:name="_Hlk89964639"/>
      <w:r w:rsidRPr="00A23FF1">
        <w:rPr>
          <w:i/>
        </w:rPr>
        <w:t>EGFR</w:t>
      </w:r>
      <w:r w:rsidRPr="00B366C5">
        <w:t xml:space="preserve">, </w:t>
      </w:r>
      <w:r w:rsidRPr="00A23FF1">
        <w:rPr>
          <w:i/>
        </w:rPr>
        <w:t>ALK</w:t>
      </w:r>
      <w:r w:rsidRPr="00B366C5">
        <w:t xml:space="preserve"> and </w:t>
      </w:r>
      <w:r w:rsidRPr="00A23FF1">
        <w:rPr>
          <w:i/>
        </w:rPr>
        <w:t>ROS1</w:t>
      </w:r>
      <w:r w:rsidRPr="00B366C5">
        <w:t xml:space="preserve"> testing </w:t>
      </w:r>
      <w:bookmarkEnd w:id="2"/>
      <w:r w:rsidRPr="00B366C5">
        <w:t>to ensure that cemiplimab would only be prescribed as a first-line therapy for eligible patients who do not have any of these biomarkers</w:t>
      </w:r>
      <w:r w:rsidR="0095699B">
        <w:t xml:space="preserve"> (see Table 2)</w:t>
      </w:r>
      <w:r w:rsidRPr="00B366C5">
        <w:t>.</w:t>
      </w:r>
    </w:p>
    <w:p w14:paraId="4ACD2954" w14:textId="77777777" w:rsidR="00B366C5" w:rsidRDefault="00B366C5" w:rsidP="00B366C5">
      <w:pPr>
        <w:pStyle w:val="BoxName"/>
      </w:pPr>
      <w:r>
        <w:t>Consumer summary</w:t>
      </w:r>
    </w:p>
    <w:p w14:paraId="3BB75940" w14:textId="5F6D7C22" w:rsidR="00B366C5" w:rsidRDefault="00B366C5" w:rsidP="00B366C5">
      <w:pPr>
        <w:pStyle w:val="BoxText"/>
      </w:pPr>
      <w:r>
        <w:t xml:space="preserve">This application was from </w:t>
      </w:r>
      <w:r w:rsidR="001E2319" w:rsidRPr="001E2319">
        <w:t>sanofi-aventis Australia Pty Ltd</w:t>
      </w:r>
      <w:r>
        <w:t xml:space="preserve">, to make a change to Medicare Benefits Schedule (MBS) item so that people with </w:t>
      </w:r>
      <w:r w:rsidR="001E2319">
        <w:t xml:space="preserve">a type of lung </w:t>
      </w:r>
      <w:r>
        <w:t>cancer who have a particular protein in their cancer cells would then be eligible to access a drug called cemiplimab on the Pharmaceutical Benefits Scheme (PBS).</w:t>
      </w:r>
    </w:p>
    <w:p w14:paraId="03E7CF02" w14:textId="511A4957" w:rsidR="00B366C5" w:rsidRDefault="00B366C5" w:rsidP="00B366C5">
      <w:pPr>
        <w:pStyle w:val="BoxText"/>
      </w:pPr>
      <w:r>
        <w:t xml:space="preserve">Cancer comes about when abnormal cells divide uncontrollably and destroy body tissue. Normally, our immune system fights foreign substances. But some cancer cells have high </w:t>
      </w:r>
      <w:r>
        <w:lastRenderedPageBreak/>
        <w:t>amounts of PD-L1 (which stands for programmed death-ligand 1). This is a protein that allows the cancer cells to "trick" the immune system, and avoid being attacked as foreign, harmful substances.</w:t>
      </w:r>
    </w:p>
    <w:p w14:paraId="6EFD42A3" w14:textId="77777777" w:rsidR="00B366C5" w:rsidRDefault="00B366C5" w:rsidP="00B366C5">
      <w:pPr>
        <w:pStyle w:val="BoxText"/>
      </w:pPr>
      <w:r>
        <w:t>Immunohistochemistry is a technique used to work out whether proteins such as PD-L1 are in cancer cells and, if so, how much is there. If cancer cells have a high amount of PD-L1, the person may benefit from a treatment called immunotherapy. This therapy boosts the body's natural defences, using substances made by the body or in a laboratory, to find and destroy cancer cells.</w:t>
      </w:r>
    </w:p>
    <w:p w14:paraId="04F248ED" w14:textId="6154E078" w:rsidR="00B366C5" w:rsidRDefault="00B366C5" w:rsidP="00B366C5">
      <w:pPr>
        <w:pStyle w:val="BoxText"/>
      </w:pPr>
      <w:r>
        <w:t xml:space="preserve">Pembrolizumab and cemiplimab are therapeutic antibodies that stop PD-L1 from working. Currently, in order for people </w:t>
      </w:r>
      <w:r w:rsidR="001E2319">
        <w:t xml:space="preserve">with lung cancer </w:t>
      </w:r>
      <w:r>
        <w:t xml:space="preserve">to be eligible to receive pembrolizumab, they have a test for PDL1, which is funded through the MBS. This application was submitted so that evidence could be examined to see whether cemiplimab could also be added to the </w:t>
      </w:r>
      <w:r w:rsidR="00FF7B1F">
        <w:t>treatment options listed in the M</w:t>
      </w:r>
      <w:r>
        <w:t xml:space="preserve">BS item </w:t>
      </w:r>
      <w:r w:rsidR="00FF7B1F">
        <w:t xml:space="preserve">for the test </w:t>
      </w:r>
      <w:r>
        <w:t xml:space="preserve">(that is, </w:t>
      </w:r>
      <w:r w:rsidR="00FF7B1F">
        <w:t xml:space="preserve">to help decide which </w:t>
      </w:r>
      <w:r>
        <w:t xml:space="preserve">patients could be treated with </w:t>
      </w:r>
      <w:r w:rsidR="00FF7B1F">
        <w:t xml:space="preserve">either </w:t>
      </w:r>
      <w:r>
        <w:t>pembrolizumab or cemiplimab).</w:t>
      </w:r>
    </w:p>
    <w:p w14:paraId="5DE45A2D" w14:textId="715A2281" w:rsidR="00B366C5" w:rsidRDefault="00B366C5" w:rsidP="00B366C5">
      <w:pPr>
        <w:pStyle w:val="BoxText"/>
      </w:pPr>
      <w:r>
        <w:t xml:space="preserve">MSAC considered that the </w:t>
      </w:r>
      <w:r w:rsidR="00FF7B1F">
        <w:t xml:space="preserve">specific test and tested population in the </w:t>
      </w:r>
      <w:r>
        <w:t>evidence base for both pembrolizumab and cemiplimab w</w:t>
      </w:r>
      <w:r w:rsidR="00FF7B1F">
        <w:t>ere</w:t>
      </w:r>
      <w:r>
        <w:t xml:space="preserve"> the same, and </w:t>
      </w:r>
      <w:r w:rsidR="00FF7B1F">
        <w:t>so supported the application</w:t>
      </w:r>
      <w:r>
        <w:t>.</w:t>
      </w:r>
    </w:p>
    <w:p w14:paraId="1C646563" w14:textId="6FC91362" w:rsidR="00B366C5" w:rsidRDefault="00B366C5" w:rsidP="00B366C5">
      <w:pPr>
        <w:pStyle w:val="BoxText"/>
      </w:pPr>
      <w:r>
        <w:t xml:space="preserve">However, on 1 November 2021, just before the November MSAC meeting, MBS item 72814 </w:t>
      </w:r>
      <w:r w:rsidR="00FF0759">
        <w:t xml:space="preserve">for PD-L1 testing in patients diagnosed with lung cancer </w:t>
      </w:r>
      <w:r>
        <w:t xml:space="preserve">was updated to remove </w:t>
      </w:r>
      <w:r w:rsidR="00FF0759">
        <w:t xml:space="preserve">mention of </w:t>
      </w:r>
      <w:r>
        <w:t xml:space="preserve">pembrolizumab. MSAC </w:t>
      </w:r>
      <w:r w:rsidR="00FF0759">
        <w:t xml:space="preserve">had previously </w:t>
      </w:r>
      <w:r>
        <w:t xml:space="preserve">agreed with this change to the MBS item which means </w:t>
      </w:r>
      <w:r w:rsidR="00FF0759">
        <w:t xml:space="preserve">that </w:t>
      </w:r>
      <w:r>
        <w:t xml:space="preserve">neither cemiplimab nor pembrolizumab </w:t>
      </w:r>
      <w:r w:rsidR="00133024">
        <w:t xml:space="preserve">need to </w:t>
      </w:r>
      <w:r>
        <w:t>be mentioned.</w:t>
      </w:r>
    </w:p>
    <w:p w14:paraId="631A4F88" w14:textId="709D2E12" w:rsidR="00133024" w:rsidRDefault="00133024" w:rsidP="00B366C5">
      <w:pPr>
        <w:pStyle w:val="BoxText"/>
      </w:pPr>
      <w:r>
        <w:t xml:space="preserve">MSAC considered that, as already applies </w:t>
      </w:r>
      <w:r w:rsidR="00F17ABC">
        <w:t xml:space="preserve">to </w:t>
      </w:r>
      <w:r>
        <w:t xml:space="preserve">pembrolizumab, cemiplimab should not be used before other types of </w:t>
      </w:r>
      <w:r w:rsidR="00737290">
        <w:t xml:space="preserve">targeted </w:t>
      </w:r>
      <w:r>
        <w:t xml:space="preserve">lung cancer treatment. As the MBS </w:t>
      </w:r>
      <w:r w:rsidR="00014A83">
        <w:t xml:space="preserve">already </w:t>
      </w:r>
      <w:r>
        <w:t xml:space="preserve">includes tests to help identify which patients should first receive these other </w:t>
      </w:r>
      <w:r w:rsidR="00D94E41">
        <w:t xml:space="preserve">targeted </w:t>
      </w:r>
      <w:r>
        <w:t xml:space="preserve">treatments, MSAC supported amendments to these </w:t>
      </w:r>
      <w:r w:rsidR="00014A83">
        <w:t xml:space="preserve">test </w:t>
      </w:r>
      <w:r>
        <w:t>items to ensure that patients are not suitable for these treatments before being treated with cemiplimab.</w:t>
      </w:r>
    </w:p>
    <w:p w14:paraId="5292562A" w14:textId="6D63FD85" w:rsidR="00B366C5" w:rsidRDefault="00B366C5" w:rsidP="00B366C5">
      <w:pPr>
        <w:pStyle w:val="BoxHeading"/>
      </w:pPr>
      <w:r>
        <w:t>MSAC’s advice to the Commonwealth Minister for Health</w:t>
      </w:r>
    </w:p>
    <w:p w14:paraId="530062DF" w14:textId="502AE2E4" w:rsidR="00B366C5" w:rsidRDefault="00FF0759" w:rsidP="00B366C5">
      <w:pPr>
        <w:pStyle w:val="BoxText"/>
      </w:pPr>
      <w:r>
        <w:t xml:space="preserve">Although supporting the application, </w:t>
      </w:r>
      <w:r w:rsidR="00B366C5">
        <w:t xml:space="preserve">MSAC </w:t>
      </w:r>
      <w:r>
        <w:t xml:space="preserve">advised that no further </w:t>
      </w:r>
      <w:r w:rsidR="00B366C5">
        <w:t xml:space="preserve">changes to MBS item 72814 </w:t>
      </w:r>
      <w:r>
        <w:t>were needed</w:t>
      </w:r>
      <w:r w:rsidR="00B366C5">
        <w:t xml:space="preserve">. </w:t>
      </w:r>
      <w:r w:rsidR="007B3028">
        <w:t xml:space="preserve">However, </w:t>
      </w:r>
      <w:r w:rsidR="00B366C5">
        <w:t xml:space="preserve">MSAC </w:t>
      </w:r>
      <w:r w:rsidR="00133024">
        <w:t xml:space="preserve">advised that MBS items for other tests be amended to </w:t>
      </w:r>
      <w:r w:rsidR="006B3844">
        <w:t xml:space="preserve">identify PBS-listed immunotherapies and thus </w:t>
      </w:r>
      <w:r w:rsidR="00133024">
        <w:t xml:space="preserve">include </w:t>
      </w:r>
      <w:r w:rsidR="00B366C5">
        <w:t xml:space="preserve">cemiplimab </w:t>
      </w:r>
      <w:r w:rsidR="00133024">
        <w:t xml:space="preserve">as well </w:t>
      </w:r>
      <w:r w:rsidR="00B366C5">
        <w:t>as pembrolizumab.</w:t>
      </w:r>
    </w:p>
    <w:p w14:paraId="6D8B627B" w14:textId="330DA272" w:rsidR="00550354" w:rsidRPr="00F715D1" w:rsidRDefault="00550354" w:rsidP="00F715D1">
      <w:pPr>
        <w:pStyle w:val="Heading1"/>
      </w:pPr>
      <w:r w:rsidRPr="00F715D1">
        <w:t>Summary of consideration and rationale for MSAC’s advice</w:t>
      </w:r>
    </w:p>
    <w:p w14:paraId="6C26B2DB" w14:textId="11477EEE" w:rsidR="0060062D" w:rsidRPr="0060062D" w:rsidRDefault="0060062D" w:rsidP="0060062D">
      <w:pPr>
        <w:spacing w:after="240"/>
        <w:rPr>
          <w:color w:val="000000"/>
        </w:rPr>
      </w:pPr>
      <w:r w:rsidRPr="0060062D">
        <w:rPr>
          <w:color w:val="000000"/>
        </w:rPr>
        <w:t>MSAC noted that this application is related to an immunohistochemical (IHC) test to determine if the requirements relating to PD-L1 status for access to pembrolizumab (a PD1 inhibitor) under the PBS are fulfilled.</w:t>
      </w:r>
    </w:p>
    <w:p w14:paraId="0A43708D" w14:textId="7EDD2E59" w:rsidR="005C01FB" w:rsidRDefault="0060062D" w:rsidP="00F83EB3">
      <w:pPr>
        <w:spacing w:after="240"/>
        <w:rPr>
          <w:color w:val="000000"/>
        </w:rPr>
      </w:pPr>
      <w:r w:rsidRPr="0060062D">
        <w:rPr>
          <w:color w:val="000000"/>
        </w:rPr>
        <w:t>MSAC noted that the purpose of this submission was to request a minor amendment to MBS item 72814, to add cemiplimab as an alternative</w:t>
      </w:r>
      <w:r w:rsidR="00334661">
        <w:rPr>
          <w:color w:val="000000"/>
        </w:rPr>
        <w:t xml:space="preserve"> </w:t>
      </w:r>
      <w:r w:rsidRPr="0060062D">
        <w:rPr>
          <w:color w:val="000000"/>
        </w:rPr>
        <w:t>to pembrolizumab.</w:t>
      </w:r>
    </w:p>
    <w:p w14:paraId="03A9A051" w14:textId="38EE7488" w:rsidR="00334661" w:rsidRPr="00334661" w:rsidRDefault="00334661" w:rsidP="00BE5862">
      <w:pPr>
        <w:spacing w:after="240"/>
        <w:rPr>
          <w:iCs/>
          <w:szCs w:val="24"/>
        </w:rPr>
      </w:pPr>
      <w:r w:rsidRPr="00334661">
        <w:rPr>
          <w:iCs/>
          <w:szCs w:val="24"/>
        </w:rPr>
        <w:t>MSAC noted that, in November 2021, PBAC recommended the listing of cemiplimab (Libtayo</w:t>
      </w:r>
      <w:r w:rsidRPr="009217A3">
        <w:rPr>
          <w:iCs/>
          <w:szCs w:val="24"/>
          <w:vertAlign w:val="superscript"/>
        </w:rPr>
        <w:t>®</w:t>
      </w:r>
      <w:r w:rsidRPr="00334661">
        <w:rPr>
          <w:iCs/>
          <w:szCs w:val="24"/>
        </w:rPr>
        <w:t xml:space="preserve">), sponsored by sanofi-aventis Australia Pty Ltd, for the treatment of </w:t>
      </w:r>
      <w:r w:rsidR="00A81ED1">
        <w:rPr>
          <w:iCs/>
          <w:szCs w:val="24"/>
        </w:rPr>
        <w:t xml:space="preserve">patients with </w:t>
      </w:r>
      <w:r w:rsidR="00737290">
        <w:rPr>
          <w:iCs/>
          <w:szCs w:val="24"/>
        </w:rPr>
        <w:t xml:space="preserve">previously untreated </w:t>
      </w:r>
      <w:r w:rsidRPr="00334661">
        <w:rPr>
          <w:iCs/>
          <w:szCs w:val="24"/>
        </w:rPr>
        <w:t>metastatic NSCLC</w:t>
      </w:r>
      <w:r w:rsidR="00BE5862">
        <w:rPr>
          <w:iCs/>
          <w:szCs w:val="24"/>
        </w:rPr>
        <w:t xml:space="preserve"> </w:t>
      </w:r>
      <w:r w:rsidR="00BE5862" w:rsidRPr="00BE5862">
        <w:rPr>
          <w:iCs/>
          <w:szCs w:val="24"/>
        </w:rPr>
        <w:t>with PD-L1 tumour proportion score ≥50%</w:t>
      </w:r>
      <w:r w:rsidR="00BE5862">
        <w:rPr>
          <w:iCs/>
          <w:szCs w:val="24"/>
        </w:rPr>
        <w:t>.</w:t>
      </w:r>
    </w:p>
    <w:p w14:paraId="7F6874F5" w14:textId="77777777" w:rsidR="00177C22" w:rsidRDefault="00334661" w:rsidP="0099132B">
      <w:pPr>
        <w:spacing w:before="240" w:after="240"/>
        <w:rPr>
          <w:iCs/>
          <w:szCs w:val="24"/>
        </w:rPr>
      </w:pPr>
      <w:r w:rsidRPr="00334661">
        <w:rPr>
          <w:iCs/>
          <w:szCs w:val="24"/>
        </w:rPr>
        <w:t xml:space="preserve">MSAC noted that PBAC considered the claims that cemiplimab demonstrated non-inferior </w:t>
      </w:r>
      <w:r w:rsidRPr="00F83EB3">
        <w:rPr>
          <w:color w:val="000000"/>
        </w:rPr>
        <w:t>comparative</w:t>
      </w:r>
      <w:r w:rsidRPr="00334661">
        <w:rPr>
          <w:iCs/>
          <w:szCs w:val="24"/>
        </w:rPr>
        <w:t xml:space="preserve"> effectiveness and safety compared to pembrolizumab were reasonable.</w:t>
      </w:r>
    </w:p>
    <w:p w14:paraId="1BF28876" w14:textId="11BFDFC0" w:rsidR="0060062D" w:rsidRPr="0060062D" w:rsidRDefault="0060062D" w:rsidP="0099132B">
      <w:pPr>
        <w:spacing w:before="240" w:after="240"/>
        <w:rPr>
          <w:color w:val="000000"/>
        </w:rPr>
      </w:pPr>
      <w:r w:rsidRPr="0060062D">
        <w:rPr>
          <w:color w:val="000000"/>
        </w:rPr>
        <w:t xml:space="preserve">MSAC noted that the relevant cemiplimab clinical trial, R2810 ONC 1624 (Study 1624; </w:t>
      </w:r>
      <w:hyperlink r:id="rId10" w:history="1">
        <w:r w:rsidRPr="009C4B75">
          <w:rPr>
            <w:rStyle w:val="Hyperlink"/>
          </w:rPr>
          <w:t>NCT03088540</w:t>
        </w:r>
      </w:hyperlink>
      <w:r w:rsidRPr="0060062D">
        <w:rPr>
          <w:color w:val="000000"/>
        </w:rPr>
        <w:t>) used the same PD</w:t>
      </w:r>
      <w:r w:rsidR="009C4B75">
        <w:rPr>
          <w:color w:val="000000"/>
        </w:rPr>
        <w:t>-</w:t>
      </w:r>
      <w:r w:rsidRPr="0060062D">
        <w:rPr>
          <w:color w:val="000000"/>
        </w:rPr>
        <w:t>L1 test as pembrolizumab trials, the Dako PD</w:t>
      </w:r>
      <w:r w:rsidR="00070380">
        <w:rPr>
          <w:color w:val="000000"/>
        </w:rPr>
        <w:t>-</w:t>
      </w:r>
      <w:r w:rsidRPr="0060062D">
        <w:rPr>
          <w:color w:val="000000"/>
        </w:rPr>
        <w:t xml:space="preserve">L1 IHC 22C3 pharmDx test (Dako 22C3 assay). The Dako 22C3 assay was used to determine </w:t>
      </w:r>
      <w:r w:rsidRPr="0060062D">
        <w:rPr>
          <w:color w:val="000000"/>
        </w:rPr>
        <w:lastRenderedPageBreak/>
        <w:t xml:space="preserve">eligibility for enrolment in the KEYNOTE 024 trial. MSAC </w:t>
      </w:r>
      <w:r w:rsidR="009C4B75">
        <w:rPr>
          <w:color w:val="000000"/>
        </w:rPr>
        <w:t>recalled</w:t>
      </w:r>
      <w:r w:rsidR="009C4B75" w:rsidRPr="0060062D">
        <w:rPr>
          <w:color w:val="000000"/>
        </w:rPr>
        <w:t xml:space="preserve"> </w:t>
      </w:r>
      <w:r w:rsidRPr="0060062D">
        <w:rPr>
          <w:color w:val="000000"/>
        </w:rPr>
        <w:t xml:space="preserve">that this test was evaluated in </w:t>
      </w:r>
      <w:r w:rsidR="009C4B75">
        <w:rPr>
          <w:color w:val="000000"/>
        </w:rPr>
        <w:t xml:space="preserve">previous </w:t>
      </w:r>
      <w:r w:rsidR="00950291">
        <w:rPr>
          <w:color w:val="000000"/>
        </w:rPr>
        <w:t>applications</w:t>
      </w:r>
      <w:r w:rsidR="008349CC">
        <w:rPr>
          <w:color w:val="000000"/>
        </w:rPr>
        <w:t>.</w:t>
      </w:r>
    </w:p>
    <w:p w14:paraId="4269DC67" w14:textId="28A0EC65" w:rsidR="0060062D" w:rsidRPr="0060062D" w:rsidRDefault="0060062D" w:rsidP="0060062D">
      <w:pPr>
        <w:spacing w:after="240"/>
        <w:rPr>
          <w:color w:val="000000"/>
        </w:rPr>
      </w:pPr>
      <w:r w:rsidRPr="0060062D">
        <w:rPr>
          <w:color w:val="000000"/>
        </w:rPr>
        <w:t xml:space="preserve">Regarding safety and quality assurance, MSAC noted that the </w:t>
      </w:r>
      <w:r w:rsidR="0099132B">
        <w:rPr>
          <w:color w:val="000000"/>
        </w:rPr>
        <w:t xml:space="preserve">listing of </w:t>
      </w:r>
      <w:r w:rsidRPr="0060062D">
        <w:rPr>
          <w:color w:val="000000"/>
        </w:rPr>
        <w:t xml:space="preserve">another similar drug </w:t>
      </w:r>
      <w:r w:rsidR="0099132B">
        <w:rPr>
          <w:color w:val="000000"/>
        </w:rPr>
        <w:t xml:space="preserve">on the PBS would </w:t>
      </w:r>
      <w:r w:rsidRPr="0060062D">
        <w:rPr>
          <w:color w:val="000000"/>
        </w:rPr>
        <w:t xml:space="preserve">not make any difference to the laboratories apart from a different </w:t>
      </w:r>
      <w:r w:rsidR="0099132B">
        <w:rPr>
          <w:color w:val="000000"/>
        </w:rPr>
        <w:t>TPS threshold</w:t>
      </w:r>
      <w:r w:rsidRPr="0060062D">
        <w:rPr>
          <w:color w:val="000000"/>
        </w:rPr>
        <w:t xml:space="preserve"> for eligibility.</w:t>
      </w:r>
    </w:p>
    <w:p w14:paraId="72392478" w14:textId="672DBE0F" w:rsidR="0060062D" w:rsidRPr="0060062D" w:rsidRDefault="0060062D" w:rsidP="0060062D">
      <w:pPr>
        <w:spacing w:after="240"/>
        <w:rPr>
          <w:color w:val="000000"/>
        </w:rPr>
      </w:pPr>
      <w:r w:rsidRPr="0060062D">
        <w:rPr>
          <w:color w:val="000000"/>
        </w:rPr>
        <w:t xml:space="preserve">MSAC </w:t>
      </w:r>
      <w:r w:rsidR="0099132B">
        <w:rPr>
          <w:color w:val="000000"/>
        </w:rPr>
        <w:t xml:space="preserve">considered </w:t>
      </w:r>
      <w:r w:rsidRPr="0060062D">
        <w:rPr>
          <w:color w:val="000000"/>
        </w:rPr>
        <w:t xml:space="preserve">that there </w:t>
      </w:r>
      <w:r w:rsidR="0099132B">
        <w:rPr>
          <w:color w:val="000000"/>
        </w:rPr>
        <w:t>would</w:t>
      </w:r>
      <w:r w:rsidRPr="0060062D">
        <w:rPr>
          <w:color w:val="000000"/>
        </w:rPr>
        <w:t xml:space="preserve"> be no changes to the utilisation of </w:t>
      </w:r>
      <w:r w:rsidR="0099132B">
        <w:rPr>
          <w:color w:val="000000"/>
        </w:rPr>
        <w:t>the PD</w:t>
      </w:r>
      <w:r w:rsidR="00070380">
        <w:rPr>
          <w:color w:val="000000"/>
        </w:rPr>
        <w:t xml:space="preserve">-L1 IHC </w:t>
      </w:r>
      <w:r w:rsidRPr="0060062D">
        <w:rPr>
          <w:color w:val="000000"/>
        </w:rPr>
        <w:t xml:space="preserve">item, as </w:t>
      </w:r>
      <w:r w:rsidR="00070380">
        <w:rPr>
          <w:color w:val="000000"/>
        </w:rPr>
        <w:t xml:space="preserve">the PBS </w:t>
      </w:r>
      <w:r w:rsidRPr="0060062D">
        <w:rPr>
          <w:color w:val="000000"/>
        </w:rPr>
        <w:t xml:space="preserve">listing will </w:t>
      </w:r>
      <w:r w:rsidR="00070380">
        <w:rPr>
          <w:color w:val="000000"/>
        </w:rPr>
        <w:t xml:space="preserve">simply </w:t>
      </w:r>
      <w:r w:rsidRPr="0060062D">
        <w:rPr>
          <w:color w:val="000000"/>
        </w:rPr>
        <w:t>provide an alternative therapy.</w:t>
      </w:r>
    </w:p>
    <w:p w14:paraId="1539139F" w14:textId="3A60B3C5" w:rsidR="0060062D" w:rsidRPr="0060062D" w:rsidRDefault="0060062D" w:rsidP="0060062D">
      <w:pPr>
        <w:spacing w:after="240"/>
        <w:rPr>
          <w:color w:val="000000"/>
        </w:rPr>
      </w:pPr>
      <w:r w:rsidRPr="0060062D">
        <w:rPr>
          <w:color w:val="000000"/>
        </w:rPr>
        <w:t>MSAC noted that no changes to the fee were requested.</w:t>
      </w:r>
    </w:p>
    <w:p w14:paraId="49B27056" w14:textId="0BA40A22" w:rsidR="0060062D" w:rsidRPr="0060062D" w:rsidRDefault="0060062D" w:rsidP="0060062D">
      <w:pPr>
        <w:spacing w:after="240"/>
        <w:rPr>
          <w:color w:val="000000"/>
        </w:rPr>
      </w:pPr>
      <w:r w:rsidRPr="0060062D">
        <w:rPr>
          <w:color w:val="000000"/>
        </w:rPr>
        <w:t>MSAC noted that on 1 November 2021, item 72814 was updated to remove the restriction of PD-L1 status as a requirement for access to pembrolizumab in patients diagnosed with NSCLC</w:t>
      </w:r>
      <w:r w:rsidR="00070380">
        <w:rPr>
          <w:color w:val="000000"/>
        </w:rPr>
        <w:t xml:space="preserve"> consistent with the revised PBS restriction for pembrolizumab</w:t>
      </w:r>
      <w:r w:rsidRPr="0060062D">
        <w:rPr>
          <w:color w:val="000000"/>
        </w:rPr>
        <w:t xml:space="preserve">. Item 72814 </w:t>
      </w:r>
      <w:r w:rsidR="00070380">
        <w:rPr>
          <w:color w:val="000000"/>
        </w:rPr>
        <w:t xml:space="preserve">continues to be available </w:t>
      </w:r>
      <w:r w:rsidRPr="0060062D">
        <w:rPr>
          <w:color w:val="000000"/>
        </w:rPr>
        <w:t>for clinical guidance, as best practice</w:t>
      </w:r>
      <w:r w:rsidR="00AC3C01">
        <w:rPr>
          <w:color w:val="000000"/>
        </w:rPr>
        <w:t xml:space="preserve"> (Table 1)</w:t>
      </w:r>
      <w:r w:rsidRPr="0060062D">
        <w:rPr>
          <w:color w:val="000000"/>
        </w:rPr>
        <w:t>.</w:t>
      </w:r>
    </w:p>
    <w:p w14:paraId="0A6E4153" w14:textId="77777777" w:rsidR="008B757C" w:rsidRPr="0060062D" w:rsidRDefault="008B757C" w:rsidP="001F136E">
      <w:pPr>
        <w:keepNext/>
        <w:rPr>
          <w:color w:val="000000"/>
        </w:rPr>
      </w:pPr>
      <w:r>
        <w:rPr>
          <w:rFonts w:ascii="Arial Narrow" w:hAnsi="Arial Narrow"/>
          <w:b/>
          <w:bCs/>
          <w:color w:val="000000"/>
          <w:sz w:val="20"/>
          <w:szCs w:val="16"/>
        </w:rPr>
        <w:t>Table 1</w:t>
      </w:r>
      <w:r>
        <w:rPr>
          <w:rFonts w:ascii="Arial Narrow" w:hAnsi="Arial Narrow"/>
          <w:b/>
          <w:bCs/>
          <w:color w:val="000000"/>
          <w:sz w:val="20"/>
          <w:szCs w:val="16"/>
        </w:rPr>
        <w:tab/>
        <w:t>MBS item 72814 as effective from 1 November 2021</w:t>
      </w:r>
    </w:p>
    <w:tbl>
      <w:tblPr>
        <w:tblStyle w:val="TableGrid"/>
        <w:tblW w:w="9015" w:type="dxa"/>
        <w:tblLook w:val="04A0" w:firstRow="1" w:lastRow="0" w:firstColumn="1" w:lastColumn="0" w:noHBand="0" w:noVBand="1"/>
      </w:tblPr>
      <w:tblGrid>
        <w:gridCol w:w="9015"/>
      </w:tblGrid>
      <w:tr w:rsidR="008B757C" w:rsidRPr="0060062D" w14:paraId="42C7A084" w14:textId="77777777" w:rsidTr="00B70F2A">
        <w:tc>
          <w:tcPr>
            <w:tcW w:w="9015" w:type="dxa"/>
            <w:hideMark/>
          </w:tcPr>
          <w:p w14:paraId="42CCB850" w14:textId="77777777" w:rsidR="008B757C" w:rsidRPr="005C01FB" w:rsidRDefault="008B757C" w:rsidP="00A76B6B">
            <w:pPr>
              <w:spacing w:after="240"/>
              <w:jc w:val="right"/>
              <w:rPr>
                <w:rFonts w:ascii="Arial Narrow" w:hAnsi="Arial Narrow"/>
                <w:color w:val="000000"/>
                <w:sz w:val="20"/>
                <w:szCs w:val="16"/>
              </w:rPr>
            </w:pPr>
            <w:r w:rsidRPr="005C01FB">
              <w:rPr>
                <w:rFonts w:ascii="Arial Narrow" w:hAnsi="Arial Narrow"/>
                <w:b/>
                <w:bCs/>
                <w:color w:val="000000"/>
                <w:sz w:val="20"/>
                <w:szCs w:val="16"/>
              </w:rPr>
              <w:t>CATEGORY 6 – PATHOLOGY SERVICES</w:t>
            </w:r>
            <w:r w:rsidRPr="005C01FB">
              <w:rPr>
                <w:rFonts w:ascii="Arial Narrow" w:hAnsi="Arial Narrow"/>
                <w:color w:val="000000"/>
                <w:sz w:val="20"/>
                <w:szCs w:val="16"/>
              </w:rPr>
              <w:t> </w:t>
            </w:r>
          </w:p>
        </w:tc>
      </w:tr>
      <w:tr w:rsidR="008B757C" w:rsidRPr="0060062D" w14:paraId="7C7A6362" w14:textId="77777777" w:rsidTr="00B70F2A">
        <w:tc>
          <w:tcPr>
            <w:tcW w:w="9015" w:type="dxa"/>
            <w:hideMark/>
          </w:tcPr>
          <w:p w14:paraId="7F65BE6B" w14:textId="77777777" w:rsidR="008B757C" w:rsidRPr="005C01FB" w:rsidRDefault="009E13E7" w:rsidP="00A76B6B">
            <w:pPr>
              <w:spacing w:after="240"/>
              <w:rPr>
                <w:rFonts w:ascii="Arial Narrow" w:hAnsi="Arial Narrow"/>
                <w:color w:val="000000"/>
                <w:sz w:val="20"/>
                <w:szCs w:val="16"/>
              </w:rPr>
            </w:pPr>
            <w:hyperlink r:id="rId11" w:tgtFrame="_blank" w:history="1">
              <w:r w:rsidR="008B757C" w:rsidRPr="005C01FB">
                <w:rPr>
                  <w:rFonts w:ascii="Arial Narrow" w:hAnsi="Arial Narrow"/>
                  <w:color w:val="0000FF" w:themeColor="hyperlink"/>
                  <w:sz w:val="20"/>
                  <w:szCs w:val="16"/>
                  <w:u w:val="single"/>
                </w:rPr>
                <w:t>72814</w:t>
              </w:r>
            </w:hyperlink>
            <w:r w:rsidR="008B757C" w:rsidRPr="005C01FB">
              <w:rPr>
                <w:rFonts w:ascii="Arial Narrow" w:hAnsi="Arial Narrow"/>
                <w:color w:val="000000"/>
                <w:sz w:val="20"/>
                <w:szCs w:val="16"/>
              </w:rPr>
              <w:t> </w:t>
            </w:r>
          </w:p>
          <w:p w14:paraId="7D47003C" w14:textId="2F256C41" w:rsidR="008B757C" w:rsidRDefault="008B757C" w:rsidP="00A76B6B">
            <w:pPr>
              <w:spacing w:after="240"/>
              <w:rPr>
                <w:rFonts w:ascii="Arial Narrow" w:hAnsi="Arial Narrow"/>
                <w:color w:val="000000"/>
                <w:sz w:val="20"/>
                <w:szCs w:val="16"/>
              </w:rPr>
            </w:pPr>
            <w:r w:rsidRPr="005C01FB">
              <w:rPr>
                <w:rFonts w:ascii="Arial Narrow" w:hAnsi="Arial Narrow"/>
                <w:color w:val="000000"/>
                <w:sz w:val="20"/>
                <w:szCs w:val="16"/>
              </w:rPr>
              <w:t>Immunohistochemical examination by immunoperoxidase or other labelled antibody techniques using the programmed cell death ligand 1 (PD</w:t>
            </w:r>
            <w:r w:rsidRPr="005C01FB">
              <w:rPr>
                <w:rFonts w:ascii="Cambria Math" w:hAnsi="Cambria Math" w:cs="Cambria Math"/>
                <w:color w:val="000000"/>
                <w:sz w:val="20"/>
                <w:szCs w:val="16"/>
              </w:rPr>
              <w:t>‑</w:t>
            </w:r>
            <w:r w:rsidRPr="005C01FB">
              <w:rPr>
                <w:rFonts w:ascii="Arial Narrow" w:hAnsi="Arial Narrow"/>
                <w:color w:val="000000"/>
                <w:sz w:val="20"/>
                <w:szCs w:val="16"/>
              </w:rPr>
              <w:t>L1) antibody of tumour material from a patient diagnosed with non</w:t>
            </w:r>
            <w:r w:rsidRPr="005C01FB">
              <w:rPr>
                <w:rFonts w:ascii="Cambria Math" w:hAnsi="Cambria Math" w:cs="Cambria Math"/>
                <w:color w:val="000000"/>
                <w:sz w:val="20"/>
                <w:szCs w:val="16"/>
              </w:rPr>
              <w:t>‑</w:t>
            </w:r>
            <w:r w:rsidRPr="005C01FB">
              <w:rPr>
                <w:rFonts w:ascii="Arial Narrow" w:hAnsi="Arial Narrow"/>
                <w:color w:val="000000"/>
                <w:sz w:val="20"/>
                <w:szCs w:val="16"/>
              </w:rPr>
              <w:t>small cell lung cancer.</w:t>
            </w:r>
          </w:p>
          <w:p w14:paraId="27E0F742" w14:textId="08753751" w:rsidR="008B757C" w:rsidRPr="005C01FB" w:rsidRDefault="00321608" w:rsidP="00A76B6B">
            <w:pPr>
              <w:rPr>
                <w:rFonts w:ascii="Arial Narrow" w:hAnsi="Arial Narrow"/>
                <w:color w:val="000000"/>
                <w:sz w:val="20"/>
                <w:szCs w:val="16"/>
              </w:rPr>
            </w:pPr>
            <w:r w:rsidRPr="00321608">
              <w:rPr>
                <w:rFonts w:ascii="Arial Narrow" w:hAnsi="Arial Narrow"/>
                <w:b/>
                <w:bCs/>
                <w:color w:val="000000"/>
                <w:sz w:val="20"/>
                <w:szCs w:val="16"/>
              </w:rPr>
              <w:t>Fee:</w:t>
            </w:r>
            <w:r>
              <w:rPr>
                <w:rFonts w:ascii="Arial Narrow" w:hAnsi="Arial Narrow"/>
                <w:color w:val="000000"/>
                <w:sz w:val="20"/>
                <w:szCs w:val="16"/>
              </w:rPr>
              <w:t xml:space="preserve"> $74.40 </w:t>
            </w:r>
            <w:r w:rsidR="008B757C" w:rsidRPr="00321608">
              <w:rPr>
                <w:rFonts w:ascii="Arial Narrow" w:hAnsi="Arial Narrow"/>
                <w:b/>
                <w:bCs/>
                <w:color w:val="000000"/>
                <w:sz w:val="20"/>
                <w:szCs w:val="16"/>
              </w:rPr>
              <w:t>Benefit:</w:t>
            </w:r>
            <w:r w:rsidR="008B757C" w:rsidRPr="005C01FB">
              <w:rPr>
                <w:rFonts w:ascii="Arial Narrow" w:hAnsi="Arial Narrow"/>
                <w:color w:val="000000"/>
                <w:sz w:val="20"/>
                <w:szCs w:val="16"/>
              </w:rPr>
              <w:t xml:space="preserve"> 75% = $55.90 85% = $63.35 </w:t>
            </w:r>
          </w:p>
        </w:tc>
      </w:tr>
    </w:tbl>
    <w:p w14:paraId="0ED4B514" w14:textId="2D1DAF41" w:rsidR="0060062D" w:rsidRPr="00670415" w:rsidRDefault="0060062D" w:rsidP="0060062D">
      <w:pPr>
        <w:textAlignment w:val="baseline"/>
        <w:rPr>
          <w:szCs w:val="24"/>
        </w:rPr>
      </w:pPr>
    </w:p>
    <w:p w14:paraId="113366C8" w14:textId="16273EB5" w:rsidR="0060062D" w:rsidRPr="0060062D" w:rsidRDefault="0060062D" w:rsidP="0060062D">
      <w:pPr>
        <w:textAlignment w:val="baseline"/>
        <w:rPr>
          <w:szCs w:val="24"/>
          <w:lang w:val="en-US"/>
        </w:rPr>
      </w:pPr>
      <w:r w:rsidRPr="0060062D">
        <w:rPr>
          <w:szCs w:val="24"/>
          <w:lang w:val="en-US"/>
        </w:rPr>
        <w:t xml:space="preserve">MSAC </w:t>
      </w:r>
      <w:r w:rsidR="00070380">
        <w:rPr>
          <w:szCs w:val="24"/>
          <w:lang w:val="en-US"/>
        </w:rPr>
        <w:t>supported</w:t>
      </w:r>
      <w:r w:rsidR="00950291" w:rsidRPr="0060062D">
        <w:rPr>
          <w:szCs w:val="24"/>
          <w:lang w:val="en-US"/>
        </w:rPr>
        <w:t xml:space="preserve"> </w:t>
      </w:r>
      <w:r w:rsidRPr="0060062D">
        <w:rPr>
          <w:szCs w:val="24"/>
          <w:lang w:val="en-US"/>
        </w:rPr>
        <w:t xml:space="preserve">this change and </w:t>
      </w:r>
      <w:r w:rsidR="00950291">
        <w:rPr>
          <w:szCs w:val="24"/>
          <w:lang w:val="en-US"/>
        </w:rPr>
        <w:t>advised</w:t>
      </w:r>
      <w:r w:rsidR="00950291" w:rsidRPr="0060062D">
        <w:rPr>
          <w:szCs w:val="24"/>
          <w:lang w:val="en-US"/>
        </w:rPr>
        <w:t xml:space="preserve"> </w:t>
      </w:r>
      <w:r w:rsidRPr="0060062D">
        <w:rPr>
          <w:szCs w:val="24"/>
          <w:lang w:val="en-US"/>
        </w:rPr>
        <w:t xml:space="preserve">that no </w:t>
      </w:r>
      <w:r w:rsidR="00950291">
        <w:rPr>
          <w:szCs w:val="24"/>
          <w:lang w:val="en-US"/>
        </w:rPr>
        <w:t>amendment</w:t>
      </w:r>
      <w:r w:rsidRPr="0060062D">
        <w:rPr>
          <w:szCs w:val="24"/>
          <w:lang w:val="en-US"/>
        </w:rPr>
        <w:t xml:space="preserve"> is necessary to item 72814 to accommodate cemiplimab.</w:t>
      </w:r>
    </w:p>
    <w:p w14:paraId="7BFAC811" w14:textId="77777777" w:rsidR="0060062D" w:rsidRPr="0060062D" w:rsidRDefault="0060062D" w:rsidP="0060062D">
      <w:pPr>
        <w:keepNext/>
        <w:spacing w:before="240" w:after="240"/>
        <w:outlineLvl w:val="1"/>
        <w:rPr>
          <w:rFonts w:ascii="Arial" w:hAnsi="Arial" w:cs="Arial"/>
          <w:b/>
          <w:bCs/>
          <w:iCs/>
          <w:color w:val="000000"/>
          <w:szCs w:val="28"/>
        </w:rPr>
      </w:pPr>
      <w:r w:rsidRPr="0060062D">
        <w:rPr>
          <w:rFonts w:ascii="Arial" w:hAnsi="Arial" w:cs="Arial"/>
          <w:b/>
          <w:bCs/>
          <w:iCs/>
          <w:color w:val="000000"/>
          <w:szCs w:val="28"/>
        </w:rPr>
        <w:t>Other discussion</w:t>
      </w:r>
    </w:p>
    <w:p w14:paraId="0D33B2ED" w14:textId="4BDED707" w:rsidR="00321608" w:rsidRPr="00385EC5" w:rsidRDefault="0060062D" w:rsidP="0060062D">
      <w:pPr>
        <w:textAlignment w:val="baseline"/>
        <w:rPr>
          <w:szCs w:val="24"/>
          <w:lang w:val="en-US"/>
        </w:rPr>
      </w:pPr>
      <w:r w:rsidRPr="0060062D">
        <w:rPr>
          <w:szCs w:val="24"/>
          <w:lang w:val="en-US"/>
        </w:rPr>
        <w:t xml:space="preserve">MSAC noted </w:t>
      </w:r>
      <w:r w:rsidR="00AC3C01">
        <w:rPr>
          <w:szCs w:val="24"/>
          <w:lang w:val="en-US"/>
        </w:rPr>
        <w:t xml:space="preserve">related </w:t>
      </w:r>
      <w:r w:rsidRPr="0060062D">
        <w:rPr>
          <w:szCs w:val="24"/>
          <w:lang w:val="en-US"/>
        </w:rPr>
        <w:t xml:space="preserve">items 73337, 73341 and 73344 were </w:t>
      </w:r>
      <w:r w:rsidR="00670415">
        <w:rPr>
          <w:szCs w:val="24"/>
          <w:lang w:val="en-US"/>
        </w:rPr>
        <w:t xml:space="preserve">also </w:t>
      </w:r>
      <w:r w:rsidRPr="0060062D">
        <w:rPr>
          <w:szCs w:val="24"/>
          <w:lang w:val="en-US"/>
        </w:rPr>
        <w:t xml:space="preserve">updated on 1 November 2021 to specify pembrolizumab. </w:t>
      </w:r>
      <w:r w:rsidR="00670415">
        <w:rPr>
          <w:szCs w:val="24"/>
          <w:lang w:val="en-US"/>
        </w:rPr>
        <w:t>In supporting these changes and t</w:t>
      </w:r>
      <w:r w:rsidR="00743B7A">
        <w:rPr>
          <w:szCs w:val="24"/>
          <w:lang w:val="en-US"/>
        </w:rPr>
        <w:t>o accommodate cemiplimab,</w:t>
      </w:r>
      <w:r w:rsidR="00743B7A" w:rsidRPr="0060062D" w:rsidDel="00A734D8">
        <w:rPr>
          <w:szCs w:val="24"/>
          <w:lang w:val="en-US"/>
        </w:rPr>
        <w:t xml:space="preserve"> </w:t>
      </w:r>
      <w:r w:rsidRPr="0060062D">
        <w:rPr>
          <w:szCs w:val="24"/>
          <w:lang w:val="en-US"/>
        </w:rPr>
        <w:t xml:space="preserve">MSAC </w:t>
      </w:r>
      <w:r w:rsidR="00A734D8">
        <w:rPr>
          <w:szCs w:val="24"/>
          <w:lang w:val="en-US"/>
        </w:rPr>
        <w:t xml:space="preserve">advised that </w:t>
      </w:r>
      <w:r w:rsidRPr="0060062D">
        <w:rPr>
          <w:szCs w:val="24"/>
          <w:lang w:val="en-US"/>
        </w:rPr>
        <w:t xml:space="preserve">that these items </w:t>
      </w:r>
      <w:r w:rsidR="00950291">
        <w:rPr>
          <w:szCs w:val="24"/>
          <w:lang w:val="en-US"/>
        </w:rPr>
        <w:t>should</w:t>
      </w:r>
      <w:r w:rsidR="00950291" w:rsidRPr="0060062D">
        <w:rPr>
          <w:szCs w:val="24"/>
          <w:lang w:val="en-US"/>
        </w:rPr>
        <w:t xml:space="preserve"> </w:t>
      </w:r>
      <w:r w:rsidRPr="0060062D">
        <w:rPr>
          <w:szCs w:val="24"/>
          <w:lang w:val="en-US"/>
        </w:rPr>
        <w:t xml:space="preserve">be </w:t>
      </w:r>
      <w:r w:rsidR="00743B7A">
        <w:rPr>
          <w:szCs w:val="24"/>
          <w:lang w:val="en-US"/>
        </w:rPr>
        <w:t>amended</w:t>
      </w:r>
      <w:r w:rsidR="00743B7A" w:rsidRPr="0060062D">
        <w:rPr>
          <w:szCs w:val="24"/>
          <w:lang w:val="en-US"/>
        </w:rPr>
        <w:t xml:space="preserve"> </w:t>
      </w:r>
      <w:r w:rsidRPr="0060062D">
        <w:rPr>
          <w:szCs w:val="24"/>
          <w:lang w:val="en-US"/>
        </w:rPr>
        <w:t xml:space="preserve">as follows </w:t>
      </w:r>
      <w:r w:rsidR="00670415">
        <w:rPr>
          <w:szCs w:val="24"/>
          <w:lang w:val="en-US"/>
        </w:rPr>
        <w:t xml:space="preserve">in Table 2 </w:t>
      </w:r>
      <w:r w:rsidRPr="0060062D">
        <w:rPr>
          <w:szCs w:val="24"/>
          <w:lang w:val="en-US"/>
        </w:rPr>
        <w:t xml:space="preserve">(additions in </w:t>
      </w:r>
      <w:r w:rsidR="006F77D0">
        <w:rPr>
          <w:b/>
          <w:bCs/>
          <w:szCs w:val="24"/>
          <w:lang w:val="en-US"/>
        </w:rPr>
        <w:t>bold</w:t>
      </w:r>
      <w:r w:rsidR="006F77D0" w:rsidRPr="0060062D">
        <w:rPr>
          <w:szCs w:val="24"/>
          <w:lang w:val="en-US"/>
        </w:rPr>
        <w:t xml:space="preserve"> </w:t>
      </w:r>
      <w:r w:rsidRPr="0060062D">
        <w:rPr>
          <w:szCs w:val="24"/>
          <w:lang w:val="en-US"/>
        </w:rPr>
        <w:t>and deletions in strikethrough)</w:t>
      </w:r>
      <w:r w:rsidR="00670415">
        <w:rPr>
          <w:szCs w:val="24"/>
          <w:lang w:val="en-US"/>
        </w:rPr>
        <w:t>.</w:t>
      </w:r>
    </w:p>
    <w:p w14:paraId="71A2BB3B" w14:textId="767CEA16" w:rsidR="0060062D" w:rsidRDefault="0060062D" w:rsidP="00070380">
      <w:pPr>
        <w:keepNext/>
        <w:rPr>
          <w:rFonts w:ascii="Arial Narrow" w:hAnsi="Arial Narrow"/>
          <w:b/>
          <w:bCs/>
          <w:color w:val="000000"/>
          <w:sz w:val="20"/>
          <w:szCs w:val="16"/>
        </w:rPr>
      </w:pPr>
      <w:r w:rsidRPr="0060062D">
        <w:rPr>
          <w:szCs w:val="24"/>
        </w:rPr>
        <w:lastRenderedPageBreak/>
        <w:t> </w:t>
      </w:r>
      <w:r w:rsidR="00321608">
        <w:rPr>
          <w:rFonts w:ascii="Arial Narrow" w:hAnsi="Arial Narrow"/>
          <w:b/>
          <w:bCs/>
          <w:color w:val="000000"/>
          <w:sz w:val="20"/>
          <w:szCs w:val="16"/>
        </w:rPr>
        <w:t>Table 2</w:t>
      </w:r>
      <w:r w:rsidR="00321608">
        <w:rPr>
          <w:rFonts w:ascii="Arial Narrow" w:hAnsi="Arial Narrow"/>
          <w:b/>
          <w:bCs/>
          <w:color w:val="000000"/>
          <w:sz w:val="20"/>
          <w:szCs w:val="16"/>
        </w:rPr>
        <w:tab/>
        <w:t xml:space="preserve">MSAC </w:t>
      </w:r>
      <w:r w:rsidR="00AC3C01">
        <w:rPr>
          <w:rFonts w:ascii="Arial Narrow" w:hAnsi="Arial Narrow"/>
          <w:b/>
          <w:bCs/>
          <w:color w:val="000000"/>
          <w:sz w:val="20"/>
          <w:szCs w:val="16"/>
        </w:rPr>
        <w:t>supported</w:t>
      </w:r>
      <w:r w:rsidR="00321608">
        <w:rPr>
          <w:rFonts w:ascii="Arial Narrow" w:hAnsi="Arial Narrow"/>
          <w:b/>
          <w:bCs/>
          <w:color w:val="000000"/>
          <w:sz w:val="20"/>
          <w:szCs w:val="16"/>
        </w:rPr>
        <w:t xml:space="preserve"> amendments for related MBS items</w:t>
      </w:r>
      <w:r w:rsidR="00E7087E">
        <w:rPr>
          <w:rFonts w:ascii="Arial Narrow" w:hAnsi="Arial Narrow"/>
          <w:b/>
          <w:bCs/>
          <w:color w:val="000000"/>
          <w:sz w:val="20"/>
          <w:szCs w:val="16"/>
        </w:rPr>
        <w:t xml:space="preserve"> </w:t>
      </w:r>
      <w:r w:rsidR="00E7087E" w:rsidRPr="00E7087E">
        <w:rPr>
          <w:rFonts w:ascii="Arial Narrow" w:hAnsi="Arial Narrow"/>
          <w:b/>
          <w:bCs/>
          <w:color w:val="000000"/>
          <w:sz w:val="20"/>
          <w:szCs w:val="16"/>
        </w:rPr>
        <w:t>(additions in bold and deletions in strikethrough):</w:t>
      </w:r>
    </w:p>
    <w:tbl>
      <w:tblPr>
        <w:tblStyle w:val="TableGrid"/>
        <w:tblW w:w="0" w:type="auto"/>
        <w:tblLook w:val="04A0" w:firstRow="1" w:lastRow="0" w:firstColumn="1" w:lastColumn="0" w:noHBand="0" w:noVBand="1"/>
      </w:tblPr>
      <w:tblGrid>
        <w:gridCol w:w="9016"/>
      </w:tblGrid>
      <w:tr w:rsidR="00321608" w14:paraId="19090903" w14:textId="77777777" w:rsidTr="00321608">
        <w:tc>
          <w:tcPr>
            <w:tcW w:w="9016" w:type="dxa"/>
          </w:tcPr>
          <w:p w14:paraId="22A46D7D" w14:textId="703B8976" w:rsidR="00321608" w:rsidRPr="00E7087E" w:rsidRDefault="00321608" w:rsidP="00070380">
            <w:pPr>
              <w:keepNext/>
              <w:jc w:val="right"/>
              <w:textAlignment w:val="baseline"/>
              <w:rPr>
                <w:rFonts w:ascii="Arial Narrow" w:hAnsi="Arial Narrow"/>
                <w:sz w:val="20"/>
              </w:rPr>
            </w:pPr>
            <w:r w:rsidRPr="005C01FB">
              <w:rPr>
                <w:rFonts w:ascii="Arial Narrow" w:hAnsi="Arial Narrow"/>
                <w:b/>
                <w:bCs/>
                <w:color w:val="000000"/>
                <w:sz w:val="20"/>
                <w:szCs w:val="16"/>
              </w:rPr>
              <w:t>CATEGORY 6 – PATHOLOGY SERVICES</w:t>
            </w:r>
            <w:r w:rsidRPr="005C01FB">
              <w:rPr>
                <w:rFonts w:ascii="Arial Narrow" w:hAnsi="Arial Narrow"/>
                <w:color w:val="000000"/>
                <w:sz w:val="20"/>
                <w:szCs w:val="16"/>
              </w:rPr>
              <w:t> </w:t>
            </w:r>
          </w:p>
        </w:tc>
      </w:tr>
      <w:tr w:rsidR="00321608" w14:paraId="402E3472" w14:textId="77777777" w:rsidTr="00321608">
        <w:tc>
          <w:tcPr>
            <w:tcW w:w="9016" w:type="dxa"/>
          </w:tcPr>
          <w:p w14:paraId="4722DE38" w14:textId="4F6C0CEE" w:rsidR="00321608" w:rsidRDefault="00321608" w:rsidP="00070380">
            <w:pPr>
              <w:keepNext/>
              <w:textAlignment w:val="baseline"/>
              <w:rPr>
                <w:rFonts w:ascii="Arial Narrow" w:hAnsi="Arial Narrow"/>
                <w:sz w:val="20"/>
              </w:rPr>
            </w:pPr>
            <w:r w:rsidRPr="00070380">
              <w:rPr>
                <w:rFonts w:ascii="Arial Narrow" w:hAnsi="Arial Narrow"/>
                <w:sz w:val="20"/>
              </w:rPr>
              <w:t>73337</w:t>
            </w:r>
          </w:p>
          <w:p w14:paraId="7F38DA9A" w14:textId="77777777" w:rsidR="00321608" w:rsidRDefault="00321608" w:rsidP="00070380">
            <w:pPr>
              <w:keepNext/>
              <w:textAlignment w:val="baseline"/>
              <w:rPr>
                <w:rFonts w:ascii="Arial Narrow" w:hAnsi="Arial Narrow"/>
                <w:sz w:val="20"/>
              </w:rPr>
            </w:pPr>
          </w:p>
          <w:p w14:paraId="33B8246E" w14:textId="49DF6C55" w:rsidR="00321608" w:rsidRDefault="00321608" w:rsidP="00070380">
            <w:pPr>
              <w:keepNext/>
              <w:textAlignment w:val="baseline"/>
              <w:rPr>
                <w:rFonts w:ascii="Arial Narrow" w:hAnsi="Arial Narrow"/>
                <w:sz w:val="20"/>
              </w:rPr>
            </w:pPr>
            <w:r w:rsidRPr="00070380">
              <w:rPr>
                <w:rFonts w:ascii="Arial Narrow" w:hAnsi="Arial Narrow"/>
                <w:sz w:val="20"/>
              </w:rPr>
              <w:t>A test of tumour tissue from a patient diagnosed with non-small cell lung cancer, shown to have non-squamous histology or histology not otherwise specified, requested by, or on behalf of, a specialist or consultant physician, to determine:</w:t>
            </w:r>
          </w:p>
          <w:p w14:paraId="3A5A6202" w14:textId="77777777" w:rsidR="00321608" w:rsidRPr="00070380" w:rsidRDefault="00321608" w:rsidP="00070380">
            <w:pPr>
              <w:keepNext/>
              <w:textAlignment w:val="baseline"/>
              <w:rPr>
                <w:rFonts w:ascii="Arial Narrow" w:hAnsi="Arial Narrow"/>
                <w:sz w:val="20"/>
              </w:rPr>
            </w:pPr>
          </w:p>
          <w:p w14:paraId="386EBC98" w14:textId="1B4BDBA3" w:rsidR="00321608" w:rsidRDefault="00321608" w:rsidP="00070380">
            <w:pPr>
              <w:keepNext/>
              <w:numPr>
                <w:ilvl w:val="0"/>
                <w:numId w:val="27"/>
              </w:numPr>
              <w:spacing w:after="240"/>
              <w:ind w:left="1080" w:firstLine="0"/>
              <w:textAlignment w:val="baseline"/>
              <w:rPr>
                <w:rFonts w:ascii="Arial Narrow" w:hAnsi="Arial Narrow"/>
                <w:sz w:val="20"/>
              </w:rPr>
            </w:pPr>
            <w:r w:rsidRPr="00070380">
              <w:rPr>
                <w:rFonts w:ascii="Arial Narrow" w:hAnsi="Arial Narrow"/>
                <w:sz w:val="20"/>
              </w:rPr>
              <w:t>if the requirements relating to epidermal growth factor receptor (EGFR) gene status for access to an EGFR tyrosine kinase inhibitor under the Pharmaceutical Benefits Scheme are fulfilled; or</w:t>
            </w:r>
          </w:p>
          <w:p w14:paraId="4B7EABAF" w14:textId="5BE0A4CE" w:rsidR="00321608" w:rsidRPr="00070380" w:rsidRDefault="00321608" w:rsidP="00070380">
            <w:pPr>
              <w:keepNext/>
              <w:numPr>
                <w:ilvl w:val="0"/>
                <w:numId w:val="27"/>
              </w:numPr>
              <w:spacing w:after="240"/>
              <w:ind w:left="1080" w:firstLine="0"/>
              <w:textAlignment w:val="baseline"/>
              <w:rPr>
                <w:rFonts w:ascii="Arial Narrow" w:hAnsi="Arial Narrow"/>
                <w:sz w:val="20"/>
              </w:rPr>
            </w:pPr>
            <w:r w:rsidRPr="00070380">
              <w:rPr>
                <w:rFonts w:ascii="Arial Narrow" w:hAnsi="Arial Narrow"/>
                <w:sz w:val="20"/>
              </w:rPr>
              <w:t>if the requirements relating to EGFR status for access to</w:t>
            </w:r>
            <w:r w:rsidRPr="00070380">
              <w:rPr>
                <w:rFonts w:ascii="Arial Narrow" w:hAnsi="Arial Narrow"/>
                <w:b/>
                <w:bCs/>
                <w:sz w:val="20"/>
              </w:rPr>
              <w:t> a</w:t>
            </w:r>
            <w:r w:rsidR="006B3844">
              <w:rPr>
                <w:rFonts w:ascii="Arial Narrow" w:hAnsi="Arial Narrow"/>
                <w:b/>
                <w:bCs/>
                <w:sz w:val="20"/>
              </w:rPr>
              <w:t>n immunotherapy</w:t>
            </w:r>
            <w:r w:rsidRPr="00070380">
              <w:rPr>
                <w:rFonts w:ascii="Arial Narrow" w:hAnsi="Arial Narrow"/>
                <w:b/>
                <w:bCs/>
                <w:sz w:val="20"/>
              </w:rPr>
              <w:t xml:space="preserve"> listed</w:t>
            </w:r>
            <w:r w:rsidRPr="00070380">
              <w:rPr>
                <w:rFonts w:ascii="Arial Narrow" w:hAnsi="Arial Narrow"/>
                <w:sz w:val="20"/>
              </w:rPr>
              <w:t> </w:t>
            </w:r>
            <w:r w:rsidRPr="00070380">
              <w:rPr>
                <w:rFonts w:ascii="Arial Narrow" w:hAnsi="Arial Narrow"/>
                <w:strike/>
                <w:sz w:val="20"/>
              </w:rPr>
              <w:t>pembrolizumab</w:t>
            </w:r>
            <w:r w:rsidRPr="00070380">
              <w:rPr>
                <w:rFonts w:ascii="Arial Narrow" w:hAnsi="Arial Narrow"/>
                <w:sz w:val="20"/>
              </w:rPr>
              <w:t> under the Pharmaceutical Benefits Scheme are fulfilled.</w:t>
            </w:r>
          </w:p>
          <w:p w14:paraId="7532FD59" w14:textId="558D4585" w:rsidR="00321608" w:rsidRDefault="00321608" w:rsidP="00070380">
            <w:pPr>
              <w:keepNext/>
              <w:rPr>
                <w:color w:val="000000"/>
              </w:rPr>
            </w:pPr>
            <w:r w:rsidRPr="00070380">
              <w:rPr>
                <w:rFonts w:ascii="Arial Narrow" w:hAnsi="Arial Narrow"/>
                <w:b/>
                <w:bCs/>
                <w:sz w:val="20"/>
              </w:rPr>
              <w:t>Fee:</w:t>
            </w:r>
            <w:r w:rsidRPr="00070380">
              <w:rPr>
                <w:rFonts w:ascii="Arial Narrow" w:hAnsi="Arial Narrow"/>
                <w:sz w:val="20"/>
              </w:rPr>
              <w:t> $397.35 </w:t>
            </w:r>
            <w:r w:rsidRPr="00070380">
              <w:rPr>
                <w:rFonts w:ascii="Arial Narrow" w:hAnsi="Arial Narrow"/>
                <w:b/>
                <w:bCs/>
                <w:sz w:val="20"/>
              </w:rPr>
              <w:t>Benefit:</w:t>
            </w:r>
            <w:r w:rsidRPr="00070380">
              <w:rPr>
                <w:rFonts w:ascii="Arial Narrow" w:hAnsi="Arial Narrow"/>
                <w:sz w:val="20"/>
              </w:rPr>
              <w:t> 75% = $298.05 85% = $337.75  </w:t>
            </w:r>
          </w:p>
        </w:tc>
      </w:tr>
      <w:tr w:rsidR="00321608" w14:paraId="1A778675" w14:textId="77777777" w:rsidTr="00321608">
        <w:tc>
          <w:tcPr>
            <w:tcW w:w="9016" w:type="dxa"/>
          </w:tcPr>
          <w:p w14:paraId="6BC51F07" w14:textId="4BBCC3D2" w:rsidR="00321608" w:rsidRDefault="00321608" w:rsidP="00070380">
            <w:pPr>
              <w:keepNext/>
              <w:textAlignment w:val="baseline"/>
              <w:rPr>
                <w:rFonts w:ascii="Arial Narrow" w:hAnsi="Arial Narrow"/>
                <w:sz w:val="20"/>
              </w:rPr>
            </w:pPr>
            <w:r>
              <w:rPr>
                <w:rFonts w:ascii="Arial Narrow" w:hAnsi="Arial Narrow"/>
                <w:sz w:val="20"/>
              </w:rPr>
              <w:t>73341</w:t>
            </w:r>
          </w:p>
          <w:p w14:paraId="23B12A41" w14:textId="77777777" w:rsidR="00321608" w:rsidRDefault="00321608" w:rsidP="00070380">
            <w:pPr>
              <w:keepNext/>
              <w:textAlignment w:val="baseline"/>
              <w:rPr>
                <w:rFonts w:ascii="Arial Narrow" w:hAnsi="Arial Narrow"/>
                <w:sz w:val="20"/>
              </w:rPr>
            </w:pPr>
          </w:p>
          <w:p w14:paraId="702F5901" w14:textId="77777777" w:rsidR="00865D77" w:rsidRPr="00870437" w:rsidRDefault="00865D77" w:rsidP="00870437">
            <w:pPr>
              <w:keepNext/>
              <w:textAlignment w:val="baseline"/>
              <w:rPr>
                <w:rFonts w:ascii="Arial Narrow" w:hAnsi="Arial Narrow"/>
                <w:sz w:val="20"/>
              </w:rPr>
            </w:pPr>
            <w:r w:rsidRPr="00870437">
              <w:rPr>
                <w:rFonts w:ascii="Arial Narrow" w:hAnsi="Arial Narrow"/>
                <w:sz w:val="20"/>
              </w:rPr>
              <w:t>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w:t>
            </w:r>
          </w:p>
          <w:p w14:paraId="63766CA7" w14:textId="77777777" w:rsidR="00865D77" w:rsidRPr="00870437" w:rsidRDefault="00865D77" w:rsidP="00870437">
            <w:pPr>
              <w:pStyle w:val="ListParagraph"/>
              <w:keepNext/>
              <w:numPr>
                <w:ilvl w:val="0"/>
                <w:numId w:val="35"/>
              </w:numPr>
              <w:textAlignment w:val="baseline"/>
              <w:rPr>
                <w:rFonts w:ascii="Arial Narrow" w:hAnsi="Arial Narrow"/>
                <w:sz w:val="20"/>
              </w:rPr>
            </w:pPr>
            <w:r w:rsidRPr="00870437">
              <w:rPr>
                <w:rFonts w:ascii="Arial Narrow" w:hAnsi="Arial Narrow"/>
                <w:sz w:val="20"/>
              </w:rPr>
              <w:t>if requirements relating to ALK gene rearrangement status for access to an anaplastic lymphoma kinase inhibitor under the Pharmaceutical Benefits Scheme are fulfilled; or</w:t>
            </w:r>
          </w:p>
          <w:p w14:paraId="51333515" w14:textId="541F69BF" w:rsidR="00865D77" w:rsidRPr="00870437" w:rsidRDefault="00865D77" w:rsidP="00870437">
            <w:pPr>
              <w:pStyle w:val="ListParagraph"/>
              <w:keepNext/>
              <w:numPr>
                <w:ilvl w:val="0"/>
                <w:numId w:val="35"/>
              </w:numPr>
              <w:textAlignment w:val="baseline"/>
              <w:rPr>
                <w:rFonts w:ascii="Arial Narrow" w:hAnsi="Arial Narrow"/>
                <w:sz w:val="20"/>
              </w:rPr>
            </w:pPr>
            <w:r w:rsidRPr="00870437">
              <w:rPr>
                <w:rFonts w:ascii="Arial Narrow" w:hAnsi="Arial Narrow"/>
                <w:sz w:val="20"/>
              </w:rPr>
              <w:t xml:space="preserve">if requirements relating to ALK status for access to </w:t>
            </w:r>
            <w:r w:rsidRPr="004D6FB0">
              <w:rPr>
                <w:rFonts w:ascii="Arial Narrow" w:hAnsi="Arial Narrow"/>
                <w:b/>
                <w:bCs/>
                <w:sz w:val="20"/>
              </w:rPr>
              <w:t>a</w:t>
            </w:r>
            <w:r w:rsidR="006B3844">
              <w:rPr>
                <w:rFonts w:ascii="Arial Narrow" w:hAnsi="Arial Narrow"/>
                <w:b/>
                <w:bCs/>
                <w:sz w:val="20"/>
              </w:rPr>
              <w:t>n immunotherapy</w:t>
            </w:r>
            <w:r w:rsidRPr="004D6FB0">
              <w:rPr>
                <w:rFonts w:ascii="Arial Narrow" w:hAnsi="Arial Narrow"/>
                <w:b/>
                <w:bCs/>
                <w:sz w:val="20"/>
              </w:rPr>
              <w:t xml:space="preserve"> listed</w:t>
            </w:r>
            <w:r w:rsidRPr="00870437">
              <w:rPr>
                <w:rFonts w:ascii="Arial Narrow" w:hAnsi="Arial Narrow"/>
                <w:sz w:val="20"/>
              </w:rPr>
              <w:t xml:space="preserve"> </w:t>
            </w:r>
            <w:r w:rsidRPr="004D6FB0">
              <w:rPr>
                <w:rFonts w:ascii="Arial Narrow" w:hAnsi="Arial Narrow"/>
                <w:strike/>
                <w:sz w:val="20"/>
              </w:rPr>
              <w:t>pembrolizumab</w:t>
            </w:r>
            <w:r w:rsidRPr="00870437">
              <w:rPr>
                <w:rFonts w:ascii="Arial Narrow" w:hAnsi="Arial Narrow"/>
                <w:sz w:val="20"/>
              </w:rPr>
              <w:t xml:space="preserve"> under the Pharmaceutical Benefits Scheme are fulfilled.</w:t>
            </w:r>
          </w:p>
          <w:p w14:paraId="34884E7B" w14:textId="77777777" w:rsidR="00865D77" w:rsidRPr="00870437" w:rsidRDefault="00865D77" w:rsidP="00870437">
            <w:pPr>
              <w:pStyle w:val="ListParagraph"/>
              <w:keepNext/>
              <w:textAlignment w:val="baseline"/>
              <w:rPr>
                <w:rFonts w:ascii="Arial Narrow" w:hAnsi="Arial Narrow"/>
                <w:sz w:val="20"/>
              </w:rPr>
            </w:pPr>
          </w:p>
          <w:p w14:paraId="35B922C4" w14:textId="56EFF63C" w:rsidR="00321608" w:rsidRPr="00870437" w:rsidRDefault="00865D77" w:rsidP="00870437">
            <w:pPr>
              <w:keepNext/>
              <w:textAlignment w:val="baseline"/>
              <w:rPr>
                <w:rFonts w:ascii="Arial Narrow" w:hAnsi="Arial Narrow"/>
                <w:sz w:val="20"/>
              </w:rPr>
            </w:pPr>
            <w:r w:rsidRPr="00870437">
              <w:rPr>
                <w:rFonts w:ascii="Arial Narrow" w:hAnsi="Arial Narrow"/>
                <w:b/>
                <w:bCs/>
                <w:sz w:val="20"/>
              </w:rPr>
              <w:t>Fee</w:t>
            </w:r>
            <w:r w:rsidRPr="00870437">
              <w:rPr>
                <w:rFonts w:ascii="Arial Narrow" w:hAnsi="Arial Narrow"/>
                <w:sz w:val="20"/>
              </w:rPr>
              <w:t xml:space="preserve">: $400.00 </w:t>
            </w:r>
            <w:r w:rsidRPr="00870437">
              <w:rPr>
                <w:rFonts w:ascii="Arial Narrow" w:hAnsi="Arial Narrow"/>
                <w:b/>
                <w:bCs/>
                <w:sz w:val="20"/>
              </w:rPr>
              <w:t>Benefit</w:t>
            </w:r>
            <w:r w:rsidRPr="00870437">
              <w:rPr>
                <w:rFonts w:ascii="Arial Narrow" w:hAnsi="Arial Narrow"/>
                <w:sz w:val="20"/>
              </w:rPr>
              <w:t>: 75% = $300.00 85% = $340.00</w:t>
            </w:r>
          </w:p>
        </w:tc>
      </w:tr>
      <w:tr w:rsidR="00321608" w14:paraId="516010D3" w14:textId="77777777" w:rsidTr="00321608">
        <w:tc>
          <w:tcPr>
            <w:tcW w:w="9016" w:type="dxa"/>
          </w:tcPr>
          <w:p w14:paraId="41340EC5" w14:textId="38324E5C" w:rsidR="00321608" w:rsidRDefault="00321608" w:rsidP="00070380">
            <w:pPr>
              <w:keepNext/>
              <w:textAlignment w:val="baseline"/>
              <w:rPr>
                <w:rFonts w:ascii="Arial Narrow" w:hAnsi="Arial Narrow"/>
                <w:sz w:val="20"/>
              </w:rPr>
            </w:pPr>
            <w:r>
              <w:rPr>
                <w:rFonts w:ascii="Arial Narrow" w:hAnsi="Arial Narrow"/>
                <w:sz w:val="20"/>
              </w:rPr>
              <w:t>73344</w:t>
            </w:r>
          </w:p>
          <w:p w14:paraId="5493B6AE" w14:textId="77777777" w:rsidR="00321608" w:rsidRDefault="00321608" w:rsidP="00070380">
            <w:pPr>
              <w:keepNext/>
              <w:textAlignment w:val="baseline"/>
              <w:rPr>
                <w:rFonts w:ascii="Arial Narrow" w:hAnsi="Arial Narrow"/>
                <w:sz w:val="20"/>
              </w:rPr>
            </w:pPr>
          </w:p>
          <w:p w14:paraId="6A7A9E7E" w14:textId="2EAE693C" w:rsidR="00321608" w:rsidRPr="005C01FB" w:rsidRDefault="00321608" w:rsidP="00070380">
            <w:pPr>
              <w:keepNext/>
              <w:textAlignment w:val="baseline"/>
              <w:rPr>
                <w:rFonts w:ascii="Arial Narrow" w:hAnsi="Arial Narrow"/>
                <w:sz w:val="20"/>
              </w:rPr>
            </w:pPr>
            <w:r w:rsidRPr="005C01FB">
              <w:rPr>
                <w:rFonts w:ascii="Arial Narrow" w:hAnsi="Arial Narrow"/>
                <w:sz w:val="20"/>
              </w:rPr>
              <w:t>Fluorescence in situ hybridization (FISH) test of tumour tissue from a patient with locally advanced or metastatic non-small-cell lung cancer, which is of non-squamous histology or histology not otherwise specified, with documented evidence of ROS proto-oncogene 1 (ROS1)</w:t>
            </w:r>
            <w:r w:rsidRPr="005C01FB">
              <w:rPr>
                <w:rFonts w:ascii="Arial" w:hAnsi="Arial" w:cs="Arial"/>
                <w:sz w:val="20"/>
              </w:rPr>
              <w:t> </w:t>
            </w:r>
            <w:r w:rsidRPr="005C01FB">
              <w:rPr>
                <w:rFonts w:ascii="Arial Narrow" w:hAnsi="Arial Narrow"/>
                <w:sz w:val="20"/>
              </w:rPr>
              <w:t xml:space="preserve">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w:t>
            </w:r>
          </w:p>
          <w:p w14:paraId="7D1F3D09" w14:textId="79FE5FCE" w:rsidR="00321608" w:rsidRPr="005C01FB" w:rsidRDefault="00321608" w:rsidP="00070380">
            <w:pPr>
              <w:keepNext/>
              <w:numPr>
                <w:ilvl w:val="0"/>
                <w:numId w:val="31"/>
              </w:numPr>
              <w:spacing w:after="240"/>
              <w:ind w:left="1080" w:firstLine="0"/>
              <w:textAlignment w:val="baseline"/>
              <w:rPr>
                <w:rFonts w:ascii="Arial Narrow" w:hAnsi="Arial Narrow"/>
                <w:sz w:val="20"/>
              </w:rPr>
            </w:pPr>
            <w:r w:rsidRPr="005C01FB">
              <w:rPr>
                <w:rFonts w:ascii="Arial Narrow" w:hAnsi="Arial Narrow"/>
                <w:sz w:val="20"/>
              </w:rPr>
              <w:t>if requirements relating to ROS1 gene arrangement status for access to crizotinib or entrectinib under the Pharmaceutical Benefits Scheme are fulfilled; or</w:t>
            </w:r>
          </w:p>
          <w:p w14:paraId="327571D7" w14:textId="5428A857" w:rsidR="00321608" w:rsidRPr="005C01FB" w:rsidRDefault="00321608" w:rsidP="00070380">
            <w:pPr>
              <w:keepNext/>
              <w:numPr>
                <w:ilvl w:val="0"/>
                <w:numId w:val="32"/>
              </w:numPr>
              <w:spacing w:after="240"/>
              <w:ind w:left="1080" w:firstLine="0"/>
              <w:textAlignment w:val="baseline"/>
              <w:rPr>
                <w:rFonts w:ascii="Arial Narrow" w:hAnsi="Arial Narrow"/>
                <w:sz w:val="20"/>
              </w:rPr>
            </w:pPr>
            <w:r w:rsidRPr="005C01FB">
              <w:rPr>
                <w:rFonts w:ascii="Arial Narrow" w:hAnsi="Arial Narrow"/>
                <w:sz w:val="20"/>
              </w:rPr>
              <w:t>if requirements relating to ROS1 status for access to </w:t>
            </w:r>
            <w:r w:rsidRPr="005C01FB">
              <w:rPr>
                <w:rFonts w:ascii="Arial Narrow" w:hAnsi="Arial Narrow"/>
                <w:b/>
                <w:bCs/>
                <w:sz w:val="20"/>
              </w:rPr>
              <w:t>a</w:t>
            </w:r>
            <w:r w:rsidR="006B3844">
              <w:rPr>
                <w:rFonts w:ascii="Arial Narrow" w:hAnsi="Arial Narrow"/>
                <w:b/>
                <w:bCs/>
                <w:sz w:val="20"/>
              </w:rPr>
              <w:t>n immunotherapy</w:t>
            </w:r>
            <w:r w:rsidRPr="005C01FB">
              <w:rPr>
                <w:rFonts w:ascii="Arial Narrow" w:hAnsi="Arial Narrow"/>
                <w:b/>
                <w:bCs/>
                <w:sz w:val="20"/>
              </w:rPr>
              <w:t xml:space="preserve"> listed</w:t>
            </w:r>
            <w:r w:rsidRPr="005C01FB">
              <w:rPr>
                <w:rFonts w:ascii="Arial Narrow" w:hAnsi="Arial Narrow"/>
                <w:sz w:val="20"/>
              </w:rPr>
              <w:t> </w:t>
            </w:r>
            <w:r w:rsidRPr="005C01FB">
              <w:rPr>
                <w:rFonts w:ascii="Arial Narrow" w:hAnsi="Arial Narrow"/>
                <w:strike/>
                <w:sz w:val="20"/>
              </w:rPr>
              <w:t>pembrolizumab</w:t>
            </w:r>
            <w:r w:rsidRPr="005C01FB">
              <w:rPr>
                <w:rFonts w:ascii="Arial Narrow" w:hAnsi="Arial Narrow"/>
                <w:sz w:val="20"/>
              </w:rPr>
              <w:t> under the Pharmaceutical Benefits Scheme are fulfilled.</w:t>
            </w:r>
          </w:p>
          <w:p w14:paraId="5E9D0A6A" w14:textId="2D5A3DB7" w:rsidR="00321608" w:rsidRPr="005C01FB" w:rsidRDefault="00321608" w:rsidP="00070380">
            <w:pPr>
              <w:keepNext/>
              <w:textAlignment w:val="baseline"/>
              <w:rPr>
                <w:rFonts w:ascii="Arial Narrow" w:hAnsi="Arial Narrow"/>
                <w:sz w:val="20"/>
              </w:rPr>
            </w:pPr>
          </w:p>
          <w:p w14:paraId="7345A1E0" w14:textId="49A55F05" w:rsidR="00321608" w:rsidRPr="00E7087E" w:rsidRDefault="00321608" w:rsidP="00070380">
            <w:pPr>
              <w:keepNext/>
              <w:textAlignment w:val="baseline"/>
              <w:rPr>
                <w:rFonts w:ascii="Arial Narrow" w:hAnsi="Arial Narrow"/>
                <w:sz w:val="20"/>
              </w:rPr>
            </w:pPr>
            <w:r w:rsidRPr="005C01FB">
              <w:rPr>
                <w:rFonts w:ascii="Arial Narrow" w:hAnsi="Arial Narrow"/>
                <w:b/>
                <w:bCs/>
                <w:sz w:val="20"/>
              </w:rPr>
              <w:t>Fee:</w:t>
            </w:r>
            <w:r w:rsidRPr="005C01FB">
              <w:rPr>
                <w:rFonts w:ascii="Arial Narrow" w:hAnsi="Arial Narrow"/>
                <w:sz w:val="20"/>
              </w:rPr>
              <w:t> $400.00 </w:t>
            </w:r>
            <w:r w:rsidRPr="005C01FB">
              <w:rPr>
                <w:rFonts w:ascii="Arial Narrow" w:hAnsi="Arial Narrow"/>
                <w:b/>
                <w:bCs/>
                <w:sz w:val="20"/>
              </w:rPr>
              <w:t>Benefit:</w:t>
            </w:r>
            <w:r w:rsidRPr="005C01FB">
              <w:rPr>
                <w:rFonts w:ascii="Arial Narrow" w:hAnsi="Arial Narrow"/>
                <w:sz w:val="20"/>
              </w:rPr>
              <w:t> 75% = $300.00 85% = $340.00  </w:t>
            </w:r>
          </w:p>
        </w:tc>
      </w:tr>
    </w:tbl>
    <w:p w14:paraId="691DBC64" w14:textId="77777777" w:rsidR="00BC1364" w:rsidRPr="00F715D1" w:rsidRDefault="00BC1364" w:rsidP="00F715D1">
      <w:pPr>
        <w:pStyle w:val="Heading1"/>
      </w:pPr>
      <w:r w:rsidRPr="00F715D1">
        <w:t>Background</w:t>
      </w:r>
    </w:p>
    <w:p w14:paraId="368F39E0" w14:textId="1BCB3845" w:rsidR="00283817" w:rsidRDefault="00F20EBE" w:rsidP="00F715D1">
      <w:pPr>
        <w:spacing w:after="240"/>
        <w:rPr>
          <w:iCs/>
          <w:szCs w:val="24"/>
        </w:rPr>
      </w:pPr>
      <w:r>
        <w:rPr>
          <w:iCs/>
          <w:szCs w:val="24"/>
        </w:rPr>
        <w:t>MSAC has not previously considered this application.</w:t>
      </w:r>
    </w:p>
    <w:p w14:paraId="5E3A610B" w14:textId="4CB61D05" w:rsidR="00F20EBE" w:rsidRDefault="00F20EBE" w:rsidP="00F715D1">
      <w:pPr>
        <w:spacing w:after="240"/>
        <w:rPr>
          <w:iCs/>
          <w:szCs w:val="24"/>
        </w:rPr>
      </w:pPr>
      <w:r>
        <w:rPr>
          <w:iCs/>
          <w:szCs w:val="24"/>
        </w:rPr>
        <w:t>MSAC had previously considered PD-L1 testing to help determine eligibility for pembroliz</w:t>
      </w:r>
      <w:r w:rsidR="00EA52DA">
        <w:rPr>
          <w:iCs/>
          <w:szCs w:val="24"/>
        </w:rPr>
        <w:t>u</w:t>
      </w:r>
      <w:r>
        <w:rPr>
          <w:iCs/>
          <w:szCs w:val="24"/>
        </w:rPr>
        <w:t>mab</w:t>
      </w:r>
      <w:r w:rsidR="008349CC">
        <w:rPr>
          <w:iCs/>
          <w:szCs w:val="24"/>
        </w:rPr>
        <w:t>:</w:t>
      </w:r>
      <w:r w:rsidR="00C10224">
        <w:rPr>
          <w:iCs/>
          <w:szCs w:val="24"/>
        </w:rPr>
        <w:t xml:space="preserve"> for treatment of locally advanced or metastatic NSCLC</w:t>
      </w:r>
      <w:r w:rsidR="008349CC">
        <w:rPr>
          <w:iCs/>
          <w:szCs w:val="24"/>
        </w:rPr>
        <w:t xml:space="preserve"> (MSAC application </w:t>
      </w:r>
      <w:hyperlink r:id="rId12" w:history="1">
        <w:r w:rsidR="008349CC" w:rsidRPr="008349CC">
          <w:rPr>
            <w:rStyle w:val="Hyperlink"/>
            <w:iCs/>
            <w:szCs w:val="24"/>
          </w:rPr>
          <w:t>1614</w:t>
        </w:r>
      </w:hyperlink>
      <w:r w:rsidR="008349CC">
        <w:rPr>
          <w:iCs/>
          <w:szCs w:val="24"/>
        </w:rPr>
        <w:t xml:space="preserve">); and treatment-naïve patients with locally advanced or metastatic NSCLC (MSAC applications </w:t>
      </w:r>
      <w:hyperlink r:id="rId13" w:history="1">
        <w:r w:rsidR="008349CC" w:rsidRPr="008349CC">
          <w:rPr>
            <w:rStyle w:val="Hyperlink"/>
            <w:iCs/>
            <w:szCs w:val="24"/>
          </w:rPr>
          <w:t>1440</w:t>
        </w:r>
      </w:hyperlink>
      <w:r w:rsidR="008349CC">
        <w:rPr>
          <w:iCs/>
          <w:szCs w:val="24"/>
        </w:rPr>
        <w:t xml:space="preserve">, </w:t>
      </w:r>
      <w:hyperlink r:id="rId14" w:history="1">
        <w:r w:rsidR="008349CC" w:rsidRPr="008349CC">
          <w:rPr>
            <w:rStyle w:val="Hyperlink"/>
            <w:iCs/>
            <w:szCs w:val="24"/>
          </w:rPr>
          <w:t>1440.1</w:t>
        </w:r>
      </w:hyperlink>
      <w:r w:rsidR="008349CC">
        <w:rPr>
          <w:iCs/>
          <w:szCs w:val="24"/>
        </w:rPr>
        <w:t xml:space="preserve">). MSAC supported PD-L1 testing in </w:t>
      </w:r>
      <w:r w:rsidR="00AF49A5">
        <w:rPr>
          <w:iCs/>
          <w:szCs w:val="24"/>
        </w:rPr>
        <w:t xml:space="preserve">treatment-naïve patients with locally advanced or metastatic NSCLC </w:t>
      </w:r>
      <w:r w:rsidR="008349CC">
        <w:rPr>
          <w:iCs/>
          <w:szCs w:val="24"/>
        </w:rPr>
        <w:t>application 1440.1.</w:t>
      </w:r>
    </w:p>
    <w:p w14:paraId="56AE1691" w14:textId="4C41D3F3" w:rsidR="00BC1364" w:rsidRPr="005B30EE" w:rsidRDefault="00FB7670" w:rsidP="00F715D1">
      <w:pPr>
        <w:spacing w:after="240"/>
        <w:rPr>
          <w:iCs/>
          <w:szCs w:val="24"/>
        </w:rPr>
      </w:pPr>
      <w:r>
        <w:rPr>
          <w:szCs w:val="24"/>
        </w:rPr>
        <w:t xml:space="preserve">From 1 November 2021 item 72814 has been updated to </w:t>
      </w:r>
      <w:r>
        <w:rPr>
          <w:bCs/>
          <w:szCs w:val="24"/>
        </w:rPr>
        <w:t>remove the restriction of PD-L1 status as a requirement for access to pembrolizumab in patients diagnosed with NSCLC.</w:t>
      </w:r>
      <w:r w:rsidRPr="00FB7670">
        <w:rPr>
          <w:bCs/>
          <w:szCs w:val="24"/>
        </w:rPr>
        <w:t xml:space="preserve"> </w:t>
      </w:r>
      <w:r>
        <w:rPr>
          <w:bCs/>
          <w:szCs w:val="24"/>
        </w:rPr>
        <w:t>Item 72814 will be performed for clinical guidance, as best practice, rather than to determine eligibility for pembrolizumab.</w:t>
      </w:r>
    </w:p>
    <w:p w14:paraId="6FA4A1F3" w14:textId="2A913FC0" w:rsidR="00BC1364" w:rsidRDefault="00BC1364" w:rsidP="00F715D1">
      <w:pPr>
        <w:pStyle w:val="Heading1"/>
      </w:pPr>
      <w:r w:rsidRPr="00F715D1">
        <w:lastRenderedPageBreak/>
        <w:t>Prerequisites to implementation of any funding advice</w:t>
      </w:r>
    </w:p>
    <w:p w14:paraId="214761F6" w14:textId="062ACD2B" w:rsidR="006D7CA8" w:rsidRPr="00E7087E" w:rsidRDefault="006D7CA8" w:rsidP="00AF49A5">
      <w:r w:rsidRPr="0060062D">
        <w:rPr>
          <w:color w:val="000000"/>
        </w:rPr>
        <w:t xml:space="preserve">PD-L1 IHC testing </w:t>
      </w:r>
      <w:r>
        <w:rPr>
          <w:color w:val="000000"/>
          <w:szCs w:val="24"/>
        </w:rPr>
        <w:t>is already in use under MBS item</w:t>
      </w:r>
      <w:r w:rsidR="00E534D8">
        <w:rPr>
          <w:color w:val="000000"/>
          <w:szCs w:val="24"/>
        </w:rPr>
        <w:t xml:space="preserve"> 72814</w:t>
      </w:r>
      <w:r>
        <w:rPr>
          <w:color w:val="000000"/>
          <w:szCs w:val="24"/>
        </w:rPr>
        <w:t xml:space="preserve">. </w:t>
      </w:r>
      <w:r w:rsidR="00E534D8">
        <w:rPr>
          <w:color w:val="000000"/>
          <w:szCs w:val="24"/>
        </w:rPr>
        <w:t xml:space="preserve">The </w:t>
      </w:r>
      <w:r w:rsidR="00E534D8" w:rsidRPr="00E534D8">
        <w:rPr>
          <w:color w:val="000000"/>
          <w:szCs w:val="24"/>
        </w:rPr>
        <w:t xml:space="preserve">National Pathology Accreditation Advisory Council Advice </w:t>
      </w:r>
      <w:r w:rsidR="00E534D8">
        <w:rPr>
          <w:color w:val="000000"/>
          <w:szCs w:val="24"/>
        </w:rPr>
        <w:t>advised that t</w:t>
      </w:r>
      <w:r>
        <w:rPr>
          <w:color w:val="000000"/>
          <w:szCs w:val="24"/>
        </w:rPr>
        <w:t>here is an existing external quality assurance program.</w:t>
      </w:r>
    </w:p>
    <w:p w14:paraId="1F5C3FFE" w14:textId="55DAB1FF" w:rsidR="00BC1364" w:rsidRDefault="00BC1364" w:rsidP="00F715D1">
      <w:pPr>
        <w:pStyle w:val="Heading1"/>
      </w:pPr>
      <w:r w:rsidRPr="00F715D1">
        <w:t>Proposal for public funding</w:t>
      </w:r>
    </w:p>
    <w:p w14:paraId="79783AF0" w14:textId="4B6F07EC" w:rsidR="00E534D8" w:rsidRDefault="00E534D8" w:rsidP="00E534D8">
      <w:r w:rsidRPr="00F144E4">
        <w:t xml:space="preserve">The </w:t>
      </w:r>
      <w:r w:rsidR="00AF49A5">
        <w:t>proposed</w:t>
      </w:r>
      <w:r w:rsidRPr="00F144E4">
        <w:t xml:space="preserve"> MBS item descriptor reflects the existing item with a minor amendment to include cemiplimab as an alternative treatment</w:t>
      </w:r>
      <w:r>
        <w:t xml:space="preserve"> (Table </w:t>
      </w:r>
      <w:r w:rsidR="00670415">
        <w:t>3</w:t>
      </w:r>
      <w:r>
        <w:t xml:space="preserve">). No fee changes </w:t>
      </w:r>
      <w:r w:rsidR="00684CAA">
        <w:t>were</w:t>
      </w:r>
      <w:r>
        <w:t xml:space="preserve"> requested to the current MBS item 72814.</w:t>
      </w:r>
    </w:p>
    <w:p w14:paraId="4595FCB2" w14:textId="77777777" w:rsidR="00385EC5" w:rsidRDefault="00385EC5" w:rsidP="00385EC5"/>
    <w:p w14:paraId="2285F675" w14:textId="125E6E17" w:rsidR="00E534D8" w:rsidRPr="00AF49A5" w:rsidRDefault="00E534D8" w:rsidP="00AF49A5">
      <w:pPr>
        <w:keepNext/>
        <w:rPr>
          <w:rFonts w:ascii="Arial Narrow" w:hAnsi="Arial Narrow"/>
          <w:sz w:val="20"/>
          <w:szCs w:val="16"/>
        </w:rPr>
      </w:pPr>
      <w:r w:rsidRPr="00E534D8">
        <w:rPr>
          <w:rFonts w:ascii="Arial Narrow" w:hAnsi="Arial Narrow"/>
          <w:b/>
          <w:bCs/>
          <w:sz w:val="20"/>
          <w:szCs w:val="16"/>
        </w:rPr>
        <w:t xml:space="preserve">Table </w:t>
      </w:r>
      <w:r w:rsidR="00670415">
        <w:rPr>
          <w:rFonts w:ascii="Arial Narrow" w:hAnsi="Arial Narrow"/>
          <w:b/>
          <w:bCs/>
          <w:sz w:val="20"/>
          <w:szCs w:val="16"/>
        </w:rPr>
        <w:t>3</w:t>
      </w:r>
      <w:r w:rsidRPr="00E534D8">
        <w:rPr>
          <w:rFonts w:ascii="Arial Narrow" w:hAnsi="Arial Narrow"/>
          <w:b/>
          <w:bCs/>
          <w:sz w:val="20"/>
          <w:szCs w:val="16"/>
        </w:rPr>
        <w:tab/>
        <w:t>Applicant- proposed wording for MBS item 72814</w:t>
      </w:r>
      <w:r w:rsidR="00670415">
        <w:rPr>
          <w:rFonts w:ascii="Arial Narrow" w:hAnsi="Arial Narrow"/>
          <w:b/>
          <w:bCs/>
          <w:sz w:val="20"/>
          <w:szCs w:val="16"/>
        </w:rPr>
        <w:t xml:space="preserve"> </w:t>
      </w:r>
      <w:r w:rsidR="00670415" w:rsidRPr="00E7087E">
        <w:rPr>
          <w:rFonts w:ascii="Arial Narrow" w:hAnsi="Arial Narrow"/>
          <w:b/>
          <w:bCs/>
          <w:color w:val="000000"/>
          <w:sz w:val="20"/>
          <w:szCs w:val="16"/>
        </w:rPr>
        <w:t>(addition in bold</w:t>
      </w:r>
      <w:r w:rsidR="00670415">
        <w:rPr>
          <w:rFonts w:ascii="Arial Narrow" w:hAnsi="Arial Narrow"/>
          <w:b/>
          <w:bCs/>
          <w:color w:val="000000"/>
          <w:sz w:val="20"/>
          <w:szCs w:val="16"/>
        </w:rPr>
        <w:t>)</w:t>
      </w:r>
    </w:p>
    <w:tbl>
      <w:tblPr>
        <w:tblStyle w:val="TableGrid"/>
        <w:tblW w:w="5000" w:type="pct"/>
        <w:tblLook w:val="04A0" w:firstRow="1" w:lastRow="0" w:firstColumn="1" w:lastColumn="0" w:noHBand="0" w:noVBand="1"/>
      </w:tblPr>
      <w:tblGrid>
        <w:gridCol w:w="9016"/>
      </w:tblGrid>
      <w:tr w:rsidR="00477215" w:rsidRPr="005F74C6" w14:paraId="45D1B246" w14:textId="77777777" w:rsidTr="00385EC5">
        <w:tc>
          <w:tcPr>
            <w:tcW w:w="5000" w:type="pct"/>
          </w:tcPr>
          <w:p w14:paraId="57E00BED" w14:textId="77777777" w:rsidR="00477215" w:rsidRDefault="00477215" w:rsidP="00AF49A5">
            <w:pPr>
              <w:keepNext/>
              <w:spacing w:before="40" w:after="40"/>
              <w:jc w:val="right"/>
              <w:rPr>
                <w:rFonts w:ascii="Arial Narrow" w:hAnsi="Arial Narrow"/>
                <w:b/>
                <w:bCs/>
                <w:sz w:val="20"/>
              </w:rPr>
            </w:pPr>
            <w:r w:rsidRPr="005F74C6">
              <w:rPr>
                <w:rFonts w:ascii="Arial Narrow" w:hAnsi="Arial Narrow"/>
                <w:b/>
                <w:bCs/>
                <w:sz w:val="20"/>
              </w:rPr>
              <w:t>CATEGORY 6 – PATHOLOGY SERVICES</w:t>
            </w:r>
          </w:p>
          <w:p w14:paraId="49365E6F" w14:textId="77777777" w:rsidR="00477215" w:rsidRPr="005F74C6" w:rsidRDefault="00477215" w:rsidP="00AF49A5">
            <w:pPr>
              <w:keepNext/>
              <w:spacing w:before="40" w:after="40"/>
              <w:jc w:val="right"/>
              <w:rPr>
                <w:rFonts w:ascii="Arial Narrow" w:hAnsi="Arial Narrow"/>
                <w:b/>
                <w:bCs/>
                <w:sz w:val="20"/>
              </w:rPr>
            </w:pPr>
            <w:r w:rsidRPr="001E0985">
              <w:rPr>
                <w:rFonts w:ascii="Arial Narrow" w:hAnsi="Arial Narrow"/>
                <w:b/>
                <w:bCs/>
                <w:sz w:val="20"/>
              </w:rPr>
              <w:t>Group</w:t>
            </w:r>
            <w:r>
              <w:rPr>
                <w:rFonts w:ascii="Arial Narrow" w:hAnsi="Arial Narrow"/>
                <w:b/>
                <w:bCs/>
                <w:sz w:val="20"/>
              </w:rPr>
              <w:t xml:space="preserve"> </w:t>
            </w:r>
            <w:r w:rsidRPr="001E0985">
              <w:rPr>
                <w:rFonts w:ascii="Arial Narrow" w:hAnsi="Arial Narrow"/>
                <w:b/>
                <w:bCs/>
                <w:sz w:val="20"/>
              </w:rPr>
              <w:t>P5 - Tissue Pathology</w:t>
            </w:r>
          </w:p>
        </w:tc>
      </w:tr>
      <w:tr w:rsidR="00477215" w:rsidRPr="005F74C6" w14:paraId="23F41EC6" w14:textId="77777777" w:rsidTr="00385EC5">
        <w:tc>
          <w:tcPr>
            <w:tcW w:w="5000" w:type="pct"/>
          </w:tcPr>
          <w:p w14:paraId="18B0FB21" w14:textId="77777777" w:rsidR="00477215" w:rsidRPr="005F74C6" w:rsidRDefault="009E13E7" w:rsidP="00AF49A5">
            <w:pPr>
              <w:keepNext/>
              <w:spacing w:before="40" w:after="40"/>
              <w:rPr>
                <w:rFonts w:ascii="Arial Narrow" w:hAnsi="Arial Narrow"/>
                <w:sz w:val="20"/>
              </w:rPr>
            </w:pPr>
            <w:hyperlink r:id="rId15" w:history="1">
              <w:r w:rsidR="00477215" w:rsidRPr="005F74C6">
                <w:rPr>
                  <w:rFonts w:ascii="Arial Narrow" w:hAnsi="Arial Narrow"/>
                  <w:sz w:val="20"/>
                  <w:u w:val="single"/>
                </w:rPr>
                <w:t>72814</w:t>
              </w:r>
            </w:hyperlink>
          </w:p>
          <w:p w14:paraId="589ED057" w14:textId="77777777" w:rsidR="00477215" w:rsidRDefault="00477215" w:rsidP="00AF49A5">
            <w:pPr>
              <w:keepNext/>
              <w:spacing w:before="40" w:after="40"/>
              <w:jc w:val="both"/>
              <w:rPr>
                <w:rFonts w:ascii="Arial Narrow" w:hAnsi="Arial Narrow"/>
                <w:sz w:val="20"/>
              </w:rPr>
            </w:pPr>
            <w:r w:rsidRPr="005F74C6">
              <w:rPr>
                <w:rFonts w:ascii="Arial Narrow" w:hAnsi="Arial Narrow"/>
                <w:sz w:val="20"/>
              </w:rPr>
              <w:t>Immunohistochemical examination by immunoperoxidase or other labelled antibody techniques using the programmed cell death ligand 1 (PD</w:t>
            </w:r>
            <w:r w:rsidRPr="005F74C6">
              <w:rPr>
                <w:rFonts w:ascii="Arial Narrow" w:hAnsi="Arial Narrow"/>
                <w:sz w:val="20"/>
              </w:rPr>
              <w:noBreakHyphen/>
              <w:t>L1) antibody of tumour material from a patient diagnosed with non</w:t>
            </w:r>
            <w:r w:rsidRPr="005F74C6">
              <w:rPr>
                <w:rFonts w:ascii="Arial Narrow" w:hAnsi="Arial Narrow"/>
                <w:sz w:val="20"/>
              </w:rPr>
              <w:noBreakHyphen/>
              <w:t>small cell lung cancer, to determine if the requirements relating to PD</w:t>
            </w:r>
            <w:r w:rsidRPr="005F74C6">
              <w:rPr>
                <w:rFonts w:ascii="Arial Narrow" w:hAnsi="Arial Narrow"/>
                <w:sz w:val="20"/>
              </w:rPr>
              <w:noBreakHyphen/>
              <w:t>L1 status for access to pembrolizumab</w:t>
            </w:r>
            <w:r w:rsidRPr="00670415">
              <w:rPr>
                <w:rFonts w:ascii="Arial Narrow" w:hAnsi="Arial Narrow"/>
                <w:sz w:val="20"/>
              </w:rPr>
              <w:t xml:space="preserve"> </w:t>
            </w:r>
            <w:r w:rsidRPr="00670415">
              <w:rPr>
                <w:rFonts w:ascii="Arial Narrow" w:hAnsi="Arial Narrow"/>
                <w:b/>
                <w:bCs/>
                <w:sz w:val="20"/>
              </w:rPr>
              <w:t>or cemiplimab</w:t>
            </w:r>
            <w:r w:rsidRPr="00670415">
              <w:rPr>
                <w:rFonts w:ascii="Arial Narrow" w:hAnsi="Arial Narrow"/>
                <w:sz w:val="20"/>
              </w:rPr>
              <w:t xml:space="preserve"> </w:t>
            </w:r>
            <w:r w:rsidRPr="005F74C6">
              <w:rPr>
                <w:rFonts w:ascii="Arial Narrow" w:hAnsi="Arial Narrow"/>
                <w:sz w:val="20"/>
              </w:rPr>
              <w:t>under the Pharmaceutical Benefits Scheme are fulfilled.</w:t>
            </w:r>
          </w:p>
          <w:p w14:paraId="5FAB9203" w14:textId="77777777" w:rsidR="00477215" w:rsidRPr="005F74C6" w:rsidRDefault="00477215" w:rsidP="00AF49A5">
            <w:pPr>
              <w:keepNext/>
              <w:spacing w:before="40" w:after="40"/>
              <w:jc w:val="both"/>
              <w:rPr>
                <w:rFonts w:ascii="Arial Narrow" w:hAnsi="Arial Narrow"/>
                <w:sz w:val="20"/>
              </w:rPr>
            </w:pPr>
          </w:p>
          <w:p w14:paraId="540D7952" w14:textId="77777777" w:rsidR="00477215" w:rsidRPr="005F74C6" w:rsidRDefault="00477215" w:rsidP="00AF49A5">
            <w:pPr>
              <w:keepNext/>
              <w:spacing w:before="40" w:after="40"/>
              <w:rPr>
                <w:rFonts w:ascii="Arial Narrow" w:hAnsi="Arial Narrow"/>
                <w:sz w:val="20"/>
              </w:rPr>
            </w:pPr>
            <w:r w:rsidRPr="005F74C6">
              <w:rPr>
                <w:rFonts w:ascii="Arial Narrow" w:hAnsi="Arial Narrow"/>
                <w:sz w:val="20"/>
              </w:rPr>
              <w:t>Fee: $74.50 Benefit: 75% = $55.90 85% = $63.35</w:t>
            </w:r>
          </w:p>
        </w:tc>
      </w:tr>
    </w:tbl>
    <w:p w14:paraId="6556F6F6" w14:textId="27412883" w:rsidR="00477215" w:rsidRDefault="00385EC5" w:rsidP="00AA27E2">
      <w:pPr>
        <w:tabs>
          <w:tab w:val="num" w:pos="426"/>
        </w:tabs>
        <w:spacing w:after="240"/>
        <w:rPr>
          <w:b/>
        </w:rPr>
      </w:pPr>
      <w:r w:rsidRPr="00AA27E2">
        <w:rPr>
          <w:rFonts w:ascii="Arial Narrow" w:hAnsi="Arial Narrow"/>
          <w:sz w:val="18"/>
          <w:szCs w:val="8"/>
        </w:rPr>
        <w:t xml:space="preserve">Source: </w:t>
      </w:r>
      <w:r w:rsidR="00865429" w:rsidRPr="00AA27E2">
        <w:rPr>
          <w:rFonts w:ascii="Arial Narrow" w:hAnsi="Arial Narrow"/>
          <w:sz w:val="18"/>
          <w:szCs w:val="8"/>
        </w:rPr>
        <w:t>Table 1</w:t>
      </w:r>
      <w:r w:rsidR="00865429">
        <w:rPr>
          <w:rFonts w:ascii="Arial Narrow" w:hAnsi="Arial Narrow"/>
          <w:sz w:val="18"/>
          <w:szCs w:val="8"/>
        </w:rPr>
        <w:t>, p1 of the m</w:t>
      </w:r>
      <w:r w:rsidRPr="00AA27E2">
        <w:rPr>
          <w:rFonts w:ascii="Arial Narrow" w:hAnsi="Arial Narrow"/>
          <w:sz w:val="18"/>
          <w:szCs w:val="8"/>
        </w:rPr>
        <w:t xml:space="preserve">inor streamlined </w:t>
      </w:r>
      <w:r w:rsidR="00865429">
        <w:rPr>
          <w:rFonts w:ascii="Arial Narrow" w:hAnsi="Arial Narrow"/>
          <w:sz w:val="18"/>
          <w:szCs w:val="8"/>
        </w:rPr>
        <w:t xml:space="preserve">codependent </w:t>
      </w:r>
      <w:r w:rsidRPr="00AA27E2">
        <w:rPr>
          <w:rFonts w:ascii="Arial Narrow" w:hAnsi="Arial Narrow"/>
          <w:sz w:val="18"/>
          <w:szCs w:val="8"/>
        </w:rPr>
        <w:t>submission</w:t>
      </w:r>
      <w:bookmarkStart w:id="3" w:name="_Hlk87265974"/>
    </w:p>
    <w:bookmarkEnd w:id="3"/>
    <w:p w14:paraId="6CB0F7D5" w14:textId="77777777" w:rsidR="00BC1364" w:rsidRPr="00F715D1" w:rsidRDefault="00BC1364" w:rsidP="00F715D1">
      <w:pPr>
        <w:pStyle w:val="Heading1"/>
      </w:pPr>
      <w:r w:rsidRPr="00F715D1">
        <w:t>Comparative effectiveness</w:t>
      </w:r>
    </w:p>
    <w:p w14:paraId="72F35F52" w14:textId="704594D4" w:rsidR="002A28E9" w:rsidRDefault="002B6784" w:rsidP="002A28E9">
      <w:pPr>
        <w:rPr>
          <w:i/>
          <w:iCs/>
        </w:rPr>
      </w:pPr>
      <w:r>
        <w:rPr>
          <w:i/>
          <w:iCs/>
        </w:rPr>
        <w:t>Clinical utility standard</w:t>
      </w:r>
    </w:p>
    <w:p w14:paraId="68251DC1" w14:textId="386B804D" w:rsidR="002A28E9" w:rsidRPr="002A28E9" w:rsidRDefault="002B6784" w:rsidP="00F715D1">
      <w:pPr>
        <w:spacing w:after="240"/>
        <w:rPr>
          <w:iCs/>
          <w:szCs w:val="24"/>
        </w:rPr>
      </w:pPr>
      <w:r w:rsidRPr="00E81C76">
        <w:t xml:space="preserve">The relevant cemiplimab clinical </w:t>
      </w:r>
      <w:r>
        <w:t>trial</w:t>
      </w:r>
      <w:r w:rsidRPr="00E81C76">
        <w:t xml:space="preserve"> (</w:t>
      </w:r>
      <w:r>
        <w:t>Study</w:t>
      </w:r>
      <w:r w:rsidRPr="00E81C76">
        <w:t xml:space="preserve"> 16</w:t>
      </w:r>
      <w:r>
        <w:t>42</w:t>
      </w:r>
      <w:r w:rsidRPr="00E81C76">
        <w:t>) was conducted using the same PD</w:t>
      </w:r>
      <w:r>
        <w:noBreakHyphen/>
      </w:r>
      <w:r w:rsidRPr="00E81C76">
        <w:t xml:space="preserve">L1 test </w:t>
      </w:r>
      <w:r>
        <w:t xml:space="preserve">(Dako 22C3 test) </w:t>
      </w:r>
      <w:r w:rsidRPr="00E81C76">
        <w:t>as for pembrolizumab (manufactured by Dako).</w:t>
      </w:r>
      <w:r>
        <w:t xml:space="preserve"> The same Dako 22C3 assay used to determine eligibility for enrolment in the K</w:t>
      </w:r>
      <w:r w:rsidR="00AF49A5">
        <w:t>EYNOTE</w:t>
      </w:r>
      <w:r>
        <w:noBreakHyphen/>
        <w:t>024 trial.</w:t>
      </w:r>
    </w:p>
    <w:p w14:paraId="6240B93A" w14:textId="77777777" w:rsidR="00BC1364" w:rsidRPr="00F715D1" w:rsidRDefault="00BC1364" w:rsidP="00F715D1">
      <w:pPr>
        <w:pStyle w:val="Heading1"/>
      </w:pPr>
      <w:r w:rsidRPr="00F715D1">
        <w:t>Financial/budgetary impacts</w:t>
      </w:r>
    </w:p>
    <w:p w14:paraId="28EA5B9F" w14:textId="6DFCCE29" w:rsidR="00385EC5" w:rsidRDefault="00E7087E" w:rsidP="00A4144D">
      <w:r w:rsidRPr="00F144E4">
        <w:t>There will be no changes to the utilisation of this item or additional financial cost to the MBS. The</w:t>
      </w:r>
      <w:r>
        <w:t> </w:t>
      </w:r>
      <w:r w:rsidRPr="00F144E4">
        <w:t>number of items processed for PD</w:t>
      </w:r>
      <w:r>
        <w:noBreakHyphen/>
      </w:r>
      <w:r w:rsidRPr="00F144E4">
        <w:t xml:space="preserve">L1 IHC testing since listing on the MBS 1 November 2018 is shown in </w:t>
      </w:r>
      <w:r w:rsidR="009E13E7">
        <w:fldChar w:fldCharType="begin"/>
      </w:r>
      <w:r w:rsidR="009E13E7">
        <w:instrText xml:space="preserve"> REF _Ref75548386  \* MERGEFORMAT </w:instrText>
      </w:r>
      <w:r w:rsidR="009E13E7">
        <w:fldChar w:fldCharType="separate"/>
      </w:r>
      <w:r w:rsidRPr="00F144E4">
        <w:rPr>
          <w:rFonts w:cstheme="minorHAnsi"/>
        </w:rPr>
        <w:t xml:space="preserve">Table </w:t>
      </w:r>
      <w:r w:rsidR="00670415">
        <w:rPr>
          <w:rFonts w:cstheme="minorHAnsi"/>
        </w:rPr>
        <w:t>4</w:t>
      </w:r>
      <w:r w:rsidR="009E13E7">
        <w:rPr>
          <w:rFonts w:cstheme="minorHAnsi"/>
        </w:rPr>
        <w:fldChar w:fldCharType="end"/>
      </w:r>
      <w:r>
        <w:t xml:space="preserve"> </w:t>
      </w:r>
      <w:r w:rsidRPr="00F144E4">
        <w:t>by calendar year.</w:t>
      </w:r>
    </w:p>
    <w:p w14:paraId="073D4394" w14:textId="77777777" w:rsidR="00385EC5" w:rsidRPr="00385EC5" w:rsidRDefault="00385EC5" w:rsidP="00385EC5">
      <w:pPr>
        <w:rPr>
          <w:iCs/>
        </w:rPr>
      </w:pPr>
    </w:p>
    <w:p w14:paraId="504D6E5A" w14:textId="3EEC0BCC" w:rsidR="007A4D97" w:rsidRPr="00AC3C01" w:rsidRDefault="007A4D97" w:rsidP="00AC3C01">
      <w:pPr>
        <w:pStyle w:val="Caption"/>
        <w:widowControl w:val="0"/>
        <w:spacing w:after="0"/>
        <w:rPr>
          <w:rFonts w:ascii="Arial Narrow" w:hAnsi="Arial Narrow"/>
          <w:b/>
          <w:bCs/>
          <w:i w:val="0"/>
          <w:iCs w:val="0"/>
          <w:color w:val="auto"/>
          <w:sz w:val="20"/>
          <w:szCs w:val="20"/>
        </w:rPr>
      </w:pPr>
      <w:bookmarkStart w:id="4" w:name="_Ref88647735"/>
      <w:r w:rsidRPr="00AC3C01">
        <w:rPr>
          <w:rFonts w:ascii="Arial Narrow" w:hAnsi="Arial Narrow"/>
          <w:b/>
          <w:bCs/>
          <w:i w:val="0"/>
          <w:iCs w:val="0"/>
          <w:color w:val="auto"/>
          <w:sz w:val="20"/>
          <w:szCs w:val="20"/>
        </w:rPr>
        <w:t xml:space="preserve">Table </w:t>
      </w:r>
      <w:bookmarkEnd w:id="4"/>
      <w:r w:rsidR="00670415">
        <w:rPr>
          <w:rFonts w:ascii="Arial Narrow" w:hAnsi="Arial Narrow"/>
          <w:b/>
          <w:bCs/>
          <w:i w:val="0"/>
          <w:iCs w:val="0"/>
          <w:color w:val="auto"/>
          <w:sz w:val="20"/>
          <w:szCs w:val="20"/>
        </w:rPr>
        <w:t>4</w:t>
      </w:r>
      <w:r w:rsidR="00670415" w:rsidRPr="00E534D8">
        <w:rPr>
          <w:rFonts w:ascii="Arial Narrow" w:hAnsi="Arial Narrow"/>
          <w:b/>
          <w:bCs/>
          <w:sz w:val="20"/>
          <w:szCs w:val="16"/>
        </w:rPr>
        <w:tab/>
      </w:r>
      <w:r w:rsidRPr="00AC3C01">
        <w:rPr>
          <w:rFonts w:ascii="Arial Narrow" w:hAnsi="Arial Narrow"/>
          <w:b/>
          <w:bCs/>
          <w:i w:val="0"/>
          <w:iCs w:val="0"/>
          <w:color w:val="auto"/>
          <w:sz w:val="20"/>
          <w:szCs w:val="20"/>
        </w:rPr>
        <w:t>Services for PD</w:t>
      </w:r>
      <w:r w:rsidR="00070380">
        <w:rPr>
          <w:rFonts w:ascii="Arial Narrow" w:hAnsi="Arial Narrow"/>
          <w:b/>
          <w:bCs/>
          <w:i w:val="0"/>
          <w:iCs w:val="0"/>
          <w:color w:val="auto"/>
          <w:sz w:val="20"/>
          <w:szCs w:val="20"/>
        </w:rPr>
        <w:t>-</w:t>
      </w:r>
      <w:r w:rsidRPr="00AC3C01">
        <w:rPr>
          <w:rFonts w:ascii="Arial Narrow" w:hAnsi="Arial Narrow"/>
          <w:b/>
          <w:bCs/>
          <w:i w:val="0"/>
          <w:iCs w:val="0"/>
          <w:color w:val="auto"/>
          <w:sz w:val="20"/>
          <w:szCs w:val="20"/>
        </w:rPr>
        <w:t>L1 IHC testing Item 72814 (2018 – April 2021)</w:t>
      </w:r>
    </w:p>
    <w:tbl>
      <w:tblPr>
        <w:tblStyle w:val="TableGrid"/>
        <w:tblW w:w="5000" w:type="pct"/>
        <w:tblLook w:val="04A0" w:firstRow="1" w:lastRow="0" w:firstColumn="1" w:lastColumn="0" w:noHBand="0" w:noVBand="1"/>
      </w:tblPr>
      <w:tblGrid>
        <w:gridCol w:w="1918"/>
        <w:gridCol w:w="930"/>
        <w:gridCol w:w="930"/>
        <w:gridCol w:w="779"/>
        <w:gridCol w:w="716"/>
        <w:gridCol w:w="716"/>
        <w:gridCol w:w="732"/>
        <w:gridCol w:w="748"/>
        <w:gridCol w:w="617"/>
        <w:gridCol w:w="930"/>
      </w:tblGrid>
      <w:tr w:rsidR="004D6D88" w:rsidRPr="00C91327" w14:paraId="51FF0BCC" w14:textId="30D1D343" w:rsidTr="00177C22">
        <w:trPr>
          <w:cantSplit/>
          <w:trHeight w:val="57"/>
          <w:tblHeader/>
        </w:trPr>
        <w:tc>
          <w:tcPr>
            <w:tcW w:w="1063" w:type="pct"/>
            <w:tcBorders>
              <w:top w:val="single" w:sz="4" w:space="0" w:color="auto"/>
              <w:left w:val="single" w:sz="4" w:space="0" w:color="auto"/>
              <w:bottom w:val="nil"/>
              <w:right w:val="single" w:sz="4" w:space="0" w:color="auto"/>
            </w:tcBorders>
          </w:tcPr>
          <w:p w14:paraId="1F89B150" w14:textId="649A82F6"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Calendar year</w:t>
            </w:r>
          </w:p>
        </w:tc>
        <w:tc>
          <w:tcPr>
            <w:tcW w:w="3421" w:type="pct"/>
            <w:gridSpan w:val="8"/>
            <w:tcBorders>
              <w:left w:val="single" w:sz="4" w:space="0" w:color="auto"/>
            </w:tcBorders>
            <w:shd w:val="clear" w:color="auto" w:fill="auto"/>
            <w:hideMark/>
          </w:tcPr>
          <w:p w14:paraId="00641106" w14:textId="79C26C79"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State</w:t>
            </w:r>
          </w:p>
        </w:tc>
        <w:tc>
          <w:tcPr>
            <w:tcW w:w="516" w:type="pct"/>
            <w:vMerge w:val="restart"/>
            <w:shd w:val="clear" w:color="auto" w:fill="auto"/>
            <w:hideMark/>
          </w:tcPr>
          <w:p w14:paraId="19EDC72F" w14:textId="73CD94C9"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Total</w:t>
            </w:r>
          </w:p>
        </w:tc>
      </w:tr>
      <w:tr w:rsidR="004D6D88" w:rsidRPr="00C91327" w14:paraId="6CAE9513" w14:textId="0FAA6AF5" w:rsidTr="00177C22">
        <w:trPr>
          <w:cantSplit/>
          <w:trHeight w:val="57"/>
          <w:tblHeader/>
        </w:trPr>
        <w:tc>
          <w:tcPr>
            <w:tcW w:w="1063" w:type="pct"/>
            <w:tcBorders>
              <w:top w:val="nil"/>
              <w:left w:val="single" w:sz="4" w:space="0" w:color="auto"/>
              <w:bottom w:val="single" w:sz="4" w:space="0" w:color="auto"/>
              <w:right w:val="single" w:sz="4" w:space="0" w:color="auto"/>
            </w:tcBorders>
            <w:vAlign w:val="center"/>
          </w:tcPr>
          <w:p w14:paraId="40748262" w14:textId="7CA28F12" w:rsidR="004D6D88" w:rsidRPr="007C5C08" w:rsidRDefault="004D6D88" w:rsidP="00AC3C01">
            <w:pPr>
              <w:widowControl w:val="0"/>
              <w:spacing w:after="60"/>
              <w:rPr>
                <w:rFonts w:ascii="Arial Narrow" w:hAnsi="Arial Narrow" w:cs="Calibri"/>
                <w:b/>
                <w:bCs/>
                <w:sz w:val="20"/>
              </w:rPr>
            </w:pPr>
          </w:p>
        </w:tc>
        <w:tc>
          <w:tcPr>
            <w:tcW w:w="516" w:type="pct"/>
            <w:tcBorders>
              <w:left w:val="single" w:sz="4" w:space="0" w:color="auto"/>
            </w:tcBorders>
            <w:shd w:val="clear" w:color="auto" w:fill="auto"/>
            <w:vAlign w:val="center"/>
            <w:hideMark/>
          </w:tcPr>
          <w:p w14:paraId="50BABD85" w14:textId="4CA2F320"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NSW</w:t>
            </w:r>
          </w:p>
        </w:tc>
        <w:tc>
          <w:tcPr>
            <w:tcW w:w="516" w:type="pct"/>
            <w:shd w:val="clear" w:color="auto" w:fill="auto"/>
            <w:vAlign w:val="center"/>
            <w:hideMark/>
          </w:tcPr>
          <w:p w14:paraId="270581F1" w14:textId="49000439"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VIC</w:t>
            </w:r>
          </w:p>
        </w:tc>
        <w:tc>
          <w:tcPr>
            <w:tcW w:w="432" w:type="pct"/>
            <w:shd w:val="clear" w:color="auto" w:fill="auto"/>
            <w:vAlign w:val="center"/>
            <w:hideMark/>
          </w:tcPr>
          <w:p w14:paraId="1956C03D" w14:textId="6D26B681"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QLD</w:t>
            </w:r>
          </w:p>
        </w:tc>
        <w:tc>
          <w:tcPr>
            <w:tcW w:w="397" w:type="pct"/>
            <w:shd w:val="clear" w:color="auto" w:fill="auto"/>
            <w:vAlign w:val="center"/>
            <w:hideMark/>
          </w:tcPr>
          <w:p w14:paraId="301994CA" w14:textId="53B94A4D"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SA</w:t>
            </w:r>
          </w:p>
        </w:tc>
        <w:tc>
          <w:tcPr>
            <w:tcW w:w="397" w:type="pct"/>
            <w:shd w:val="clear" w:color="auto" w:fill="auto"/>
            <w:vAlign w:val="center"/>
            <w:hideMark/>
          </w:tcPr>
          <w:p w14:paraId="606DDECD" w14:textId="4E6FC9DD"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WA</w:t>
            </w:r>
          </w:p>
        </w:tc>
        <w:tc>
          <w:tcPr>
            <w:tcW w:w="406" w:type="pct"/>
            <w:shd w:val="clear" w:color="auto" w:fill="auto"/>
            <w:vAlign w:val="center"/>
            <w:hideMark/>
          </w:tcPr>
          <w:p w14:paraId="72093B02" w14:textId="62EF3896"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TAS</w:t>
            </w:r>
          </w:p>
        </w:tc>
        <w:tc>
          <w:tcPr>
            <w:tcW w:w="415" w:type="pct"/>
            <w:shd w:val="clear" w:color="auto" w:fill="auto"/>
            <w:vAlign w:val="center"/>
            <w:hideMark/>
          </w:tcPr>
          <w:p w14:paraId="6729A214" w14:textId="4B0762B8"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ACT</w:t>
            </w:r>
          </w:p>
        </w:tc>
        <w:tc>
          <w:tcPr>
            <w:tcW w:w="341" w:type="pct"/>
            <w:shd w:val="clear" w:color="auto" w:fill="auto"/>
            <w:vAlign w:val="center"/>
            <w:hideMark/>
          </w:tcPr>
          <w:p w14:paraId="433BB7E6" w14:textId="72747FB6" w:rsidR="004D6D88" w:rsidRPr="007C5C08" w:rsidRDefault="004D6D88" w:rsidP="00AC3C01">
            <w:pPr>
              <w:widowControl w:val="0"/>
              <w:spacing w:after="60"/>
              <w:rPr>
                <w:rFonts w:ascii="Arial Narrow" w:hAnsi="Arial Narrow" w:cs="Calibri"/>
                <w:b/>
                <w:bCs/>
                <w:sz w:val="20"/>
              </w:rPr>
            </w:pPr>
            <w:r w:rsidRPr="007C5C08">
              <w:rPr>
                <w:rFonts w:ascii="Arial Narrow" w:hAnsi="Arial Narrow" w:cs="Calibri"/>
                <w:b/>
                <w:bCs/>
                <w:sz w:val="20"/>
              </w:rPr>
              <w:t>NT</w:t>
            </w:r>
          </w:p>
        </w:tc>
        <w:tc>
          <w:tcPr>
            <w:tcW w:w="516" w:type="pct"/>
            <w:vMerge/>
            <w:shd w:val="clear" w:color="auto" w:fill="auto"/>
            <w:vAlign w:val="center"/>
            <w:hideMark/>
          </w:tcPr>
          <w:p w14:paraId="650ADC34" w14:textId="7A5450BD" w:rsidR="004D6D88" w:rsidRPr="007C5C08" w:rsidRDefault="004D6D88" w:rsidP="00AC3C01">
            <w:pPr>
              <w:widowControl w:val="0"/>
              <w:rPr>
                <w:rFonts w:ascii="Arial Narrow" w:hAnsi="Arial Narrow" w:cs="Calibri"/>
                <w:b/>
                <w:bCs/>
                <w:sz w:val="20"/>
              </w:rPr>
            </w:pPr>
          </w:p>
        </w:tc>
      </w:tr>
      <w:tr w:rsidR="004D6D88" w:rsidRPr="00C91327" w14:paraId="3A784E88" w14:textId="6BCBE0EE" w:rsidTr="00177C22">
        <w:trPr>
          <w:cantSplit/>
          <w:trHeight w:val="57"/>
        </w:trPr>
        <w:tc>
          <w:tcPr>
            <w:tcW w:w="1063" w:type="pct"/>
            <w:tcBorders>
              <w:top w:val="single" w:sz="4" w:space="0" w:color="auto"/>
            </w:tcBorders>
            <w:vAlign w:val="center"/>
          </w:tcPr>
          <w:p w14:paraId="0099E01C" w14:textId="0733E176"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2018</w:t>
            </w:r>
          </w:p>
        </w:tc>
        <w:tc>
          <w:tcPr>
            <w:tcW w:w="516" w:type="pct"/>
            <w:shd w:val="clear" w:color="auto" w:fill="auto"/>
            <w:vAlign w:val="center"/>
            <w:hideMark/>
          </w:tcPr>
          <w:p w14:paraId="2A373C5C" w14:textId="5634F934"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97</w:t>
            </w:r>
          </w:p>
        </w:tc>
        <w:tc>
          <w:tcPr>
            <w:tcW w:w="516" w:type="pct"/>
            <w:shd w:val="clear" w:color="auto" w:fill="auto"/>
            <w:vAlign w:val="center"/>
            <w:hideMark/>
          </w:tcPr>
          <w:p w14:paraId="24135304" w14:textId="51C2936A"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29</w:t>
            </w:r>
          </w:p>
        </w:tc>
        <w:tc>
          <w:tcPr>
            <w:tcW w:w="432" w:type="pct"/>
            <w:shd w:val="clear" w:color="auto" w:fill="auto"/>
            <w:vAlign w:val="center"/>
            <w:hideMark/>
          </w:tcPr>
          <w:p w14:paraId="14648B46" w14:textId="3FB30880"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57</w:t>
            </w:r>
          </w:p>
        </w:tc>
        <w:tc>
          <w:tcPr>
            <w:tcW w:w="397" w:type="pct"/>
            <w:shd w:val="clear" w:color="auto" w:fill="auto"/>
            <w:vAlign w:val="center"/>
            <w:hideMark/>
          </w:tcPr>
          <w:p w14:paraId="703FAAD8" w14:textId="611AF79E"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w:t>
            </w:r>
          </w:p>
        </w:tc>
        <w:tc>
          <w:tcPr>
            <w:tcW w:w="397" w:type="pct"/>
            <w:shd w:val="clear" w:color="auto" w:fill="auto"/>
            <w:vAlign w:val="center"/>
            <w:hideMark/>
          </w:tcPr>
          <w:p w14:paraId="558A21AE" w14:textId="56B7841E"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0</w:t>
            </w:r>
          </w:p>
        </w:tc>
        <w:tc>
          <w:tcPr>
            <w:tcW w:w="406" w:type="pct"/>
            <w:shd w:val="clear" w:color="auto" w:fill="auto"/>
            <w:vAlign w:val="center"/>
            <w:hideMark/>
          </w:tcPr>
          <w:p w14:paraId="2F3B0686" w14:textId="15F91354"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0</w:t>
            </w:r>
          </w:p>
        </w:tc>
        <w:tc>
          <w:tcPr>
            <w:tcW w:w="415" w:type="pct"/>
            <w:shd w:val="clear" w:color="auto" w:fill="auto"/>
            <w:vAlign w:val="center"/>
            <w:hideMark/>
          </w:tcPr>
          <w:p w14:paraId="06761541" w14:textId="084A69DC"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5</w:t>
            </w:r>
          </w:p>
        </w:tc>
        <w:tc>
          <w:tcPr>
            <w:tcW w:w="341" w:type="pct"/>
            <w:shd w:val="clear" w:color="auto" w:fill="auto"/>
            <w:vAlign w:val="center"/>
            <w:hideMark/>
          </w:tcPr>
          <w:p w14:paraId="7B1A1888" w14:textId="093ABF6C"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0</w:t>
            </w:r>
          </w:p>
        </w:tc>
        <w:tc>
          <w:tcPr>
            <w:tcW w:w="516" w:type="pct"/>
            <w:shd w:val="clear" w:color="auto" w:fill="auto"/>
            <w:vAlign w:val="center"/>
            <w:hideMark/>
          </w:tcPr>
          <w:p w14:paraId="332C02E8" w14:textId="5E57DD26"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191</w:t>
            </w:r>
          </w:p>
        </w:tc>
      </w:tr>
      <w:tr w:rsidR="004D6D88" w:rsidRPr="00C91327" w14:paraId="56C91EA7" w14:textId="3DE74B3A" w:rsidTr="00177C22">
        <w:trPr>
          <w:cantSplit/>
          <w:trHeight w:val="57"/>
        </w:trPr>
        <w:tc>
          <w:tcPr>
            <w:tcW w:w="1063" w:type="pct"/>
            <w:vAlign w:val="center"/>
          </w:tcPr>
          <w:p w14:paraId="34697F7D" w14:textId="7A1329A4"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2019</w:t>
            </w:r>
          </w:p>
        </w:tc>
        <w:tc>
          <w:tcPr>
            <w:tcW w:w="516" w:type="pct"/>
            <w:shd w:val="clear" w:color="auto" w:fill="auto"/>
            <w:vAlign w:val="center"/>
            <w:hideMark/>
          </w:tcPr>
          <w:p w14:paraId="4E4CAE35" w14:textId="14085123"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1,820</w:t>
            </w:r>
          </w:p>
        </w:tc>
        <w:tc>
          <w:tcPr>
            <w:tcW w:w="516" w:type="pct"/>
            <w:shd w:val="clear" w:color="auto" w:fill="auto"/>
            <w:vAlign w:val="center"/>
            <w:hideMark/>
          </w:tcPr>
          <w:p w14:paraId="6EC41240" w14:textId="08537836"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605</w:t>
            </w:r>
          </w:p>
        </w:tc>
        <w:tc>
          <w:tcPr>
            <w:tcW w:w="432" w:type="pct"/>
            <w:shd w:val="clear" w:color="auto" w:fill="auto"/>
            <w:vAlign w:val="center"/>
            <w:hideMark/>
          </w:tcPr>
          <w:p w14:paraId="72FD09C6" w14:textId="3BF21E16"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373</w:t>
            </w:r>
          </w:p>
        </w:tc>
        <w:tc>
          <w:tcPr>
            <w:tcW w:w="397" w:type="pct"/>
            <w:shd w:val="clear" w:color="auto" w:fill="auto"/>
            <w:vAlign w:val="center"/>
            <w:hideMark/>
          </w:tcPr>
          <w:p w14:paraId="706CD9C0" w14:textId="06D6726E"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139</w:t>
            </w:r>
          </w:p>
        </w:tc>
        <w:tc>
          <w:tcPr>
            <w:tcW w:w="397" w:type="pct"/>
            <w:shd w:val="clear" w:color="auto" w:fill="auto"/>
            <w:vAlign w:val="center"/>
            <w:hideMark/>
          </w:tcPr>
          <w:p w14:paraId="1AEA9F73" w14:textId="05C5ABB0"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156</w:t>
            </w:r>
          </w:p>
        </w:tc>
        <w:tc>
          <w:tcPr>
            <w:tcW w:w="406" w:type="pct"/>
            <w:shd w:val="clear" w:color="auto" w:fill="auto"/>
            <w:vAlign w:val="center"/>
            <w:hideMark/>
          </w:tcPr>
          <w:p w14:paraId="35F3CCA1" w14:textId="4EC9FE40"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23</w:t>
            </w:r>
          </w:p>
        </w:tc>
        <w:tc>
          <w:tcPr>
            <w:tcW w:w="415" w:type="pct"/>
            <w:shd w:val="clear" w:color="auto" w:fill="auto"/>
            <w:vAlign w:val="center"/>
            <w:hideMark/>
          </w:tcPr>
          <w:p w14:paraId="64FE0BC3" w14:textId="49B95562"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37</w:t>
            </w:r>
          </w:p>
        </w:tc>
        <w:tc>
          <w:tcPr>
            <w:tcW w:w="341" w:type="pct"/>
            <w:shd w:val="clear" w:color="auto" w:fill="auto"/>
            <w:vAlign w:val="center"/>
            <w:hideMark/>
          </w:tcPr>
          <w:p w14:paraId="0116186D" w14:textId="2E03A857"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8</w:t>
            </w:r>
          </w:p>
        </w:tc>
        <w:tc>
          <w:tcPr>
            <w:tcW w:w="516" w:type="pct"/>
            <w:shd w:val="clear" w:color="auto" w:fill="auto"/>
            <w:vAlign w:val="center"/>
            <w:hideMark/>
          </w:tcPr>
          <w:p w14:paraId="47B3C63E" w14:textId="778B812B"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3,161</w:t>
            </w:r>
          </w:p>
        </w:tc>
      </w:tr>
      <w:tr w:rsidR="004D6D88" w:rsidRPr="00C91327" w14:paraId="54C6A75C" w14:textId="436F4B72" w:rsidTr="00177C22">
        <w:trPr>
          <w:cantSplit/>
          <w:trHeight w:val="57"/>
        </w:trPr>
        <w:tc>
          <w:tcPr>
            <w:tcW w:w="1063" w:type="pct"/>
            <w:vAlign w:val="center"/>
          </w:tcPr>
          <w:p w14:paraId="7CA9C1B5" w14:textId="76DF3CA8"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2020</w:t>
            </w:r>
          </w:p>
        </w:tc>
        <w:tc>
          <w:tcPr>
            <w:tcW w:w="516" w:type="pct"/>
            <w:shd w:val="clear" w:color="auto" w:fill="auto"/>
            <w:vAlign w:val="center"/>
            <w:hideMark/>
          </w:tcPr>
          <w:p w14:paraId="1779432E" w14:textId="6666DD27"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2,232</w:t>
            </w:r>
          </w:p>
        </w:tc>
        <w:tc>
          <w:tcPr>
            <w:tcW w:w="516" w:type="pct"/>
            <w:shd w:val="clear" w:color="auto" w:fill="auto"/>
            <w:vAlign w:val="center"/>
            <w:hideMark/>
          </w:tcPr>
          <w:p w14:paraId="2212EA18" w14:textId="68785082"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748</w:t>
            </w:r>
          </w:p>
        </w:tc>
        <w:tc>
          <w:tcPr>
            <w:tcW w:w="432" w:type="pct"/>
            <w:shd w:val="clear" w:color="auto" w:fill="auto"/>
            <w:vAlign w:val="center"/>
            <w:hideMark/>
          </w:tcPr>
          <w:p w14:paraId="4AAB5EE7" w14:textId="4FBEAE99"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340</w:t>
            </w:r>
          </w:p>
        </w:tc>
        <w:tc>
          <w:tcPr>
            <w:tcW w:w="397" w:type="pct"/>
            <w:shd w:val="clear" w:color="auto" w:fill="auto"/>
            <w:vAlign w:val="center"/>
            <w:hideMark/>
          </w:tcPr>
          <w:p w14:paraId="2B64A8FF" w14:textId="7E87AABC"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291</w:t>
            </w:r>
          </w:p>
        </w:tc>
        <w:tc>
          <w:tcPr>
            <w:tcW w:w="397" w:type="pct"/>
            <w:shd w:val="clear" w:color="auto" w:fill="auto"/>
            <w:vAlign w:val="center"/>
            <w:hideMark/>
          </w:tcPr>
          <w:p w14:paraId="4FB419C0" w14:textId="6D360FB9"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140</w:t>
            </w:r>
          </w:p>
        </w:tc>
        <w:tc>
          <w:tcPr>
            <w:tcW w:w="406" w:type="pct"/>
            <w:shd w:val="clear" w:color="auto" w:fill="auto"/>
            <w:vAlign w:val="center"/>
            <w:hideMark/>
          </w:tcPr>
          <w:p w14:paraId="4B4CAFCB" w14:textId="5D27B25F"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67</w:t>
            </w:r>
          </w:p>
        </w:tc>
        <w:tc>
          <w:tcPr>
            <w:tcW w:w="415" w:type="pct"/>
            <w:shd w:val="clear" w:color="auto" w:fill="auto"/>
            <w:vAlign w:val="center"/>
            <w:hideMark/>
          </w:tcPr>
          <w:p w14:paraId="5800DECE" w14:textId="3BB59841"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32</w:t>
            </w:r>
          </w:p>
        </w:tc>
        <w:tc>
          <w:tcPr>
            <w:tcW w:w="341" w:type="pct"/>
            <w:shd w:val="clear" w:color="auto" w:fill="auto"/>
            <w:vAlign w:val="center"/>
            <w:hideMark/>
          </w:tcPr>
          <w:p w14:paraId="3470596E" w14:textId="2558E008"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5</w:t>
            </w:r>
          </w:p>
        </w:tc>
        <w:tc>
          <w:tcPr>
            <w:tcW w:w="516" w:type="pct"/>
            <w:shd w:val="clear" w:color="auto" w:fill="auto"/>
            <w:vAlign w:val="center"/>
            <w:hideMark/>
          </w:tcPr>
          <w:p w14:paraId="5523AD92" w14:textId="14D4D154"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3,855</w:t>
            </w:r>
          </w:p>
        </w:tc>
      </w:tr>
      <w:tr w:rsidR="004D6D88" w:rsidRPr="00C91327" w14:paraId="74C89293" w14:textId="5EAB29FB" w:rsidTr="00177C22">
        <w:trPr>
          <w:cantSplit/>
          <w:trHeight w:val="57"/>
        </w:trPr>
        <w:tc>
          <w:tcPr>
            <w:tcW w:w="1063" w:type="pct"/>
            <w:vAlign w:val="center"/>
          </w:tcPr>
          <w:p w14:paraId="640F4EC9" w14:textId="4A0B45EB"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 xml:space="preserve">YTD </w:t>
            </w:r>
            <w:r>
              <w:rPr>
                <w:rFonts w:ascii="Arial Narrow" w:hAnsi="Arial Narrow" w:cs="Calibri"/>
                <w:sz w:val="20"/>
              </w:rPr>
              <w:t>April 2021</w:t>
            </w:r>
          </w:p>
        </w:tc>
        <w:tc>
          <w:tcPr>
            <w:tcW w:w="516" w:type="pct"/>
            <w:shd w:val="clear" w:color="auto" w:fill="auto"/>
            <w:vAlign w:val="center"/>
            <w:hideMark/>
          </w:tcPr>
          <w:p w14:paraId="3A4E511B" w14:textId="770CF566"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627</w:t>
            </w:r>
          </w:p>
        </w:tc>
        <w:tc>
          <w:tcPr>
            <w:tcW w:w="516" w:type="pct"/>
            <w:shd w:val="clear" w:color="auto" w:fill="auto"/>
            <w:vAlign w:val="center"/>
            <w:hideMark/>
          </w:tcPr>
          <w:p w14:paraId="698A5BB6" w14:textId="700BCA73"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291</w:t>
            </w:r>
          </w:p>
        </w:tc>
        <w:tc>
          <w:tcPr>
            <w:tcW w:w="432" w:type="pct"/>
            <w:shd w:val="clear" w:color="auto" w:fill="auto"/>
            <w:vAlign w:val="center"/>
            <w:hideMark/>
          </w:tcPr>
          <w:p w14:paraId="7BED4C53" w14:textId="53484F78"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145</w:t>
            </w:r>
          </w:p>
        </w:tc>
        <w:tc>
          <w:tcPr>
            <w:tcW w:w="397" w:type="pct"/>
            <w:shd w:val="clear" w:color="auto" w:fill="auto"/>
            <w:vAlign w:val="center"/>
            <w:hideMark/>
          </w:tcPr>
          <w:p w14:paraId="59960BFB" w14:textId="3E6CCE7D"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141</w:t>
            </w:r>
          </w:p>
        </w:tc>
        <w:tc>
          <w:tcPr>
            <w:tcW w:w="397" w:type="pct"/>
            <w:shd w:val="clear" w:color="auto" w:fill="auto"/>
            <w:vAlign w:val="center"/>
            <w:hideMark/>
          </w:tcPr>
          <w:p w14:paraId="6C567186" w14:textId="3133D0C6"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88</w:t>
            </w:r>
          </w:p>
        </w:tc>
        <w:tc>
          <w:tcPr>
            <w:tcW w:w="406" w:type="pct"/>
            <w:shd w:val="clear" w:color="auto" w:fill="auto"/>
            <w:vAlign w:val="center"/>
            <w:hideMark/>
          </w:tcPr>
          <w:p w14:paraId="4B4E1D9C" w14:textId="5A3A4804"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31</w:t>
            </w:r>
          </w:p>
        </w:tc>
        <w:tc>
          <w:tcPr>
            <w:tcW w:w="415" w:type="pct"/>
            <w:shd w:val="clear" w:color="auto" w:fill="auto"/>
            <w:vAlign w:val="center"/>
            <w:hideMark/>
          </w:tcPr>
          <w:p w14:paraId="0ED2D44C" w14:textId="058157B7"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4</w:t>
            </w:r>
          </w:p>
        </w:tc>
        <w:tc>
          <w:tcPr>
            <w:tcW w:w="341" w:type="pct"/>
            <w:shd w:val="clear" w:color="auto" w:fill="auto"/>
            <w:vAlign w:val="center"/>
            <w:hideMark/>
          </w:tcPr>
          <w:p w14:paraId="49272D4B" w14:textId="252FE5CD"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4</w:t>
            </w:r>
          </w:p>
        </w:tc>
        <w:tc>
          <w:tcPr>
            <w:tcW w:w="516" w:type="pct"/>
            <w:shd w:val="clear" w:color="auto" w:fill="auto"/>
            <w:vAlign w:val="center"/>
            <w:hideMark/>
          </w:tcPr>
          <w:p w14:paraId="7F016D3C" w14:textId="56D258F2"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1,331</w:t>
            </w:r>
          </w:p>
        </w:tc>
      </w:tr>
      <w:tr w:rsidR="004D6D88" w:rsidRPr="00C91327" w14:paraId="7508F51B" w14:textId="03E77686" w:rsidTr="00177C22">
        <w:trPr>
          <w:cantSplit/>
          <w:trHeight w:val="57"/>
        </w:trPr>
        <w:tc>
          <w:tcPr>
            <w:tcW w:w="1063" w:type="pct"/>
            <w:vAlign w:val="center"/>
          </w:tcPr>
          <w:p w14:paraId="4DAC144D" w14:textId="477ACCE3"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Total</w:t>
            </w:r>
          </w:p>
        </w:tc>
        <w:tc>
          <w:tcPr>
            <w:tcW w:w="516" w:type="pct"/>
            <w:shd w:val="clear" w:color="auto" w:fill="auto"/>
            <w:vAlign w:val="center"/>
            <w:hideMark/>
          </w:tcPr>
          <w:p w14:paraId="5D93B466" w14:textId="793B5A95"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4,776</w:t>
            </w:r>
          </w:p>
        </w:tc>
        <w:tc>
          <w:tcPr>
            <w:tcW w:w="516" w:type="pct"/>
            <w:shd w:val="clear" w:color="auto" w:fill="auto"/>
            <w:vAlign w:val="center"/>
            <w:hideMark/>
          </w:tcPr>
          <w:p w14:paraId="067C9283" w14:textId="555CA1CC"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1,673</w:t>
            </w:r>
          </w:p>
        </w:tc>
        <w:tc>
          <w:tcPr>
            <w:tcW w:w="432" w:type="pct"/>
            <w:shd w:val="clear" w:color="auto" w:fill="auto"/>
            <w:vAlign w:val="center"/>
            <w:hideMark/>
          </w:tcPr>
          <w:p w14:paraId="740D5CD1" w14:textId="7311A837"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915</w:t>
            </w:r>
          </w:p>
        </w:tc>
        <w:tc>
          <w:tcPr>
            <w:tcW w:w="397" w:type="pct"/>
            <w:shd w:val="clear" w:color="auto" w:fill="auto"/>
            <w:vAlign w:val="center"/>
            <w:hideMark/>
          </w:tcPr>
          <w:p w14:paraId="3FAEA4BA" w14:textId="503549A7"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574</w:t>
            </w:r>
          </w:p>
        </w:tc>
        <w:tc>
          <w:tcPr>
            <w:tcW w:w="397" w:type="pct"/>
            <w:shd w:val="clear" w:color="auto" w:fill="auto"/>
            <w:vAlign w:val="center"/>
            <w:hideMark/>
          </w:tcPr>
          <w:p w14:paraId="29F25581" w14:textId="62AC720E"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384</w:t>
            </w:r>
          </w:p>
        </w:tc>
        <w:tc>
          <w:tcPr>
            <w:tcW w:w="406" w:type="pct"/>
            <w:shd w:val="clear" w:color="auto" w:fill="auto"/>
            <w:vAlign w:val="center"/>
            <w:hideMark/>
          </w:tcPr>
          <w:p w14:paraId="50C6F8D9" w14:textId="0263FBE2"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121</w:t>
            </w:r>
          </w:p>
        </w:tc>
        <w:tc>
          <w:tcPr>
            <w:tcW w:w="415" w:type="pct"/>
            <w:shd w:val="clear" w:color="auto" w:fill="auto"/>
            <w:vAlign w:val="center"/>
            <w:hideMark/>
          </w:tcPr>
          <w:p w14:paraId="7C458581" w14:textId="5796FFA4"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78</w:t>
            </w:r>
          </w:p>
        </w:tc>
        <w:tc>
          <w:tcPr>
            <w:tcW w:w="341" w:type="pct"/>
            <w:shd w:val="clear" w:color="auto" w:fill="auto"/>
            <w:vAlign w:val="center"/>
            <w:hideMark/>
          </w:tcPr>
          <w:p w14:paraId="121F9C8E" w14:textId="08A3144D"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17</w:t>
            </w:r>
          </w:p>
        </w:tc>
        <w:tc>
          <w:tcPr>
            <w:tcW w:w="516" w:type="pct"/>
            <w:shd w:val="clear" w:color="auto" w:fill="auto"/>
            <w:vAlign w:val="center"/>
            <w:hideMark/>
          </w:tcPr>
          <w:p w14:paraId="61C59C45" w14:textId="28BA0891" w:rsidR="004D6D88" w:rsidRPr="007C5C08" w:rsidRDefault="004D6D88" w:rsidP="00AC3C01">
            <w:pPr>
              <w:widowControl w:val="0"/>
              <w:spacing w:before="40" w:after="40"/>
              <w:rPr>
                <w:rFonts w:ascii="Arial Narrow" w:hAnsi="Arial Narrow" w:cs="Calibri"/>
                <w:sz w:val="20"/>
              </w:rPr>
            </w:pPr>
            <w:r w:rsidRPr="007C5C08">
              <w:rPr>
                <w:rFonts w:ascii="Arial Narrow" w:hAnsi="Arial Narrow" w:cs="Calibri"/>
                <w:sz w:val="20"/>
              </w:rPr>
              <w:t>8,538</w:t>
            </w:r>
          </w:p>
        </w:tc>
      </w:tr>
    </w:tbl>
    <w:p w14:paraId="09691650" w14:textId="218589A3" w:rsidR="007A4D97" w:rsidRDefault="00385EC5" w:rsidP="00385EC5">
      <w:pPr>
        <w:pStyle w:val="Default"/>
        <w:widowControl w:val="0"/>
        <w:spacing w:after="240"/>
        <w:rPr>
          <w:rFonts w:ascii="Arial Narrow" w:hAnsi="Arial Narrow"/>
          <w:iCs/>
          <w:color w:val="auto"/>
          <w:sz w:val="18"/>
          <w:szCs w:val="18"/>
        </w:rPr>
      </w:pPr>
      <w:r w:rsidRPr="00AC3C01">
        <w:rPr>
          <w:rFonts w:ascii="Arial Narrow" w:hAnsi="Arial Narrow"/>
          <w:iCs/>
          <w:color w:val="auto"/>
          <w:sz w:val="18"/>
          <w:szCs w:val="18"/>
        </w:rPr>
        <w:t xml:space="preserve">Source: Table 2, p1 of the </w:t>
      </w:r>
      <w:r w:rsidR="00865429">
        <w:rPr>
          <w:rFonts w:ascii="Arial Narrow" w:hAnsi="Arial Narrow"/>
          <w:sz w:val="18"/>
          <w:szCs w:val="8"/>
        </w:rPr>
        <w:t>m</w:t>
      </w:r>
      <w:r w:rsidR="00865429" w:rsidRPr="00AA27E2">
        <w:rPr>
          <w:rFonts w:ascii="Arial Narrow" w:hAnsi="Arial Narrow"/>
          <w:sz w:val="18"/>
          <w:szCs w:val="8"/>
        </w:rPr>
        <w:t xml:space="preserve">inor streamlined </w:t>
      </w:r>
      <w:r w:rsidR="00865429">
        <w:rPr>
          <w:rFonts w:ascii="Arial Narrow" w:hAnsi="Arial Narrow"/>
          <w:sz w:val="18"/>
          <w:szCs w:val="8"/>
        </w:rPr>
        <w:t xml:space="preserve">codependent </w:t>
      </w:r>
      <w:r w:rsidR="00865429" w:rsidRPr="00AA27E2">
        <w:rPr>
          <w:rFonts w:ascii="Arial Narrow" w:hAnsi="Arial Narrow"/>
          <w:sz w:val="18"/>
          <w:szCs w:val="8"/>
        </w:rPr>
        <w:t>submission</w:t>
      </w:r>
    </w:p>
    <w:p w14:paraId="0C4B3788" w14:textId="3867B0B9" w:rsidR="00385EC5" w:rsidRPr="00AC3C01" w:rsidRDefault="00385EC5" w:rsidP="00AC3C01">
      <w:pPr>
        <w:pStyle w:val="Default"/>
        <w:widowControl w:val="0"/>
        <w:spacing w:after="240"/>
        <w:rPr>
          <w:rFonts w:ascii="Arial Narrow" w:hAnsi="Arial Narrow"/>
          <w:iCs/>
          <w:color w:val="auto"/>
          <w:sz w:val="18"/>
          <w:szCs w:val="18"/>
        </w:rPr>
      </w:pPr>
      <w:r>
        <w:t>The application stated that the reimbursement of cemiplimab will not change the market growth rate of patients initiating PD</w:t>
      </w:r>
      <w:r>
        <w:noBreakHyphen/>
        <w:t>L1 therapies. It will provide an alternative monotherapy option that is equivalent in efficacy and safety to pembrolizumab monotherapy. The proposed minor amendment to MBS item 72814 will not drive further uptake of PD</w:t>
      </w:r>
      <w:r>
        <w:noBreakHyphen/>
        <w:t>L1 IHC tests, as testing is already available to access pembrolizumab.</w:t>
      </w:r>
    </w:p>
    <w:p w14:paraId="1C4088DE" w14:textId="77777777" w:rsidR="00BC1364" w:rsidRPr="00F715D1" w:rsidRDefault="00C06B0B" w:rsidP="00F715D1">
      <w:pPr>
        <w:pStyle w:val="Heading1"/>
      </w:pPr>
      <w:r>
        <w:lastRenderedPageBreak/>
        <w:t>Applicant</w:t>
      </w:r>
      <w:r w:rsidR="00BC1364" w:rsidRPr="00F715D1">
        <w:t xml:space="preserve"> comments on MSAC’s </w:t>
      </w:r>
      <w:r w:rsidR="00DA56AA" w:rsidRPr="00F715D1">
        <w:t>Public Summary Document</w:t>
      </w:r>
    </w:p>
    <w:p w14:paraId="72CF6E6F" w14:textId="55D4AD46" w:rsidR="00BC1364" w:rsidRPr="00044A69" w:rsidRDefault="00044A69" w:rsidP="00F715D1">
      <w:pPr>
        <w:spacing w:after="240"/>
        <w:rPr>
          <w:szCs w:val="24"/>
        </w:rPr>
      </w:pPr>
      <w:r w:rsidRPr="00044A69">
        <w:rPr>
          <w:szCs w:val="24"/>
        </w:rPr>
        <w:t>The applicant had no comment.</w:t>
      </w:r>
    </w:p>
    <w:p w14:paraId="1ACC8499" w14:textId="77777777" w:rsidR="00BC1364" w:rsidRPr="00F715D1" w:rsidRDefault="00271F18" w:rsidP="00F715D1">
      <w:pPr>
        <w:pStyle w:val="Heading1"/>
      </w:pPr>
      <w:r w:rsidRPr="00F715D1">
        <w:t>Further information on MSAC</w:t>
      </w:r>
    </w:p>
    <w:p w14:paraId="3307A731"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6E9EB" w14:textId="77777777" w:rsidR="00847A36" w:rsidRDefault="00847A36" w:rsidP="00065623">
      <w:r>
        <w:separator/>
      </w:r>
    </w:p>
  </w:endnote>
  <w:endnote w:type="continuationSeparator" w:id="0">
    <w:p w14:paraId="0FA0276C" w14:textId="77777777" w:rsidR="00847A36" w:rsidRDefault="00847A3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5948AA73" w14:textId="77777777" w:rsidR="00352224" w:rsidRDefault="00352224">
        <w:pPr>
          <w:pStyle w:val="Footer"/>
          <w:jc w:val="right"/>
        </w:pPr>
        <w:r>
          <w:fldChar w:fldCharType="begin"/>
        </w:r>
        <w:r>
          <w:instrText xml:space="preserve"> PAGE   \* MERGEFORMAT </w:instrText>
        </w:r>
        <w:r>
          <w:fldChar w:fldCharType="separate"/>
        </w:r>
        <w:r w:rsidR="004967B0">
          <w:rPr>
            <w:noProof/>
          </w:rPr>
          <w:t>4</w:t>
        </w:r>
        <w:r>
          <w:rPr>
            <w:noProof/>
          </w:rPr>
          <w:fldChar w:fldCharType="end"/>
        </w:r>
      </w:p>
    </w:sdtContent>
  </w:sdt>
  <w:p w14:paraId="53BFF36A" w14:textId="77777777" w:rsidR="00BC1364" w:rsidRDefault="00BC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7ADF6" w14:textId="77777777" w:rsidR="00847A36" w:rsidRDefault="00847A36" w:rsidP="00065623">
      <w:r>
        <w:separator/>
      </w:r>
    </w:p>
  </w:footnote>
  <w:footnote w:type="continuationSeparator" w:id="0">
    <w:p w14:paraId="3CB53753" w14:textId="77777777" w:rsidR="00847A36" w:rsidRDefault="00847A36" w:rsidP="0006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B4C"/>
    <w:multiLevelType w:val="multilevel"/>
    <w:tmpl w:val="64F8FE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164EBB"/>
    <w:multiLevelType w:val="multilevel"/>
    <w:tmpl w:val="569C13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67C7D"/>
    <w:multiLevelType w:val="hybridMultilevel"/>
    <w:tmpl w:val="1C7C4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22E7B"/>
    <w:multiLevelType w:val="multilevel"/>
    <w:tmpl w:val="569C13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45870616"/>
    <w:multiLevelType w:val="multilevel"/>
    <w:tmpl w:val="548E56E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C1287"/>
    <w:multiLevelType w:val="multilevel"/>
    <w:tmpl w:val="FF1EB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C300C"/>
    <w:multiLevelType w:val="multilevel"/>
    <w:tmpl w:val="D0A02CD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B7E3D2E"/>
    <w:multiLevelType w:val="multilevel"/>
    <w:tmpl w:val="AF5289F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FB45896"/>
    <w:multiLevelType w:val="multilevel"/>
    <w:tmpl w:val="8E4C83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36C71E6"/>
    <w:multiLevelType w:val="hybridMultilevel"/>
    <w:tmpl w:val="8E086E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2"/>
  </w:num>
  <w:num w:numId="4">
    <w:abstractNumId w:val="21"/>
  </w:num>
  <w:num w:numId="5">
    <w:abstractNumId w:val="12"/>
  </w:num>
  <w:num w:numId="6">
    <w:abstractNumId w:val="20"/>
  </w:num>
  <w:num w:numId="7">
    <w:abstractNumId w:val="28"/>
  </w:num>
  <w:num w:numId="8">
    <w:abstractNumId w:val="15"/>
  </w:num>
  <w:num w:numId="9">
    <w:abstractNumId w:val="34"/>
  </w:num>
  <w:num w:numId="10">
    <w:abstractNumId w:val="1"/>
  </w:num>
  <w:num w:numId="11">
    <w:abstractNumId w:val="25"/>
  </w:num>
  <w:num w:numId="12">
    <w:abstractNumId w:val="29"/>
  </w:num>
  <w:num w:numId="13">
    <w:abstractNumId w:val="6"/>
  </w:num>
  <w:num w:numId="14">
    <w:abstractNumId w:val="33"/>
  </w:num>
  <w:num w:numId="15">
    <w:abstractNumId w:val="24"/>
  </w:num>
  <w:num w:numId="16">
    <w:abstractNumId w:val="30"/>
  </w:num>
  <w:num w:numId="17">
    <w:abstractNumId w:val="16"/>
  </w:num>
  <w:num w:numId="18">
    <w:abstractNumId w:val="18"/>
  </w:num>
  <w:num w:numId="19">
    <w:abstractNumId w:val="32"/>
  </w:num>
  <w:num w:numId="20">
    <w:abstractNumId w:val="31"/>
  </w:num>
  <w:num w:numId="21">
    <w:abstractNumId w:val="4"/>
  </w:num>
  <w:num w:numId="22">
    <w:abstractNumId w:val="10"/>
  </w:num>
  <w:num w:numId="23">
    <w:abstractNumId w:val="3"/>
  </w:num>
  <w:num w:numId="24">
    <w:abstractNumId w:val="9"/>
  </w:num>
  <w:num w:numId="25">
    <w:abstractNumId w:val="7"/>
  </w:num>
  <w:num w:numId="26">
    <w:abstractNumId w:val="1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7312"/>
    <w:rsid w:val="00011A36"/>
    <w:rsid w:val="0001311B"/>
    <w:rsid w:val="00014A83"/>
    <w:rsid w:val="000317F2"/>
    <w:rsid w:val="00044A69"/>
    <w:rsid w:val="00047606"/>
    <w:rsid w:val="00065623"/>
    <w:rsid w:val="000663AA"/>
    <w:rsid w:val="00070380"/>
    <w:rsid w:val="000756B9"/>
    <w:rsid w:val="00096B67"/>
    <w:rsid w:val="00096DAF"/>
    <w:rsid w:val="000C2F47"/>
    <w:rsid w:val="000D2B9A"/>
    <w:rsid w:val="000D6C00"/>
    <w:rsid w:val="000E4E04"/>
    <w:rsid w:val="000F14B4"/>
    <w:rsid w:val="000F75DF"/>
    <w:rsid w:val="001023DC"/>
    <w:rsid w:val="001328FA"/>
    <w:rsid w:val="00133024"/>
    <w:rsid w:val="00147AAF"/>
    <w:rsid w:val="001552C0"/>
    <w:rsid w:val="001640B1"/>
    <w:rsid w:val="00177C22"/>
    <w:rsid w:val="0018435E"/>
    <w:rsid w:val="001E2319"/>
    <w:rsid w:val="001F136E"/>
    <w:rsid w:val="002041A1"/>
    <w:rsid w:val="002054F0"/>
    <w:rsid w:val="00230D6B"/>
    <w:rsid w:val="00232068"/>
    <w:rsid w:val="002330F2"/>
    <w:rsid w:val="00243D9E"/>
    <w:rsid w:val="00253B66"/>
    <w:rsid w:val="00261DF1"/>
    <w:rsid w:val="00271F18"/>
    <w:rsid w:val="00282779"/>
    <w:rsid w:val="0028334D"/>
    <w:rsid w:val="00283817"/>
    <w:rsid w:val="002A28E9"/>
    <w:rsid w:val="002B6784"/>
    <w:rsid w:val="002B7FFA"/>
    <w:rsid w:val="002C2BCF"/>
    <w:rsid w:val="002C4383"/>
    <w:rsid w:val="002F279D"/>
    <w:rsid w:val="002F43B8"/>
    <w:rsid w:val="002F43CF"/>
    <w:rsid w:val="00321608"/>
    <w:rsid w:val="00334661"/>
    <w:rsid w:val="00336856"/>
    <w:rsid w:val="00336F7E"/>
    <w:rsid w:val="0034554D"/>
    <w:rsid w:val="00352224"/>
    <w:rsid w:val="003671E6"/>
    <w:rsid w:val="00384272"/>
    <w:rsid w:val="00385EC5"/>
    <w:rsid w:val="00386D67"/>
    <w:rsid w:val="003945B8"/>
    <w:rsid w:val="003D7F29"/>
    <w:rsid w:val="00405A6B"/>
    <w:rsid w:val="00407B1F"/>
    <w:rsid w:val="0041184F"/>
    <w:rsid w:val="00414C57"/>
    <w:rsid w:val="0041758C"/>
    <w:rsid w:val="00452A7D"/>
    <w:rsid w:val="004539DE"/>
    <w:rsid w:val="00477215"/>
    <w:rsid w:val="00495137"/>
    <w:rsid w:val="004967B0"/>
    <w:rsid w:val="004A2CF1"/>
    <w:rsid w:val="004C3035"/>
    <w:rsid w:val="004C307F"/>
    <w:rsid w:val="004D6D88"/>
    <w:rsid w:val="004D6FB0"/>
    <w:rsid w:val="004E4BA8"/>
    <w:rsid w:val="004F340F"/>
    <w:rsid w:val="004F6184"/>
    <w:rsid w:val="004F7B7C"/>
    <w:rsid w:val="0052243D"/>
    <w:rsid w:val="00532435"/>
    <w:rsid w:val="00550354"/>
    <w:rsid w:val="00571236"/>
    <w:rsid w:val="005953A1"/>
    <w:rsid w:val="005A4362"/>
    <w:rsid w:val="005B30EE"/>
    <w:rsid w:val="005B5434"/>
    <w:rsid w:val="005C01FB"/>
    <w:rsid w:val="005D0332"/>
    <w:rsid w:val="005D0D8C"/>
    <w:rsid w:val="0060062D"/>
    <w:rsid w:val="00616365"/>
    <w:rsid w:val="00621CEA"/>
    <w:rsid w:val="006370ED"/>
    <w:rsid w:val="00670415"/>
    <w:rsid w:val="006776AE"/>
    <w:rsid w:val="00684CAA"/>
    <w:rsid w:val="006A0D97"/>
    <w:rsid w:val="006B1F86"/>
    <w:rsid w:val="006B3844"/>
    <w:rsid w:val="006C0A91"/>
    <w:rsid w:val="006D7CA8"/>
    <w:rsid w:val="006F77D0"/>
    <w:rsid w:val="007054BB"/>
    <w:rsid w:val="00707064"/>
    <w:rsid w:val="00730683"/>
    <w:rsid w:val="00737290"/>
    <w:rsid w:val="00743B7A"/>
    <w:rsid w:val="00746E71"/>
    <w:rsid w:val="0075261F"/>
    <w:rsid w:val="0075468E"/>
    <w:rsid w:val="007665D8"/>
    <w:rsid w:val="00766E36"/>
    <w:rsid w:val="00770E37"/>
    <w:rsid w:val="007765F4"/>
    <w:rsid w:val="00776633"/>
    <w:rsid w:val="00784D53"/>
    <w:rsid w:val="00793D2C"/>
    <w:rsid w:val="00797797"/>
    <w:rsid w:val="007A4D97"/>
    <w:rsid w:val="007A63C9"/>
    <w:rsid w:val="007A7809"/>
    <w:rsid w:val="007B3028"/>
    <w:rsid w:val="007B32D1"/>
    <w:rsid w:val="007B7095"/>
    <w:rsid w:val="007D24E1"/>
    <w:rsid w:val="007D6288"/>
    <w:rsid w:val="007D63F2"/>
    <w:rsid w:val="007F4CE9"/>
    <w:rsid w:val="007F4E20"/>
    <w:rsid w:val="00822C7E"/>
    <w:rsid w:val="008349CC"/>
    <w:rsid w:val="00847060"/>
    <w:rsid w:val="00847A36"/>
    <w:rsid w:val="00856A33"/>
    <w:rsid w:val="00865429"/>
    <w:rsid w:val="00865D77"/>
    <w:rsid w:val="00870437"/>
    <w:rsid w:val="00892620"/>
    <w:rsid w:val="008B757C"/>
    <w:rsid w:val="008C778E"/>
    <w:rsid w:val="008C7D37"/>
    <w:rsid w:val="008D5885"/>
    <w:rsid w:val="009217A3"/>
    <w:rsid w:val="00923FA2"/>
    <w:rsid w:val="00950291"/>
    <w:rsid w:val="0095699B"/>
    <w:rsid w:val="0096060D"/>
    <w:rsid w:val="00974A50"/>
    <w:rsid w:val="0097585A"/>
    <w:rsid w:val="0099132B"/>
    <w:rsid w:val="009924B0"/>
    <w:rsid w:val="009942C9"/>
    <w:rsid w:val="009B35C4"/>
    <w:rsid w:val="009C4B75"/>
    <w:rsid w:val="009C630A"/>
    <w:rsid w:val="009C72E6"/>
    <w:rsid w:val="009E0D98"/>
    <w:rsid w:val="009E13E7"/>
    <w:rsid w:val="00A068A1"/>
    <w:rsid w:val="00A1207D"/>
    <w:rsid w:val="00A12FD8"/>
    <w:rsid w:val="00A23FF1"/>
    <w:rsid w:val="00A346FC"/>
    <w:rsid w:val="00A4144D"/>
    <w:rsid w:val="00A46D77"/>
    <w:rsid w:val="00A6376C"/>
    <w:rsid w:val="00A67FDD"/>
    <w:rsid w:val="00A734D8"/>
    <w:rsid w:val="00A81ED1"/>
    <w:rsid w:val="00A846F2"/>
    <w:rsid w:val="00A84F93"/>
    <w:rsid w:val="00AA27E2"/>
    <w:rsid w:val="00AB1AC5"/>
    <w:rsid w:val="00AB3BFC"/>
    <w:rsid w:val="00AC3C01"/>
    <w:rsid w:val="00AC4F2E"/>
    <w:rsid w:val="00AD0C37"/>
    <w:rsid w:val="00AD385F"/>
    <w:rsid w:val="00AE6E2A"/>
    <w:rsid w:val="00AF49A5"/>
    <w:rsid w:val="00B03EAB"/>
    <w:rsid w:val="00B16C9E"/>
    <w:rsid w:val="00B31E9C"/>
    <w:rsid w:val="00B35595"/>
    <w:rsid w:val="00B366C5"/>
    <w:rsid w:val="00B51C6D"/>
    <w:rsid w:val="00B61569"/>
    <w:rsid w:val="00B70F2A"/>
    <w:rsid w:val="00B83DD2"/>
    <w:rsid w:val="00B86D64"/>
    <w:rsid w:val="00BA4AC5"/>
    <w:rsid w:val="00BC1364"/>
    <w:rsid w:val="00BC2667"/>
    <w:rsid w:val="00BC7DE9"/>
    <w:rsid w:val="00BE5862"/>
    <w:rsid w:val="00BF479B"/>
    <w:rsid w:val="00C02577"/>
    <w:rsid w:val="00C06B0B"/>
    <w:rsid w:val="00C10224"/>
    <w:rsid w:val="00C204FB"/>
    <w:rsid w:val="00C20BEE"/>
    <w:rsid w:val="00C2158D"/>
    <w:rsid w:val="00C67DD2"/>
    <w:rsid w:val="00C725CB"/>
    <w:rsid w:val="00C76F5C"/>
    <w:rsid w:val="00C80479"/>
    <w:rsid w:val="00C95BDC"/>
    <w:rsid w:val="00C96BAD"/>
    <w:rsid w:val="00CA5661"/>
    <w:rsid w:val="00CA6944"/>
    <w:rsid w:val="00CB0F8E"/>
    <w:rsid w:val="00CB7E7D"/>
    <w:rsid w:val="00CC2911"/>
    <w:rsid w:val="00CE6B6D"/>
    <w:rsid w:val="00CF0C6D"/>
    <w:rsid w:val="00CF23D1"/>
    <w:rsid w:val="00CF4E81"/>
    <w:rsid w:val="00CF7307"/>
    <w:rsid w:val="00CF7C68"/>
    <w:rsid w:val="00D124FA"/>
    <w:rsid w:val="00D340DE"/>
    <w:rsid w:val="00D55723"/>
    <w:rsid w:val="00D62FAD"/>
    <w:rsid w:val="00D64355"/>
    <w:rsid w:val="00D70450"/>
    <w:rsid w:val="00D83BFD"/>
    <w:rsid w:val="00D90A38"/>
    <w:rsid w:val="00D94E41"/>
    <w:rsid w:val="00D95739"/>
    <w:rsid w:val="00DA0515"/>
    <w:rsid w:val="00DA171E"/>
    <w:rsid w:val="00DA56AA"/>
    <w:rsid w:val="00DA6FFC"/>
    <w:rsid w:val="00DB5833"/>
    <w:rsid w:val="00DD2858"/>
    <w:rsid w:val="00DF489D"/>
    <w:rsid w:val="00E03E33"/>
    <w:rsid w:val="00E059E0"/>
    <w:rsid w:val="00E149AA"/>
    <w:rsid w:val="00E3642A"/>
    <w:rsid w:val="00E415C4"/>
    <w:rsid w:val="00E50016"/>
    <w:rsid w:val="00E50EAA"/>
    <w:rsid w:val="00E534D8"/>
    <w:rsid w:val="00E656D6"/>
    <w:rsid w:val="00E7087E"/>
    <w:rsid w:val="00E977EE"/>
    <w:rsid w:val="00EA2F24"/>
    <w:rsid w:val="00EA52DA"/>
    <w:rsid w:val="00EA5C0E"/>
    <w:rsid w:val="00EA67A2"/>
    <w:rsid w:val="00EB630F"/>
    <w:rsid w:val="00EB6B6F"/>
    <w:rsid w:val="00EC4F98"/>
    <w:rsid w:val="00ED3FB2"/>
    <w:rsid w:val="00EF23BC"/>
    <w:rsid w:val="00F11981"/>
    <w:rsid w:val="00F12F02"/>
    <w:rsid w:val="00F17ABC"/>
    <w:rsid w:val="00F20EBE"/>
    <w:rsid w:val="00F32E0D"/>
    <w:rsid w:val="00F35134"/>
    <w:rsid w:val="00F37B9C"/>
    <w:rsid w:val="00F41812"/>
    <w:rsid w:val="00F5606A"/>
    <w:rsid w:val="00F56D7F"/>
    <w:rsid w:val="00F715D1"/>
    <w:rsid w:val="00F72715"/>
    <w:rsid w:val="00F73333"/>
    <w:rsid w:val="00F83EB3"/>
    <w:rsid w:val="00F95D8F"/>
    <w:rsid w:val="00FB350A"/>
    <w:rsid w:val="00FB4C5D"/>
    <w:rsid w:val="00FB7670"/>
    <w:rsid w:val="00FD00C3"/>
    <w:rsid w:val="00FE1C3F"/>
    <w:rsid w:val="00FE731D"/>
    <w:rsid w:val="00FF0759"/>
    <w:rsid w:val="00FF7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D8C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MSD Table Grid,Summary box,Table Gridbeth,ASD Table,CMA Table Template,new style,PBAC table"/>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7A4D97"/>
    <w:pPr>
      <w:spacing w:after="200"/>
    </w:pPr>
    <w:rPr>
      <w:i/>
      <w:iCs/>
      <w:color w:val="1F497D" w:themeColor="text2"/>
      <w:sz w:val="18"/>
      <w:szCs w:val="18"/>
    </w:rPr>
  </w:style>
  <w:style w:type="paragraph" w:customStyle="1" w:styleId="TableFooter">
    <w:name w:val="Table Footer"/>
    <w:basedOn w:val="Normal"/>
    <w:link w:val="TableFooterChar"/>
    <w:uiPriority w:val="1"/>
    <w:qFormat/>
    <w:rsid w:val="00477215"/>
    <w:pPr>
      <w:widowControl w:val="0"/>
      <w:spacing w:after="240"/>
      <w:contextualSpacing/>
      <w:jc w:val="both"/>
    </w:pPr>
    <w:rPr>
      <w:rFonts w:ascii="Arial Narrow" w:hAnsi="Arial Narrow" w:cs="Arial"/>
      <w:snapToGrid w:val="0"/>
      <w:sz w:val="18"/>
      <w:lang w:eastAsia="en-GB"/>
    </w:rPr>
  </w:style>
  <w:style w:type="character" w:customStyle="1" w:styleId="TableFooterChar">
    <w:name w:val="Table Footer Char"/>
    <w:link w:val="TableFooter"/>
    <w:uiPriority w:val="1"/>
    <w:rsid w:val="00477215"/>
    <w:rPr>
      <w:rFonts w:ascii="Arial Narrow" w:eastAsia="Times New Roman" w:hAnsi="Arial Narrow" w:cs="Arial"/>
      <w:snapToGrid w:val="0"/>
      <w:sz w:val="18"/>
      <w:szCs w:val="20"/>
      <w:lang w:eastAsia="en-GB"/>
    </w:rPr>
  </w:style>
  <w:style w:type="paragraph" w:customStyle="1" w:styleId="BoxText">
    <w:name w:val="BoxText"/>
    <w:basedOn w:val="Normal"/>
    <w:qFormat/>
    <w:rsid w:val="00B366C5"/>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B366C5"/>
    <w:pPr>
      <w:keepNext/>
      <w:spacing w:before="180"/>
      <w:ind w:left="1080" w:hanging="1080"/>
    </w:pPr>
    <w:rPr>
      <w:b/>
      <w:bCs/>
    </w:rPr>
  </w:style>
  <w:style w:type="paragraph" w:customStyle="1" w:styleId="BoxHeading">
    <w:name w:val="BoxHeading"/>
    <w:basedOn w:val="BoxText"/>
    <w:rsid w:val="00B366C5"/>
    <w:pPr>
      <w:keepNext/>
      <w:spacing w:before="120" w:after="60"/>
    </w:pPr>
    <w:rPr>
      <w:b/>
      <w:bCs/>
    </w:rPr>
  </w:style>
  <w:style w:type="character" w:styleId="UnresolvedMention">
    <w:name w:val="Unresolved Mention"/>
    <w:basedOn w:val="DefaultParagraphFont"/>
    <w:uiPriority w:val="99"/>
    <w:semiHidden/>
    <w:unhideWhenUsed/>
    <w:rsid w:val="009C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515779">
      <w:bodyDiv w:val="1"/>
      <w:marLeft w:val="0"/>
      <w:marRight w:val="0"/>
      <w:marTop w:val="0"/>
      <w:marBottom w:val="0"/>
      <w:divBdr>
        <w:top w:val="none" w:sz="0" w:space="0" w:color="auto"/>
        <w:left w:val="none" w:sz="0" w:space="0" w:color="auto"/>
        <w:bottom w:val="none" w:sz="0" w:space="0" w:color="auto"/>
        <w:right w:val="none" w:sz="0" w:space="0" w:color="auto"/>
      </w:divBdr>
    </w:div>
    <w:div w:id="1350909974">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26993813">
      <w:bodyDiv w:val="1"/>
      <w:marLeft w:val="0"/>
      <w:marRight w:val="0"/>
      <w:marTop w:val="0"/>
      <w:marBottom w:val="0"/>
      <w:divBdr>
        <w:top w:val="none" w:sz="0" w:space="0" w:color="auto"/>
        <w:left w:val="none" w:sz="0" w:space="0" w:color="auto"/>
        <w:bottom w:val="none" w:sz="0" w:space="0" w:color="auto"/>
        <w:right w:val="none" w:sz="0" w:space="0" w:color="auto"/>
      </w:divBdr>
    </w:div>
    <w:div w:id="20499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8D0D2D7EEEFF52A2CA25801000123C23/$File/1440-FinalPSD-accessibl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154DEF7A9C4C4D2BCA25801000123C11/$File/1414%20-%20Public%20Summary%20Documen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health.gov.au/mbs/fullDisplay.cfm?type=item&amp;q=72814&amp;qt=item&amp;criteria=pembrolizumab" TargetMode="External"/><Relationship Id="rId5" Type="http://schemas.openxmlformats.org/officeDocument/2006/relationships/webSettings" Target="webSettings.xml"/><Relationship Id="rId15" Type="http://schemas.openxmlformats.org/officeDocument/2006/relationships/hyperlink" Target="http://www9.health.gov.au/mbs/fullDisplay.cfm?type=item&amp;q=72814&amp;qt=item&amp;criteria=pembrolizumab" TargetMode="External"/><Relationship Id="rId10" Type="http://schemas.openxmlformats.org/officeDocument/2006/relationships/hyperlink" Target="https://clinicaltrials.gov/ct2/show/NCT03088540?term=NCT03088540&amp;draw=2&amp;ra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440.1-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9C67-87F8-45DB-858E-4D65344D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2032</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2022-02-16T01:54:00Z</dcterms:created>
  <dcterms:modified xsi:type="dcterms:W3CDTF">2022-02-23T03:32:00Z</dcterms:modified>
</cp:coreProperties>
</file>