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2405FA">
        <w:rPr>
          <w:rFonts w:ascii="Arial" w:hAnsi="Arial" w:cs="Arial"/>
          <w:b/>
          <w:sz w:val="52"/>
          <w:szCs w:val="52"/>
        </w:rPr>
        <w:t>42</w:t>
      </w:r>
      <w:bookmarkStart w:id="0" w:name="_GoBack"/>
      <w:bookmarkEnd w:id="0"/>
    </w:p>
    <w:p w:rsidR="002405FA" w:rsidRDefault="002405FA" w:rsidP="002405FA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PD-L1 testing for access to c</w:t>
      </w:r>
      <w:r w:rsidRPr="002405FA">
        <w:rPr>
          <w:rFonts w:ascii="Arial" w:hAnsi="Arial" w:cs="Arial"/>
          <w:b/>
          <w:sz w:val="32"/>
          <w:szCs w:val="32"/>
        </w:rPr>
        <w:t>emiplimab for the treatment of locally advanced or metastatic NSCLC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405FA">
        <w:rPr>
          <w:b w:val="0"/>
        </w:rPr>
      </w:r>
      <w:r w:rsidR="002405F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2405FA" w:rsidRPr="002405FA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05FA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F16D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2021-02-09T23:03:00Z</dcterms:created>
  <dcterms:modified xsi:type="dcterms:W3CDTF">2021-02-09T23:03:00Z</dcterms:modified>
</cp:coreProperties>
</file>